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D2DC8" w:rsidRDefault="00000000">
      <w:pPr>
        <w:spacing w:line="360" w:lineRule="auto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 xml:space="preserve">Fully </w:t>
      </w:r>
      <w:bookmarkStart w:id="0" w:name="OLE_LINK6"/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Non-conjugated Phosphorylated Chitosan</w:t>
      </w:r>
      <w:bookmarkEnd w:id="0"/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 xml:space="preserve"> Enhances Hole Injection for Efficient P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erovskite 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L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ight-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E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mitting 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D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iodes</w:t>
      </w:r>
    </w:p>
    <w:p w:rsidR="001D2DC8" w:rsidRDefault="00000000">
      <w:pPr>
        <w:spacing w:line="360" w:lineRule="auto"/>
        <w:jc w:val="center"/>
        <w:rPr>
          <w:rFonts w:ascii="Times New Roman" w:eastAsia="等线" w:hAnsi="Times New Roman" w:cs="Times New Roman"/>
          <w:szCs w:val="21"/>
          <w14:ligatures w14:val="standardContextual"/>
        </w:rPr>
      </w:pPr>
      <w:r>
        <w:rPr>
          <w:rFonts w:ascii="Times New Roman" w:eastAsia="等线" w:hAnsi="Times New Roman" w:cs="Times New Roman" w:hint="eastAsia"/>
          <w:szCs w:val="21"/>
          <w14:ligatures w14:val="standardContextual"/>
        </w:rPr>
        <w:t xml:space="preserve">Hao Yao </w:t>
      </w:r>
      <w:r>
        <w:rPr>
          <w:rFonts w:ascii="Times New Roman" w:eastAsia="等线" w:hAnsi="Times New Roman" w:cs="Times New Roman" w:hint="eastAsia"/>
          <w:szCs w:val="21"/>
          <w:vertAlign w:val="superscript"/>
          <w14:ligatures w14:val="standardContextual"/>
        </w:rPr>
        <w:t>1,2,#</w:t>
      </w:r>
      <w:r>
        <w:rPr>
          <w:rFonts w:ascii="Times New Roman" w:eastAsia="等线" w:hAnsi="Times New Roman" w:cs="Times New Roman" w:hint="eastAsia"/>
          <w:szCs w:val="21"/>
          <w14:ligatures w14:val="standardContextual"/>
        </w:rPr>
        <w:t>, Enbo Zhou</w:t>
      </w:r>
      <w:r>
        <w:rPr>
          <w:rFonts w:ascii="Times New Roman" w:eastAsia="等线" w:hAnsi="Times New Roman" w:cs="Times New Roman" w:hint="eastAsia"/>
          <w:szCs w:val="21"/>
          <w:vertAlign w:val="superscript"/>
          <w14:ligatures w14:val="standardContextual"/>
        </w:rPr>
        <w:t>1,2,#</w:t>
      </w:r>
      <w:r>
        <w:rPr>
          <w:rFonts w:ascii="Times New Roman" w:eastAsia="等线" w:hAnsi="Times New Roman" w:cs="Times New Roman" w:hint="eastAsia"/>
          <w:szCs w:val="21"/>
          <w14:ligatures w14:val="standardContextual"/>
        </w:rPr>
        <w:t>, Xingye Zhang</w:t>
      </w:r>
      <w:r>
        <w:rPr>
          <w:rFonts w:ascii="Times New Roman" w:eastAsia="等线" w:hAnsi="Times New Roman" w:cs="Times New Roman" w:hint="eastAsia"/>
          <w:szCs w:val="21"/>
          <w:vertAlign w:val="superscript"/>
          <w14:ligatures w14:val="standardContextual"/>
        </w:rPr>
        <w:t>3</w:t>
      </w:r>
      <w:r>
        <w:rPr>
          <w:rFonts w:ascii="Times New Roman" w:eastAsia="等线" w:hAnsi="Times New Roman" w:cs="Times New Roman" w:hint="eastAsia"/>
          <w:szCs w:val="21"/>
          <w14:ligatures w14:val="standardContextual"/>
        </w:rPr>
        <w:t>, Xinhua Ouyang</w:t>
      </w:r>
      <w:r>
        <w:rPr>
          <w:rFonts w:ascii="Times New Roman" w:eastAsia="等线" w:hAnsi="Times New Roman" w:cs="Times New Roman" w:hint="eastAsia"/>
          <w:szCs w:val="21"/>
          <w:vertAlign w:val="superscript"/>
          <w14:ligatures w14:val="standardContextual"/>
        </w:rPr>
        <w:t>1,2,</w:t>
      </w:r>
      <w:r>
        <w:rPr>
          <w:rFonts w:ascii="Times New Roman" w:eastAsia="等线" w:hAnsi="Times New Roman" w:cs="Times New Roman" w:hint="eastAsia"/>
          <w:szCs w:val="21"/>
          <w14:ligatures w14:val="standardContextual"/>
        </w:rPr>
        <w:t>*</w:t>
      </w:r>
    </w:p>
    <w:p w:rsidR="001D2DC8" w:rsidRDefault="00000000">
      <w:pPr>
        <w:spacing w:line="360" w:lineRule="auto"/>
        <w:rPr>
          <w:rFonts w:ascii="Times New Roman" w:eastAsia="等线" w:hAnsi="Times New Roman" w:cs="Times New Roman"/>
          <w:i/>
          <w:iCs/>
          <w:szCs w:val="21"/>
          <w:vertAlign w:val="superscript"/>
        </w:rPr>
      </w:pPr>
      <w:r>
        <w:rPr>
          <w:rFonts w:ascii="Times New Roman" w:eastAsia="等线" w:hAnsi="Times New Roman" w:cs="Times New Roman" w:hint="eastAsia"/>
          <w:i/>
          <w:iCs/>
          <w:szCs w:val="21"/>
          <w:vertAlign w:val="superscript"/>
        </w:rPr>
        <w:t>1</w:t>
      </w:r>
      <w:r>
        <w:rPr>
          <w:rFonts w:ascii="Times New Roman" w:eastAsia="等线" w:hAnsi="Times New Roman" w:cs="Times New Roman" w:hint="eastAsia"/>
          <w:i/>
          <w:iCs/>
          <w:szCs w:val="21"/>
        </w:rPr>
        <w:t xml:space="preserve"> Laboratory for Green Photoelectronic Devices and Energy Storage Batteries, Fujian Agriculture&amp;Foresty University, Fuzhou, 350108, PR China</w:t>
      </w:r>
      <w:r>
        <w:rPr>
          <w:rFonts w:ascii="Times New Roman" w:eastAsia="等线" w:hAnsi="Times New Roman" w:cs="Times New Roman" w:hint="eastAsia"/>
          <w:i/>
          <w:iCs/>
          <w:szCs w:val="21"/>
          <w:vertAlign w:val="superscript"/>
        </w:rPr>
        <w:t xml:space="preserve"> </w:t>
      </w:r>
    </w:p>
    <w:p w:rsidR="001D2DC8" w:rsidRDefault="00000000">
      <w:pPr>
        <w:spacing w:line="360" w:lineRule="auto"/>
        <w:rPr>
          <w:rFonts w:ascii="Times New Roman" w:eastAsia="等线" w:hAnsi="Times New Roman" w:cs="Times New Roman"/>
          <w:i/>
          <w:iCs/>
          <w:szCs w:val="21"/>
          <w:vertAlign w:val="superscript"/>
        </w:rPr>
      </w:pPr>
      <w:r>
        <w:rPr>
          <w:rFonts w:ascii="Times New Roman" w:eastAsia="等线" w:hAnsi="Times New Roman" w:cs="Times New Roman" w:hint="eastAsia"/>
          <w:i/>
          <w:iCs/>
          <w:szCs w:val="21"/>
          <w:vertAlign w:val="superscript"/>
        </w:rPr>
        <w:t>2</w:t>
      </w:r>
      <w:r>
        <w:rPr>
          <w:rFonts w:ascii="Times New Roman" w:eastAsia="等线" w:hAnsi="Times New Roman" w:cs="Times New Roman" w:hint="eastAsia"/>
          <w:i/>
          <w:iCs/>
          <w:szCs w:val="21"/>
        </w:rPr>
        <w:t xml:space="preserve"> College of Material Engineering, Fujian Agriculture and Forestry University, Fuzhou, 350108, P. R. China</w:t>
      </w:r>
    </w:p>
    <w:p w:rsidR="001D2DC8" w:rsidRDefault="00000000">
      <w:pPr>
        <w:spacing w:line="360" w:lineRule="auto"/>
        <w:rPr>
          <w:rFonts w:ascii="Times New Roman" w:eastAsia="等线" w:hAnsi="Times New Roman" w:cs="Times New Roman"/>
          <w:i/>
          <w:iCs/>
          <w:szCs w:val="21"/>
        </w:rPr>
      </w:pPr>
      <w:r>
        <w:rPr>
          <w:rFonts w:ascii="Times New Roman" w:eastAsia="等线" w:hAnsi="Times New Roman" w:cs="Times New Roman" w:hint="eastAsia"/>
          <w:i/>
          <w:iCs/>
          <w:szCs w:val="21"/>
          <w:vertAlign w:val="superscript"/>
        </w:rPr>
        <w:t>3</w:t>
      </w:r>
      <w:r>
        <w:rPr>
          <w:rFonts w:ascii="Times New Roman" w:eastAsia="等线" w:hAnsi="Times New Roman" w:cs="Times New Roman" w:hint="eastAsia"/>
          <w:i/>
          <w:iCs/>
          <w:szCs w:val="21"/>
        </w:rPr>
        <w:t xml:space="preserve"> South China University of Technology Advanced Institute of Aggregation-Induced Light Emission, Guangzhou 510530, PR China</w:t>
      </w:r>
    </w:p>
    <w:p w:rsidR="001D2DC8" w:rsidRDefault="00000000">
      <w:pPr>
        <w:spacing w:line="360" w:lineRule="auto"/>
        <w:rPr>
          <w:rFonts w:ascii="Times New Roman" w:eastAsia="等线" w:hAnsi="Times New Roman" w:cs="Times New Roman"/>
          <w:i/>
          <w:iCs/>
        </w:rPr>
      </w:pPr>
      <w:r>
        <w:rPr>
          <w:rFonts w:ascii="Times New Roman" w:eastAsia="等线" w:hAnsi="Times New Roman" w:cs="Times New Roman" w:hint="eastAsia"/>
          <w:i/>
          <w:iCs/>
          <w:szCs w:val="21"/>
        </w:rPr>
        <w:t>Email:</w:t>
      </w:r>
      <w:r>
        <w:rPr>
          <w:rFonts w:ascii="等线" w:eastAsia="等线" w:hAnsi="等线" w:cs="Times New Roman" w:hint="eastAsia"/>
        </w:rPr>
        <w:t xml:space="preserve"> </w:t>
      </w:r>
      <w:hyperlink r:id="rId7" w:history="1">
        <w:r w:rsidR="001D2DC8">
          <w:rPr>
            <w:rFonts w:ascii="Times New Roman" w:eastAsia="等线" w:hAnsi="Times New Roman" w:cs="Times New Roman" w:hint="eastAsia"/>
            <w:i/>
            <w:iCs/>
            <w:color w:val="0563C1"/>
            <w:szCs w:val="21"/>
            <w:u w:val="single"/>
          </w:rPr>
          <w:t>ouyangxh@fafu.edu.cn</w:t>
        </w:r>
      </w:hyperlink>
      <w:r>
        <w:rPr>
          <w:rFonts w:ascii="Times New Roman" w:eastAsia="等线" w:hAnsi="Times New Roman" w:cs="Times New Roman" w:hint="eastAsia"/>
          <w:i/>
          <w:iCs/>
          <w:color w:val="0563C1"/>
          <w:szCs w:val="21"/>
          <w:u w:val="single"/>
        </w:rPr>
        <w:t xml:space="preserve"> </w:t>
      </w:r>
      <w:r>
        <w:rPr>
          <w:rFonts w:ascii="Times New Roman" w:eastAsia="等线" w:hAnsi="Times New Roman" w:cs="Times New Roman" w:hint="eastAsia"/>
          <w:i/>
          <w:iCs/>
        </w:rPr>
        <w:t>(X. O.)</w:t>
      </w:r>
    </w:p>
    <w:p w:rsidR="001D2DC8" w:rsidRDefault="00000000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:rsidR="001D2DC8" w:rsidRDefault="001D2DC8">
      <w:pPr>
        <w:rPr>
          <w:rFonts w:hint="eastAsia"/>
        </w:rPr>
      </w:pPr>
    </w:p>
    <w:p w:rsidR="001D2DC8" w:rsidRDefault="001D2DC8">
      <w:pPr>
        <w:rPr>
          <w:rFonts w:hint="eastAsia"/>
        </w:rPr>
      </w:pPr>
    </w:p>
    <w:p w:rsidR="001D2DC8" w:rsidRDefault="001D2DC8">
      <w:pPr>
        <w:rPr>
          <w:rFonts w:hint="eastAsia"/>
        </w:rPr>
      </w:pPr>
    </w:p>
    <w:p w:rsidR="001D2DC8" w:rsidRDefault="00000000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37100" cy="2011680"/>
            <wp:effectExtent l="0" t="0" r="0" b="7620"/>
            <wp:docPr id="178975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5114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hint="eastAsia"/>
        </w:rPr>
      </w:pPr>
    </w:p>
    <w:p w:rsidR="001D2DC8" w:rsidRDefault="001D2DC8">
      <w:pPr>
        <w:rPr>
          <w:rFonts w:hint="eastAsia"/>
        </w:rPr>
      </w:pPr>
    </w:p>
    <w:p w:rsidR="001D2DC8" w:rsidRDefault="0000000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Supplementary Figure. 1</w:t>
      </w:r>
      <w:r>
        <w:rPr>
          <w:rFonts w:ascii="Times New Roman" w:hAnsi="Times New Roman" w:cs="Times New Roman" w:hint="eastAsia"/>
          <w:sz w:val="24"/>
          <w:szCs w:val="28"/>
        </w:rPr>
        <w:t xml:space="preserve"> Illustration of synthetic routes to NCPC.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3889375" cy="2792095"/>
            <wp:effectExtent l="0" t="0" r="0" b="8255"/>
            <wp:docPr id="17111369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36919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585" cy="27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 w:hint="eastAsia"/>
          <w:sz w:val="24"/>
          <w:szCs w:val="28"/>
        </w:rPr>
        <w:t xml:space="preserve"> FTIR spectra of NCPC and CS.</w:t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116195" cy="3390900"/>
            <wp:effectExtent l="0" t="0" r="8255" b="0"/>
            <wp:docPr id="12618269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26911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388" cy="3393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3 </w:t>
      </w:r>
      <w:r>
        <w:rPr>
          <w:rFonts w:ascii="Times New Roman" w:hAnsi="Times New Roman" w:cs="Times New Roman" w:hint="eastAsia"/>
          <w:sz w:val="24"/>
          <w:szCs w:val="28"/>
          <w:vertAlign w:val="superscript"/>
        </w:rPr>
        <w:t>31</w:t>
      </w:r>
      <w:r>
        <w:rPr>
          <w:rFonts w:ascii="Times New Roman" w:hAnsi="Times New Roman" w:cs="Times New Roman" w:hint="eastAsia"/>
          <w:sz w:val="24"/>
          <w:szCs w:val="28"/>
        </w:rPr>
        <w:t>P NMR spectra of NCPC in D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8"/>
        </w:rPr>
        <w:t>O.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4334510" cy="2858770"/>
            <wp:effectExtent l="0" t="0" r="0" b="0"/>
            <wp:docPr id="4323938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93803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632" cy="285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4 </w:t>
      </w:r>
      <w:r>
        <w:rPr>
          <w:rFonts w:ascii="Times New Roman" w:hAnsi="Times New Roman" w:cs="Times New Roman" w:hint="eastAsia"/>
          <w:sz w:val="24"/>
          <w:szCs w:val="28"/>
        </w:rPr>
        <w:t>The TGA curve of NCPC and CS.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274310" cy="2176780"/>
            <wp:effectExtent l="0" t="0" r="2540" b="0"/>
            <wp:docPr id="907170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7010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5 </w:t>
      </w:r>
      <w:r>
        <w:rPr>
          <w:rFonts w:ascii="Times New Roman" w:hAnsi="Times New Roman" w:cs="Times New Roman" w:hint="eastAsia"/>
          <w:sz w:val="24"/>
          <w:szCs w:val="28"/>
        </w:rPr>
        <w:t>2D GIWAXS images of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(a) </w:t>
      </w:r>
      <w:r>
        <w:rPr>
          <w:rFonts w:ascii="Times New Roman" w:hAnsi="Times New Roman" w:cs="Times New Roman" w:hint="eastAsia"/>
          <w:sz w:val="24"/>
          <w:szCs w:val="28"/>
        </w:rPr>
        <w:t xml:space="preserve">PEDOT:PSS and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(b)</w:t>
      </w:r>
      <w:r>
        <w:rPr>
          <w:rFonts w:ascii="Times New Roman" w:hAnsi="Times New Roman" w:cs="Times New Roman" w:hint="eastAsia"/>
          <w:sz w:val="24"/>
          <w:szCs w:val="28"/>
        </w:rPr>
        <w:t xml:space="preserve"> NCPC.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274310" cy="3710940"/>
            <wp:effectExtent l="0" t="0" r="2540" b="3810"/>
            <wp:docPr id="5717176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17682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6</w:t>
      </w:r>
      <w:r>
        <w:rPr>
          <w:rFonts w:ascii="Times New Roman" w:hAnsi="Times New Roman" w:cs="Times New Roman" w:hint="eastAsia"/>
          <w:sz w:val="24"/>
          <w:szCs w:val="28"/>
        </w:rPr>
        <w:t xml:space="preserve"> Film thickness of NCPC film.</w:t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3627120" cy="3115310"/>
            <wp:effectExtent l="0" t="0" r="0" b="8890"/>
            <wp:docPr id="15242082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08265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434" cy="31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7 </w:t>
      </w:r>
      <w:r>
        <w:rPr>
          <w:rFonts w:ascii="Times New Roman" w:hAnsi="Times New Roman" w:cs="Times New Roman" w:hint="eastAsia"/>
          <w:sz w:val="24"/>
          <w:szCs w:val="28"/>
        </w:rPr>
        <w:t>UV</w:t>
      </w:r>
      <w:r>
        <w:rPr>
          <w:rFonts w:ascii="Times New Roman" w:hAnsi="Times New Roman" w:cs="Times New Roman" w:hint="eastAsia"/>
          <w:sz w:val="24"/>
          <w:szCs w:val="28"/>
        </w:rPr>
        <w:t>–</w:t>
      </w:r>
      <w:r>
        <w:rPr>
          <w:rFonts w:ascii="Times New Roman" w:hAnsi="Times New Roman" w:cs="Times New Roman" w:hint="eastAsia"/>
          <w:sz w:val="24"/>
          <w:szCs w:val="28"/>
        </w:rPr>
        <w:t>vis absorption spectra of ITO</w:t>
      </w:r>
      <w:r>
        <w:rPr>
          <w:rFonts w:ascii="Times New Roman" w:hAnsi="Times New Roman" w:cs="Times New Roman" w:hint="eastAsia"/>
          <w:sz w:val="24"/>
          <w:szCs w:val="28"/>
        </w:rPr>
        <w:t>、</w:t>
      </w:r>
      <w:r>
        <w:rPr>
          <w:rFonts w:ascii="Times New Roman" w:hAnsi="Times New Roman" w:cs="Times New Roman" w:hint="eastAsia"/>
          <w:sz w:val="24"/>
          <w:szCs w:val="28"/>
        </w:rPr>
        <w:t>ITO/PEDOT:PSS and ITO/NCPC.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3925570" cy="3486785"/>
            <wp:effectExtent l="0" t="0" r="0" b="0"/>
            <wp:docPr id="15102725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72574" name="图片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164" cy="348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8 </w:t>
      </w:r>
      <w:r>
        <w:rPr>
          <w:rFonts w:ascii="Times New Roman" w:hAnsi="Times New Roman" w:cs="Times New Roman" w:hint="eastAsia"/>
          <w:sz w:val="24"/>
          <w:szCs w:val="28"/>
        </w:rPr>
        <w:t>The optimized geometric molecular configuration and dipole moments of NCPC.</w:t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4993005" cy="3468370"/>
            <wp:effectExtent l="0" t="0" r="0" b="0"/>
            <wp:docPr id="251239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39344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57" cy="34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00000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9 </w:t>
      </w:r>
      <w:r>
        <w:rPr>
          <w:rFonts w:ascii="Times New Roman" w:hAnsi="Times New Roman" w:cs="Times New Roman" w:hint="eastAsia"/>
          <w:sz w:val="24"/>
          <w:szCs w:val="28"/>
        </w:rPr>
        <w:t>UV</w:t>
      </w:r>
      <w:r>
        <w:rPr>
          <w:rFonts w:ascii="Times New Roman" w:hAnsi="Times New Roman" w:cs="Times New Roman" w:hint="eastAsia"/>
          <w:sz w:val="24"/>
          <w:szCs w:val="28"/>
        </w:rPr>
        <w:t>–</w:t>
      </w:r>
      <w:r>
        <w:rPr>
          <w:rFonts w:ascii="Times New Roman" w:hAnsi="Times New Roman" w:cs="Times New Roman" w:hint="eastAsia"/>
          <w:sz w:val="24"/>
          <w:szCs w:val="28"/>
        </w:rPr>
        <w:t>vis absorption spectra of green perovskite film on NCPC/PVK and PEDOT:PSS/PVK.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274310" cy="3662680"/>
            <wp:effectExtent l="0" t="0" r="2540" b="0"/>
            <wp:docPr id="14547327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32779" name="图片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000000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10 </w:t>
      </w:r>
      <w:r>
        <w:rPr>
          <w:rFonts w:ascii="Times New Roman" w:hAnsi="Times New Roman" w:cs="Times New Roman" w:hint="eastAsia"/>
          <w:sz w:val="24"/>
          <w:szCs w:val="28"/>
        </w:rPr>
        <w:t>UV</w:t>
      </w:r>
      <w:r>
        <w:rPr>
          <w:rFonts w:ascii="Times New Roman" w:hAnsi="Times New Roman" w:cs="Times New Roman" w:hint="eastAsia"/>
          <w:sz w:val="24"/>
          <w:szCs w:val="28"/>
        </w:rPr>
        <w:t>–</w:t>
      </w:r>
      <w:r>
        <w:rPr>
          <w:rFonts w:ascii="Times New Roman" w:hAnsi="Times New Roman" w:cs="Times New Roman" w:hint="eastAsia"/>
          <w:sz w:val="24"/>
          <w:szCs w:val="28"/>
        </w:rPr>
        <w:t>vis absorption spectra of blue perovskite film on NCPC/PVK and PEDOT:PSS/PVK.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274310" cy="2002790"/>
            <wp:effectExtent l="0" t="0" r="0" b="0"/>
            <wp:docPr id="17017281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28151" name="图片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11</w:t>
      </w:r>
      <w:r>
        <w:rPr>
          <w:rFonts w:ascii="Times New Roman" w:hAnsi="Times New Roman" w:cs="Times New Roman" w:hint="eastAsia"/>
          <w:sz w:val="24"/>
          <w:szCs w:val="28"/>
        </w:rPr>
        <w:t xml:space="preserve"> TA measurements for green perovskite film following excitation at 330 nm.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(a)</w:t>
      </w:r>
      <w:r>
        <w:rPr>
          <w:rFonts w:ascii="Times New Roman" w:hAnsi="Times New Roman" w:cs="Times New Roman" w:hint="eastAsia"/>
          <w:sz w:val="24"/>
          <w:szCs w:val="28"/>
        </w:rPr>
        <w:t xml:space="preserve"> TA spectra at selected probe delay times.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(b)</w:t>
      </w:r>
      <w:r>
        <w:rPr>
          <w:rFonts w:ascii="Times New Roman" w:hAnsi="Times New Roman" w:cs="Times New Roman" w:hint="eastAsia"/>
          <w:sz w:val="24"/>
          <w:szCs w:val="28"/>
        </w:rPr>
        <w:t xml:space="preserve"> Pseudocolar TA spectra.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274310" cy="2103120"/>
            <wp:effectExtent l="0" t="0" r="0" b="0"/>
            <wp:docPr id="19575040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04089" name="图片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12 </w:t>
      </w:r>
      <w:r>
        <w:rPr>
          <w:rFonts w:ascii="Times New Roman" w:hAnsi="Times New Roman" w:cs="Times New Roman" w:hint="eastAsia"/>
          <w:sz w:val="24"/>
          <w:szCs w:val="28"/>
        </w:rPr>
        <w:t>TA measurements for blue perovskite film following excitation at 330 nm.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(a)</w:t>
      </w:r>
      <w:r>
        <w:rPr>
          <w:rFonts w:ascii="Times New Roman" w:hAnsi="Times New Roman" w:cs="Times New Roman" w:hint="eastAsia"/>
          <w:sz w:val="24"/>
          <w:szCs w:val="28"/>
        </w:rPr>
        <w:t xml:space="preserve"> TA spectra at selected probe delay times.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(b)</w:t>
      </w:r>
      <w:r>
        <w:rPr>
          <w:rFonts w:ascii="Times New Roman" w:hAnsi="Times New Roman" w:cs="Times New Roman" w:hint="eastAsia"/>
          <w:sz w:val="24"/>
          <w:szCs w:val="28"/>
        </w:rPr>
        <w:t xml:space="preserve"> Pseudocolar TA spectra.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3456305" cy="3255010"/>
            <wp:effectExtent l="0" t="0" r="0" b="2540"/>
            <wp:docPr id="11313055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05546" name="图片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732" cy="32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13 </w:t>
      </w:r>
      <w:r>
        <w:rPr>
          <w:rFonts w:ascii="Times New Roman" w:hAnsi="Times New Roman" w:cs="Times New Roman" w:hint="eastAsia"/>
          <w:sz w:val="24"/>
          <w:szCs w:val="28"/>
        </w:rPr>
        <w:t>Fluorescence images of red perovskite films on ITO/NCPC/PVK and ITO/PEDOT:PSS/PVK under 365 nm UV excitation.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3767455" cy="2834640"/>
            <wp:effectExtent l="0" t="0" r="4445" b="3810"/>
            <wp:docPr id="2770469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46918" name="图片 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655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14  </w:t>
      </w:r>
      <w:r>
        <w:rPr>
          <w:rFonts w:ascii="Times New Roman" w:hAnsi="Times New Roman" w:cs="Times New Roman" w:hint="eastAsia"/>
          <w:sz w:val="24"/>
          <w:szCs w:val="28"/>
        </w:rPr>
        <w:t>The PL spectra of green perovskite films deposited on different HILs.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3681730" cy="2834640"/>
            <wp:effectExtent l="0" t="0" r="0" b="3810"/>
            <wp:docPr id="15466904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90487" name="图片 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03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000000">
      <w:pPr>
        <w:spacing w:before="24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15</w:t>
      </w:r>
      <w:r>
        <w:rPr>
          <w:rFonts w:ascii="Times New Roman" w:hAnsi="Times New Roman" w:cs="Times New Roman" w:hint="eastAsia"/>
          <w:sz w:val="24"/>
          <w:szCs w:val="28"/>
        </w:rPr>
        <w:t xml:space="preserve"> The PL spectra of blue perovskite films deposited on different HILs.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3542030" cy="3255010"/>
            <wp:effectExtent l="0" t="0" r="0" b="2540"/>
            <wp:docPr id="13925078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07806" name="图片 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83" cy="32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000000">
      <w:pPr>
        <w:spacing w:before="24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Supplementary Figure.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16 </w:t>
      </w:r>
      <w:r>
        <w:rPr>
          <w:rFonts w:ascii="Times New Roman" w:hAnsi="Times New Roman" w:cs="Times New Roman" w:hint="eastAsia"/>
          <w:sz w:val="24"/>
          <w:szCs w:val="28"/>
        </w:rPr>
        <w:t>Fluorescence images of green perovskite films on ITO/NCPC/PVK and ITO/PEDOT:PSS/PVK under 365 nm UV excitation.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3657600" cy="3255010"/>
            <wp:effectExtent l="0" t="0" r="0" b="2540"/>
            <wp:docPr id="19096343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34370" name="图片 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32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Supplementary Figure.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17 </w:t>
      </w:r>
      <w:r>
        <w:rPr>
          <w:rFonts w:ascii="Times New Roman" w:hAnsi="Times New Roman" w:cs="Times New Roman" w:hint="eastAsia"/>
          <w:sz w:val="24"/>
          <w:szCs w:val="28"/>
        </w:rPr>
        <w:t>Fluorescence images of blue perovskite films on ITO/NCPC/PVK and ITO/PEDOT:PSS/PVK under 365 nm UV excitation.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3529330" cy="2626995"/>
            <wp:effectExtent l="0" t="0" r="0" b="1905"/>
            <wp:docPr id="12334006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00658" name="图片 1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890" cy="262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18 </w:t>
      </w:r>
      <w:r>
        <w:rPr>
          <w:rFonts w:ascii="Times New Roman" w:hAnsi="Times New Roman" w:cs="Times New Roman" w:hint="eastAsia"/>
          <w:sz w:val="24"/>
          <w:szCs w:val="28"/>
        </w:rPr>
        <w:t>XRD patterns of green perovskite films on PEDOT:PSS/PVK and NCPC/PVK.</w:t>
      </w:r>
    </w:p>
    <w:p w:rsidR="001D2DC8" w:rsidRDefault="00000000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3700145" cy="2626995"/>
            <wp:effectExtent l="0" t="0" r="0" b="1905"/>
            <wp:docPr id="67558270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82701" name="图片 1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593" cy="262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19 </w:t>
      </w:r>
      <w:r>
        <w:rPr>
          <w:rFonts w:ascii="Times New Roman" w:hAnsi="Times New Roman" w:cs="Times New Roman" w:hint="eastAsia"/>
          <w:sz w:val="24"/>
          <w:szCs w:val="28"/>
        </w:rPr>
        <w:t>XRD patterns of blue perovskite films on PEDOT:PSS/PVK and NCPC/PVK.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274310" cy="1767840"/>
            <wp:effectExtent l="0" t="0" r="2540" b="3810"/>
            <wp:docPr id="16613780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78025" name="图片 1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Supplementary Figure.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20 </w:t>
      </w:r>
      <w:r>
        <w:rPr>
          <w:rFonts w:ascii="Times New Roman" w:hAnsi="Times New Roman" w:cs="Times New Roman" w:hint="eastAsia"/>
          <w:sz w:val="24"/>
          <w:szCs w:val="28"/>
        </w:rPr>
        <w:t>Ultraviolet photoelectron spectroscopy (UPS) spectra of the ITO/NCPC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(a) </w:t>
      </w:r>
      <w:r>
        <w:rPr>
          <w:rFonts w:ascii="Times New Roman" w:hAnsi="Times New Roman" w:cs="Times New Roman" w:hint="eastAsia"/>
          <w:sz w:val="24"/>
          <w:szCs w:val="28"/>
        </w:rPr>
        <w:t xml:space="preserve">and ITO/PEDOT:PSS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(b)</w:t>
      </w:r>
      <w:r>
        <w:rPr>
          <w:rFonts w:ascii="Times New Roman" w:hAnsi="Times New Roman" w:cs="Times New Roman" w:hint="eastAsia"/>
          <w:sz w:val="24"/>
          <w:szCs w:val="28"/>
        </w:rPr>
        <w:t xml:space="preserve"> film surfaces.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274310" cy="3704590"/>
            <wp:effectExtent l="0" t="0" r="2540" b="0"/>
            <wp:docPr id="1833387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87000" name="图片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8"/>
        </w:rPr>
        <w:t>Figure.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21 </w:t>
      </w:r>
      <w:r>
        <w:rPr>
          <w:rFonts w:ascii="Times New Roman" w:hAnsi="Times New Roman" w:cs="Times New Roman" w:hint="eastAsia"/>
          <w:sz w:val="24"/>
          <w:szCs w:val="28"/>
        </w:rPr>
        <w:t>Tauc plot analysis of NCPC film.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4060190" cy="2914015"/>
            <wp:effectExtent l="0" t="0" r="0" b="0"/>
            <wp:docPr id="19822602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60227" name="图片 1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288" cy="29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00000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22 </w:t>
      </w:r>
      <w:r>
        <w:rPr>
          <w:rFonts w:ascii="Times New Roman" w:hAnsi="Times New Roman" w:cs="Times New Roman" w:hint="eastAsia"/>
          <w:sz w:val="24"/>
          <w:szCs w:val="28"/>
        </w:rPr>
        <w:t>Current density</w:t>
      </w:r>
      <w:r>
        <w:rPr>
          <w:rFonts w:ascii="Times New Roman" w:hAnsi="Times New Roman" w:cs="Times New Roman" w:hint="eastAsia"/>
          <w:sz w:val="24"/>
          <w:szCs w:val="28"/>
        </w:rPr>
        <w:t>–</w:t>
      </w:r>
      <w:r>
        <w:rPr>
          <w:rFonts w:ascii="Times New Roman" w:hAnsi="Times New Roman" w:cs="Times New Roman" w:hint="eastAsia"/>
          <w:sz w:val="24"/>
          <w:szCs w:val="28"/>
        </w:rPr>
        <w:t>voltage</w:t>
      </w:r>
      <w:r>
        <w:rPr>
          <w:rFonts w:ascii="Times New Roman" w:hAnsi="Times New Roman" w:cs="Times New Roman" w:hint="eastAsia"/>
          <w:sz w:val="24"/>
          <w:szCs w:val="28"/>
        </w:rPr>
        <w:t>–</w:t>
      </w:r>
      <w:r>
        <w:rPr>
          <w:rFonts w:ascii="Times New Roman" w:hAnsi="Times New Roman" w:cs="Times New Roman" w:hint="eastAsia"/>
          <w:sz w:val="24"/>
          <w:szCs w:val="28"/>
        </w:rPr>
        <w:t>luminance (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J</w:t>
      </w:r>
      <w:r>
        <w:rPr>
          <w:rFonts w:ascii="Times New Roman" w:hAnsi="Times New Roman" w:cs="Times New Roman" w:hint="eastAsia"/>
          <w:sz w:val="24"/>
          <w:szCs w:val="28"/>
        </w:rPr>
        <w:t>–</w:t>
      </w:r>
      <w:r>
        <w:rPr>
          <w:rFonts w:ascii="Times New Roman" w:hAnsi="Times New Roman" w:cs="Times New Roman" w:hint="eastAsia"/>
          <w:sz w:val="24"/>
          <w:szCs w:val="28"/>
        </w:rPr>
        <w:t>V</w:t>
      </w:r>
      <w:r>
        <w:rPr>
          <w:rFonts w:ascii="Times New Roman" w:hAnsi="Times New Roman" w:cs="Times New Roman" w:hint="eastAsia"/>
          <w:sz w:val="24"/>
          <w:szCs w:val="28"/>
        </w:rPr>
        <w:t>–</w:t>
      </w:r>
      <w:r>
        <w:rPr>
          <w:rFonts w:ascii="Times New Roman" w:hAnsi="Times New Roman" w:cs="Times New Roman" w:hint="eastAsia"/>
          <w:sz w:val="24"/>
          <w:szCs w:val="28"/>
        </w:rPr>
        <w:t>L) curves of green PeLEDs with different HILs.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>
            <wp:extent cx="3498850" cy="3005455"/>
            <wp:effectExtent l="0" t="0" r="6350" b="4445"/>
            <wp:docPr id="1029269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6930" name="图片 1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07" cy="300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Supplementary Figure.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23 </w:t>
      </w:r>
      <w:r>
        <w:rPr>
          <w:rFonts w:ascii="Times New Roman" w:hAnsi="Times New Roman" w:cs="Times New Roman" w:hint="eastAsia"/>
          <w:sz w:val="24"/>
          <w:szCs w:val="28"/>
        </w:rPr>
        <w:t>EL spectra of NCPC-based green PeLEDs under various bias voltages.</w:t>
      </w:r>
    </w:p>
    <w:p w:rsidR="001D2DC8" w:rsidRDefault="00000000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3535680" cy="2584450"/>
            <wp:effectExtent l="0" t="0" r="0" b="0"/>
            <wp:docPr id="213682358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23589" name="图片 16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986" cy="25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24 </w:t>
      </w:r>
      <w:r>
        <w:rPr>
          <w:rFonts w:ascii="Times New Roman" w:hAnsi="Times New Roman" w:cs="Times New Roman" w:hint="eastAsia"/>
          <w:sz w:val="24"/>
          <w:szCs w:val="28"/>
        </w:rPr>
        <w:t>Current density</w:t>
      </w:r>
      <w:r>
        <w:rPr>
          <w:rFonts w:ascii="Times New Roman" w:hAnsi="Times New Roman" w:cs="Times New Roman" w:hint="eastAsia"/>
          <w:sz w:val="24"/>
          <w:szCs w:val="28"/>
        </w:rPr>
        <w:t>–</w:t>
      </w:r>
      <w:r>
        <w:rPr>
          <w:rFonts w:ascii="Times New Roman" w:hAnsi="Times New Roman" w:cs="Times New Roman" w:hint="eastAsia"/>
          <w:sz w:val="24"/>
          <w:szCs w:val="28"/>
        </w:rPr>
        <w:t>voltage</w:t>
      </w:r>
      <w:r>
        <w:rPr>
          <w:rFonts w:ascii="Times New Roman" w:hAnsi="Times New Roman" w:cs="Times New Roman" w:hint="eastAsia"/>
          <w:sz w:val="24"/>
          <w:szCs w:val="28"/>
        </w:rPr>
        <w:t>–</w:t>
      </w:r>
      <w:r>
        <w:rPr>
          <w:rFonts w:ascii="Times New Roman" w:hAnsi="Times New Roman" w:cs="Times New Roman" w:hint="eastAsia"/>
          <w:sz w:val="24"/>
          <w:szCs w:val="28"/>
        </w:rPr>
        <w:t>luminance (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J</w:t>
      </w:r>
      <w:r>
        <w:rPr>
          <w:rFonts w:ascii="Times New Roman" w:hAnsi="Times New Roman" w:cs="Times New Roman" w:hint="eastAsia"/>
          <w:sz w:val="24"/>
          <w:szCs w:val="28"/>
        </w:rPr>
        <w:t>–</w:t>
      </w:r>
      <w:r>
        <w:rPr>
          <w:rFonts w:ascii="Times New Roman" w:hAnsi="Times New Roman" w:cs="Times New Roman" w:hint="eastAsia"/>
          <w:sz w:val="24"/>
          <w:szCs w:val="28"/>
        </w:rPr>
        <w:t>V</w:t>
      </w:r>
      <w:r>
        <w:rPr>
          <w:rFonts w:ascii="Times New Roman" w:hAnsi="Times New Roman" w:cs="Times New Roman" w:hint="eastAsia"/>
          <w:sz w:val="24"/>
          <w:szCs w:val="28"/>
        </w:rPr>
        <w:t>–</w:t>
      </w:r>
      <w:r>
        <w:rPr>
          <w:rFonts w:ascii="Times New Roman" w:hAnsi="Times New Roman" w:cs="Times New Roman" w:hint="eastAsia"/>
          <w:sz w:val="24"/>
          <w:szCs w:val="28"/>
        </w:rPr>
        <w:t>L) curves of blue PeLEDs with different HILs.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3121025" cy="2773680"/>
            <wp:effectExtent l="0" t="0" r="3175" b="7620"/>
            <wp:docPr id="17181594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59438" name="图片 17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423" cy="2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Supplementary Figure.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25 </w:t>
      </w:r>
      <w:r>
        <w:rPr>
          <w:rFonts w:ascii="Times New Roman" w:hAnsi="Times New Roman" w:cs="Times New Roman" w:hint="eastAsia"/>
          <w:sz w:val="24"/>
          <w:szCs w:val="28"/>
        </w:rPr>
        <w:t>EL spectra of NCPC-based blue PeLEDs under various bias voltages.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2D62E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>
            <wp:extent cx="4892040" cy="3248025"/>
            <wp:effectExtent l="0" t="0" r="3810" b="0"/>
            <wp:docPr id="116419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26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D62E3">
        <w:rPr>
          <w:rFonts w:ascii="Times New Roman" w:hAnsi="Times New Roman" w:cs="Times New Roman" w:hint="eastAsia"/>
          <w:sz w:val="24"/>
          <w:szCs w:val="28"/>
        </w:rPr>
        <w:t>E</w:t>
      </w:r>
      <w:r w:rsidR="002D62E3" w:rsidRPr="002D62E3">
        <w:rPr>
          <w:rFonts w:ascii="Times New Roman" w:hAnsi="Times New Roman" w:cs="Times New Roman"/>
          <w:sz w:val="24"/>
          <w:szCs w:val="28"/>
        </w:rPr>
        <w:t>lectronic</w:t>
      </w:r>
      <w:r w:rsidR="002D62E3">
        <w:rPr>
          <w:rFonts w:ascii="Times New Roman" w:hAnsi="Times New Roman" w:cs="Times New Roman" w:hint="eastAsia"/>
          <w:sz w:val="24"/>
          <w:szCs w:val="28"/>
        </w:rPr>
        <w:t xml:space="preserve"> b</w:t>
      </w:r>
      <w:r w:rsidR="002D62E3" w:rsidRPr="002D62E3">
        <w:rPr>
          <w:rFonts w:ascii="Times New Roman" w:hAnsi="Times New Roman" w:cs="Times New Roman"/>
          <w:sz w:val="24"/>
          <w:szCs w:val="28"/>
        </w:rPr>
        <w:t xml:space="preserve">and structure top view and conduction schematic of ITO/NCPC/PVK, showing direct hole </w:t>
      </w:r>
      <w:r w:rsidR="00193636">
        <w:rPr>
          <w:rFonts w:ascii="Times New Roman" w:hAnsi="Times New Roman" w:cs="Times New Roman" w:hint="eastAsia"/>
          <w:sz w:val="24"/>
          <w:szCs w:val="28"/>
        </w:rPr>
        <w:t>transport</w:t>
      </w:r>
      <w:r w:rsidR="002D62E3" w:rsidRPr="002D62E3">
        <w:rPr>
          <w:rFonts w:ascii="Times New Roman" w:hAnsi="Times New Roman" w:cs="Times New Roman"/>
          <w:sz w:val="24"/>
          <w:szCs w:val="28"/>
        </w:rPr>
        <w:t xml:space="preserve"> (white) and tunneling (purple) regions.</w:t>
      </w:r>
    </w:p>
    <w:p w:rsidR="001D2DC8" w:rsidRDefault="00000000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1D2DC8" w:rsidRDefault="00000000">
      <w:pPr>
        <w:spacing w:after="24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 xml:space="preserve">Table S1. </w:t>
      </w:r>
      <w:r>
        <w:rPr>
          <w:rFonts w:ascii="Times New Roman" w:hAnsi="Times New Roman" w:cs="Times New Roman" w:hint="eastAsia"/>
          <w:sz w:val="24"/>
          <w:szCs w:val="28"/>
        </w:rPr>
        <w:t>PL lifetime fitting parameters of the red perovskite films on different substrates.</w:t>
      </w:r>
    </w:p>
    <w:tbl>
      <w:tblPr>
        <w:tblStyle w:val="1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1058"/>
        <w:gridCol w:w="1159"/>
        <w:gridCol w:w="1075"/>
        <w:gridCol w:w="1159"/>
        <w:gridCol w:w="1047"/>
      </w:tblGrid>
      <w:tr w:rsidR="001D2DC8">
        <w:tc>
          <w:tcPr>
            <w:tcW w:w="280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eastAsia="宋体" w:hAnsi="Times New Roman"/>
                <w:kern w:val="0"/>
                <w:sz w:val="22"/>
              </w:rPr>
              <w:t>Sample</w:t>
            </w:r>
          </w:p>
        </w:tc>
        <w:tc>
          <w:tcPr>
            <w:tcW w:w="10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eastAsia="等线" w:hAnsi="Times New Roman"/>
                <w:kern w:val="0"/>
                <w:sz w:val="22"/>
                <w:lang w:val="el-GR" w:eastAsia="ja-JP"/>
              </w:rPr>
              <w:t>τ</w:t>
            </w:r>
            <w:r>
              <w:rPr>
                <w:rFonts w:ascii="Times New Roman" w:eastAsia="宋体" w:hAnsi="Times New Roman"/>
                <w:kern w:val="0"/>
                <w:sz w:val="22"/>
                <w:vertAlign w:val="subscript"/>
              </w:rPr>
              <w:t>1</w:t>
            </w:r>
            <w:r>
              <w:rPr>
                <w:rFonts w:ascii="Times New Roman" w:eastAsia="宋体" w:hAnsi="Times New Roman"/>
                <w:kern w:val="0"/>
                <w:sz w:val="22"/>
              </w:rPr>
              <w:t xml:space="preserve"> (ns)</w:t>
            </w:r>
          </w:p>
        </w:tc>
        <w:tc>
          <w:tcPr>
            <w:tcW w:w="11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eastAsia="等线" w:hAnsi="Times New Roman"/>
                <w:kern w:val="0"/>
                <w:sz w:val="22"/>
              </w:rPr>
              <w:t>A</w:t>
            </w:r>
            <w:r>
              <w:rPr>
                <w:rFonts w:ascii="Times New Roman" w:eastAsia="等线" w:hAnsi="Times New Roman"/>
                <w:kern w:val="0"/>
                <w:sz w:val="22"/>
                <w:vertAlign w:val="subscript"/>
              </w:rPr>
              <w:t>1</w:t>
            </w:r>
          </w:p>
        </w:tc>
        <w:tc>
          <w:tcPr>
            <w:tcW w:w="107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eastAsia="等线" w:hAnsi="Times New Roman"/>
                <w:kern w:val="0"/>
                <w:sz w:val="22"/>
                <w:lang w:val="el-GR" w:eastAsia="ja-JP"/>
              </w:rPr>
              <w:t>τ</w:t>
            </w:r>
            <w:r>
              <w:rPr>
                <w:rFonts w:ascii="Times New Roman" w:eastAsia="宋体" w:hAnsi="Times New Roman"/>
                <w:kern w:val="0"/>
                <w:sz w:val="22"/>
                <w:vertAlign w:val="subscript"/>
              </w:rPr>
              <w:t>2</w:t>
            </w:r>
            <w:r>
              <w:rPr>
                <w:rFonts w:ascii="Times New Roman" w:eastAsia="宋体" w:hAnsi="Times New Roman"/>
                <w:kern w:val="0"/>
                <w:sz w:val="22"/>
              </w:rPr>
              <w:t xml:space="preserve"> (ns)</w:t>
            </w:r>
          </w:p>
        </w:tc>
        <w:tc>
          <w:tcPr>
            <w:tcW w:w="11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eastAsia="等线" w:hAnsi="Times New Roman"/>
                <w:kern w:val="0"/>
                <w:sz w:val="22"/>
                <w:lang w:val="el-GR"/>
              </w:rPr>
              <w:t>A</w:t>
            </w:r>
            <w:r>
              <w:rPr>
                <w:rFonts w:ascii="Times New Roman" w:eastAsia="等线" w:hAnsi="Times New Roman"/>
                <w:kern w:val="0"/>
                <w:sz w:val="22"/>
                <w:vertAlign w:val="subscript"/>
                <w:lang w:val="el-GR"/>
              </w:rPr>
              <w:t>2</w:t>
            </w:r>
          </w:p>
        </w:tc>
        <w:tc>
          <w:tcPr>
            <w:tcW w:w="104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eastAsia="等线" w:hAnsi="Times New Roman"/>
                <w:kern w:val="0"/>
                <w:sz w:val="22"/>
                <w:lang w:val="el-GR" w:eastAsia="ja-JP"/>
              </w:rPr>
              <w:t>τ</w:t>
            </w:r>
            <w:r>
              <w:rPr>
                <w:rFonts w:ascii="Times New Roman" w:eastAsia="等线" w:hAnsi="Times New Roman"/>
                <w:kern w:val="0"/>
                <w:sz w:val="22"/>
                <w:vertAlign w:val="subscript"/>
              </w:rPr>
              <w:t>AVE</w:t>
            </w:r>
            <w:r>
              <w:rPr>
                <w:rFonts w:ascii="Times New Roman" w:eastAsia="宋体" w:hAnsi="Times New Roman"/>
                <w:kern w:val="0"/>
                <w:sz w:val="22"/>
              </w:rPr>
              <w:t xml:space="preserve"> (ns)</w:t>
            </w:r>
            <w:r>
              <w:rPr>
                <w:rFonts w:ascii="Times New Roman" w:eastAsia="等线" w:hAnsi="Times New Roman"/>
                <w:kern w:val="0"/>
                <w:sz w:val="22"/>
                <w:lang w:eastAsia="ja-JP"/>
              </w:rPr>
              <w:t xml:space="preserve"> </w:t>
            </w:r>
          </w:p>
        </w:tc>
      </w:tr>
      <w:tr w:rsidR="001D2DC8">
        <w:tc>
          <w:tcPr>
            <w:tcW w:w="280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2"/>
              </w:rPr>
              <w:t>w/ NCPC</w:t>
            </w:r>
          </w:p>
        </w:tc>
        <w:tc>
          <w:tcPr>
            <w:tcW w:w="105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2"/>
              </w:rPr>
              <w:t>6.67</w:t>
            </w:r>
          </w:p>
        </w:tc>
        <w:tc>
          <w:tcPr>
            <w:tcW w:w="11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2"/>
              </w:rPr>
              <w:t>977.74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2"/>
              </w:rPr>
              <w:t>86.13</w:t>
            </w:r>
          </w:p>
        </w:tc>
        <w:tc>
          <w:tcPr>
            <w:tcW w:w="11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2"/>
              </w:rPr>
              <w:t>328.63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2"/>
              </w:rPr>
              <w:t>71.3</w:t>
            </w:r>
          </w:p>
        </w:tc>
      </w:tr>
      <w:tr w:rsidR="001D2DC8">
        <w:tc>
          <w:tcPr>
            <w:tcW w:w="280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2"/>
              </w:rPr>
              <w:t>w/ PEDOT:PSS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2"/>
              </w:rPr>
              <w:t>5.86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2"/>
              </w:rPr>
              <w:t>978.37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2"/>
              </w:rPr>
              <w:t>72.14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2"/>
              </w:rPr>
              <w:t>399.06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D2DC8" w:rsidRDefault="00000000">
            <w:pPr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2"/>
              </w:rPr>
              <w:t>61.0</w:t>
            </w:r>
          </w:p>
        </w:tc>
      </w:tr>
    </w:tbl>
    <w:p w:rsidR="001D2DC8" w:rsidRDefault="00000000">
      <w:pPr>
        <w:spacing w:after="24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 xml:space="preserve">Table S2. </w:t>
      </w:r>
      <w:r>
        <w:rPr>
          <w:rFonts w:ascii="Times New Roman" w:hAnsi="Times New Roman" w:cs="Times New Roman" w:hint="eastAsia"/>
          <w:sz w:val="24"/>
          <w:szCs w:val="28"/>
        </w:rPr>
        <w:t>An overview of the performance characteristics for red PeLEDs from previous literature and our work.</w:t>
      </w:r>
    </w:p>
    <w:tbl>
      <w:tblPr>
        <w:tblStyle w:val="ab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956"/>
        <w:gridCol w:w="1594"/>
        <w:gridCol w:w="2128"/>
        <w:gridCol w:w="1076"/>
      </w:tblGrid>
      <w:tr w:rsidR="001D2DC8">
        <w:trPr>
          <w:jc w:val="center"/>
        </w:trPr>
        <w:tc>
          <w:tcPr>
            <w:tcW w:w="2552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1D2DC8" w:rsidRDefault="00000000">
            <w:pPr>
              <w:spacing w:line="60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Emission layer</w:t>
            </w:r>
          </w:p>
        </w:tc>
        <w:tc>
          <w:tcPr>
            <w:tcW w:w="956" w:type="dxa"/>
            <w:tcBorders>
              <w:top w:val="single" w:sz="12" w:space="0" w:color="auto"/>
              <w:bottom w:val="single" w:sz="4" w:space="0" w:color="auto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Emission peak [nm]</w:t>
            </w:r>
          </w:p>
        </w:tc>
        <w:tc>
          <w:tcPr>
            <w:tcW w:w="1594" w:type="dxa"/>
            <w:tcBorders>
              <w:top w:val="single" w:sz="12" w:space="0" w:color="auto"/>
              <w:bottom w:val="single" w:sz="4" w:space="0" w:color="auto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Maximum EQE [%]</w:t>
            </w:r>
          </w:p>
        </w:tc>
        <w:tc>
          <w:tcPr>
            <w:tcW w:w="2128" w:type="dxa"/>
            <w:tcBorders>
              <w:top w:val="single" w:sz="12" w:space="0" w:color="auto"/>
              <w:bottom w:val="single" w:sz="4" w:space="0" w:color="auto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 xml:space="preserve">Maximum Luminance </w:t>
            </w:r>
          </w:p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(cd m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  <w:vertAlign w:val="superscript"/>
              </w:rPr>
              <w:t>-2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 xml:space="preserve"> )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:rsidR="001D2DC8" w:rsidRDefault="00000000">
            <w:pPr>
              <w:spacing w:line="60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Ref.</w:t>
            </w:r>
          </w:p>
        </w:tc>
      </w:tr>
      <w:tr w:rsidR="001D2DC8">
        <w:trPr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PEABr-CsPbI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  <w:vertAlign w:val="subscript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672</w:t>
            </w:r>
          </w:p>
        </w:tc>
        <w:tc>
          <w:tcPr>
            <w:tcW w:w="1594" w:type="dxa"/>
            <w:tcBorders>
              <w:top w:val="single" w:sz="4" w:space="0" w:color="auto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19.6</w:t>
            </w:r>
          </w:p>
        </w:tc>
        <w:tc>
          <w:tcPr>
            <w:tcW w:w="2128" w:type="dxa"/>
            <w:tcBorders>
              <w:top w:val="single" w:sz="4" w:space="0" w:color="auto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6078</w:t>
            </w:r>
          </w:p>
        </w:tc>
        <w:tc>
          <w:tcPr>
            <w:tcW w:w="1076" w:type="dxa"/>
            <w:tcBorders>
              <w:top w:val="single" w:sz="4" w:space="0" w:color="auto"/>
              <w:righ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begin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instrText xml:space="preserve"> </w:instrTex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instrText>REF _Ref209912681 \r \h</w:instrTex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instrText xml:space="preserve"> </w:instrTex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[1]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end"/>
            </w:r>
          </w:p>
        </w:tc>
      </w:tr>
      <w:tr w:rsidR="001D2DC8">
        <w:trPr>
          <w:trHeight w:val="661"/>
          <w:jc w:val="center"/>
        </w:trPr>
        <w:tc>
          <w:tcPr>
            <w:tcW w:w="2552" w:type="dxa"/>
            <w:tcBorders>
              <w:left w:val="nil"/>
            </w:tcBorders>
          </w:tcPr>
          <w:p w:rsidR="001D2DC8" w:rsidRDefault="00000000">
            <w:pPr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P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henylbutanammonium iodide (PBAI)-CsPbBr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  <w:vertAlign w:val="subscript"/>
              </w:rPr>
              <w:t>0.6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I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  <w:vertAlign w:val="subscript"/>
              </w:rPr>
              <w:t>2.4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-PEOXA</w:t>
            </w:r>
          </w:p>
        </w:tc>
        <w:tc>
          <w:tcPr>
            <w:tcW w:w="956" w:type="dxa"/>
          </w:tcPr>
          <w:p w:rsidR="001D2DC8" w:rsidRDefault="00000000">
            <w:pPr>
              <w:spacing w:line="60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670</w:t>
            </w:r>
          </w:p>
        </w:tc>
        <w:tc>
          <w:tcPr>
            <w:tcW w:w="1594" w:type="dxa"/>
          </w:tcPr>
          <w:p w:rsidR="001D2DC8" w:rsidRDefault="00000000">
            <w:pPr>
              <w:spacing w:line="60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9.1</w:t>
            </w:r>
          </w:p>
        </w:tc>
        <w:tc>
          <w:tcPr>
            <w:tcW w:w="2128" w:type="dxa"/>
          </w:tcPr>
          <w:p w:rsidR="001D2DC8" w:rsidRDefault="00000000">
            <w:pPr>
              <w:spacing w:line="60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1359</w:t>
            </w:r>
          </w:p>
        </w:tc>
        <w:tc>
          <w:tcPr>
            <w:tcW w:w="1076" w:type="dxa"/>
            <w:tcBorders>
              <w:right w:val="nil"/>
            </w:tcBorders>
          </w:tcPr>
          <w:p w:rsidR="001D2DC8" w:rsidRDefault="00000000">
            <w:pPr>
              <w:spacing w:line="60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begin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instrText xml:space="preserve"> REF _Ref209913530 \r \h  \* MERGEFORMAT </w:instrTex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[2]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end"/>
            </w:r>
          </w:p>
        </w:tc>
      </w:tr>
      <w:tr w:rsidR="001D2DC8">
        <w:trPr>
          <w:jc w:val="center"/>
        </w:trPr>
        <w:tc>
          <w:tcPr>
            <w:tcW w:w="2552" w:type="dxa"/>
            <w:tcBorders>
              <w:lef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CsPbI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  <w:vertAlign w:val="subscript"/>
              </w:rPr>
              <w:t>3</w:t>
            </w:r>
          </w:p>
        </w:tc>
        <w:tc>
          <w:tcPr>
            <w:tcW w:w="956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675</w:t>
            </w:r>
          </w:p>
        </w:tc>
        <w:tc>
          <w:tcPr>
            <w:tcW w:w="1594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6.4</w:t>
            </w:r>
          </w:p>
        </w:tc>
        <w:tc>
          <w:tcPr>
            <w:tcW w:w="2128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204</w:t>
            </w:r>
          </w:p>
        </w:tc>
        <w:tc>
          <w:tcPr>
            <w:tcW w:w="1076" w:type="dxa"/>
            <w:tcBorders>
              <w:righ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begin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instrText xml:space="preserve"> REF _Ref209958643 \r \h </w:instrTex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[3]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end"/>
            </w:r>
          </w:p>
        </w:tc>
      </w:tr>
      <w:tr w:rsidR="001D2DC8">
        <w:trPr>
          <w:jc w:val="center"/>
        </w:trPr>
        <w:tc>
          <w:tcPr>
            <w:tcW w:w="2552" w:type="dxa"/>
            <w:tcBorders>
              <w:lef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FA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x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Cs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1−x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PbI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y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Br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3−y</w:t>
            </w:r>
          </w:p>
        </w:tc>
        <w:tc>
          <w:tcPr>
            <w:tcW w:w="956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670</w:t>
            </w:r>
          </w:p>
        </w:tc>
        <w:tc>
          <w:tcPr>
            <w:tcW w:w="1594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9.0</w:t>
            </w:r>
          </w:p>
        </w:tc>
        <w:tc>
          <w:tcPr>
            <w:tcW w:w="2128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1524</w:t>
            </w:r>
          </w:p>
        </w:tc>
        <w:tc>
          <w:tcPr>
            <w:tcW w:w="1076" w:type="dxa"/>
            <w:tcBorders>
              <w:righ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begin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instrText xml:space="preserve"> REF _Ref209959025 \r \h </w:instrTex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[4]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end"/>
            </w:r>
          </w:p>
        </w:tc>
      </w:tr>
      <w:tr w:rsidR="001D2DC8">
        <w:trPr>
          <w:jc w:val="center"/>
        </w:trPr>
        <w:tc>
          <w:tcPr>
            <w:tcW w:w="2552" w:type="dxa"/>
            <w:tcBorders>
              <w:lef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PEIE-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MA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x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Cs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1−x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Pb(I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1−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  <w:vertAlign w:val="subscript"/>
              </w:rPr>
              <w:t>y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Br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  <w:vertAlign w:val="subscript"/>
              </w:rPr>
              <w:t>y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)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3</w:t>
            </w:r>
          </w:p>
        </w:tc>
        <w:tc>
          <w:tcPr>
            <w:tcW w:w="956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670</w:t>
            </w:r>
          </w:p>
        </w:tc>
        <w:tc>
          <w:tcPr>
            <w:tcW w:w="1594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16.0</w:t>
            </w:r>
          </w:p>
        </w:tc>
        <w:tc>
          <w:tcPr>
            <w:tcW w:w="2128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~180</w:t>
            </w:r>
          </w:p>
        </w:tc>
        <w:tc>
          <w:tcPr>
            <w:tcW w:w="1076" w:type="dxa"/>
            <w:tcBorders>
              <w:righ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begin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instrText xml:space="preserve"> REF _Ref209959287 \r \h </w:instrTex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[5]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end"/>
            </w:r>
          </w:p>
        </w:tc>
      </w:tr>
      <w:tr w:rsidR="001D2DC8">
        <w:trPr>
          <w:jc w:val="center"/>
        </w:trPr>
        <w:tc>
          <w:tcPr>
            <w:tcW w:w="2552" w:type="dxa"/>
            <w:tcBorders>
              <w:lef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CsPb(I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  <w:vertAlign w:val="subscript"/>
              </w:rPr>
              <w:t>0.8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Br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  <w:vertAlign w:val="subscript"/>
              </w:rPr>
              <w:t>0.2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)-PEOXA</w:t>
            </w:r>
          </w:p>
        </w:tc>
        <w:tc>
          <w:tcPr>
            <w:tcW w:w="956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668</w:t>
            </w:r>
          </w:p>
        </w:tc>
        <w:tc>
          <w:tcPr>
            <w:tcW w:w="1594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6.55</w:t>
            </w:r>
          </w:p>
        </w:tc>
        <w:tc>
          <w:tcPr>
            <w:tcW w:w="2128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338</w:t>
            </w:r>
          </w:p>
        </w:tc>
        <w:tc>
          <w:tcPr>
            <w:tcW w:w="1076" w:type="dxa"/>
            <w:tcBorders>
              <w:righ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begin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instrText xml:space="preserve"> REF _Ref209960458 \r \h </w:instrTex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[6]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end"/>
            </w:r>
          </w:p>
        </w:tc>
      </w:tr>
      <w:tr w:rsidR="001D2DC8">
        <w:trPr>
          <w:jc w:val="center"/>
        </w:trPr>
        <w:tc>
          <w:tcPr>
            <w:tcW w:w="2552" w:type="dxa"/>
            <w:tcBorders>
              <w:lef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PEA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Cs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n−1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Pbn(Br/I)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3n+1</w:t>
            </w:r>
          </w:p>
        </w:tc>
        <w:tc>
          <w:tcPr>
            <w:tcW w:w="956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668</w:t>
            </w:r>
          </w:p>
        </w:tc>
        <w:tc>
          <w:tcPr>
            <w:tcW w:w="1594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30.08</w:t>
            </w:r>
          </w:p>
        </w:tc>
        <w:tc>
          <w:tcPr>
            <w:tcW w:w="2128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140</w:t>
            </w:r>
          </w:p>
        </w:tc>
        <w:tc>
          <w:tcPr>
            <w:tcW w:w="1076" w:type="dxa"/>
            <w:tcBorders>
              <w:righ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begin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instrText xml:space="preserve"> REF _Ref209961099 \r \h </w:instrTex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[7]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end"/>
            </w:r>
          </w:p>
        </w:tc>
      </w:tr>
      <w:tr w:rsidR="001D2DC8">
        <w:trPr>
          <w:jc w:val="center"/>
        </w:trPr>
        <w:tc>
          <w:tcPr>
            <w:tcW w:w="2552" w:type="dxa"/>
            <w:tcBorders>
              <w:lef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EDABr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/CsPbI</w:t>
            </w:r>
            <w:r>
              <w:rPr>
                <w:rFonts w:ascii="Times New Roman" w:eastAsia="宋体" w:hAnsi="Times New Roman" w:cs="Times New Roman"/>
                <w:sz w:val="18"/>
                <w:szCs w:val="20"/>
                <w:vertAlign w:val="subscript"/>
              </w:rPr>
              <w:t>3−x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Br</w:t>
            </w:r>
            <w:r>
              <w:rPr>
                <w:rFonts w:ascii="Times New Roman" w:eastAsia="宋体" w:hAnsi="Times New Roman" w:cs="Times New Roman" w:hint="eastAsia"/>
                <w:sz w:val="18"/>
                <w:szCs w:val="20"/>
                <w:vertAlign w:val="subscript"/>
              </w:rPr>
              <w:t>x</w:t>
            </w:r>
          </w:p>
        </w:tc>
        <w:tc>
          <w:tcPr>
            <w:tcW w:w="956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671</w:t>
            </w:r>
          </w:p>
        </w:tc>
        <w:tc>
          <w:tcPr>
            <w:tcW w:w="1594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17.03</w:t>
            </w:r>
          </w:p>
        </w:tc>
        <w:tc>
          <w:tcPr>
            <w:tcW w:w="2128" w:type="dxa"/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20"/>
              </w:rPr>
              <w:t>10745</w:t>
            </w:r>
          </w:p>
        </w:tc>
        <w:tc>
          <w:tcPr>
            <w:tcW w:w="1076" w:type="dxa"/>
            <w:tcBorders>
              <w:righ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20"/>
              </w:rPr>
            </w:pP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begin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instrText xml:space="preserve"> REF _Ref209963437 \r \h </w:instrTex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t>[8]</w:t>
            </w:r>
            <w:r>
              <w:rPr>
                <w:rFonts w:ascii="Times New Roman" w:eastAsia="宋体" w:hAnsi="Times New Roman" w:cs="Times New Roman"/>
                <w:sz w:val="18"/>
                <w:szCs w:val="20"/>
              </w:rPr>
              <w:fldChar w:fldCharType="end"/>
            </w:r>
          </w:p>
        </w:tc>
      </w:tr>
      <w:tr w:rsidR="001D2DC8">
        <w:trPr>
          <w:jc w:val="center"/>
        </w:trPr>
        <w:tc>
          <w:tcPr>
            <w:tcW w:w="2552" w:type="dxa"/>
            <w:tcBorders>
              <w:left w:val="nil"/>
              <w:bottom w:val="single" w:sz="12" w:space="0" w:color="auto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18"/>
                <w:szCs w:val="20"/>
              </w:rPr>
              <w:t>PEABr-CsPbI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18"/>
                <w:szCs w:val="20"/>
                <w:vertAlign w:val="subscript"/>
              </w:rPr>
              <w:t>3</w:t>
            </w:r>
          </w:p>
        </w:tc>
        <w:tc>
          <w:tcPr>
            <w:tcW w:w="956" w:type="dxa"/>
            <w:tcBorders>
              <w:bottom w:val="single" w:sz="12" w:space="0" w:color="auto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18"/>
                <w:szCs w:val="20"/>
              </w:rPr>
              <w:t>670</w:t>
            </w:r>
          </w:p>
        </w:tc>
        <w:tc>
          <w:tcPr>
            <w:tcW w:w="1594" w:type="dxa"/>
            <w:tcBorders>
              <w:bottom w:val="single" w:sz="12" w:space="0" w:color="auto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18"/>
                <w:szCs w:val="20"/>
              </w:rPr>
              <w:t>25.35</w:t>
            </w:r>
          </w:p>
        </w:tc>
        <w:tc>
          <w:tcPr>
            <w:tcW w:w="2128" w:type="dxa"/>
            <w:tcBorders>
              <w:bottom w:val="single" w:sz="12" w:space="0" w:color="auto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18"/>
                <w:szCs w:val="20"/>
              </w:rPr>
              <w:t>222</w:t>
            </w:r>
          </w:p>
        </w:tc>
        <w:tc>
          <w:tcPr>
            <w:tcW w:w="1076" w:type="dxa"/>
            <w:tcBorders>
              <w:bottom w:val="single" w:sz="12" w:space="0" w:color="auto"/>
              <w:right w:val="nil"/>
            </w:tcBorders>
          </w:tcPr>
          <w:p w:rsidR="001D2DC8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18"/>
                <w:szCs w:val="20"/>
              </w:rPr>
              <w:t>This work</w:t>
            </w:r>
          </w:p>
        </w:tc>
      </w:tr>
    </w:tbl>
    <w:p w:rsidR="001D2DC8" w:rsidRDefault="001D2DC8">
      <w:pPr>
        <w:spacing w:after="240" w:line="360" w:lineRule="auto"/>
        <w:rPr>
          <w:rFonts w:ascii="Times New Roman" w:hAnsi="Times New Roman" w:cs="Times New Roman"/>
          <w:sz w:val="24"/>
          <w:szCs w:val="28"/>
        </w:rPr>
      </w:pPr>
    </w:p>
    <w:p w:rsidR="001D2DC8" w:rsidRDefault="00000000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1D2DC8" w:rsidRDefault="00000000">
      <w:pPr>
        <w:spacing w:after="240" w:line="360" w:lineRule="auto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 w:hint="eastAsia"/>
          <w:b/>
          <w:bCs/>
          <w:sz w:val="28"/>
          <w:szCs w:val="32"/>
        </w:rPr>
        <w:lastRenderedPageBreak/>
        <w:t>Supplementary References</w:t>
      </w:r>
    </w:p>
    <w:p w:rsidR="001D2DC8" w:rsidRDefault="00000000">
      <w:pPr>
        <w:pStyle w:val="ae"/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</w:rPr>
      </w:pPr>
      <w:bookmarkStart w:id="1" w:name="_Ref209912681"/>
      <w:r>
        <w:rPr>
          <w:rFonts w:ascii="Times New Roman" w:eastAsia="宋体" w:hAnsi="Times New Roman" w:cs="Times New Roman" w:hint="eastAsia"/>
        </w:rPr>
        <w:t xml:space="preserve">Zhang, D. L. et al. Highly Efficient Red Perovskite Light-Emitting Diodes with Reduced Efficiency Roll-Off Enabled by Manipulating Crystallization of Quasi-2D Perovskites. </w:t>
      </w:r>
      <w:r>
        <w:rPr>
          <w:rFonts w:ascii="Times New Roman" w:eastAsia="宋体" w:hAnsi="Times New Roman" w:cs="Times New Roman" w:hint="eastAsia"/>
          <w:i/>
          <w:iCs/>
        </w:rPr>
        <w:t>Adv. Funct. Mater</w:t>
      </w:r>
      <w:r>
        <w:rPr>
          <w:rFonts w:ascii="Times New Roman" w:eastAsia="宋体" w:hAnsi="Times New Roman" w:cs="Times New Roman" w:hint="eastAsia"/>
        </w:rPr>
        <w:t xml:space="preserve">. </w:t>
      </w:r>
      <w:r>
        <w:rPr>
          <w:rFonts w:ascii="Times New Roman" w:eastAsia="宋体" w:hAnsi="Times New Roman" w:cs="Times New Roman" w:hint="eastAsia"/>
          <w:b/>
          <w:bCs/>
        </w:rPr>
        <w:t>32</w:t>
      </w:r>
      <w:r>
        <w:rPr>
          <w:rFonts w:ascii="Times New Roman" w:eastAsia="宋体" w:hAnsi="Times New Roman" w:cs="Times New Roman" w:hint="eastAsia"/>
        </w:rPr>
        <w:t>, 2205707 (2022).</w:t>
      </w:r>
      <w:bookmarkEnd w:id="1"/>
    </w:p>
    <w:p w:rsidR="001D2DC8" w:rsidRDefault="00000000">
      <w:pPr>
        <w:pStyle w:val="ae"/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</w:rPr>
      </w:pPr>
      <w:bookmarkStart w:id="2" w:name="_Ref209913530"/>
      <w:r>
        <w:rPr>
          <w:rFonts w:ascii="Times New Roman" w:eastAsia="宋体" w:hAnsi="Times New Roman" w:cs="Times New Roman"/>
        </w:rPr>
        <w:t>Liu,</w:t>
      </w:r>
      <w:r>
        <w:rPr>
          <w:rFonts w:ascii="Times New Roman" w:eastAsia="宋体" w:hAnsi="Times New Roman" w:cs="Times New Roman" w:hint="eastAsia"/>
        </w:rPr>
        <w:t xml:space="preserve"> P.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 xml:space="preserve">et al. </w:t>
      </w:r>
      <w:r>
        <w:rPr>
          <w:rFonts w:ascii="Times New Roman" w:eastAsia="宋体" w:hAnsi="Times New Roman" w:cs="Times New Roman"/>
        </w:rPr>
        <w:t>Quasi-2D CsPbBrxI</w:t>
      </w:r>
      <w:r>
        <w:rPr>
          <w:rFonts w:ascii="Times New Roman" w:eastAsia="宋体" w:hAnsi="Times New Roman" w:cs="Times New Roman"/>
          <w:vertAlign w:val="subscript"/>
        </w:rPr>
        <w:t xml:space="preserve">3−x </w:t>
      </w:r>
      <w:r>
        <w:rPr>
          <w:rFonts w:ascii="Times New Roman" w:eastAsia="宋体" w:hAnsi="Times New Roman" w:cs="Times New Roman"/>
        </w:rPr>
        <w:t xml:space="preserve">Composite Thin Films for Efficient and Stable Red Perovskite Light-Emitting Diodes. </w:t>
      </w:r>
      <w:r>
        <w:rPr>
          <w:rFonts w:ascii="Times New Roman" w:eastAsia="宋体" w:hAnsi="Times New Roman" w:cs="Times New Roman"/>
          <w:i/>
          <w:iCs/>
        </w:rPr>
        <w:t>Adv. Optical Mater</w:t>
      </w:r>
      <w:r>
        <w:rPr>
          <w:rFonts w:ascii="Times New Roman" w:eastAsia="宋体" w:hAnsi="Times New Roman" w:cs="Times New Roman"/>
        </w:rPr>
        <w:t xml:space="preserve">. </w:t>
      </w:r>
      <w:r>
        <w:rPr>
          <w:rFonts w:ascii="Times New Roman" w:eastAsia="宋体" w:hAnsi="Times New Roman" w:cs="Times New Roman"/>
          <w:b/>
          <w:bCs/>
        </w:rPr>
        <w:t>9</w:t>
      </w:r>
      <w:r>
        <w:rPr>
          <w:rFonts w:ascii="Times New Roman" w:eastAsia="宋体" w:hAnsi="Times New Roman" w:cs="Times New Roman"/>
        </w:rPr>
        <w:t>, 2101419</w:t>
      </w:r>
      <w:r>
        <w:rPr>
          <w:rFonts w:ascii="Times New Roman" w:eastAsia="宋体" w:hAnsi="Times New Roman" w:cs="Times New Roman" w:hint="eastAsia"/>
        </w:rPr>
        <w:t xml:space="preserve"> (</w:t>
      </w:r>
      <w:r>
        <w:rPr>
          <w:rFonts w:ascii="Times New Roman" w:eastAsia="宋体" w:hAnsi="Times New Roman" w:cs="Times New Roman"/>
        </w:rPr>
        <w:t>2021</w:t>
      </w:r>
      <w:r>
        <w:rPr>
          <w:rFonts w:ascii="Times New Roman" w:eastAsia="宋体" w:hAnsi="Times New Roman" w:cs="Times New Roman" w:hint="eastAsia"/>
        </w:rPr>
        <w:t>)</w:t>
      </w:r>
      <w:r>
        <w:rPr>
          <w:rFonts w:ascii="Times New Roman" w:eastAsia="宋体" w:hAnsi="Times New Roman" w:cs="Times New Roman"/>
        </w:rPr>
        <w:t>.</w:t>
      </w:r>
      <w:bookmarkEnd w:id="2"/>
    </w:p>
    <w:p w:rsidR="001D2DC8" w:rsidRDefault="00000000">
      <w:pPr>
        <w:pStyle w:val="ae"/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</w:rPr>
      </w:pPr>
      <w:bookmarkStart w:id="3" w:name="_Ref209958643"/>
      <w:r>
        <w:rPr>
          <w:rFonts w:ascii="Times New Roman" w:eastAsia="宋体" w:hAnsi="Times New Roman" w:cs="Times New Roman" w:hint="eastAsia"/>
        </w:rPr>
        <w:t xml:space="preserve">Yoo, J. H. et al. Park Room-temperature large-scale synthesis of black-phase CsPbI3 nanocrystals for red light-emitting diodes. </w:t>
      </w:r>
      <w:r>
        <w:rPr>
          <w:rFonts w:ascii="Times New Roman" w:eastAsia="宋体" w:hAnsi="Times New Roman" w:cs="Times New Roman" w:hint="eastAsia"/>
          <w:i/>
          <w:iCs/>
        </w:rPr>
        <w:t>ACS Appl. Nano Mater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 w:hint="eastAsia"/>
          <w:b/>
          <w:bCs/>
        </w:rPr>
        <w:t xml:space="preserve"> 7</w:t>
      </w:r>
      <w:r>
        <w:rPr>
          <w:rFonts w:ascii="Times New Roman" w:eastAsia="宋体" w:hAnsi="Times New Roman" w:cs="Times New Roman" w:hint="eastAsia"/>
        </w:rPr>
        <w:t>, 28119-28130 (2024).</w:t>
      </w:r>
      <w:bookmarkEnd w:id="3"/>
    </w:p>
    <w:p w:rsidR="001D2DC8" w:rsidRDefault="00000000">
      <w:pPr>
        <w:pStyle w:val="ae"/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</w:rPr>
      </w:pPr>
      <w:bookmarkStart w:id="4" w:name="_Ref209959025"/>
      <w:r>
        <w:rPr>
          <w:rFonts w:ascii="Times New Roman" w:eastAsia="宋体" w:hAnsi="Times New Roman" w:cs="Times New Roman" w:hint="eastAsia"/>
        </w:rPr>
        <w:t xml:space="preserve">Li, Y. et al. Sequential layer-by-layer deposition for high-performance fully thermal-evaporated red perovskite light-emitting diodes. </w:t>
      </w:r>
      <w:r>
        <w:rPr>
          <w:rFonts w:ascii="Times New Roman" w:eastAsia="宋体" w:hAnsi="Times New Roman" w:cs="Times New Roman" w:hint="eastAsia"/>
          <w:i/>
          <w:iCs/>
        </w:rPr>
        <w:t>Nature Communications</w:t>
      </w:r>
      <w:r>
        <w:rPr>
          <w:rFonts w:ascii="Times New Roman" w:eastAsia="宋体" w:hAnsi="Times New Roman" w:cs="Times New Roman" w:hint="eastAsia"/>
        </w:rPr>
        <w:t xml:space="preserve">. </w:t>
      </w:r>
      <w:r>
        <w:rPr>
          <w:rFonts w:ascii="Times New Roman" w:eastAsia="宋体" w:hAnsi="Times New Roman" w:cs="Times New Roman" w:hint="eastAsia"/>
          <w:b/>
          <w:bCs/>
        </w:rPr>
        <w:t>16</w:t>
      </w:r>
      <w:r>
        <w:rPr>
          <w:rFonts w:ascii="Times New Roman" w:eastAsia="宋体" w:hAnsi="Times New Roman" w:cs="Times New Roman" w:hint="eastAsia"/>
        </w:rPr>
        <w:t>, 6908 (2025).</w:t>
      </w:r>
      <w:bookmarkEnd w:id="4"/>
    </w:p>
    <w:p w:rsidR="001D2DC8" w:rsidRDefault="00000000">
      <w:pPr>
        <w:pStyle w:val="ae"/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</w:rPr>
      </w:pPr>
      <w:bookmarkStart w:id="5" w:name="_Ref209959287"/>
      <w:r>
        <w:rPr>
          <w:rFonts w:ascii="Times New Roman" w:eastAsia="宋体" w:hAnsi="Times New Roman" w:cs="Times New Roman" w:hint="eastAsia"/>
        </w:rPr>
        <w:t xml:space="preserve">Shao, Y. et al. Red Efficient Perovskite Light-Emitting Diodes Assisted with PEIE. </w:t>
      </w:r>
      <w:r>
        <w:rPr>
          <w:rFonts w:ascii="Times New Roman" w:eastAsia="宋体" w:hAnsi="Times New Roman" w:cs="Times New Roman" w:hint="eastAsia"/>
          <w:i/>
          <w:iCs/>
        </w:rPr>
        <w:t xml:space="preserve">ACS Appl. Electron. Mater. </w:t>
      </w:r>
      <w:r>
        <w:rPr>
          <w:rFonts w:ascii="Times New Roman" w:eastAsia="宋体" w:hAnsi="Times New Roman" w:cs="Times New Roman" w:hint="eastAsia"/>
          <w:b/>
          <w:bCs/>
        </w:rPr>
        <w:t>6</w:t>
      </w:r>
      <w:r>
        <w:rPr>
          <w:rFonts w:ascii="Times New Roman" w:eastAsia="宋体" w:hAnsi="Times New Roman" w:cs="Times New Roman" w:hint="eastAsia"/>
        </w:rPr>
        <w:t>, 6140 (2024).</w:t>
      </w:r>
      <w:bookmarkEnd w:id="5"/>
    </w:p>
    <w:p w:rsidR="001D2DC8" w:rsidRDefault="00000000">
      <w:pPr>
        <w:pStyle w:val="ae"/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</w:rPr>
      </w:pPr>
      <w:bookmarkStart w:id="6" w:name="_Ref209960458"/>
      <w:r>
        <w:rPr>
          <w:rFonts w:ascii="Times New Roman" w:eastAsia="宋体" w:hAnsi="Times New Roman" w:cs="Times New Roman" w:hint="eastAsia"/>
        </w:rPr>
        <w:t xml:space="preserve">Cai, W. et al. Polymer-Assisted In Situ Growth of All-Inorganic Perovskite Nanocrystal Film for Efficient and Stable Pure-Red Light-Emitting Devices. </w:t>
      </w:r>
      <w:r>
        <w:rPr>
          <w:rFonts w:ascii="Times New Roman" w:eastAsia="宋体" w:hAnsi="Times New Roman" w:cs="Times New Roman" w:hint="eastAsia"/>
          <w:i/>
          <w:iCs/>
        </w:rPr>
        <w:t>ACS Appl. Mater. Interfaces</w:t>
      </w:r>
      <w:r>
        <w:rPr>
          <w:rFonts w:ascii="Times New Roman" w:eastAsia="宋体" w:hAnsi="Times New Roman" w:cs="Times New Roman" w:hint="eastAsia"/>
          <w:b/>
          <w:bCs/>
          <w:i/>
          <w:iCs/>
        </w:rPr>
        <w:t xml:space="preserve">. </w:t>
      </w:r>
      <w:r>
        <w:rPr>
          <w:rFonts w:ascii="Times New Roman" w:eastAsia="宋体" w:hAnsi="Times New Roman" w:cs="Times New Roman" w:hint="eastAsia"/>
          <w:b/>
          <w:bCs/>
        </w:rPr>
        <w:t>10</w:t>
      </w:r>
      <w:r>
        <w:rPr>
          <w:rFonts w:ascii="Times New Roman" w:eastAsia="宋体" w:hAnsi="Times New Roman" w:cs="Times New Roman" w:hint="eastAsia"/>
        </w:rPr>
        <w:t>, 42564-42572 (2018).</w:t>
      </w:r>
      <w:bookmarkEnd w:id="6"/>
    </w:p>
    <w:p w:rsidR="001D2DC8" w:rsidRDefault="00000000">
      <w:pPr>
        <w:pStyle w:val="ae"/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</w:rPr>
      </w:pPr>
      <w:bookmarkStart w:id="7" w:name="_Ref209961099"/>
      <w:r>
        <w:rPr>
          <w:rFonts w:ascii="Times New Roman" w:eastAsia="宋体" w:hAnsi="Times New Roman" w:cs="Times New Roman" w:hint="eastAsia"/>
        </w:rPr>
        <w:t>Feng, S. C. et al. Efficient and Stable Red Perovskite Light-Emitting Diodes via Thermodynamic Crystallization Control.</w:t>
      </w:r>
      <w:r>
        <w:rPr>
          <w:rFonts w:ascii="Times New Roman" w:eastAsia="宋体" w:hAnsi="Times New Roman" w:cs="Times New Roman" w:hint="eastAsia"/>
          <w:i/>
          <w:iCs/>
        </w:rPr>
        <w:t xml:space="preserve"> Adv. Mater.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</w:rPr>
        <w:t>36,</w:t>
      </w:r>
      <w:r>
        <w:rPr>
          <w:rFonts w:ascii="Times New Roman" w:eastAsia="宋体" w:hAnsi="Times New Roman" w:cs="Times New Roman" w:hint="eastAsia"/>
        </w:rPr>
        <w:t xml:space="preserve"> 2410255</w:t>
      </w:r>
      <w:r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 w:hint="eastAsia"/>
        </w:rPr>
        <w:t>(2024).</w:t>
      </w:r>
      <w:bookmarkEnd w:id="7"/>
    </w:p>
    <w:p w:rsidR="001D2DC8" w:rsidRDefault="00000000">
      <w:pPr>
        <w:pStyle w:val="ae"/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</w:rPr>
      </w:pPr>
      <w:bookmarkStart w:id="8" w:name="_Ref209963437"/>
      <w:r>
        <w:rPr>
          <w:rFonts w:ascii="Times New Roman" w:eastAsia="宋体" w:hAnsi="Times New Roman" w:cs="Times New Roman" w:hint="eastAsia"/>
        </w:rPr>
        <w:t xml:space="preserve">Li, N. et al. Diammonium-Mediated Perovskite Film Formation for High-Luminescence Red Perovskite Light-Emitting Diodes. </w:t>
      </w:r>
      <w:r>
        <w:rPr>
          <w:rFonts w:ascii="Times New Roman" w:eastAsia="宋体" w:hAnsi="Times New Roman" w:cs="Times New Roman" w:hint="eastAsia"/>
          <w:i/>
          <w:iCs/>
        </w:rPr>
        <w:t>Adv. Mater.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</w:rPr>
        <w:t>34</w:t>
      </w:r>
      <w:r>
        <w:rPr>
          <w:rFonts w:ascii="Times New Roman" w:eastAsia="宋体" w:hAnsi="Times New Roman" w:cs="Times New Roman" w:hint="eastAsia"/>
        </w:rPr>
        <w:t>, 2202042 (2022).</w:t>
      </w:r>
      <w:bookmarkEnd w:id="8"/>
    </w:p>
    <w:p w:rsidR="001D2DC8" w:rsidRDefault="001D2DC8">
      <w:pPr>
        <w:spacing w:after="240" w:line="360" w:lineRule="auto"/>
        <w:rPr>
          <w:rFonts w:ascii="Times New Roman" w:hAnsi="Times New Roman" w:cs="Times New Roman"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:rsidR="001D2DC8" w:rsidRDefault="001D2DC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:rsidR="001D2DC8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sectPr w:rsidR="001D2D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06005" w:rsidRDefault="00106005" w:rsidP="002D62E3">
      <w:pPr>
        <w:rPr>
          <w:rFonts w:hint="eastAsia"/>
        </w:rPr>
      </w:pPr>
      <w:r>
        <w:separator/>
      </w:r>
    </w:p>
  </w:endnote>
  <w:endnote w:type="continuationSeparator" w:id="0">
    <w:p w:rsidR="00106005" w:rsidRDefault="00106005" w:rsidP="002D62E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06005" w:rsidRDefault="00106005" w:rsidP="002D62E3">
      <w:pPr>
        <w:rPr>
          <w:rFonts w:hint="eastAsia"/>
        </w:rPr>
      </w:pPr>
      <w:r>
        <w:separator/>
      </w:r>
    </w:p>
  </w:footnote>
  <w:footnote w:type="continuationSeparator" w:id="0">
    <w:p w:rsidR="00106005" w:rsidRDefault="00106005" w:rsidP="002D62E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6F1616"/>
    <w:multiLevelType w:val="multilevel"/>
    <w:tmpl w:val="2A6F1616"/>
    <w:lvl w:ilvl="0">
      <w:start w:val="1"/>
      <w:numFmt w:val="decimal"/>
      <w:lvlText w:val="[%1]"/>
      <w:lvlJc w:val="left"/>
      <w:pPr>
        <w:ind w:left="440" w:hanging="440"/>
      </w:pPr>
      <w:rPr>
        <w:rFonts w:ascii="Times New Roman" w:hAnsi="Times New Roman" w:hint="default"/>
        <w:spacing w:val="0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505631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gwNjIxYmM2YjUyYWNhZWRlMmI4ZDI4NzA2ZmI1MzEifQ=="/>
  </w:docVars>
  <w:rsids>
    <w:rsidRoot w:val="00B1533B"/>
    <w:rsid w:val="00002654"/>
    <w:rsid w:val="00027EC5"/>
    <w:rsid w:val="00095788"/>
    <w:rsid w:val="000D130B"/>
    <w:rsid w:val="00106005"/>
    <w:rsid w:val="00127AE9"/>
    <w:rsid w:val="00167A6A"/>
    <w:rsid w:val="00174C19"/>
    <w:rsid w:val="00183F55"/>
    <w:rsid w:val="00193636"/>
    <w:rsid w:val="00195565"/>
    <w:rsid w:val="001A0E7E"/>
    <w:rsid w:val="001D2DC8"/>
    <w:rsid w:val="001F5286"/>
    <w:rsid w:val="00214669"/>
    <w:rsid w:val="002503D5"/>
    <w:rsid w:val="002630CC"/>
    <w:rsid w:val="002D62E3"/>
    <w:rsid w:val="002E1083"/>
    <w:rsid w:val="00356621"/>
    <w:rsid w:val="003679F1"/>
    <w:rsid w:val="003A4C37"/>
    <w:rsid w:val="003C28A4"/>
    <w:rsid w:val="003E134C"/>
    <w:rsid w:val="003F11A7"/>
    <w:rsid w:val="004437D1"/>
    <w:rsid w:val="004C3697"/>
    <w:rsid w:val="004E7693"/>
    <w:rsid w:val="0062392F"/>
    <w:rsid w:val="00640367"/>
    <w:rsid w:val="00693BEC"/>
    <w:rsid w:val="006C17E7"/>
    <w:rsid w:val="00715C3F"/>
    <w:rsid w:val="007F19B8"/>
    <w:rsid w:val="00831C42"/>
    <w:rsid w:val="008457B4"/>
    <w:rsid w:val="008B50DA"/>
    <w:rsid w:val="008D3A73"/>
    <w:rsid w:val="00990F76"/>
    <w:rsid w:val="009B10D7"/>
    <w:rsid w:val="00AD3B67"/>
    <w:rsid w:val="00B1533B"/>
    <w:rsid w:val="00B56131"/>
    <w:rsid w:val="00BF0DEE"/>
    <w:rsid w:val="00BF5872"/>
    <w:rsid w:val="00C116EB"/>
    <w:rsid w:val="00C84C92"/>
    <w:rsid w:val="00CE537F"/>
    <w:rsid w:val="00CF0F28"/>
    <w:rsid w:val="00D85A9E"/>
    <w:rsid w:val="00E179F4"/>
    <w:rsid w:val="00E21461"/>
    <w:rsid w:val="00E32787"/>
    <w:rsid w:val="00E4445A"/>
    <w:rsid w:val="00E77DAE"/>
    <w:rsid w:val="00E85856"/>
    <w:rsid w:val="00EB0FC2"/>
    <w:rsid w:val="00EB55A9"/>
    <w:rsid w:val="00EF1C4C"/>
    <w:rsid w:val="00F22454"/>
    <w:rsid w:val="00F72CA9"/>
    <w:rsid w:val="00FE5948"/>
    <w:rsid w:val="2BA800BF"/>
    <w:rsid w:val="47871C79"/>
    <w:rsid w:val="599977DA"/>
    <w:rsid w:val="6E70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48F34C"/>
  <w15:docId w15:val="{AE8BCC81-FEBC-41F7-9181-72E62615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0">
    <w:name w:val="明显引用 字符"/>
    <w:basedOn w:val="a0"/>
    <w:link w:val="af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table" w:customStyle="1" w:styleId="13">
    <w:name w:val="网格型1"/>
    <w:basedOn w:val="a1"/>
    <w:uiPriority w:val="39"/>
    <w:qFormat/>
    <w:pPr>
      <w:widowControl w:val="0"/>
      <w:autoSpaceDE w:val="0"/>
      <w:autoSpaceDN w:val="0"/>
    </w:pPr>
    <w:rPr>
      <w:rFonts w:ascii="Calibri" w:eastAsia="Times New Roman" w:hAnsi="Calibri" w:cs="Times New Roman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mailto:ouyangxh@faf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894</Words>
  <Characters>5099</Characters>
  <Application>Microsoft Office Word</Application>
  <DocSecurity>0</DocSecurity>
  <Lines>42</Lines>
  <Paragraphs>11</Paragraphs>
  <ScaleCrop>false</ScaleCrop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豪 姚</dc:creator>
  <cp:lastModifiedBy>enbo zhou</cp:lastModifiedBy>
  <cp:revision>3</cp:revision>
  <dcterms:created xsi:type="dcterms:W3CDTF">2025-11-26T15:31:00Z</dcterms:created>
  <dcterms:modified xsi:type="dcterms:W3CDTF">2025-11-26T15:32:00Z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70574AB3AEBB4B3887A2B989B2761350_12</vt:lpwstr>
  </property>
</Properties>
</file>