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FD0EE" w14:textId="56DAAD5B" w:rsidR="001B7085" w:rsidRPr="00EB5C33" w:rsidRDefault="001B7085" w:rsidP="001B7085">
      <w:pPr>
        <w:spacing w:line="480" w:lineRule="auto"/>
        <w:jc w:val="both"/>
        <w:rPr>
          <w:b/>
          <w:lang w:val="en-US"/>
        </w:rPr>
      </w:pPr>
      <w:bookmarkStart w:id="0" w:name="_GoBack"/>
      <w:bookmarkEnd w:id="0"/>
      <w:r w:rsidRPr="00EB5C33">
        <w:rPr>
          <w:b/>
          <w:lang w:val="en-US"/>
        </w:rPr>
        <w:t>UNMARRIED COHABITATION AND UNION STABILITY: THE COHABITATION-DIFFUSION-HYPOTHESIS REVISITED</w:t>
      </w:r>
    </w:p>
    <w:p w14:paraId="4BBF09E2" w14:textId="77777777" w:rsidR="00D633D4" w:rsidRPr="00256700" w:rsidRDefault="00D633D4" w:rsidP="008952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ja-JP"/>
        </w:rPr>
      </w:pPr>
      <w:r w:rsidRPr="00256700">
        <w:rPr>
          <w:rFonts w:ascii="Times New Roman" w:eastAsia="Times New Roman" w:hAnsi="Times New Roman" w:cs="Times New Roman"/>
          <w:b/>
          <w:sz w:val="28"/>
          <w:szCs w:val="28"/>
          <w:lang w:val="en-GB" w:eastAsia="ja-JP"/>
        </w:rPr>
        <w:t>Supplementary Material</w:t>
      </w:r>
    </w:p>
    <w:p w14:paraId="7AEB119E" w14:textId="77777777" w:rsidR="001B7085" w:rsidRPr="0089528C" w:rsidRDefault="001B7085" w:rsidP="008952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ja-JP"/>
        </w:rPr>
      </w:pPr>
    </w:p>
    <w:p w14:paraId="08A1809A" w14:textId="6146A237" w:rsidR="00BB7FDB" w:rsidRDefault="00BB7FDB"/>
    <w:tbl>
      <w:tblPr>
        <w:tblStyle w:val="TableGrid"/>
        <w:tblpPr w:leftFromText="180" w:rightFromText="180" w:vertAnchor="page" w:horzAnchor="margin" w:tblpY="4576"/>
        <w:tblW w:w="0" w:type="auto"/>
        <w:tblLook w:val="04A0" w:firstRow="1" w:lastRow="0" w:firstColumn="1" w:lastColumn="0" w:noHBand="0" w:noVBand="1"/>
      </w:tblPr>
      <w:tblGrid>
        <w:gridCol w:w="6180"/>
        <w:gridCol w:w="1360"/>
        <w:gridCol w:w="960"/>
      </w:tblGrid>
      <w:tr w:rsidR="00BB7FDB" w:rsidRPr="00BB7FDB" w14:paraId="1FB6AE18" w14:textId="77777777" w:rsidTr="00457E4F">
        <w:trPr>
          <w:trHeight w:val="290"/>
        </w:trPr>
        <w:tc>
          <w:tcPr>
            <w:tcW w:w="6180" w:type="dxa"/>
            <w:noWrap/>
            <w:hideMark/>
          </w:tcPr>
          <w:p w14:paraId="36CF4C5E" w14:textId="77777777" w:rsidR="00BB7FDB" w:rsidRPr="00BB7FDB" w:rsidRDefault="00BB7FDB" w:rsidP="00457E4F">
            <w:pPr>
              <w:rPr>
                <w:lang w:val="en-US"/>
              </w:rPr>
            </w:pPr>
          </w:p>
        </w:tc>
        <w:tc>
          <w:tcPr>
            <w:tcW w:w="1360" w:type="dxa"/>
            <w:noWrap/>
            <w:hideMark/>
          </w:tcPr>
          <w:p w14:paraId="49B1835F" w14:textId="77777777" w:rsidR="00BB7FDB" w:rsidRPr="00BB7FDB" w:rsidRDefault="00BB7FDB" w:rsidP="00457E4F">
            <w:r w:rsidRPr="00BB7FDB">
              <w:t>Coefficient</w:t>
            </w:r>
          </w:p>
        </w:tc>
        <w:tc>
          <w:tcPr>
            <w:tcW w:w="960" w:type="dxa"/>
            <w:noWrap/>
            <w:hideMark/>
          </w:tcPr>
          <w:p w14:paraId="3A09A975" w14:textId="77777777" w:rsidR="00BB7FDB" w:rsidRPr="00BB7FDB" w:rsidRDefault="00BB7FDB" w:rsidP="00457E4F">
            <w:r w:rsidRPr="00BB7FDB">
              <w:t>P&gt;|z|</w:t>
            </w:r>
          </w:p>
        </w:tc>
      </w:tr>
      <w:tr w:rsidR="00BB7FDB" w:rsidRPr="00BB7FDB" w14:paraId="2C05F244" w14:textId="77777777" w:rsidTr="00457E4F">
        <w:trPr>
          <w:trHeight w:val="290"/>
        </w:trPr>
        <w:tc>
          <w:tcPr>
            <w:tcW w:w="6180" w:type="dxa"/>
            <w:noWrap/>
            <w:hideMark/>
          </w:tcPr>
          <w:p w14:paraId="3E419839" w14:textId="77777777" w:rsidR="00BB7FDB" w:rsidRPr="00BB7FDB" w:rsidRDefault="00BB7FDB" w:rsidP="00457E4F"/>
        </w:tc>
        <w:tc>
          <w:tcPr>
            <w:tcW w:w="1360" w:type="dxa"/>
            <w:noWrap/>
            <w:hideMark/>
          </w:tcPr>
          <w:p w14:paraId="7579A3D0" w14:textId="77777777" w:rsidR="00BB7FDB" w:rsidRPr="00BB7FDB" w:rsidRDefault="00BB7FDB" w:rsidP="00457E4F">
            <w:pPr>
              <w:jc w:val="center"/>
            </w:pPr>
          </w:p>
        </w:tc>
        <w:tc>
          <w:tcPr>
            <w:tcW w:w="960" w:type="dxa"/>
            <w:noWrap/>
            <w:hideMark/>
          </w:tcPr>
          <w:p w14:paraId="568E4BFC" w14:textId="77777777" w:rsidR="00BB7FDB" w:rsidRPr="00BB7FDB" w:rsidRDefault="00BB7FDB" w:rsidP="00457E4F">
            <w:pPr>
              <w:jc w:val="center"/>
            </w:pPr>
          </w:p>
        </w:tc>
      </w:tr>
      <w:tr w:rsidR="00BB7FDB" w:rsidRPr="00BB7FDB" w14:paraId="02219825" w14:textId="77777777" w:rsidTr="00457E4F">
        <w:trPr>
          <w:trHeight w:val="290"/>
        </w:trPr>
        <w:tc>
          <w:tcPr>
            <w:tcW w:w="6180" w:type="dxa"/>
            <w:noWrap/>
            <w:hideMark/>
          </w:tcPr>
          <w:p w14:paraId="7B2BEDDF" w14:textId="77777777" w:rsidR="00BB7FDB" w:rsidRPr="00BB7FDB" w:rsidRDefault="00BB7FDB" w:rsidP="00457E4F">
            <w:r w:rsidRPr="00BB7FDB">
              <w:t>cohabiting</w:t>
            </w:r>
          </w:p>
        </w:tc>
        <w:tc>
          <w:tcPr>
            <w:tcW w:w="1360" w:type="dxa"/>
            <w:noWrap/>
            <w:hideMark/>
          </w:tcPr>
          <w:p w14:paraId="5F5175AD" w14:textId="77777777" w:rsidR="00BB7FDB" w:rsidRPr="00BB7FDB" w:rsidRDefault="00BB7FDB" w:rsidP="00457E4F">
            <w:pPr>
              <w:tabs>
                <w:tab w:val="decimal" w:pos="369"/>
              </w:tabs>
            </w:pPr>
            <w:r w:rsidRPr="00BB7FDB">
              <w:t>1.016</w:t>
            </w:r>
            <w:r w:rsidR="003F4A26">
              <w:t>***</w:t>
            </w:r>
          </w:p>
        </w:tc>
        <w:tc>
          <w:tcPr>
            <w:tcW w:w="960" w:type="dxa"/>
            <w:noWrap/>
            <w:hideMark/>
          </w:tcPr>
          <w:p w14:paraId="531C5CD1" w14:textId="77777777" w:rsidR="00BB7FDB" w:rsidRPr="00BB7FDB" w:rsidRDefault="00BB7FDB" w:rsidP="00457E4F">
            <w:pPr>
              <w:tabs>
                <w:tab w:val="decimal" w:pos="287"/>
              </w:tabs>
            </w:pPr>
            <w:r w:rsidRPr="00BB7FDB">
              <w:t>0.000</w:t>
            </w:r>
          </w:p>
        </w:tc>
      </w:tr>
      <w:tr w:rsidR="00BB7FDB" w:rsidRPr="00BB7FDB" w14:paraId="40E7BEDB" w14:textId="77777777" w:rsidTr="00457E4F">
        <w:trPr>
          <w:trHeight w:val="290"/>
        </w:trPr>
        <w:tc>
          <w:tcPr>
            <w:tcW w:w="6180" w:type="dxa"/>
            <w:noWrap/>
            <w:hideMark/>
          </w:tcPr>
          <w:p w14:paraId="5DD66B3A" w14:textId="77777777" w:rsidR="00BB7FDB" w:rsidRPr="00BB7FDB" w:rsidRDefault="00BB7FDB" w:rsidP="00457E4F">
            <w:r w:rsidRPr="00BB7FDB">
              <w:t>married with prior cohabitation</w:t>
            </w:r>
          </w:p>
        </w:tc>
        <w:tc>
          <w:tcPr>
            <w:tcW w:w="1360" w:type="dxa"/>
            <w:noWrap/>
            <w:hideMark/>
          </w:tcPr>
          <w:p w14:paraId="05DC7B39" w14:textId="77777777" w:rsidR="00BB7FDB" w:rsidRPr="00BB7FDB" w:rsidRDefault="00BB7FDB" w:rsidP="00457E4F">
            <w:pPr>
              <w:tabs>
                <w:tab w:val="decimal" w:pos="369"/>
              </w:tabs>
            </w:pPr>
            <w:r w:rsidRPr="00BB7FDB">
              <w:t>0.244</w:t>
            </w:r>
          </w:p>
        </w:tc>
        <w:tc>
          <w:tcPr>
            <w:tcW w:w="960" w:type="dxa"/>
            <w:noWrap/>
            <w:hideMark/>
          </w:tcPr>
          <w:p w14:paraId="766FFA71" w14:textId="77777777" w:rsidR="00BB7FDB" w:rsidRPr="00BB7FDB" w:rsidRDefault="00BB7FDB" w:rsidP="00457E4F">
            <w:pPr>
              <w:tabs>
                <w:tab w:val="decimal" w:pos="287"/>
              </w:tabs>
            </w:pPr>
            <w:r w:rsidRPr="00BB7FDB">
              <w:t>0.220</w:t>
            </w:r>
          </w:p>
        </w:tc>
      </w:tr>
      <w:tr w:rsidR="00BB7FDB" w:rsidRPr="00BB7FDB" w14:paraId="6C1BA028" w14:textId="77777777" w:rsidTr="00457E4F">
        <w:trPr>
          <w:trHeight w:val="290"/>
        </w:trPr>
        <w:tc>
          <w:tcPr>
            <w:tcW w:w="6180" w:type="dxa"/>
            <w:noWrap/>
            <w:hideMark/>
          </w:tcPr>
          <w:p w14:paraId="1591B080" w14:textId="77777777" w:rsidR="00BB7FDB" w:rsidRPr="00BB7FDB" w:rsidRDefault="00BB7FDB" w:rsidP="00457E4F">
            <w:r w:rsidRPr="00BB7FDB">
              <w:t>percentage cohabiting</w:t>
            </w:r>
          </w:p>
        </w:tc>
        <w:tc>
          <w:tcPr>
            <w:tcW w:w="1360" w:type="dxa"/>
            <w:noWrap/>
            <w:hideMark/>
          </w:tcPr>
          <w:p w14:paraId="112CE948" w14:textId="77777777" w:rsidR="00BB7FDB" w:rsidRPr="00BB7FDB" w:rsidRDefault="00BB7FDB" w:rsidP="00457E4F">
            <w:pPr>
              <w:tabs>
                <w:tab w:val="decimal" w:pos="369"/>
              </w:tabs>
            </w:pPr>
            <w:r w:rsidRPr="00BB7FDB">
              <w:t>0.016</w:t>
            </w:r>
            <w:r w:rsidR="003F4A26">
              <w:t>***</w:t>
            </w:r>
          </w:p>
        </w:tc>
        <w:tc>
          <w:tcPr>
            <w:tcW w:w="960" w:type="dxa"/>
            <w:noWrap/>
            <w:hideMark/>
          </w:tcPr>
          <w:p w14:paraId="02FE2D47" w14:textId="77777777" w:rsidR="00BB7FDB" w:rsidRPr="00BB7FDB" w:rsidRDefault="00BB7FDB" w:rsidP="00457E4F">
            <w:pPr>
              <w:tabs>
                <w:tab w:val="decimal" w:pos="287"/>
              </w:tabs>
            </w:pPr>
            <w:r w:rsidRPr="00BB7FDB">
              <w:t>0.000</w:t>
            </w:r>
          </w:p>
        </w:tc>
      </w:tr>
      <w:tr w:rsidR="00BB7FDB" w:rsidRPr="00BB7FDB" w14:paraId="5759F600" w14:textId="77777777" w:rsidTr="00457E4F">
        <w:trPr>
          <w:trHeight w:val="290"/>
        </w:trPr>
        <w:tc>
          <w:tcPr>
            <w:tcW w:w="6180" w:type="dxa"/>
            <w:noWrap/>
            <w:hideMark/>
          </w:tcPr>
          <w:p w14:paraId="7ADC148B" w14:textId="77777777" w:rsidR="00BB7FDB" w:rsidRPr="00BB7FDB" w:rsidRDefault="00BB7FDB" w:rsidP="00457E4F">
            <w:r w:rsidRPr="00BB7FDB">
              <w:t>cohabiting##percentage cohabiting (*100)</w:t>
            </w:r>
          </w:p>
        </w:tc>
        <w:tc>
          <w:tcPr>
            <w:tcW w:w="1360" w:type="dxa"/>
            <w:noWrap/>
            <w:hideMark/>
          </w:tcPr>
          <w:p w14:paraId="680D0C8F" w14:textId="77777777" w:rsidR="00BB7FDB" w:rsidRPr="00BB7FDB" w:rsidRDefault="00BB7FDB" w:rsidP="00457E4F">
            <w:pPr>
              <w:tabs>
                <w:tab w:val="decimal" w:pos="369"/>
              </w:tabs>
            </w:pPr>
            <w:r w:rsidRPr="00BB7FDB">
              <w:t>-0.055</w:t>
            </w:r>
          </w:p>
        </w:tc>
        <w:tc>
          <w:tcPr>
            <w:tcW w:w="960" w:type="dxa"/>
            <w:noWrap/>
            <w:hideMark/>
          </w:tcPr>
          <w:p w14:paraId="57A7B1B9" w14:textId="77777777" w:rsidR="00BB7FDB" w:rsidRPr="00BB7FDB" w:rsidRDefault="00BB7FDB" w:rsidP="00457E4F">
            <w:pPr>
              <w:tabs>
                <w:tab w:val="decimal" w:pos="287"/>
              </w:tabs>
            </w:pPr>
            <w:r w:rsidRPr="00BB7FDB">
              <w:t>0.735</w:t>
            </w:r>
          </w:p>
        </w:tc>
      </w:tr>
      <w:tr w:rsidR="00BB7FDB" w:rsidRPr="00BB7FDB" w14:paraId="576F8B9C" w14:textId="77777777" w:rsidTr="00457E4F">
        <w:trPr>
          <w:trHeight w:val="290"/>
        </w:trPr>
        <w:tc>
          <w:tcPr>
            <w:tcW w:w="6180" w:type="dxa"/>
            <w:noWrap/>
            <w:hideMark/>
          </w:tcPr>
          <w:p w14:paraId="313F3824" w14:textId="77777777" w:rsidR="00BB7FDB" w:rsidRPr="00BB7FDB" w:rsidRDefault="00BB7FDB" w:rsidP="00457E4F">
            <w:pPr>
              <w:rPr>
                <w:lang w:val="en-US"/>
              </w:rPr>
            </w:pPr>
            <w:r w:rsidRPr="00BB7FDB">
              <w:rPr>
                <w:lang w:val="en-US"/>
              </w:rPr>
              <w:t>married with prior cohabitation##percentage cohabiting (*100)</w:t>
            </w:r>
          </w:p>
        </w:tc>
        <w:tc>
          <w:tcPr>
            <w:tcW w:w="1360" w:type="dxa"/>
            <w:noWrap/>
            <w:hideMark/>
          </w:tcPr>
          <w:p w14:paraId="61598442" w14:textId="77777777" w:rsidR="00BB7FDB" w:rsidRPr="00BB7FDB" w:rsidRDefault="00BB7FDB" w:rsidP="00457E4F">
            <w:pPr>
              <w:tabs>
                <w:tab w:val="decimal" w:pos="369"/>
              </w:tabs>
            </w:pPr>
            <w:r w:rsidRPr="00BB7FDB">
              <w:t>-0.365</w:t>
            </w:r>
            <w:r w:rsidR="003F4A26">
              <w:t>*</w:t>
            </w:r>
          </w:p>
        </w:tc>
        <w:tc>
          <w:tcPr>
            <w:tcW w:w="960" w:type="dxa"/>
            <w:noWrap/>
            <w:hideMark/>
          </w:tcPr>
          <w:p w14:paraId="4233C73F" w14:textId="77777777" w:rsidR="00BB7FDB" w:rsidRPr="00BB7FDB" w:rsidRDefault="00BB7FDB" w:rsidP="00457E4F">
            <w:pPr>
              <w:tabs>
                <w:tab w:val="decimal" w:pos="287"/>
              </w:tabs>
            </w:pPr>
            <w:r w:rsidRPr="00BB7FDB">
              <w:t>0.025</w:t>
            </w:r>
          </w:p>
        </w:tc>
      </w:tr>
      <w:tr w:rsidR="00BB7FDB" w:rsidRPr="00BB7FDB" w14:paraId="6D1F8E79" w14:textId="77777777" w:rsidTr="00457E4F">
        <w:trPr>
          <w:trHeight w:val="290"/>
        </w:trPr>
        <w:tc>
          <w:tcPr>
            <w:tcW w:w="6180" w:type="dxa"/>
            <w:noWrap/>
            <w:hideMark/>
          </w:tcPr>
          <w:p w14:paraId="6D4BC3B3" w14:textId="77777777" w:rsidR="00BB7FDB" w:rsidRPr="00BB7FDB" w:rsidRDefault="00BB7FDB" w:rsidP="00457E4F">
            <w:r w:rsidRPr="00BB7FDB">
              <w:t>percentage cohabiting^2 (*100)</w:t>
            </w:r>
          </w:p>
        </w:tc>
        <w:tc>
          <w:tcPr>
            <w:tcW w:w="1360" w:type="dxa"/>
            <w:noWrap/>
            <w:hideMark/>
          </w:tcPr>
          <w:p w14:paraId="0E9F96AD" w14:textId="77777777" w:rsidR="00BB7FDB" w:rsidRPr="00BB7FDB" w:rsidRDefault="00BB7FDB" w:rsidP="00457E4F">
            <w:pPr>
              <w:tabs>
                <w:tab w:val="decimal" w:pos="369"/>
              </w:tabs>
            </w:pPr>
            <w:r w:rsidRPr="00BB7FDB">
              <w:t>-0.016</w:t>
            </w:r>
            <w:r w:rsidR="003F4A26">
              <w:t>**</w:t>
            </w:r>
          </w:p>
        </w:tc>
        <w:tc>
          <w:tcPr>
            <w:tcW w:w="960" w:type="dxa"/>
            <w:noWrap/>
            <w:hideMark/>
          </w:tcPr>
          <w:p w14:paraId="1B642D03" w14:textId="77777777" w:rsidR="00BB7FDB" w:rsidRPr="00BB7FDB" w:rsidRDefault="00BB7FDB" w:rsidP="00457E4F">
            <w:pPr>
              <w:tabs>
                <w:tab w:val="decimal" w:pos="287"/>
              </w:tabs>
            </w:pPr>
            <w:r w:rsidRPr="00BB7FDB">
              <w:t>0.001</w:t>
            </w:r>
          </w:p>
        </w:tc>
      </w:tr>
      <w:tr w:rsidR="00BB7FDB" w:rsidRPr="00BB7FDB" w14:paraId="4B4F7F58" w14:textId="77777777" w:rsidTr="00457E4F">
        <w:trPr>
          <w:trHeight w:val="290"/>
        </w:trPr>
        <w:tc>
          <w:tcPr>
            <w:tcW w:w="6180" w:type="dxa"/>
            <w:noWrap/>
            <w:hideMark/>
          </w:tcPr>
          <w:p w14:paraId="6EA9B59C" w14:textId="77777777" w:rsidR="00BB7FDB" w:rsidRPr="00BB7FDB" w:rsidRDefault="00BB7FDB" w:rsidP="00457E4F">
            <w:r w:rsidRPr="00BB7FDB">
              <w:t>cohabiting##percentage cohabiting^2 (*100)</w:t>
            </w:r>
          </w:p>
        </w:tc>
        <w:tc>
          <w:tcPr>
            <w:tcW w:w="1360" w:type="dxa"/>
            <w:noWrap/>
            <w:hideMark/>
          </w:tcPr>
          <w:p w14:paraId="7FA91309" w14:textId="77777777" w:rsidR="00BB7FDB" w:rsidRPr="00BB7FDB" w:rsidRDefault="00BB7FDB" w:rsidP="00457E4F">
            <w:pPr>
              <w:tabs>
                <w:tab w:val="decimal" w:pos="369"/>
              </w:tabs>
            </w:pPr>
            <w:r w:rsidRPr="00BB7FDB">
              <w:t>0.018</w:t>
            </w:r>
            <w:r w:rsidR="003F4A26">
              <w:t>***</w:t>
            </w:r>
          </w:p>
        </w:tc>
        <w:tc>
          <w:tcPr>
            <w:tcW w:w="960" w:type="dxa"/>
            <w:noWrap/>
            <w:hideMark/>
          </w:tcPr>
          <w:p w14:paraId="144C39BB" w14:textId="77777777" w:rsidR="00BB7FDB" w:rsidRPr="00BB7FDB" w:rsidRDefault="00BB7FDB" w:rsidP="00457E4F">
            <w:pPr>
              <w:tabs>
                <w:tab w:val="decimal" w:pos="287"/>
              </w:tabs>
            </w:pPr>
            <w:r w:rsidRPr="00BB7FDB">
              <w:t>0.000</w:t>
            </w:r>
          </w:p>
        </w:tc>
      </w:tr>
      <w:tr w:rsidR="00BB7FDB" w:rsidRPr="00BB7FDB" w14:paraId="4537D2D0" w14:textId="77777777" w:rsidTr="00457E4F">
        <w:trPr>
          <w:trHeight w:val="290"/>
        </w:trPr>
        <w:tc>
          <w:tcPr>
            <w:tcW w:w="6180" w:type="dxa"/>
            <w:noWrap/>
            <w:hideMark/>
          </w:tcPr>
          <w:p w14:paraId="43D52697" w14:textId="77777777" w:rsidR="00BB7FDB" w:rsidRPr="00BB7FDB" w:rsidRDefault="00BB7FDB" w:rsidP="00457E4F">
            <w:pPr>
              <w:rPr>
                <w:lang w:val="en-US"/>
              </w:rPr>
            </w:pPr>
            <w:r w:rsidRPr="00BB7FDB">
              <w:rPr>
                <w:lang w:val="en-US"/>
              </w:rPr>
              <w:t>married with prior cohabitation##percentage cohabiting^2 (*100)</w:t>
            </w:r>
          </w:p>
        </w:tc>
        <w:tc>
          <w:tcPr>
            <w:tcW w:w="1360" w:type="dxa"/>
            <w:noWrap/>
            <w:hideMark/>
          </w:tcPr>
          <w:p w14:paraId="63363D9A" w14:textId="77777777" w:rsidR="00BB7FDB" w:rsidRPr="00BB7FDB" w:rsidRDefault="00BB7FDB" w:rsidP="00457E4F">
            <w:pPr>
              <w:tabs>
                <w:tab w:val="decimal" w:pos="369"/>
              </w:tabs>
            </w:pPr>
            <w:r w:rsidRPr="00BB7FDB">
              <w:t>0.005</w:t>
            </w:r>
          </w:p>
        </w:tc>
        <w:tc>
          <w:tcPr>
            <w:tcW w:w="960" w:type="dxa"/>
            <w:noWrap/>
            <w:hideMark/>
          </w:tcPr>
          <w:p w14:paraId="32E6397A" w14:textId="77777777" w:rsidR="00BB7FDB" w:rsidRPr="00BB7FDB" w:rsidRDefault="00BB7FDB" w:rsidP="00457E4F">
            <w:pPr>
              <w:tabs>
                <w:tab w:val="decimal" w:pos="287"/>
              </w:tabs>
            </w:pPr>
            <w:r w:rsidRPr="00BB7FDB">
              <w:t>0.248</w:t>
            </w:r>
          </w:p>
        </w:tc>
      </w:tr>
      <w:tr w:rsidR="00BB7FDB" w:rsidRPr="00BB7FDB" w14:paraId="6BABAAC4" w14:textId="77777777" w:rsidTr="00457E4F">
        <w:trPr>
          <w:trHeight w:val="290"/>
        </w:trPr>
        <w:tc>
          <w:tcPr>
            <w:tcW w:w="6180" w:type="dxa"/>
            <w:noWrap/>
            <w:hideMark/>
          </w:tcPr>
          <w:p w14:paraId="099F5912" w14:textId="77777777" w:rsidR="00BB7FDB" w:rsidRPr="00BB7FDB" w:rsidRDefault="00BB7FDB" w:rsidP="00457E4F">
            <w:r w:rsidRPr="00BB7FDB">
              <w:t>age</w:t>
            </w:r>
          </w:p>
        </w:tc>
        <w:tc>
          <w:tcPr>
            <w:tcW w:w="1360" w:type="dxa"/>
            <w:noWrap/>
            <w:hideMark/>
          </w:tcPr>
          <w:p w14:paraId="4128C368" w14:textId="77777777" w:rsidR="00BB7FDB" w:rsidRPr="00BB7FDB" w:rsidRDefault="00BB7FDB" w:rsidP="00457E4F">
            <w:pPr>
              <w:tabs>
                <w:tab w:val="decimal" w:pos="369"/>
              </w:tabs>
            </w:pPr>
            <w:r w:rsidRPr="00BB7FDB">
              <w:t>-0.028</w:t>
            </w:r>
            <w:r w:rsidR="003F4A26">
              <w:t>***</w:t>
            </w:r>
          </w:p>
        </w:tc>
        <w:tc>
          <w:tcPr>
            <w:tcW w:w="960" w:type="dxa"/>
            <w:noWrap/>
            <w:hideMark/>
          </w:tcPr>
          <w:p w14:paraId="53DD4BA4" w14:textId="77777777" w:rsidR="00BB7FDB" w:rsidRPr="00BB7FDB" w:rsidRDefault="00BB7FDB" w:rsidP="00457E4F">
            <w:pPr>
              <w:tabs>
                <w:tab w:val="decimal" w:pos="287"/>
              </w:tabs>
            </w:pPr>
            <w:r w:rsidRPr="00BB7FDB">
              <w:t>0.000</w:t>
            </w:r>
          </w:p>
        </w:tc>
      </w:tr>
      <w:tr w:rsidR="00BB7FDB" w:rsidRPr="00BB7FDB" w14:paraId="52E89CEF" w14:textId="77777777" w:rsidTr="00457E4F">
        <w:trPr>
          <w:trHeight w:val="290"/>
        </w:trPr>
        <w:tc>
          <w:tcPr>
            <w:tcW w:w="6180" w:type="dxa"/>
            <w:noWrap/>
            <w:hideMark/>
          </w:tcPr>
          <w:p w14:paraId="33C31964" w14:textId="77777777" w:rsidR="00BB7FDB" w:rsidRPr="00BB7FDB" w:rsidRDefault="00BB7FDB" w:rsidP="00457E4F">
            <w:r w:rsidRPr="00BB7FDB">
              <w:t>medium education</w:t>
            </w:r>
          </w:p>
        </w:tc>
        <w:tc>
          <w:tcPr>
            <w:tcW w:w="1360" w:type="dxa"/>
            <w:noWrap/>
            <w:hideMark/>
          </w:tcPr>
          <w:p w14:paraId="5EB1D24A" w14:textId="77777777" w:rsidR="00BB7FDB" w:rsidRPr="00BB7FDB" w:rsidRDefault="00BB7FDB" w:rsidP="00457E4F">
            <w:pPr>
              <w:tabs>
                <w:tab w:val="decimal" w:pos="369"/>
              </w:tabs>
            </w:pPr>
            <w:r w:rsidRPr="00BB7FDB">
              <w:t>-0.028</w:t>
            </w:r>
            <w:r w:rsidR="003F4A26">
              <w:t>*</w:t>
            </w:r>
          </w:p>
        </w:tc>
        <w:tc>
          <w:tcPr>
            <w:tcW w:w="960" w:type="dxa"/>
            <w:noWrap/>
            <w:hideMark/>
          </w:tcPr>
          <w:p w14:paraId="66DD4D3A" w14:textId="77777777" w:rsidR="00BB7FDB" w:rsidRPr="00BB7FDB" w:rsidRDefault="00BB7FDB" w:rsidP="00457E4F">
            <w:pPr>
              <w:tabs>
                <w:tab w:val="decimal" w:pos="287"/>
              </w:tabs>
            </w:pPr>
            <w:r w:rsidRPr="00BB7FDB">
              <w:t>0.014</w:t>
            </w:r>
          </w:p>
        </w:tc>
      </w:tr>
      <w:tr w:rsidR="00BB7FDB" w:rsidRPr="00BB7FDB" w14:paraId="4CB3BC50" w14:textId="77777777" w:rsidTr="00457E4F">
        <w:trPr>
          <w:trHeight w:val="290"/>
        </w:trPr>
        <w:tc>
          <w:tcPr>
            <w:tcW w:w="6180" w:type="dxa"/>
            <w:noWrap/>
            <w:hideMark/>
          </w:tcPr>
          <w:p w14:paraId="40D9681F" w14:textId="77777777" w:rsidR="00BB7FDB" w:rsidRPr="00BB7FDB" w:rsidRDefault="00BB7FDB" w:rsidP="00457E4F">
            <w:r w:rsidRPr="00BB7FDB">
              <w:t>low education</w:t>
            </w:r>
          </w:p>
        </w:tc>
        <w:tc>
          <w:tcPr>
            <w:tcW w:w="1360" w:type="dxa"/>
            <w:noWrap/>
            <w:hideMark/>
          </w:tcPr>
          <w:p w14:paraId="6F7C4B4B" w14:textId="77777777" w:rsidR="00BB7FDB" w:rsidRPr="00BB7FDB" w:rsidRDefault="00BB7FDB" w:rsidP="00457E4F">
            <w:pPr>
              <w:tabs>
                <w:tab w:val="decimal" w:pos="369"/>
              </w:tabs>
            </w:pPr>
            <w:r w:rsidRPr="00BB7FDB">
              <w:t>-0.169</w:t>
            </w:r>
            <w:r w:rsidR="003F4A26">
              <w:t>***</w:t>
            </w:r>
          </w:p>
        </w:tc>
        <w:tc>
          <w:tcPr>
            <w:tcW w:w="960" w:type="dxa"/>
            <w:noWrap/>
            <w:hideMark/>
          </w:tcPr>
          <w:p w14:paraId="0E617AE1" w14:textId="77777777" w:rsidR="00BB7FDB" w:rsidRPr="00BB7FDB" w:rsidRDefault="00BB7FDB" w:rsidP="00457E4F">
            <w:pPr>
              <w:tabs>
                <w:tab w:val="decimal" w:pos="287"/>
              </w:tabs>
            </w:pPr>
            <w:r w:rsidRPr="00BB7FDB">
              <w:t>0.000</w:t>
            </w:r>
          </w:p>
        </w:tc>
      </w:tr>
      <w:tr w:rsidR="00BB7FDB" w:rsidRPr="00BB7FDB" w14:paraId="2B08D12C" w14:textId="77777777" w:rsidTr="00457E4F">
        <w:trPr>
          <w:trHeight w:val="290"/>
        </w:trPr>
        <w:tc>
          <w:tcPr>
            <w:tcW w:w="6180" w:type="dxa"/>
            <w:noWrap/>
            <w:hideMark/>
          </w:tcPr>
          <w:p w14:paraId="264C3A35" w14:textId="77777777" w:rsidR="00BB7FDB" w:rsidRPr="00BB7FDB" w:rsidRDefault="00BB7FDB" w:rsidP="00457E4F">
            <w:r w:rsidRPr="00BB7FDB">
              <w:t>born elsewhere</w:t>
            </w:r>
          </w:p>
        </w:tc>
        <w:tc>
          <w:tcPr>
            <w:tcW w:w="1360" w:type="dxa"/>
            <w:noWrap/>
            <w:hideMark/>
          </w:tcPr>
          <w:p w14:paraId="5561C15E" w14:textId="77777777" w:rsidR="00BB7FDB" w:rsidRPr="00BB7FDB" w:rsidRDefault="00BB7FDB" w:rsidP="00457E4F">
            <w:pPr>
              <w:tabs>
                <w:tab w:val="decimal" w:pos="369"/>
              </w:tabs>
            </w:pPr>
            <w:r w:rsidRPr="00BB7FDB">
              <w:t>-0.028</w:t>
            </w:r>
          </w:p>
        </w:tc>
        <w:tc>
          <w:tcPr>
            <w:tcW w:w="960" w:type="dxa"/>
            <w:noWrap/>
            <w:hideMark/>
          </w:tcPr>
          <w:p w14:paraId="2244233E" w14:textId="77777777" w:rsidR="00BB7FDB" w:rsidRPr="00BB7FDB" w:rsidRDefault="00BB7FDB" w:rsidP="00457E4F">
            <w:pPr>
              <w:tabs>
                <w:tab w:val="decimal" w:pos="287"/>
              </w:tabs>
            </w:pPr>
            <w:r w:rsidRPr="00BB7FDB">
              <w:t>0.094</w:t>
            </w:r>
          </w:p>
        </w:tc>
      </w:tr>
      <w:tr w:rsidR="00BB7FDB" w:rsidRPr="00BB7FDB" w14:paraId="1F7F6671" w14:textId="77777777" w:rsidTr="00457E4F">
        <w:trPr>
          <w:trHeight w:val="290"/>
        </w:trPr>
        <w:tc>
          <w:tcPr>
            <w:tcW w:w="6180" w:type="dxa"/>
            <w:noWrap/>
            <w:hideMark/>
          </w:tcPr>
          <w:p w14:paraId="0C4D620C" w14:textId="77777777" w:rsidR="00BB7FDB" w:rsidRPr="00BB7FDB" w:rsidRDefault="00BB7FDB" w:rsidP="00457E4F">
            <w:r w:rsidRPr="00BB7FDB">
              <w:t>age at union formation</w:t>
            </w:r>
          </w:p>
        </w:tc>
        <w:tc>
          <w:tcPr>
            <w:tcW w:w="1360" w:type="dxa"/>
            <w:noWrap/>
            <w:hideMark/>
          </w:tcPr>
          <w:p w14:paraId="0FB730C4" w14:textId="77777777" w:rsidR="00BB7FDB" w:rsidRPr="00BB7FDB" w:rsidRDefault="00BB7FDB" w:rsidP="00457E4F">
            <w:pPr>
              <w:tabs>
                <w:tab w:val="decimal" w:pos="369"/>
              </w:tabs>
            </w:pPr>
            <w:r w:rsidRPr="00BB7FDB">
              <w:t>-0.089</w:t>
            </w:r>
            <w:r w:rsidR="003F4A26">
              <w:t>***</w:t>
            </w:r>
          </w:p>
        </w:tc>
        <w:tc>
          <w:tcPr>
            <w:tcW w:w="960" w:type="dxa"/>
            <w:noWrap/>
            <w:hideMark/>
          </w:tcPr>
          <w:p w14:paraId="01D690D8" w14:textId="77777777" w:rsidR="00BB7FDB" w:rsidRPr="00BB7FDB" w:rsidRDefault="00BB7FDB" w:rsidP="00457E4F">
            <w:pPr>
              <w:tabs>
                <w:tab w:val="decimal" w:pos="287"/>
              </w:tabs>
            </w:pPr>
            <w:r w:rsidRPr="00BB7FDB">
              <w:t>0.000</w:t>
            </w:r>
          </w:p>
        </w:tc>
      </w:tr>
      <w:tr w:rsidR="00BB7FDB" w:rsidRPr="00BB7FDB" w14:paraId="4B1F19D7" w14:textId="77777777" w:rsidTr="00457E4F">
        <w:trPr>
          <w:trHeight w:val="290"/>
        </w:trPr>
        <w:tc>
          <w:tcPr>
            <w:tcW w:w="6180" w:type="dxa"/>
            <w:noWrap/>
            <w:hideMark/>
          </w:tcPr>
          <w:p w14:paraId="7589CAD3" w14:textId="77777777" w:rsidR="00BB7FDB" w:rsidRPr="00BB7FDB" w:rsidRDefault="00BB7FDB" w:rsidP="00457E4F">
            <w:r w:rsidRPr="00BB7FDB">
              <w:t>age at union formation^2</w:t>
            </w:r>
          </w:p>
        </w:tc>
        <w:tc>
          <w:tcPr>
            <w:tcW w:w="1360" w:type="dxa"/>
            <w:noWrap/>
            <w:hideMark/>
          </w:tcPr>
          <w:p w14:paraId="42370653" w14:textId="77777777" w:rsidR="00BB7FDB" w:rsidRPr="00BB7FDB" w:rsidRDefault="00BB7FDB" w:rsidP="00457E4F">
            <w:pPr>
              <w:tabs>
                <w:tab w:val="decimal" w:pos="369"/>
              </w:tabs>
            </w:pPr>
            <w:r w:rsidRPr="00BB7FDB">
              <w:t>0.002</w:t>
            </w:r>
            <w:r w:rsidR="003F4A26">
              <w:t>***</w:t>
            </w:r>
          </w:p>
        </w:tc>
        <w:tc>
          <w:tcPr>
            <w:tcW w:w="960" w:type="dxa"/>
            <w:noWrap/>
            <w:hideMark/>
          </w:tcPr>
          <w:p w14:paraId="53FA79CA" w14:textId="77777777" w:rsidR="00BB7FDB" w:rsidRPr="00BB7FDB" w:rsidRDefault="00BB7FDB" w:rsidP="00457E4F">
            <w:pPr>
              <w:tabs>
                <w:tab w:val="decimal" w:pos="287"/>
              </w:tabs>
            </w:pPr>
            <w:r w:rsidRPr="00BB7FDB">
              <w:t>0.000</w:t>
            </w:r>
          </w:p>
        </w:tc>
      </w:tr>
      <w:tr w:rsidR="00BB7FDB" w:rsidRPr="00BB7FDB" w14:paraId="6295EFE9" w14:textId="77777777" w:rsidTr="00457E4F">
        <w:trPr>
          <w:trHeight w:val="290"/>
        </w:trPr>
        <w:tc>
          <w:tcPr>
            <w:tcW w:w="6180" w:type="dxa"/>
            <w:noWrap/>
            <w:hideMark/>
          </w:tcPr>
          <w:p w14:paraId="032F36AF" w14:textId="77777777" w:rsidR="00BB7FDB" w:rsidRPr="00BB7FDB" w:rsidRDefault="00BB7FDB" w:rsidP="00457E4F">
            <w:r w:rsidRPr="00BB7FDB">
              <w:t>parental divorce</w:t>
            </w:r>
          </w:p>
        </w:tc>
        <w:tc>
          <w:tcPr>
            <w:tcW w:w="1360" w:type="dxa"/>
            <w:noWrap/>
            <w:hideMark/>
          </w:tcPr>
          <w:p w14:paraId="4551886D" w14:textId="77777777" w:rsidR="00BB7FDB" w:rsidRPr="00BB7FDB" w:rsidRDefault="00BB7FDB" w:rsidP="00457E4F">
            <w:pPr>
              <w:tabs>
                <w:tab w:val="decimal" w:pos="369"/>
              </w:tabs>
            </w:pPr>
            <w:r w:rsidRPr="00BB7FDB">
              <w:t>0.304</w:t>
            </w:r>
            <w:r w:rsidR="003F4A26">
              <w:t>***</w:t>
            </w:r>
          </w:p>
        </w:tc>
        <w:tc>
          <w:tcPr>
            <w:tcW w:w="960" w:type="dxa"/>
            <w:noWrap/>
            <w:hideMark/>
          </w:tcPr>
          <w:p w14:paraId="63EBA7EC" w14:textId="77777777" w:rsidR="00BB7FDB" w:rsidRPr="00BB7FDB" w:rsidRDefault="00BB7FDB" w:rsidP="00457E4F">
            <w:pPr>
              <w:tabs>
                <w:tab w:val="decimal" w:pos="287"/>
              </w:tabs>
            </w:pPr>
            <w:r w:rsidRPr="00BB7FDB">
              <w:t>0.000</w:t>
            </w:r>
          </w:p>
        </w:tc>
      </w:tr>
      <w:tr w:rsidR="00BB7FDB" w:rsidRPr="00BB7FDB" w14:paraId="6A912D8A" w14:textId="77777777" w:rsidTr="00457E4F">
        <w:trPr>
          <w:trHeight w:val="290"/>
        </w:trPr>
        <w:tc>
          <w:tcPr>
            <w:tcW w:w="6180" w:type="dxa"/>
            <w:noWrap/>
            <w:hideMark/>
          </w:tcPr>
          <w:p w14:paraId="2D219C0E" w14:textId="77777777" w:rsidR="00BB7FDB" w:rsidRPr="00BB7FDB" w:rsidRDefault="00BB7FDB" w:rsidP="00457E4F">
            <w:r w:rsidRPr="00BB7FDB">
              <w:t>having a child</w:t>
            </w:r>
          </w:p>
        </w:tc>
        <w:tc>
          <w:tcPr>
            <w:tcW w:w="1360" w:type="dxa"/>
            <w:noWrap/>
            <w:hideMark/>
          </w:tcPr>
          <w:p w14:paraId="7D6C99D4" w14:textId="77777777" w:rsidR="00BB7FDB" w:rsidRPr="00BB7FDB" w:rsidRDefault="00BB7FDB" w:rsidP="00457E4F">
            <w:pPr>
              <w:tabs>
                <w:tab w:val="decimal" w:pos="369"/>
              </w:tabs>
            </w:pPr>
            <w:r w:rsidRPr="00BB7FDB">
              <w:t>-0.152</w:t>
            </w:r>
            <w:r w:rsidR="003F4A26">
              <w:t>***</w:t>
            </w:r>
          </w:p>
        </w:tc>
        <w:tc>
          <w:tcPr>
            <w:tcW w:w="960" w:type="dxa"/>
            <w:noWrap/>
            <w:hideMark/>
          </w:tcPr>
          <w:p w14:paraId="4A564490" w14:textId="77777777" w:rsidR="00BB7FDB" w:rsidRPr="00BB7FDB" w:rsidRDefault="00BB7FDB" w:rsidP="00457E4F">
            <w:pPr>
              <w:tabs>
                <w:tab w:val="decimal" w:pos="287"/>
              </w:tabs>
            </w:pPr>
            <w:r w:rsidRPr="00BB7FDB">
              <w:t>0.000</w:t>
            </w:r>
          </w:p>
        </w:tc>
      </w:tr>
      <w:tr w:rsidR="00BB7FDB" w:rsidRPr="00BB7FDB" w14:paraId="756EC19F" w14:textId="77777777" w:rsidTr="00457E4F">
        <w:trPr>
          <w:trHeight w:val="290"/>
        </w:trPr>
        <w:tc>
          <w:tcPr>
            <w:tcW w:w="6180" w:type="dxa"/>
            <w:noWrap/>
            <w:hideMark/>
          </w:tcPr>
          <w:p w14:paraId="5E8CF02E" w14:textId="77777777" w:rsidR="00BB7FDB" w:rsidRPr="00BB7FDB" w:rsidRDefault="00BB7FDB" w:rsidP="00457E4F">
            <w:r w:rsidRPr="00BB7FDB">
              <w:t>intercept</w:t>
            </w:r>
          </w:p>
        </w:tc>
        <w:tc>
          <w:tcPr>
            <w:tcW w:w="1360" w:type="dxa"/>
            <w:noWrap/>
            <w:hideMark/>
          </w:tcPr>
          <w:p w14:paraId="5FE707E0" w14:textId="77777777" w:rsidR="00BB7FDB" w:rsidRPr="00BB7FDB" w:rsidRDefault="00BB7FDB" w:rsidP="00457E4F">
            <w:pPr>
              <w:tabs>
                <w:tab w:val="decimal" w:pos="369"/>
              </w:tabs>
            </w:pPr>
            <w:r w:rsidRPr="00BB7FDB">
              <w:t>-4.976</w:t>
            </w:r>
            <w:r w:rsidR="003F4A26">
              <w:t>***</w:t>
            </w:r>
          </w:p>
        </w:tc>
        <w:tc>
          <w:tcPr>
            <w:tcW w:w="960" w:type="dxa"/>
            <w:noWrap/>
            <w:hideMark/>
          </w:tcPr>
          <w:p w14:paraId="3D25FD2F" w14:textId="77777777" w:rsidR="00BB7FDB" w:rsidRPr="00BB7FDB" w:rsidRDefault="00BB7FDB" w:rsidP="00457E4F">
            <w:pPr>
              <w:tabs>
                <w:tab w:val="decimal" w:pos="287"/>
              </w:tabs>
            </w:pPr>
            <w:r w:rsidRPr="00BB7FDB">
              <w:t>0.000</w:t>
            </w:r>
          </w:p>
        </w:tc>
      </w:tr>
      <w:tr w:rsidR="00BB7FDB" w:rsidRPr="00BB7FDB" w14:paraId="54666C01" w14:textId="77777777" w:rsidTr="00457E4F">
        <w:trPr>
          <w:trHeight w:val="290"/>
        </w:trPr>
        <w:tc>
          <w:tcPr>
            <w:tcW w:w="6180" w:type="dxa"/>
            <w:noWrap/>
            <w:hideMark/>
          </w:tcPr>
          <w:p w14:paraId="3506F0E4" w14:textId="77777777" w:rsidR="00BB7FDB" w:rsidRPr="00BB7FDB" w:rsidRDefault="00BB7FDB" w:rsidP="00457E4F"/>
        </w:tc>
        <w:tc>
          <w:tcPr>
            <w:tcW w:w="1360" w:type="dxa"/>
            <w:noWrap/>
            <w:hideMark/>
          </w:tcPr>
          <w:p w14:paraId="665425AE" w14:textId="77777777" w:rsidR="00BB7FDB" w:rsidRPr="00BB7FDB" w:rsidRDefault="00BB7FDB" w:rsidP="00457E4F">
            <w:pPr>
              <w:jc w:val="center"/>
            </w:pPr>
          </w:p>
        </w:tc>
        <w:tc>
          <w:tcPr>
            <w:tcW w:w="960" w:type="dxa"/>
            <w:noWrap/>
            <w:hideMark/>
          </w:tcPr>
          <w:p w14:paraId="45366FA8" w14:textId="77777777" w:rsidR="00BB7FDB" w:rsidRPr="00BB7FDB" w:rsidRDefault="00BB7FDB" w:rsidP="00457E4F">
            <w:pPr>
              <w:jc w:val="center"/>
            </w:pPr>
          </w:p>
        </w:tc>
      </w:tr>
      <w:tr w:rsidR="00BB7FDB" w:rsidRPr="00BB7FDB" w14:paraId="1754061A" w14:textId="77777777" w:rsidTr="00457E4F">
        <w:trPr>
          <w:trHeight w:val="290"/>
        </w:trPr>
        <w:tc>
          <w:tcPr>
            <w:tcW w:w="6180" w:type="dxa"/>
            <w:noWrap/>
            <w:hideMark/>
          </w:tcPr>
          <w:p w14:paraId="784A3262" w14:textId="77777777" w:rsidR="00BB7FDB" w:rsidRPr="00BB7FDB" w:rsidRDefault="00BB7FDB" w:rsidP="00457E4F">
            <w:r w:rsidRPr="00BB7FDB">
              <w:t>N</w:t>
            </w:r>
          </w:p>
        </w:tc>
        <w:tc>
          <w:tcPr>
            <w:tcW w:w="2320" w:type="dxa"/>
            <w:gridSpan w:val="2"/>
            <w:noWrap/>
            <w:hideMark/>
          </w:tcPr>
          <w:p w14:paraId="517BD981" w14:textId="77777777" w:rsidR="00BB7FDB" w:rsidRPr="00BB7FDB" w:rsidRDefault="00BB7FDB" w:rsidP="00457E4F">
            <w:pPr>
              <w:jc w:val="center"/>
            </w:pPr>
            <w:r w:rsidRPr="00BB7FDB">
              <w:t>34997298</w:t>
            </w:r>
          </w:p>
        </w:tc>
      </w:tr>
      <w:tr w:rsidR="00BB7FDB" w:rsidRPr="00BB7FDB" w14:paraId="549BF49A" w14:textId="77777777" w:rsidTr="00457E4F">
        <w:trPr>
          <w:trHeight w:val="290"/>
        </w:trPr>
        <w:tc>
          <w:tcPr>
            <w:tcW w:w="6180" w:type="dxa"/>
            <w:noWrap/>
            <w:hideMark/>
          </w:tcPr>
          <w:p w14:paraId="0D7ADDED" w14:textId="77777777" w:rsidR="00BB7FDB" w:rsidRPr="00BB7FDB" w:rsidRDefault="00BB7FDB" w:rsidP="00457E4F">
            <w:r w:rsidRPr="00BB7FDB">
              <w:t>N countries</w:t>
            </w:r>
          </w:p>
        </w:tc>
        <w:tc>
          <w:tcPr>
            <w:tcW w:w="2320" w:type="dxa"/>
            <w:gridSpan w:val="2"/>
            <w:noWrap/>
            <w:hideMark/>
          </w:tcPr>
          <w:p w14:paraId="3DA095B4" w14:textId="77777777" w:rsidR="00BB7FDB" w:rsidRPr="00BB7FDB" w:rsidRDefault="00BB7FDB" w:rsidP="00457E4F">
            <w:pPr>
              <w:jc w:val="center"/>
            </w:pPr>
            <w:r w:rsidRPr="00BB7FDB">
              <w:t>21</w:t>
            </w:r>
          </w:p>
        </w:tc>
      </w:tr>
      <w:tr w:rsidR="00BB7FDB" w:rsidRPr="00BB7FDB" w14:paraId="7525A9EA" w14:textId="77777777" w:rsidTr="00457E4F">
        <w:trPr>
          <w:trHeight w:val="290"/>
        </w:trPr>
        <w:tc>
          <w:tcPr>
            <w:tcW w:w="6180" w:type="dxa"/>
            <w:noWrap/>
            <w:hideMark/>
          </w:tcPr>
          <w:p w14:paraId="7E03AC75" w14:textId="77777777" w:rsidR="00BB7FDB" w:rsidRPr="00BB7FDB" w:rsidRDefault="00BB7FDB" w:rsidP="00457E4F">
            <w:r w:rsidRPr="00BB7FDB">
              <w:t>N birth cohorts</w:t>
            </w:r>
          </w:p>
        </w:tc>
        <w:tc>
          <w:tcPr>
            <w:tcW w:w="2320" w:type="dxa"/>
            <w:gridSpan w:val="2"/>
            <w:noWrap/>
            <w:hideMark/>
          </w:tcPr>
          <w:p w14:paraId="6DFBEFA6" w14:textId="77777777" w:rsidR="00BB7FDB" w:rsidRPr="00BB7FDB" w:rsidRDefault="00BB7FDB" w:rsidP="00457E4F">
            <w:pPr>
              <w:jc w:val="center"/>
            </w:pPr>
            <w:r w:rsidRPr="00BB7FDB">
              <w:t>252</w:t>
            </w:r>
          </w:p>
        </w:tc>
      </w:tr>
      <w:tr w:rsidR="00BB7FDB" w:rsidRPr="00BB7FDB" w14:paraId="686E7CF2" w14:textId="77777777" w:rsidTr="00457E4F">
        <w:trPr>
          <w:trHeight w:val="290"/>
        </w:trPr>
        <w:tc>
          <w:tcPr>
            <w:tcW w:w="6180" w:type="dxa"/>
            <w:noWrap/>
            <w:hideMark/>
          </w:tcPr>
          <w:p w14:paraId="40F46487" w14:textId="77777777" w:rsidR="00BB7FDB" w:rsidRPr="00BB7FDB" w:rsidRDefault="00BB7FDB" w:rsidP="00457E4F">
            <w:r w:rsidRPr="00BB7FDB">
              <w:t>Log likelihood</w:t>
            </w:r>
          </w:p>
        </w:tc>
        <w:tc>
          <w:tcPr>
            <w:tcW w:w="2320" w:type="dxa"/>
            <w:gridSpan w:val="2"/>
            <w:noWrap/>
            <w:hideMark/>
          </w:tcPr>
          <w:p w14:paraId="7AC165E2" w14:textId="77777777" w:rsidR="00BB7FDB" w:rsidRPr="00BB7FDB" w:rsidRDefault="00BB7FDB" w:rsidP="00457E4F">
            <w:pPr>
              <w:jc w:val="center"/>
            </w:pPr>
            <w:r w:rsidRPr="00BB7FDB">
              <w:t>-293296</w:t>
            </w:r>
          </w:p>
        </w:tc>
      </w:tr>
      <w:tr w:rsidR="00BB7FDB" w:rsidRPr="00BB7FDB" w14:paraId="3A190A61" w14:textId="77777777" w:rsidTr="00457E4F">
        <w:trPr>
          <w:trHeight w:val="290"/>
        </w:trPr>
        <w:tc>
          <w:tcPr>
            <w:tcW w:w="6180" w:type="dxa"/>
            <w:noWrap/>
            <w:hideMark/>
          </w:tcPr>
          <w:p w14:paraId="71BC34D7" w14:textId="77777777" w:rsidR="00BB7FDB" w:rsidRPr="00BB7FDB" w:rsidRDefault="00BB7FDB" w:rsidP="00457E4F">
            <w:pPr>
              <w:rPr>
                <w:lang w:val="en-US"/>
              </w:rPr>
            </w:pPr>
            <w:r w:rsidRPr="00BB7FDB">
              <w:rPr>
                <w:lang w:val="en-US"/>
              </w:rPr>
              <w:t>random slope type of union, country</w:t>
            </w:r>
          </w:p>
        </w:tc>
        <w:tc>
          <w:tcPr>
            <w:tcW w:w="2320" w:type="dxa"/>
            <w:gridSpan w:val="2"/>
            <w:noWrap/>
            <w:hideMark/>
          </w:tcPr>
          <w:p w14:paraId="5C440FA5" w14:textId="77777777" w:rsidR="00BB7FDB" w:rsidRPr="00BB7FDB" w:rsidRDefault="00BB7FDB" w:rsidP="00457E4F">
            <w:pPr>
              <w:jc w:val="center"/>
            </w:pPr>
            <w:r w:rsidRPr="00BB7FDB">
              <w:t>0.399</w:t>
            </w:r>
          </w:p>
        </w:tc>
      </w:tr>
      <w:tr w:rsidR="00BB7FDB" w:rsidRPr="00BB7FDB" w14:paraId="1B1DA751" w14:textId="77777777" w:rsidTr="00457E4F">
        <w:trPr>
          <w:trHeight w:val="290"/>
        </w:trPr>
        <w:tc>
          <w:tcPr>
            <w:tcW w:w="6180" w:type="dxa"/>
            <w:noWrap/>
            <w:hideMark/>
          </w:tcPr>
          <w:p w14:paraId="6DAFF21E" w14:textId="77777777" w:rsidR="00BB7FDB" w:rsidRPr="00BB7FDB" w:rsidRDefault="00BB7FDB" w:rsidP="00457E4F">
            <w:pPr>
              <w:rPr>
                <w:lang w:val="en-US"/>
              </w:rPr>
            </w:pPr>
            <w:r w:rsidRPr="00BB7FDB">
              <w:rPr>
                <w:lang w:val="en-US"/>
              </w:rPr>
              <w:t>random slope type of union, birth cohort</w:t>
            </w:r>
          </w:p>
        </w:tc>
        <w:tc>
          <w:tcPr>
            <w:tcW w:w="2320" w:type="dxa"/>
            <w:gridSpan w:val="2"/>
            <w:noWrap/>
            <w:hideMark/>
          </w:tcPr>
          <w:p w14:paraId="11E862A9" w14:textId="77777777" w:rsidR="00BB7FDB" w:rsidRPr="00BB7FDB" w:rsidRDefault="00BB7FDB" w:rsidP="00457E4F">
            <w:pPr>
              <w:jc w:val="center"/>
            </w:pPr>
            <w:r w:rsidRPr="00BB7FDB">
              <w:t>0.134</w:t>
            </w:r>
          </w:p>
        </w:tc>
      </w:tr>
      <w:tr w:rsidR="00BB7FDB" w:rsidRPr="00BB7FDB" w14:paraId="2ADF8965" w14:textId="77777777" w:rsidTr="00457E4F">
        <w:trPr>
          <w:trHeight w:val="290"/>
        </w:trPr>
        <w:tc>
          <w:tcPr>
            <w:tcW w:w="6180" w:type="dxa"/>
            <w:noWrap/>
            <w:hideMark/>
          </w:tcPr>
          <w:p w14:paraId="5BA8918F" w14:textId="77777777" w:rsidR="00BB7FDB" w:rsidRPr="00BB7FDB" w:rsidRDefault="00BB7FDB" w:rsidP="00457E4F">
            <w:pPr>
              <w:rPr>
                <w:lang w:val="en-US"/>
              </w:rPr>
            </w:pPr>
            <w:r w:rsidRPr="00BB7FDB">
              <w:rPr>
                <w:lang w:val="en-US"/>
              </w:rPr>
              <w:t>covariance type of union slope on country and cohort level</w:t>
            </w:r>
          </w:p>
        </w:tc>
        <w:tc>
          <w:tcPr>
            <w:tcW w:w="2320" w:type="dxa"/>
            <w:gridSpan w:val="2"/>
            <w:noWrap/>
            <w:hideMark/>
          </w:tcPr>
          <w:p w14:paraId="6CE5118F" w14:textId="77777777" w:rsidR="00BB7FDB" w:rsidRPr="00BB7FDB" w:rsidRDefault="00BB7FDB" w:rsidP="00457E4F">
            <w:pPr>
              <w:jc w:val="center"/>
            </w:pPr>
            <w:r w:rsidRPr="00BB7FDB">
              <w:t>0.111</w:t>
            </w:r>
          </w:p>
        </w:tc>
      </w:tr>
    </w:tbl>
    <w:p w14:paraId="5CA6B7A3" w14:textId="12F479E8" w:rsidR="00BB7FDB" w:rsidRDefault="00BB7FDB" w:rsidP="00BB7FDB">
      <w:pPr>
        <w:rPr>
          <w:i/>
          <w:sz w:val="18"/>
          <w:szCs w:val="18"/>
          <w:lang w:val="en-US"/>
        </w:rPr>
      </w:pPr>
      <w:r>
        <w:rPr>
          <w:i/>
          <w:sz w:val="18"/>
          <w:szCs w:val="18"/>
          <w:lang w:val="en-US"/>
        </w:rPr>
        <w:t>Table S</w:t>
      </w:r>
      <w:r w:rsidR="00457E4F">
        <w:rPr>
          <w:i/>
          <w:sz w:val="18"/>
          <w:szCs w:val="18"/>
          <w:lang w:val="en-US"/>
        </w:rPr>
        <w:t>1</w:t>
      </w:r>
      <w:r w:rsidRPr="00110CA9">
        <w:rPr>
          <w:i/>
          <w:sz w:val="18"/>
          <w:szCs w:val="18"/>
          <w:lang w:val="en-US"/>
        </w:rPr>
        <w:t xml:space="preserve">. </w:t>
      </w:r>
      <w:r>
        <w:rPr>
          <w:i/>
          <w:sz w:val="18"/>
          <w:szCs w:val="18"/>
          <w:lang w:val="en-US"/>
        </w:rPr>
        <w:t>Logit coefficients</w:t>
      </w:r>
      <w:r w:rsidRPr="00E34AD9">
        <w:rPr>
          <w:i/>
          <w:sz w:val="18"/>
          <w:szCs w:val="18"/>
          <w:lang w:val="en-US"/>
        </w:rPr>
        <w:t xml:space="preserve"> of </w:t>
      </w:r>
      <w:r w:rsidR="00063EF4">
        <w:rPr>
          <w:i/>
          <w:sz w:val="18"/>
          <w:szCs w:val="18"/>
          <w:lang w:val="en-US"/>
        </w:rPr>
        <w:t>u</w:t>
      </w:r>
      <w:r w:rsidRPr="00E34AD9">
        <w:rPr>
          <w:i/>
          <w:sz w:val="18"/>
          <w:szCs w:val="18"/>
          <w:lang w:val="en-US"/>
        </w:rPr>
        <w:t xml:space="preserve">nion </w:t>
      </w:r>
      <w:r w:rsidR="00063EF4">
        <w:rPr>
          <w:i/>
          <w:sz w:val="18"/>
          <w:szCs w:val="18"/>
          <w:lang w:val="en-US"/>
        </w:rPr>
        <w:t>d</w:t>
      </w:r>
      <w:r w:rsidRPr="00E34AD9">
        <w:rPr>
          <w:i/>
          <w:sz w:val="18"/>
          <w:szCs w:val="18"/>
          <w:lang w:val="en-US"/>
        </w:rPr>
        <w:t xml:space="preserve">issolution of </w:t>
      </w:r>
      <w:proofErr w:type="spellStart"/>
      <w:r w:rsidR="00063EF4">
        <w:rPr>
          <w:i/>
          <w:sz w:val="18"/>
          <w:szCs w:val="18"/>
          <w:lang w:val="en-US"/>
        </w:rPr>
        <w:t>c</w:t>
      </w:r>
      <w:r w:rsidRPr="00E34AD9">
        <w:rPr>
          <w:i/>
          <w:sz w:val="18"/>
          <w:szCs w:val="18"/>
          <w:lang w:val="en-US"/>
        </w:rPr>
        <w:t>ohabitors</w:t>
      </w:r>
      <w:proofErr w:type="spellEnd"/>
      <w:r w:rsidRPr="00E34AD9">
        <w:rPr>
          <w:i/>
          <w:sz w:val="18"/>
          <w:szCs w:val="18"/>
          <w:lang w:val="en-US"/>
        </w:rPr>
        <w:t xml:space="preserve"> and </w:t>
      </w:r>
      <w:r w:rsidR="00063EF4">
        <w:rPr>
          <w:i/>
          <w:sz w:val="18"/>
          <w:szCs w:val="18"/>
          <w:lang w:val="en-US"/>
        </w:rPr>
        <w:t>f</w:t>
      </w:r>
      <w:r w:rsidRPr="00E34AD9">
        <w:rPr>
          <w:i/>
          <w:sz w:val="18"/>
          <w:szCs w:val="18"/>
          <w:lang w:val="en-US"/>
        </w:rPr>
        <w:t xml:space="preserve">ormer </w:t>
      </w:r>
      <w:proofErr w:type="spellStart"/>
      <w:r w:rsidR="00063EF4">
        <w:rPr>
          <w:i/>
          <w:sz w:val="18"/>
          <w:szCs w:val="18"/>
          <w:lang w:val="en-US"/>
        </w:rPr>
        <w:t>c</w:t>
      </w:r>
      <w:r w:rsidRPr="00E34AD9">
        <w:rPr>
          <w:i/>
          <w:sz w:val="18"/>
          <w:szCs w:val="18"/>
          <w:lang w:val="en-US"/>
        </w:rPr>
        <w:t>ohabitors</w:t>
      </w:r>
      <w:proofErr w:type="spellEnd"/>
      <w:r w:rsidRPr="00E34AD9">
        <w:rPr>
          <w:i/>
          <w:sz w:val="18"/>
          <w:szCs w:val="18"/>
          <w:lang w:val="en-US"/>
        </w:rPr>
        <w:t xml:space="preserve"> </w:t>
      </w:r>
      <w:r w:rsidR="00063EF4">
        <w:rPr>
          <w:i/>
          <w:sz w:val="18"/>
          <w:szCs w:val="18"/>
          <w:lang w:val="en-US"/>
        </w:rPr>
        <w:t>co</w:t>
      </w:r>
      <w:r w:rsidRPr="00E34AD9">
        <w:rPr>
          <w:i/>
          <w:sz w:val="18"/>
          <w:szCs w:val="18"/>
          <w:lang w:val="en-US"/>
        </w:rPr>
        <w:t>mpared</w:t>
      </w:r>
      <w:r>
        <w:rPr>
          <w:i/>
          <w:sz w:val="18"/>
          <w:szCs w:val="18"/>
          <w:lang w:val="en-US"/>
        </w:rPr>
        <w:t xml:space="preserve"> </w:t>
      </w:r>
      <w:r w:rsidR="00063EF4">
        <w:rPr>
          <w:i/>
          <w:sz w:val="18"/>
          <w:szCs w:val="18"/>
          <w:lang w:val="en-US"/>
        </w:rPr>
        <w:t>w</w:t>
      </w:r>
      <w:r w:rsidRPr="00E34AD9">
        <w:rPr>
          <w:i/>
          <w:sz w:val="18"/>
          <w:szCs w:val="18"/>
          <w:lang w:val="en-US"/>
        </w:rPr>
        <w:t xml:space="preserve">ith </w:t>
      </w:r>
      <w:r w:rsidR="00063EF4">
        <w:rPr>
          <w:i/>
          <w:sz w:val="18"/>
          <w:szCs w:val="18"/>
          <w:lang w:val="en-US"/>
        </w:rPr>
        <w:t>w</w:t>
      </w:r>
      <w:r w:rsidRPr="00E34AD9">
        <w:rPr>
          <w:i/>
          <w:sz w:val="18"/>
          <w:szCs w:val="18"/>
          <w:lang w:val="en-US"/>
        </w:rPr>
        <w:t xml:space="preserve">omen </w:t>
      </w:r>
      <w:r w:rsidR="00063EF4">
        <w:rPr>
          <w:i/>
          <w:sz w:val="18"/>
          <w:szCs w:val="18"/>
          <w:lang w:val="en-US"/>
        </w:rPr>
        <w:t>w</w:t>
      </w:r>
      <w:r w:rsidRPr="00E34AD9">
        <w:rPr>
          <w:i/>
          <w:sz w:val="18"/>
          <w:szCs w:val="18"/>
          <w:lang w:val="en-US"/>
        </w:rPr>
        <w:t xml:space="preserve">ho </w:t>
      </w:r>
      <w:r w:rsidR="00063EF4">
        <w:rPr>
          <w:i/>
          <w:sz w:val="18"/>
          <w:szCs w:val="18"/>
          <w:lang w:val="en-US"/>
        </w:rPr>
        <w:t>m</w:t>
      </w:r>
      <w:r w:rsidRPr="00E34AD9">
        <w:rPr>
          <w:i/>
          <w:sz w:val="18"/>
          <w:szCs w:val="18"/>
          <w:lang w:val="en-US"/>
        </w:rPr>
        <w:t xml:space="preserve">arry </w:t>
      </w:r>
      <w:r w:rsidR="00063EF4">
        <w:rPr>
          <w:i/>
          <w:sz w:val="18"/>
          <w:szCs w:val="18"/>
          <w:lang w:val="en-US"/>
        </w:rPr>
        <w:t>w</w:t>
      </w:r>
      <w:r w:rsidRPr="00E34AD9">
        <w:rPr>
          <w:i/>
          <w:sz w:val="18"/>
          <w:szCs w:val="18"/>
          <w:lang w:val="en-US"/>
        </w:rPr>
        <w:t xml:space="preserve">ithout </w:t>
      </w:r>
      <w:r w:rsidR="00063EF4">
        <w:rPr>
          <w:i/>
          <w:sz w:val="18"/>
          <w:szCs w:val="18"/>
          <w:lang w:val="en-US"/>
        </w:rPr>
        <w:t>p</w:t>
      </w:r>
      <w:r w:rsidRPr="00E34AD9">
        <w:rPr>
          <w:i/>
          <w:sz w:val="18"/>
          <w:szCs w:val="18"/>
          <w:lang w:val="en-US"/>
        </w:rPr>
        <w:t xml:space="preserve">rior </w:t>
      </w:r>
      <w:r w:rsidR="00063EF4">
        <w:rPr>
          <w:i/>
          <w:sz w:val="18"/>
          <w:szCs w:val="18"/>
          <w:lang w:val="en-US"/>
        </w:rPr>
        <w:t>c</w:t>
      </w:r>
      <w:r w:rsidRPr="00E34AD9">
        <w:rPr>
          <w:i/>
          <w:sz w:val="18"/>
          <w:szCs w:val="18"/>
          <w:lang w:val="en-US"/>
        </w:rPr>
        <w:t xml:space="preserve">ohabitation, by the </w:t>
      </w:r>
      <w:r w:rsidR="00063EF4">
        <w:rPr>
          <w:i/>
          <w:sz w:val="18"/>
          <w:szCs w:val="18"/>
          <w:lang w:val="en-US"/>
        </w:rPr>
        <w:t>i</w:t>
      </w:r>
      <w:r w:rsidRPr="00E34AD9">
        <w:rPr>
          <w:i/>
          <w:sz w:val="18"/>
          <w:szCs w:val="18"/>
          <w:lang w:val="en-US"/>
        </w:rPr>
        <w:t xml:space="preserve">ncidence of </w:t>
      </w:r>
      <w:r w:rsidR="00063EF4">
        <w:rPr>
          <w:i/>
          <w:sz w:val="18"/>
          <w:szCs w:val="18"/>
          <w:lang w:val="en-US"/>
        </w:rPr>
        <w:t>u</w:t>
      </w:r>
      <w:r w:rsidRPr="00E34AD9">
        <w:rPr>
          <w:i/>
          <w:sz w:val="18"/>
          <w:szCs w:val="18"/>
          <w:lang w:val="en-US"/>
        </w:rPr>
        <w:t>nmarried</w:t>
      </w:r>
      <w:r>
        <w:rPr>
          <w:i/>
          <w:sz w:val="18"/>
          <w:szCs w:val="18"/>
          <w:lang w:val="en-US"/>
        </w:rPr>
        <w:t xml:space="preserve"> </w:t>
      </w:r>
      <w:r w:rsidR="00063EF4">
        <w:rPr>
          <w:i/>
          <w:sz w:val="18"/>
          <w:szCs w:val="18"/>
          <w:lang w:val="en-US"/>
        </w:rPr>
        <w:t>c</w:t>
      </w:r>
      <w:r>
        <w:rPr>
          <w:i/>
          <w:sz w:val="18"/>
          <w:szCs w:val="18"/>
          <w:lang w:val="en-US"/>
        </w:rPr>
        <w:t xml:space="preserve">ohabitation in the </w:t>
      </w:r>
      <w:r w:rsidR="00063EF4">
        <w:rPr>
          <w:i/>
          <w:sz w:val="18"/>
          <w:szCs w:val="18"/>
          <w:lang w:val="en-US"/>
        </w:rPr>
        <w:t>c</w:t>
      </w:r>
      <w:r>
        <w:rPr>
          <w:i/>
          <w:sz w:val="18"/>
          <w:szCs w:val="18"/>
          <w:lang w:val="en-US"/>
        </w:rPr>
        <w:t>ontext. 21 countries</w:t>
      </w:r>
      <w:r w:rsidR="00063EF4">
        <w:rPr>
          <w:i/>
          <w:sz w:val="18"/>
          <w:szCs w:val="18"/>
          <w:lang w:val="en-US"/>
        </w:rPr>
        <w:t>, 252 birth cohorts</w:t>
      </w:r>
      <w:r>
        <w:rPr>
          <w:i/>
          <w:sz w:val="18"/>
          <w:szCs w:val="18"/>
          <w:lang w:val="en-US"/>
        </w:rPr>
        <w:t xml:space="preserve">. </w:t>
      </w:r>
    </w:p>
    <w:p w14:paraId="02DFE127" w14:textId="77777777" w:rsidR="006B6C45" w:rsidRPr="00111343" w:rsidRDefault="006B6C45">
      <w:pPr>
        <w:rPr>
          <w:lang w:val="en-US"/>
        </w:rPr>
      </w:pPr>
    </w:p>
    <w:sectPr w:rsidR="006B6C45" w:rsidRPr="00111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27"/>
    <w:rsid w:val="00063EF4"/>
    <w:rsid w:val="0007286A"/>
    <w:rsid w:val="000938E7"/>
    <w:rsid w:val="00111343"/>
    <w:rsid w:val="00152874"/>
    <w:rsid w:val="001B7085"/>
    <w:rsid w:val="001D17D5"/>
    <w:rsid w:val="00256700"/>
    <w:rsid w:val="00282393"/>
    <w:rsid w:val="002C34CA"/>
    <w:rsid w:val="00336786"/>
    <w:rsid w:val="003F4A26"/>
    <w:rsid w:val="00405E27"/>
    <w:rsid w:val="00414B04"/>
    <w:rsid w:val="004304D7"/>
    <w:rsid w:val="00457E4F"/>
    <w:rsid w:val="0048737D"/>
    <w:rsid w:val="006B6C45"/>
    <w:rsid w:val="0079719C"/>
    <w:rsid w:val="007F1668"/>
    <w:rsid w:val="0089528C"/>
    <w:rsid w:val="008A15BC"/>
    <w:rsid w:val="008C6D09"/>
    <w:rsid w:val="0092464D"/>
    <w:rsid w:val="009F567A"/>
    <w:rsid w:val="00A0685A"/>
    <w:rsid w:val="00A85D32"/>
    <w:rsid w:val="00B123EE"/>
    <w:rsid w:val="00B63B7D"/>
    <w:rsid w:val="00BB7FDB"/>
    <w:rsid w:val="00D633D4"/>
    <w:rsid w:val="00DB6540"/>
    <w:rsid w:val="00E617C0"/>
    <w:rsid w:val="00E62501"/>
    <w:rsid w:val="00EB5C33"/>
    <w:rsid w:val="00F16340"/>
    <w:rsid w:val="00F944EE"/>
    <w:rsid w:val="00FA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23085"/>
  <w15:chartTrackingRefBased/>
  <w15:docId w15:val="{D9A444A4-3048-41AF-8EDC-816E6B19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5E2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5E27"/>
    <w:rPr>
      <w:color w:val="954F72"/>
      <w:u w:val="single"/>
    </w:rPr>
  </w:style>
  <w:style w:type="paragraph" w:customStyle="1" w:styleId="msonormal0">
    <w:name w:val="msonormal"/>
    <w:basedOn w:val="Normal"/>
    <w:rsid w:val="00405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405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mvandamme</dc:creator>
  <cp:keywords/>
  <dc:description/>
  <cp:lastModifiedBy>mvandamme</cp:lastModifiedBy>
  <cp:revision>2</cp:revision>
  <cp:lastPrinted>2025-10-16T15:12:00Z</cp:lastPrinted>
  <dcterms:created xsi:type="dcterms:W3CDTF">2025-11-26T11:30:00Z</dcterms:created>
  <dcterms:modified xsi:type="dcterms:W3CDTF">2025-11-26T11:30:00Z</dcterms:modified>
</cp:coreProperties>
</file>