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C9" w:rsidRDefault="00A56F49">
      <w:pPr>
        <w:pStyle w:val="Balk1"/>
      </w:pPr>
      <w:r>
        <w:t xml:space="preserve">Supplementary File </w:t>
      </w:r>
      <w:bookmarkStart w:id="0" w:name="_GoBack"/>
      <w:r>
        <w:t>S1 – GRI-Based Codebook and Coding Scheme</w:t>
      </w:r>
      <w:bookmarkEnd w:id="0"/>
    </w:p>
    <w:p w:rsidR="00D030C9" w:rsidRDefault="00A56F49">
      <w:r>
        <w:br/>
        <w:t>Purpose:</w:t>
      </w:r>
      <w:r>
        <w:br/>
        <w:t xml:space="preserve">This codebook documents the GRI-based coding framework used in the qualitative content analysis of sustainability disclosures by Enerjisa, E.ON, and Enel (2023). It ensures </w:t>
      </w:r>
      <w:r>
        <w:t>transparency, consistency, and replicability in line with the reviewer’s request for full documentation of variables and coding schemes.</w:t>
      </w:r>
      <w:r>
        <w:br/>
      </w:r>
      <w:r>
        <w:br/>
        <w:t>Unit of Analysis:</w:t>
      </w:r>
      <w:r>
        <w:br/>
        <w:t>The unit of analysis is firm-level disclosure for each GRI indicator, based on the companies’ 2023 S</w:t>
      </w:r>
      <w:r>
        <w:t>ustainability Reports and Integrated Annual Reports.</w:t>
      </w:r>
      <w:r>
        <w:br/>
      </w:r>
      <w:r>
        <w:br/>
        <w:t>Indicators Included:</w:t>
      </w:r>
      <w:r>
        <w:br/>
        <w:t>The following indicators constitute the full analytical framework of the study:</w:t>
      </w:r>
      <w:r>
        <w:br/>
      </w:r>
    </w:p>
    <w:p w:rsidR="00D030C9" w:rsidRDefault="00A56F49">
      <w:r>
        <w:t>- GRI 302 – Energy</w:t>
      </w:r>
    </w:p>
    <w:p w:rsidR="00D030C9" w:rsidRDefault="00A56F49">
      <w:r>
        <w:t>- GRI 305 – Emissions</w:t>
      </w:r>
    </w:p>
    <w:p w:rsidR="00D030C9" w:rsidRDefault="00A56F49">
      <w:r>
        <w:t>- Net Zero Target Year</w:t>
      </w:r>
    </w:p>
    <w:p w:rsidR="00D030C9" w:rsidRDefault="00A56F49">
      <w:r>
        <w:t>- GRI 304 – Biodiversity</w:t>
      </w:r>
    </w:p>
    <w:p w:rsidR="00D030C9" w:rsidRDefault="00A56F49">
      <w:r>
        <w:t>- GRI 307 –</w:t>
      </w:r>
      <w:r>
        <w:t xml:space="preserve"> Environmental Compliance</w:t>
      </w:r>
    </w:p>
    <w:p w:rsidR="00D030C9" w:rsidRDefault="00A56F49">
      <w:r>
        <w:t>- GRI 401 – Employment</w:t>
      </w:r>
    </w:p>
    <w:p w:rsidR="00D030C9" w:rsidRDefault="00A56F49">
      <w:r>
        <w:t>- GRI 403 – Occupational Health &amp; Safety</w:t>
      </w:r>
    </w:p>
    <w:p w:rsidR="00D030C9" w:rsidRDefault="00A56F49">
      <w:r>
        <w:t>- GRI 405 – Diversity &amp; Equality</w:t>
      </w:r>
    </w:p>
    <w:p w:rsidR="00D030C9" w:rsidRDefault="00A56F49">
      <w:r>
        <w:t>- GRI 413 – Local Communities</w:t>
      </w:r>
    </w:p>
    <w:p w:rsidR="00D030C9" w:rsidRDefault="00A56F49">
      <w:r>
        <w:br/>
        <w:t>Operational Definitions:</w:t>
      </w:r>
      <w:r>
        <w:br/>
      </w:r>
      <w:r>
        <w:br/>
        <w:t xml:space="preserve">• GRI 302 (Energy): Disclosures related to total energy consumption, energy </w:t>
      </w:r>
      <w:r>
        <w:t>intensity, renewable energy use, and integration of energy efficiency into business strategy.</w:t>
      </w:r>
      <w:r>
        <w:br/>
      </w:r>
      <w:r>
        <w:br/>
        <w:t>• GRI 305 (Emissions): Disclosures on Scope 1, Scope 2, and (where available) Scope 3 greenhouse gas emissions, emission intensity, reduction targets, and decarb</w:t>
      </w:r>
      <w:r>
        <w:t>onization pathways.</w:t>
      </w:r>
      <w:r>
        <w:br/>
      </w:r>
      <w:r>
        <w:br/>
        <w:t xml:space="preserve">• Net Zero Target Year: Publicly stated target year for achieving net-zero greenhouse gas </w:t>
      </w:r>
      <w:r>
        <w:lastRenderedPageBreak/>
        <w:t>emissions, including interim targets where applicable.</w:t>
      </w:r>
      <w:r>
        <w:br/>
      </w:r>
      <w:r>
        <w:br/>
        <w:t>• GRI 304 (Biodiversity): Disclosures concerning impacts on biodiversity, land use, ecosy</w:t>
      </w:r>
      <w:r>
        <w:t>stem protection measures, and restoration initiatives.</w:t>
      </w:r>
      <w:r>
        <w:br/>
      </w:r>
      <w:r>
        <w:br/>
        <w:t>• GRI 307 (Environmental Compliance): Information on compliance with environmental laws and regulations, including reported incidents, fines, or the absence thereof.</w:t>
      </w:r>
      <w:r>
        <w:br/>
      </w:r>
      <w:r>
        <w:br/>
        <w:t>• GRI 401 (Employment): Disclosur</w:t>
      </w:r>
      <w:r>
        <w:t>es related to workforce size, employment contracts, turnover rates, and employment stability.</w:t>
      </w:r>
      <w:r>
        <w:br/>
      </w:r>
      <w:r>
        <w:br/>
        <w:t>• GRI 403 (Occupational Health &amp; Safety): Information on occupational health and safety management systems, injury rates (e.g., LTIF/TRIF), and preventive measur</w:t>
      </w:r>
      <w:r>
        <w:t>es.</w:t>
      </w:r>
      <w:r>
        <w:br/>
      </w:r>
      <w:r>
        <w:br/>
        <w:t>• GRI 405 (Diversity &amp; Equality): Disclosures on workforce diversity, gender balance, equality policies, and representation in management.</w:t>
      </w:r>
      <w:r>
        <w:br/>
      </w:r>
      <w:r>
        <w:br/>
        <w:t>• GRI 413 (Local Communities): Information on community engagement, social investment, stakeholder dialogue, an</w:t>
      </w:r>
      <w:r>
        <w:t>d local impact initiatives.</w:t>
      </w:r>
      <w:r>
        <w:br/>
      </w:r>
    </w:p>
    <w:p w:rsidR="00D030C9" w:rsidRDefault="00A56F49">
      <w:r>
        <w:br/>
        <w:t>Scoring Scale (1–5):</w:t>
      </w:r>
      <w:r>
        <w:br/>
      </w:r>
      <w:r>
        <w:br/>
        <w:t>1 = No disclosure or negligible mention of the indicator.</w:t>
      </w:r>
      <w:r>
        <w:br/>
        <w:t>2 = Symbolic or narrative disclosure without quantitative data.</w:t>
      </w:r>
      <w:r>
        <w:br/>
        <w:t>3 = Quantitative disclosure at a basic compliance level.</w:t>
      </w:r>
      <w:r>
        <w:br/>
        <w:t>4 = Quantitative disclosu</w:t>
      </w:r>
      <w:r>
        <w:t>re with targets, programs, or structured initiatives.</w:t>
      </w:r>
      <w:r>
        <w:br/>
        <w:t>5 = Strategic integration, including governance linkage and long-term commitments.</w:t>
      </w:r>
      <w:r>
        <w:br/>
      </w:r>
      <w:r>
        <w:br/>
        <w:t>Normalization:</w:t>
      </w:r>
      <w:r>
        <w:br/>
        <w:t>Normalized Score (%) = (Indicator Score / 5) × 100</w:t>
      </w:r>
      <w:r>
        <w:br/>
      </w:r>
      <w:r>
        <w:br/>
        <w:t>Coding Rules:</w:t>
      </w:r>
      <w:r>
        <w:br/>
        <w:t>• Scores reflect disclosure depth and</w:t>
      </w:r>
      <w:r>
        <w:t xml:space="preserve"> strategic integration rather than operational performance.</w:t>
      </w:r>
      <w:r>
        <w:br/>
        <w:t>• Conservative scoring is applied in cases of ambiguity.</w:t>
      </w:r>
      <w:r>
        <w:br/>
        <w:t>• Multiple disclosures within a report are consolidated at the indicator level.</w:t>
      </w:r>
      <w:r>
        <w:br/>
        <w:t>• Missing disclosure is explicitly coded as “not disclosed.</w:t>
      </w:r>
      <w:r>
        <w:t>”</w:t>
      </w:r>
      <w:r>
        <w:br/>
      </w:r>
      <w:r>
        <w:br/>
      </w:r>
      <w:r>
        <w:br/>
      </w:r>
    </w:p>
    <w:sectPr w:rsidR="00D030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56F49"/>
    <w:rsid w:val="00AA1D8D"/>
    <w:rsid w:val="00B47730"/>
    <w:rsid w:val="00CB0664"/>
    <w:rsid w:val="00D030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3CB55BB-6B03-47CE-BD4A-F3C2725B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A1C207-8055-40D6-83CD-B0515C98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2026-01-06T10:35:00Z</dcterms:created>
  <dcterms:modified xsi:type="dcterms:W3CDTF">2026-01-06T10:35:00Z</dcterms:modified>
  <cp:category/>
</cp:coreProperties>
</file>