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701F">
      <w:pPr>
        <w:pStyle w:val="29"/>
      </w:pPr>
      <w:r>
        <w:t>Supplemental Material - Table 5</w:t>
      </w:r>
    </w:p>
    <w:p w14:paraId="34BBD054">
      <w:pPr>
        <w:pStyle w:val="30"/>
      </w:pPr>
      <w:r>
        <w:t>Table 5. Detailed Spearman Rank Correlation Analysis Between DTJEH and Patient-Reported Outcomes</w:t>
      </w:r>
    </w:p>
    <w:p w14:paraId="3ECF4C28">
      <w:pPr>
        <w:pStyle w:val="31"/>
      </w:pPr>
      <w:r>
        <w:t>Analysis A: All Patients (LAMBDA-negative patients recorded as DTJEH = 0 mm)</w:t>
      </w:r>
    </w:p>
    <w:tbl>
      <w:tblPr>
        <w:tblStyle w:val="10"/>
        <w:tblW w:w="9242" w:type="dxa"/>
        <w:jc w:val="center"/>
        <w:tblBorders>
          <w:top w:val="single" w:color="E1E4E8" w:sz="4" w:space="0"/>
          <w:left w:val="none" w:color="auto" w:sz="0" w:space="0"/>
          <w:bottom w:val="single" w:color="E1E4E8" w:sz="4" w:space="0"/>
          <w:right w:val="none" w:color="auto" w:sz="0" w:space="0"/>
          <w:insideH w:val="single" w:color="E1E4E8" w:sz="2" w:space="0"/>
          <w:insideV w:val="single" w:color="F6F8FA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15"/>
        <w:gridCol w:w="1474"/>
        <w:gridCol w:w="995"/>
        <w:gridCol w:w="1336"/>
        <w:gridCol w:w="2722"/>
      </w:tblGrid>
      <w:tr w14:paraId="1B47391E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71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0DB6E6">
            <w:pPr>
              <w:pStyle w:val="27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Patient-Reported Outcome</w:t>
            </w:r>
          </w:p>
        </w:tc>
        <w:tc>
          <w:tcPr>
            <w:tcW w:w="147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E8ABD1">
            <w:pPr>
              <w:pStyle w:val="27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Spearman's ρ</w:t>
            </w:r>
          </w:p>
        </w:tc>
        <w:tc>
          <w:tcPr>
            <w:tcW w:w="98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A66403">
            <w:pPr>
              <w:pStyle w:val="27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P Value</w:t>
            </w:r>
          </w:p>
        </w:tc>
        <w:tc>
          <w:tcPr>
            <w:tcW w:w="133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0912AB">
            <w:pPr>
              <w:pStyle w:val="27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95% CI</w:t>
            </w:r>
          </w:p>
        </w:tc>
        <w:tc>
          <w:tcPr>
            <w:tcW w:w="272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62E5FA">
            <w:pPr>
              <w:pStyle w:val="27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Interpretation</w:t>
            </w:r>
          </w:p>
        </w:tc>
      </w:tr>
      <w:tr w14:paraId="1062BCC5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965518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rPr>
                <w:rStyle w:val="37"/>
                <w:b/>
                <w:bCs/>
              </w:rPr>
              <w:t>Primary Outcome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17D60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03D0A1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DB3AB9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2170D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</w:p>
        </w:tc>
      </w:tr>
      <w:tr w14:paraId="7D8371C0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7DF5E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FAOS Score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B2B241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-0.413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32895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&lt;0.001**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84212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-0.587, -0.201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97B63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Significant negative correlation</w:t>
            </w:r>
          </w:p>
        </w:tc>
      </w:tr>
      <w:tr w14:paraId="398A2B2C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1BEE7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rPr>
                <w:rStyle w:val="37"/>
                <w:b/>
                <w:bCs/>
              </w:rPr>
              <w:t>Secondary Outcomes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4BCD08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80FF2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5A852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8F84D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</w:p>
        </w:tc>
      </w:tr>
      <w:tr w14:paraId="2F4F0540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D7210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Karlsson Score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6080B5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E2AD2A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0.001**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BE0EFA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-0.544, -0.141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91002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Significant negative correlation</w:t>
            </w:r>
          </w:p>
        </w:tc>
      </w:tr>
      <w:tr w14:paraId="72F7B6FD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21620E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Current Tegner Score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1A036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-0.055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54D89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0.627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791856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-0.270, 0.166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D4D8A7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No correlation</w:t>
            </w:r>
          </w:p>
        </w:tc>
      </w:tr>
      <w:tr w14:paraId="4E0B8D27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5FA04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Tegner Decline (ΔTegner)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68264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0.362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506EE7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0.001**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0F21D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0.143, 0.545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2FECFB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Significant positive correlation</w:t>
            </w:r>
          </w:p>
        </w:tc>
      </w:tr>
      <w:tr w14:paraId="194D39F1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0C3EDC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VAS Pain Score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5BB832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0.160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D80646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0.158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0700A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-0.063, 0.369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6191E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No correlation</w:t>
            </w:r>
          </w:p>
        </w:tc>
      </w:tr>
      <w:tr w14:paraId="1EFA95D1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6F6FC3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Patient Satisfaction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9EC25B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-0.262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BE65C4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0.020*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76899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-0.461, -0.043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CE017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Significant negative correlation</w:t>
            </w:r>
          </w:p>
        </w:tc>
      </w:tr>
      <w:tr w14:paraId="267A8BB5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06F8F7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rPr>
                <w:rStyle w:val="37"/>
                <w:b/>
                <w:bCs/>
              </w:rPr>
              <w:t>Preoperative Measures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C571C5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6822DE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AB8BC3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AB855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</w:p>
        </w:tc>
      </w:tr>
      <w:tr w14:paraId="2199E960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49DB7B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Pre-injury Tegner Score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1AF92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0.287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395DE0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0.010*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E31439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0.070, 0.481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37B19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Significant positive correlation</w:t>
            </w:r>
          </w:p>
        </w:tc>
      </w:tr>
      <w:tr w14:paraId="117D64FF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A5A3C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Preoperative FAOS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9C82B3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-0.141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7EDE49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0.214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D9AD18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-0.352, 0.081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D8246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No correlation</w:t>
            </w:r>
          </w:p>
        </w:tc>
      </w:tr>
      <w:tr w14:paraId="665208E8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73FF1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Preoperative Karlsson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0D4073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-0.122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714155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0.284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13734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-0.335, 0.100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F2C1A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No correlation</w:t>
            </w:r>
          </w:p>
        </w:tc>
      </w:tr>
      <w:tr w14:paraId="4C2B6B7E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719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4D750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Preoperative VAS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7923DA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-0.071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747133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0.532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B21787">
            <w:pPr>
              <w:pStyle w:val="28"/>
              <w:snapToGrid w:val="0"/>
              <w:ind w:left="0" w:leftChars="0" w:right="0" w:rightChars="0" w:firstLine="0" w:firstLineChars="0"/>
              <w:jc w:val="center"/>
            </w:pPr>
            <w:r>
              <w:t>-0.286, 0.150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3D3D99">
            <w:pPr>
              <w:pStyle w:val="28"/>
              <w:snapToGrid w:val="0"/>
              <w:ind w:left="0" w:leftChars="0" w:right="0" w:rightChars="0" w:firstLine="0" w:firstLineChars="0"/>
              <w:jc w:val="left"/>
            </w:pPr>
            <w:r>
              <w:t>No correlation</w:t>
            </w:r>
          </w:p>
        </w:tc>
      </w:tr>
    </w:tbl>
    <w:p w14:paraId="766B63C8">
      <w:pPr>
        <w:pStyle w:val="31"/>
      </w:pPr>
      <w:r>
        <w:t>Analysis B: LAMBDA-Positive Patients Only (n=46)</w:t>
      </w:r>
    </w:p>
    <w:tbl>
      <w:tblPr>
        <w:tblStyle w:val="10"/>
        <w:tblW w:w="9242" w:type="dxa"/>
        <w:jc w:val="center"/>
        <w:tblBorders>
          <w:top w:val="single" w:color="E1E4E8" w:sz="4" w:space="0"/>
          <w:left w:val="none" w:color="auto" w:sz="0" w:space="0"/>
          <w:bottom w:val="single" w:color="E1E4E8" w:sz="4" w:space="0"/>
          <w:right w:val="none" w:color="auto" w:sz="0" w:space="0"/>
          <w:insideH w:val="single" w:color="E1E4E8" w:sz="2" w:space="0"/>
          <w:insideV w:val="single" w:color="F6F8FA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52"/>
        <w:gridCol w:w="1708"/>
        <w:gridCol w:w="1076"/>
        <w:gridCol w:w="1518"/>
        <w:gridCol w:w="1788"/>
      </w:tblGrid>
      <w:tr w14:paraId="1413DBD4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315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7A0F21">
            <w:pPr>
              <w:pStyle w:val="27"/>
              <w:keepNext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Patient-Reported Outcome</w:t>
            </w:r>
          </w:p>
        </w:tc>
        <w:tc>
          <w:tcPr>
            <w:tcW w:w="170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EAF8793">
            <w:pPr>
              <w:pStyle w:val="27"/>
              <w:keepNext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Spearman's ρ</w:t>
            </w:r>
          </w:p>
        </w:tc>
        <w:tc>
          <w:tcPr>
            <w:tcW w:w="10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56C9F1">
            <w:pPr>
              <w:pStyle w:val="27"/>
              <w:keepNext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P Value</w:t>
            </w:r>
          </w:p>
        </w:tc>
        <w:tc>
          <w:tcPr>
            <w:tcW w:w="151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D60F3C">
            <w:pPr>
              <w:pStyle w:val="27"/>
              <w:keepNext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95% CI</w:t>
            </w:r>
          </w:p>
        </w:tc>
        <w:tc>
          <w:tcPr>
            <w:tcW w:w="178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FB976AA">
            <w:pPr>
              <w:pStyle w:val="27"/>
              <w:keepNext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Interpretation</w:t>
            </w:r>
          </w:p>
        </w:tc>
      </w:tr>
      <w:tr w14:paraId="18821B88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3C825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rPr>
                <w:rStyle w:val="37"/>
                <w:b/>
                <w:bCs/>
              </w:rPr>
              <w:t>Primary Outcome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D6A4C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041FC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D312F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F6566F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4DB1F56A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8B9EC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FAOS Score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380AD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-0.171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4EDFE2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0.257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525B5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-0.451, 0.129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D7D7C6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0F212F36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B62E5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rPr>
                <w:rStyle w:val="37"/>
                <w:b/>
                <w:bCs/>
              </w:rPr>
              <w:t>Secondary Outcomes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4E69D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6335E9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DA2992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E4018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473E31B2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5A8C1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Karlsson Score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4287A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-0.109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C38AE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0.472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8F68AE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-0.398, 0.192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548AD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27345A53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DFFAE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Current Tegner Score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73D9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-0.024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4F4E1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0.876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8EF66F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-0.318, 0.274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D701C1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75297BED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CC5563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Tegner Decline (ΔTegner)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C0379F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0.158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8AC90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0.294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1F436E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-0.140, 0.433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A45999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5A9195BA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271BA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VAS Pain Score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423D7C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-0.029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2982C9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0.850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451A4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-0.323, 0.269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013E6A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240E8E8E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018EB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Patient Satisfaction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DF4F9E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685B3F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0.139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01A9D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-0.485, 0.075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692EB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75EC7759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1101A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rPr>
                <w:rStyle w:val="37"/>
                <w:b/>
                <w:bCs/>
              </w:rPr>
              <w:t>Preoperative Measures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A6BF4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43FAA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3CDFFC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1FEB1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2A9A2903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7648D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Pre-injury Tegner Score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AA9CD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0.141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920D11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0.350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262E4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-0.155, 0.417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D5494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1A856EBE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C731E5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Preoperative FAOS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A37429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-0.061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6B0B9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0.685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AA35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-0.352, 0.237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82EA7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6E74D18B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FEFFE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Preoperative Karlsson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1EB6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-0.021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32F24E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0.887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D57EED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-0.314, 0.275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E2685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  <w:tr w14:paraId="4D73CDBF">
        <w:tblPrEx>
          <w:tblBorders>
            <w:top w:val="single" w:color="E1E4E8" w:sz="4" w:space="0"/>
            <w:left w:val="none" w:color="auto" w:sz="0" w:space="0"/>
            <w:bottom w:val="single" w:color="E1E4E8" w:sz="4" w:space="0"/>
            <w:right w:val="none" w:color="auto" w:sz="0" w:space="0"/>
            <w:insideH w:val="single" w:color="E1E4E8" w:sz="2" w:space="0"/>
            <w:insideV w:val="single" w:color="F6F8F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07A20E">
            <w:pPr>
              <w:pStyle w:val="28"/>
              <w:keepNext/>
              <w:snapToGrid w:val="0"/>
              <w:ind w:left="0" w:leftChars="0" w:right="0" w:rightChars="0" w:firstLine="0" w:firstLineChars="0"/>
              <w:jc w:val="left"/>
            </w:pPr>
            <w:r>
              <w:t>Preoperative VAS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155150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-0.096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D7533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0.525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B7FED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-0.384, 0.204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B54E82">
            <w:pPr>
              <w:pStyle w:val="28"/>
              <w:keepNext/>
              <w:snapToGrid w:val="0"/>
              <w:ind w:left="0" w:leftChars="0" w:right="0" w:rightChars="0" w:firstLine="0" w:firstLineChars="0"/>
              <w:jc w:val="center"/>
            </w:pPr>
            <w:r>
              <w:t>No correlation</w:t>
            </w:r>
          </w:p>
        </w:tc>
      </w:tr>
    </w:tbl>
    <w:p w14:paraId="37362BDC">
      <w:pPr>
        <w:pStyle w:val="22"/>
      </w:pPr>
      <w:r>
        <w:t>*p&lt;0.05, **p&lt;0.01</w:t>
      </w:r>
    </w:p>
    <w:p w14:paraId="37F5F6A8">
      <w:pPr>
        <w:pStyle w:val="16"/>
        <w:spacing w:before="0" w:after="60"/>
      </w:pPr>
    </w:p>
    <w:p w14:paraId="262E1AF0">
      <w:pPr>
        <w:pStyle w:val="31"/>
      </w:pPr>
      <w:r>
        <w:t>Key Findings:</w:t>
      </w:r>
    </w:p>
    <w:p w14:paraId="1B13CB04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When LAMBDA-negative patients are included with DTJEH = 0</w:t>
      </w:r>
      <w:r>
        <w:t>: Several significant correlations emerge, but these primarily reflect the overall difference between LAMBDA-positive and LAMBDA-negative groups rather than a true dose-response relationship with effusion height.</w:t>
      </w:r>
    </w:p>
    <w:p w14:paraId="36CE4D75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Among LAMBDA-positive patients only</w:t>
      </w:r>
      <w:r>
        <w:t>: No significant correlations were observed between DTJEH and any patient-reported outcomes (P &gt; 0.05 for all measures).</w:t>
      </w:r>
    </w:p>
    <w:p w14:paraId="17CE0DF6">
      <w:pPr>
        <w:pStyle w:val="25"/>
        <w:numPr>
          <w:ilvl w:val="0"/>
          <w:numId w:val="1"/>
        </w:numPr>
      </w:pPr>
      <w:r>
        <w:rPr>
          <w:rStyle w:val="37"/>
          <w:b/>
          <w:bCs/>
        </w:rPr>
        <w:t>Clinical Interpretation</w:t>
      </w:r>
      <w:r>
        <w:t>: The lack of correlation within the LAMBDA-positive cohort suggests that effusion height alone does not predict functional outcomes. This finding challenges the assumption that higher effusion height necessarily indicates greater injury severity or worse prognosis.</w:t>
      </w:r>
    </w:p>
    <w:p w14:paraId="736E4F00">
      <w:pPr>
        <w:pStyle w:val="16"/>
        <w:spacing w:before="0" w:after="60"/>
      </w:pPr>
    </w:p>
    <w:p w14:paraId="5F967C31">
      <w:pPr>
        <w:pStyle w:val="31"/>
      </w:pPr>
      <w:r>
        <w:t>Statistical Methods:</w:t>
      </w:r>
    </w:p>
    <w:p w14:paraId="7C8116FB">
      <w:pPr>
        <w:pStyle w:val="25"/>
        <w:numPr>
          <w:ilvl w:val="0"/>
          <w:numId w:val="2"/>
        </w:numPr>
        <w:ind w:left="720" w:leftChars="0" w:hanging="360" w:firstLineChars="0"/>
      </w:pPr>
      <w:r>
        <w:t>Spearman rank correlation coefficients were calculated due to non-normal distribution of outcome variables</w:t>
      </w:r>
    </w:p>
    <w:p w14:paraId="0B107E86">
      <w:pPr>
        <w:pStyle w:val="25"/>
        <w:numPr>
          <w:ilvl w:val="0"/>
          <w:numId w:val="2"/>
        </w:numPr>
        <w:ind w:left="720" w:leftChars="0" w:hanging="360" w:firstLineChars="0"/>
      </w:pPr>
      <w:r>
        <w:t>95% confidence intervals were calculated using Fisher's z-transformation</w:t>
      </w:r>
    </w:p>
    <w:p w14:paraId="5BE6F7D8">
      <w:pPr>
        <w:pStyle w:val="25"/>
        <w:numPr>
          <w:ilvl w:val="0"/>
          <w:numId w:val="2"/>
        </w:numPr>
        <w:ind w:left="720" w:leftChars="0" w:hanging="360" w:firstLineChars="0"/>
      </w:pPr>
      <w:r>
        <w:t>Bonferroni correction was not applied given the exploratory nature of this analysis</w:t>
      </w:r>
    </w:p>
    <w:p w14:paraId="5FDCAD0C">
      <w:pPr>
        <w:pStyle w:val="25"/>
        <w:numPr>
          <w:ilvl w:val="0"/>
          <w:numId w:val="2"/>
        </w:numPr>
        <w:ind w:left="720" w:leftChars="0" w:hanging="360" w:firstLineChars="0"/>
      </w:pPr>
      <w:r>
        <w:t>Sample size for Analysis A: n=79; Analysis B: n=46</w:t>
      </w:r>
    </w:p>
    <w:p w14:paraId="0A1716C2">
      <w:pPr>
        <w:pStyle w:val="16"/>
        <w:spacing w:before="0" w:after="60"/>
      </w:pPr>
    </w:p>
    <w:p w14:paraId="6753C5D8">
      <w:pPr>
        <w:pStyle w:val="31"/>
      </w:pPr>
      <w:r>
        <w:t>Conclusion:</w:t>
      </w:r>
    </w:p>
    <w:p w14:paraId="12F13235">
      <w:pPr>
        <w:pStyle w:val="22"/>
      </w:pPr>
      <w:r>
        <w:t>The detailed correlation analysis confirms that DTJEH is not significantly correlated with patient-reported outcomes when analyzed within the LAMBDA-positive cohort. This supports the conclusion that the LAMBDA sign itself, rather than the quantitative measurement of effusion height, is the more clin</w:t>
      </w:r>
      <w:bookmarkStart w:id="0" w:name="_GoBack"/>
      <w:bookmarkEnd w:id="0"/>
      <w:r>
        <w:t>ically relevant prognostic indicator.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A0287"/>
    <w:multiLevelType w:val="singleLevel"/>
    <w:tmpl w:val="D7CA02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720" w:hanging="360"/>
      </w:pPr>
    </w:lvl>
    <w:lvl w:ilvl="1" w:tentative="0">
      <w:start w:val="1"/>
      <w:numFmt w:val="decimal"/>
      <w:lvlText w:val="%1.%2"/>
      <w:lvlJc w:val="left"/>
      <w:pPr>
        <w:ind w:left="1440" w:hanging="360"/>
      </w:pPr>
    </w:lvl>
    <w:lvl w:ilvl="2" w:tentative="0">
      <w:start w:val="1"/>
      <w:numFmt w:val="decimal"/>
      <w:lvlText w:val="%1.%2.%3"/>
      <w:lvlJc w:val="lef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decimal"/>
      <w:lvlText w:val="%5)"/>
      <w:lvlJc w:val="left"/>
      <w:pPr>
        <w:ind w:left="3600" w:hanging="360"/>
      </w:pPr>
    </w:lvl>
    <w:lvl w:ilvl="5" w:tentative="0">
      <w:start w:val="1"/>
      <w:numFmt w:val="decimal"/>
      <w:lvlText w:val="%6)"/>
      <w:lvlJc w:val="left"/>
      <w:pPr>
        <w:ind w:left="4320" w:hanging="360"/>
      </w:pPr>
    </w:lvl>
    <w:lvl w:ilvl="6" w:tentative="0">
      <w:start w:val="1"/>
      <w:numFmt w:val="decimal"/>
      <w:lvlText w:val="%7)"/>
      <w:lvlJc w:val="left"/>
      <w:pPr>
        <w:ind w:left="5040" w:hanging="360"/>
      </w:pPr>
    </w:lvl>
    <w:lvl w:ilvl="7" w:tentative="0">
      <w:start w:val="1"/>
      <w:numFmt w:val="decimal"/>
      <w:lvlText w:val="%8)"/>
      <w:lvlJc w:val="left"/>
      <w:pPr>
        <w:ind w:left="5760" w:hanging="360"/>
      </w:pPr>
    </w:lvl>
    <w:lvl w:ilvl="8" w:tentative="0">
      <w:start w:val="1"/>
      <w:numFmt w:val="decimal"/>
      <w:lvlText w:val="%9)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D8E788D"/>
    <w:rsid w:val="4E837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4"/>
      <w:szCs w:val="24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 w:color="0563C1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MdSpace"/>
    <w:qFormat/>
    <w:uiPriority w:val="0"/>
    <w:pPr>
      <w:spacing w:before="0" w:after="0"/>
    </w:pPr>
    <w:rPr>
      <w:rFonts w:asciiTheme="minorHAnsi" w:hAnsiTheme="minorHAnsi" w:eastAsiaTheme="minorEastAsia" w:cstheme="minorBidi"/>
      <w:sz w:val="12"/>
      <w:szCs w:val="12"/>
    </w:rPr>
  </w:style>
  <w:style w:type="paragraph" w:customStyle="1" w:styleId="17">
    <w:name w:val="MdCode"/>
    <w:qFormat/>
    <w:uiPriority w:val="0"/>
    <w:pPr>
      <w:pBdr>
        <w:top w:val="single" w:color="A5A5A5" w:sz="2" w:space="8"/>
        <w:left w:val="single" w:color="A5A5A5" w:sz="2" w:space="8"/>
        <w:bottom w:val="single" w:color="A5A5A5" w:sz="2" w:space="8"/>
        <w:right w:val="single" w:color="A5A5A5" w:sz="2" w:space="8"/>
      </w:pBdr>
      <w:spacing w:before="200" w:after="200"/>
    </w:pPr>
    <w:rPr>
      <w:rFonts w:ascii="Courier New" w:hAnsi="Courier New" w:eastAsia="Courier New" w:cs="Courier New"/>
      <w:color w:val="70AD47"/>
      <w:sz w:val="22"/>
      <w:szCs w:val="22"/>
    </w:rPr>
  </w:style>
  <w:style w:type="paragraph" w:customStyle="1" w:styleId="18">
    <w:name w:val="MdHr"/>
    <w:qFormat/>
    <w:uiPriority w:val="0"/>
    <w:pPr>
      <w:pBdr>
        <w:bottom w:val="single" w:color="A5A5A5" w:sz="2" w:space="1"/>
      </w:pBdr>
      <w:spacing w:before="240" w:after="240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19">
    <w:name w:val="MdBlockquote"/>
    <w:qFormat/>
    <w:uiPriority w:val="0"/>
    <w:pPr>
      <w:pBdr>
        <w:left w:val="single" w:color="A5A5A5" w:sz="20" w:space="12"/>
      </w:pBdr>
      <w:spacing w:before="200" w:after="200"/>
      <w:ind w:left="360"/>
    </w:pPr>
    <w:rPr>
      <w:rFonts w:asciiTheme="minorHAnsi" w:hAnsiTheme="minorHAnsi" w:eastAsiaTheme="minorEastAsia" w:cstheme="minorBidi"/>
      <w:i/>
      <w:iCs/>
      <w:color w:val="666666"/>
      <w:sz w:val="24"/>
      <w:szCs w:val="24"/>
    </w:rPr>
  </w:style>
  <w:style w:type="paragraph" w:customStyle="1" w:styleId="20">
    <w:name w:val="MdHtml"/>
    <w:qFormat/>
    <w:uiPriority w:val="0"/>
    <w:rPr>
      <w:rFonts w:ascii="Courier New" w:hAnsi="Courier New" w:eastAsia="Courier New" w:cs="Courier New"/>
      <w:color w:val="ED7D31"/>
      <w:sz w:val="24"/>
      <w:szCs w:val="24"/>
    </w:rPr>
  </w:style>
  <w:style w:type="paragraph" w:customStyle="1" w:styleId="21">
    <w:name w:val="MdDef"/>
    <w:qFormat/>
    <w:uiPriority w:val="0"/>
    <w:pPr>
      <w:ind w:left="720" w:hanging="360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22">
    <w:name w:val="MdParagraph"/>
    <w:qFormat/>
    <w:uiPriority w:val="0"/>
    <w:pPr>
      <w:spacing w:before="120" w:after="120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23">
    <w:name w:val="MdText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paragraph" w:customStyle="1" w:styleId="24">
    <w:name w:val="MdFootnote"/>
    <w:qFormat/>
    <w:uiPriority w:val="0"/>
    <w:rPr>
      <w:rFonts w:asciiTheme="minorHAnsi" w:hAnsiTheme="minorHAnsi" w:eastAsiaTheme="minorEastAsia" w:cstheme="minorBidi"/>
      <w:sz w:val="24"/>
      <w:szCs w:val="24"/>
      <w:vertAlign w:val="superscript"/>
    </w:rPr>
  </w:style>
  <w:style w:type="paragraph" w:customStyle="1" w:styleId="25">
    <w:name w:val="MdListItem"/>
    <w:qFormat/>
    <w:uiPriority w:val="0"/>
    <w:pPr>
      <w:spacing w:before="60" w:after="60"/>
      <w:ind w:left="720" w:hanging="360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26">
    <w:name w:val="MdTable"/>
    <w:qFormat/>
    <w:uiPriority w:val="0"/>
    <w:pPr>
      <w:spacing w:before="60" w:after="60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27">
    <w:name w:val="MdTableHeader"/>
    <w:qFormat/>
    <w:uiPriority w:val="0"/>
    <w:pPr>
      <w:spacing w:before="60" w:after="60"/>
    </w:pPr>
    <w:rPr>
      <w:rFonts w:asciiTheme="minorHAnsi" w:hAnsiTheme="minorHAnsi" w:eastAsiaTheme="minorEastAsia" w:cstheme="minorBidi"/>
      <w:b/>
      <w:bCs/>
      <w:sz w:val="22"/>
      <w:szCs w:val="22"/>
    </w:rPr>
  </w:style>
  <w:style w:type="paragraph" w:customStyle="1" w:styleId="28">
    <w:name w:val="MdTableCell"/>
    <w:qFormat/>
    <w:uiPriority w:val="0"/>
    <w:pPr>
      <w:spacing w:before="40" w:after="4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9">
    <w:name w:val="MdHeading1"/>
    <w:qFormat/>
    <w:uiPriority w:val="0"/>
    <w:pPr>
      <w:keepNext/>
      <w:spacing w:before="480" w:after="240"/>
      <w:outlineLvl w:val="0"/>
    </w:pPr>
    <w:rPr>
      <w:rFonts w:asciiTheme="minorHAnsi" w:hAnsiTheme="minorHAnsi" w:eastAsiaTheme="minorEastAsia" w:cstheme="minorBidi"/>
      <w:b/>
      <w:bCs/>
      <w:sz w:val="36"/>
      <w:szCs w:val="36"/>
    </w:rPr>
  </w:style>
  <w:style w:type="paragraph" w:customStyle="1" w:styleId="30">
    <w:name w:val="MdHeading2"/>
    <w:qFormat/>
    <w:uiPriority w:val="0"/>
    <w:pPr>
      <w:keepNext/>
      <w:spacing w:before="400" w:after="200"/>
      <w:outlineLvl w:val="1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customStyle="1" w:styleId="31">
    <w:name w:val="MdHeading3"/>
    <w:qFormat/>
    <w:uiPriority w:val="0"/>
    <w:pPr>
      <w:keepNext/>
      <w:spacing w:before="320" w:after="160"/>
      <w:outlineLvl w:val="2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customStyle="1" w:styleId="32">
    <w:name w:val="MdHeading4"/>
    <w:qFormat/>
    <w:uiPriority w:val="0"/>
    <w:pPr>
      <w:keepNext/>
      <w:spacing w:before="280" w:after="140"/>
      <w:outlineLvl w:val="3"/>
    </w:pPr>
    <w:rPr>
      <w:rFonts w:asciiTheme="minorHAnsi" w:hAnsiTheme="minorHAnsi" w:eastAsiaTheme="minorEastAsia" w:cstheme="minorBidi"/>
      <w:b/>
      <w:bCs/>
      <w:sz w:val="26"/>
      <w:szCs w:val="26"/>
    </w:rPr>
  </w:style>
  <w:style w:type="paragraph" w:customStyle="1" w:styleId="33">
    <w:name w:val="MdHeading5"/>
    <w:qFormat/>
    <w:uiPriority w:val="0"/>
    <w:pPr>
      <w:keepNext/>
      <w:spacing w:before="240" w:after="120"/>
      <w:outlineLvl w:val="4"/>
    </w:pPr>
    <w:rPr>
      <w:rFonts w:asciiTheme="minorHAnsi" w:hAnsiTheme="minorHAnsi" w:eastAsiaTheme="minorEastAsia" w:cstheme="minorBidi"/>
      <w:b/>
      <w:bCs/>
      <w:i/>
      <w:iCs/>
      <w:sz w:val="24"/>
      <w:szCs w:val="24"/>
    </w:rPr>
  </w:style>
  <w:style w:type="paragraph" w:customStyle="1" w:styleId="34">
    <w:name w:val="MdHeading6"/>
    <w:qFormat/>
    <w:uiPriority w:val="0"/>
    <w:pPr>
      <w:keepNext/>
      <w:spacing w:before="240" w:after="120"/>
      <w:outlineLvl w:val="5"/>
    </w:pPr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35">
    <w:name w:val="MdTag"/>
    <w:unhideWhenUsed/>
    <w:qFormat/>
    <w:uiPriority w:val="99"/>
    <w:rPr>
      <w:rFonts w:ascii="Courier New" w:hAnsi="Courier New" w:eastAsia="Courier New" w:cs="Courier New"/>
      <w:color w:val="ED7D31"/>
    </w:rPr>
  </w:style>
  <w:style w:type="character" w:customStyle="1" w:styleId="36">
    <w:name w:val="MdLink"/>
    <w:unhideWhenUsed/>
    <w:qFormat/>
    <w:uiPriority w:val="99"/>
    <w:rPr>
      <w:color w:val="0563C1"/>
      <w:u w:val="single"/>
    </w:rPr>
  </w:style>
  <w:style w:type="character" w:customStyle="1" w:styleId="37">
    <w:name w:val="MdStrong"/>
    <w:unhideWhenUsed/>
    <w:qFormat/>
    <w:uiPriority w:val="99"/>
    <w:rPr>
      <w:b/>
      <w:bCs/>
    </w:rPr>
  </w:style>
  <w:style w:type="character" w:customStyle="1" w:styleId="38">
    <w:name w:val="MdEm"/>
    <w:unhideWhenUsed/>
    <w:qFormat/>
    <w:uiPriority w:val="99"/>
    <w:rPr>
      <w:i/>
      <w:iCs/>
    </w:rPr>
  </w:style>
  <w:style w:type="character" w:customStyle="1" w:styleId="39">
    <w:name w:val="MdCodespan"/>
    <w:unhideWhenUsed/>
    <w:qFormat/>
    <w:uiPriority w:val="99"/>
    <w:rPr>
      <w:rFonts w:ascii="Courier New" w:hAnsi="Courier New" w:eastAsia="Courier New" w:cs="Courier New"/>
      <w:color w:val="70AD47"/>
    </w:rPr>
  </w:style>
  <w:style w:type="character" w:customStyle="1" w:styleId="40">
    <w:name w:val="MdDel"/>
    <w:unhideWhenUsed/>
    <w:qFormat/>
    <w:uiPriority w:val="99"/>
    <w:rPr>
      <w:strike/>
    </w:rPr>
  </w:style>
  <w:style w:type="character" w:customStyle="1" w:styleId="41">
    <w:name w:val="MdB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423</Words>
  <Characters>2830</Characters>
  <TotalTime>0</TotalTime>
  <ScaleCrop>false</ScaleCrop>
  <LinksUpToDate>false</LinksUpToDate>
  <CharactersWithSpaces>3121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2025-10-11T15:26:00Z</dcterms:created>
  <dc:creator>md2docx converter</dc:creator>
  <dc:description>Converted from Markdown</dc:description>
  <cp:lastModifiedBy>好雨知时节</cp:lastModifiedBy>
  <dcterms:modified xsi:type="dcterms:W3CDTF">2025-10-24T14:11:46Z</dcterms:modified>
  <dc:title>Converted Document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eyJoZGlkIjoiYjczOTdjNDA4MTgwZGM2NWJhMWU5NTEyMjZhMTA4NTQiLCJ1c2VySWQiOiI5MjMyNzAxODcifQ==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7D5AEEA58E64486F8A62CCB726DA10E5_13</vt:lpwstr>
  </property>
</Properties>
</file>