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09A50" w14:textId="77777777" w:rsidR="002F0281" w:rsidRPr="00144804" w:rsidRDefault="002F0281" w:rsidP="002F0281">
      <w:pPr>
        <w:pStyle w:val="Caption"/>
        <w:keepNext/>
        <w:rPr>
          <w:rFonts w:ascii="Times New Roman" w:hAnsi="Times New Roman" w:cs="Times New Roman"/>
          <w:i w:val="0"/>
          <w:iCs w:val="0"/>
          <w:color w:val="000000" w:themeColor="text1"/>
          <w:sz w:val="24"/>
          <w:szCs w:val="24"/>
        </w:rPr>
      </w:pPr>
      <w:r w:rsidRPr="00144804">
        <w:rPr>
          <w:rFonts w:ascii="Times New Roman" w:hAnsi="Times New Roman" w:cs="Times New Roman"/>
          <w:i w:val="0"/>
          <w:iCs w:val="0"/>
          <w:color w:val="000000" w:themeColor="text1"/>
          <w:sz w:val="24"/>
          <w:szCs w:val="24"/>
        </w:rPr>
        <w:t xml:space="preserve">Table </w:t>
      </w:r>
      <w:r w:rsidRPr="00144804">
        <w:rPr>
          <w:rFonts w:ascii="Times New Roman" w:hAnsi="Times New Roman" w:cs="Times New Roman"/>
          <w:i w:val="0"/>
          <w:iCs w:val="0"/>
          <w:color w:val="000000" w:themeColor="text1"/>
          <w:sz w:val="24"/>
          <w:szCs w:val="24"/>
        </w:rPr>
        <w:fldChar w:fldCharType="begin"/>
      </w:r>
      <w:r w:rsidRPr="00144804">
        <w:rPr>
          <w:rFonts w:ascii="Times New Roman" w:hAnsi="Times New Roman" w:cs="Times New Roman"/>
          <w:i w:val="0"/>
          <w:iCs w:val="0"/>
          <w:color w:val="000000" w:themeColor="text1"/>
          <w:sz w:val="24"/>
          <w:szCs w:val="24"/>
        </w:rPr>
        <w:instrText xml:space="preserve"> SEQ Table \* ARABIC </w:instrText>
      </w:r>
      <w:r w:rsidRPr="00144804">
        <w:rPr>
          <w:rFonts w:ascii="Times New Roman" w:hAnsi="Times New Roman" w:cs="Times New Roman"/>
          <w:i w:val="0"/>
          <w:iCs w:val="0"/>
          <w:color w:val="000000" w:themeColor="text1"/>
          <w:sz w:val="24"/>
          <w:szCs w:val="24"/>
        </w:rPr>
        <w:fldChar w:fldCharType="separate"/>
      </w:r>
      <w:r w:rsidRPr="00144804">
        <w:rPr>
          <w:rFonts w:ascii="Times New Roman" w:hAnsi="Times New Roman" w:cs="Times New Roman"/>
          <w:i w:val="0"/>
          <w:iCs w:val="0"/>
          <w:noProof/>
          <w:color w:val="000000" w:themeColor="text1"/>
          <w:sz w:val="24"/>
          <w:szCs w:val="24"/>
        </w:rPr>
        <w:t>2</w:t>
      </w:r>
      <w:r w:rsidRPr="00144804">
        <w:rPr>
          <w:rFonts w:ascii="Times New Roman" w:hAnsi="Times New Roman" w:cs="Times New Roman"/>
          <w:i w:val="0"/>
          <w:iCs w:val="0"/>
          <w:color w:val="000000" w:themeColor="text1"/>
          <w:sz w:val="24"/>
          <w:szCs w:val="24"/>
        </w:rPr>
        <w:fldChar w:fldCharType="end"/>
      </w:r>
      <w:r w:rsidRPr="00144804">
        <w:rPr>
          <w:rFonts w:ascii="Times New Roman" w:hAnsi="Times New Roman" w:cs="Times New Roman"/>
          <w:i w:val="0"/>
          <w:iCs w:val="0"/>
          <w:color w:val="000000" w:themeColor="text1"/>
          <w:sz w:val="24"/>
          <w:szCs w:val="24"/>
        </w:rPr>
        <w:t>. Mixed Methods Appraisal Tool for Included Studies</w:t>
      </w:r>
    </w:p>
    <w:tbl>
      <w:tblPr>
        <w:tblW w:w="10632" w:type="dxa"/>
        <w:tblLayout w:type="fixed"/>
        <w:tblLook w:val="04A0" w:firstRow="1" w:lastRow="0" w:firstColumn="1" w:lastColumn="0" w:noHBand="0" w:noVBand="1"/>
      </w:tblPr>
      <w:tblGrid>
        <w:gridCol w:w="1417"/>
        <w:gridCol w:w="1134"/>
        <w:gridCol w:w="992"/>
        <w:gridCol w:w="1559"/>
        <w:gridCol w:w="1418"/>
        <w:gridCol w:w="1418"/>
        <w:gridCol w:w="1418"/>
        <w:gridCol w:w="1276"/>
      </w:tblGrid>
      <w:tr w:rsidR="002F0281" w:rsidRPr="001C11CA" w14:paraId="7DD7EA10" w14:textId="77777777" w:rsidTr="00E50F35">
        <w:trPr>
          <w:trHeight w:val="320"/>
        </w:trPr>
        <w:tc>
          <w:tcPr>
            <w:tcW w:w="10632" w:type="dxa"/>
            <w:gridSpan w:val="8"/>
            <w:tcBorders>
              <w:top w:val="nil"/>
              <w:left w:val="nil"/>
              <w:bottom w:val="nil"/>
              <w:right w:val="nil"/>
            </w:tcBorders>
            <w:shd w:val="clear" w:color="auto" w:fill="E8E8E8" w:themeFill="background2"/>
            <w:noWrap/>
            <w:vAlign w:val="bottom"/>
          </w:tcPr>
          <w:p w14:paraId="3FECE347"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Quantitative randomized controlled study</w:t>
            </w:r>
          </w:p>
        </w:tc>
      </w:tr>
      <w:tr w:rsidR="002F0281" w:rsidRPr="001C11CA" w14:paraId="7B9FA952" w14:textId="77777777" w:rsidTr="00E50F35">
        <w:trPr>
          <w:trHeight w:val="320"/>
        </w:trPr>
        <w:tc>
          <w:tcPr>
            <w:tcW w:w="1417" w:type="dxa"/>
            <w:tcBorders>
              <w:top w:val="nil"/>
              <w:left w:val="nil"/>
              <w:bottom w:val="nil"/>
              <w:right w:val="nil"/>
            </w:tcBorders>
            <w:noWrap/>
            <w:vAlign w:val="bottom"/>
            <w:hideMark/>
          </w:tcPr>
          <w:p w14:paraId="5F3B6EC2" w14:textId="77777777" w:rsidR="002F0281" w:rsidRPr="009411AF"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Author</w:t>
            </w:r>
          </w:p>
        </w:tc>
        <w:tc>
          <w:tcPr>
            <w:tcW w:w="1134" w:type="dxa"/>
            <w:tcBorders>
              <w:top w:val="nil"/>
              <w:left w:val="nil"/>
              <w:bottom w:val="nil"/>
              <w:right w:val="nil"/>
            </w:tcBorders>
            <w:noWrap/>
            <w:vAlign w:val="bottom"/>
            <w:hideMark/>
          </w:tcPr>
          <w:p w14:paraId="0614E790" w14:textId="77777777" w:rsidR="002F0281" w:rsidRPr="009411AF"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Clear questions?</w:t>
            </w:r>
          </w:p>
        </w:tc>
        <w:tc>
          <w:tcPr>
            <w:tcW w:w="992" w:type="dxa"/>
            <w:tcBorders>
              <w:top w:val="nil"/>
              <w:left w:val="nil"/>
              <w:bottom w:val="nil"/>
              <w:right w:val="nil"/>
            </w:tcBorders>
            <w:noWrap/>
            <w:vAlign w:val="bottom"/>
            <w:hideMark/>
          </w:tcPr>
          <w:p w14:paraId="6B04460B"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Data address?</w:t>
            </w:r>
          </w:p>
        </w:tc>
        <w:tc>
          <w:tcPr>
            <w:tcW w:w="1559" w:type="dxa"/>
            <w:tcBorders>
              <w:top w:val="nil"/>
              <w:left w:val="nil"/>
              <w:bottom w:val="nil"/>
              <w:right w:val="nil"/>
            </w:tcBorders>
            <w:noWrap/>
            <w:vAlign w:val="bottom"/>
            <w:hideMark/>
          </w:tcPr>
          <w:p w14:paraId="1DFFFFD2"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Randomization?</w:t>
            </w:r>
          </w:p>
        </w:tc>
        <w:tc>
          <w:tcPr>
            <w:tcW w:w="1418" w:type="dxa"/>
            <w:tcBorders>
              <w:top w:val="nil"/>
              <w:left w:val="nil"/>
              <w:bottom w:val="nil"/>
              <w:right w:val="nil"/>
            </w:tcBorders>
            <w:noWrap/>
            <w:vAlign w:val="bottom"/>
            <w:hideMark/>
          </w:tcPr>
          <w:p w14:paraId="0105DD74"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Comparable baseline?</w:t>
            </w:r>
          </w:p>
        </w:tc>
        <w:tc>
          <w:tcPr>
            <w:tcW w:w="1418" w:type="dxa"/>
            <w:tcBorders>
              <w:top w:val="nil"/>
              <w:left w:val="nil"/>
              <w:bottom w:val="nil"/>
              <w:right w:val="nil"/>
            </w:tcBorders>
            <w:noWrap/>
            <w:vAlign w:val="bottom"/>
            <w:hideMark/>
          </w:tcPr>
          <w:p w14:paraId="590D6D87"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Complete data?</w:t>
            </w:r>
          </w:p>
        </w:tc>
        <w:tc>
          <w:tcPr>
            <w:tcW w:w="1418" w:type="dxa"/>
            <w:tcBorders>
              <w:top w:val="nil"/>
              <w:left w:val="nil"/>
              <w:bottom w:val="nil"/>
              <w:right w:val="nil"/>
            </w:tcBorders>
            <w:noWrap/>
            <w:vAlign w:val="bottom"/>
            <w:hideMark/>
          </w:tcPr>
          <w:p w14:paraId="732FAB55"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Blinded assessors?</w:t>
            </w:r>
          </w:p>
        </w:tc>
        <w:tc>
          <w:tcPr>
            <w:tcW w:w="1276" w:type="dxa"/>
            <w:tcBorders>
              <w:top w:val="nil"/>
              <w:left w:val="nil"/>
              <w:bottom w:val="nil"/>
              <w:right w:val="nil"/>
            </w:tcBorders>
            <w:noWrap/>
            <w:vAlign w:val="bottom"/>
            <w:hideMark/>
          </w:tcPr>
          <w:p w14:paraId="06CCD8A3"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Adherence?</w:t>
            </w:r>
          </w:p>
        </w:tc>
      </w:tr>
      <w:tr w:rsidR="002F0281" w:rsidRPr="001C11CA" w14:paraId="6A4C2429" w14:textId="77777777" w:rsidTr="00E50F35">
        <w:trPr>
          <w:trHeight w:val="320"/>
        </w:trPr>
        <w:tc>
          <w:tcPr>
            <w:tcW w:w="1417" w:type="dxa"/>
            <w:tcBorders>
              <w:top w:val="nil"/>
              <w:left w:val="nil"/>
              <w:bottom w:val="nil"/>
              <w:right w:val="nil"/>
            </w:tcBorders>
            <w:noWrap/>
            <w:vAlign w:val="bottom"/>
            <w:hideMark/>
          </w:tcPr>
          <w:p w14:paraId="372FB343"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Cassarino et al. (2021)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{"citationID":"zubhW16Z","properties":{"formattedCitation":"(14)","plainCitation":"(14)","noteIndex":0},"citationItems":[{"id":3316,"uris":["http://zotero.org/users/7916238/items/H3694YBU"],"itemData":{"id":3316,"type":"article-journal","abstract":"Background: Older adults frequently attend the emergency department (ED) and experience high rates of adverse events following ED presentation. This randomised controlled trial evaluated the impact of early assessment and intervention by a dedicated team of health and social care professionals (HSCPs) in the ED on the quality, safety, and clinical effectiveness of care of older adults in the ED.Methods and Findings: This single-site randomised controlled trial included a sample o</w:instrText>
            </w:r>
            <w:r>
              <w:rPr>
                <w:rFonts w:ascii="Times New Roman" w:hAnsi="Times New Roman" w:cs="Times New Roman" w:hint="eastAsia"/>
                <w:color w:val="000000"/>
                <w:sz w:val="18"/>
                <w:szCs w:val="18"/>
              </w:rPr>
              <w:instrText>f 353 patients aged ≥65 years (mean age = 79.6, SD = 7.01; 59.2% female) who presented with lower urgency complaints to the ED a university hospital in the Mid-West region of Ireland, during HSCP operational hours. The intervention consisted of early asse</w:instrText>
            </w:r>
            <w:r>
              <w:rPr>
                <w:rFonts w:ascii="Times New Roman" w:hAnsi="Times New Roman" w:cs="Times New Roman"/>
                <w:color w:val="000000"/>
                <w:sz w:val="18"/>
                <w:szCs w:val="18"/>
              </w:rPr>
              <w:instrText xml:space="preserve">ssment and intervention carried out by a HSCP team comprising a senior medical social worker, senior occupational therapist, and senior physiotherapist. The primary outcome was ED length of stay. Secondary outcomes included rates of hospital admissions from the ED; hospital length of stay for admitted patients; patient satisfaction with index visit; ED revisits, mortality, nursing home admission, and unscheduled hospital admission at 30-day and 6-month follow-up; and patient functional status and quality of life (at index visit and follow-up). Demographic information included the patient's gender, age, marital status, residential status, mode of arrival to the ED, source of referral, index complaint, triage category, falls, and hospitalisation history. Participants in the intervention group (n = 176) experienced a significantly shorter ED stay than the control group (n = 177) (6.4 versus 12.1 median hours, p &lt; 0.001). Other significant differences (intervention versus control) included lower rates of hospital admissions from the ED (19.3% versus 55.9%, p &lt; 0.001), higher levels of satisfaction with the ED visit (p = 0.008), better function at 30-day (p = 0.01) and 6-month follow-up (p = 0.03), better mobility (p = 0.02 at 30 days), and better self-care (p = 0.03 at 30 days; p = 0.009 at 6 months). No differences at follow-up were observed in terms of ED re-presentation or hospital admission. Study limitations include the inability to blind patients or ED staff to allocation due to the nature of the intervention, and a focus on early assessment and intervention in the ED rather than care integration following discharge.Conclusions: Early assessment and intervention by a dedicated ED-based HSCP team reduced ED length of stay and the risk of hospital admissions among older adults, as well as improving patient satisfaction. Our findings support the effectiveness of an interdisciplinary model of care for key ED outcomes.Trial Registration: ClinicalTrials.gov NCT03739515; registered on 12 November 2018.","archive":"CINAHL Complete","container-title":"PLoS Medicine","DOI":"10.1371/journal.pmed.1003711","ISSN":"1549-1277","issue":"7","journalAbbreviation":"PLoS Medicine","note":"publisher-place: San Francisco, California\npublisher: Public Library of Science","page":"1-17","source":"EBSCOhost","title":"Impact of assessment and intervention by a health and social care professional team in the emergency department on the quality, safety, and clinical effectiveness of care for older adults: A randomised controlled trial.","volume":"18","author":[{"family":"Cassarino","given":"Marica"},{"family":"Robinson","given":"Katie"},{"family":"Trépel","given":"Dominic"},{"family":"O'Shaughnessy","given":"Íde"},{"family":"Smalle","given":"Eimear"},{"family":"White","given":"Stephen"},{"family":"Devlin","given":"Collette"},{"family":"Quinn","given":"Rosie"},{"family":"Boland","given":"Fiona"},{"family":"Ward","given":"Marie E."},{"family":"McNamara","given":"Rosa"},{"family":"Steed","given":"Fiona"},{"family":"O'Connor","given":"Margaret"},{"family":"O'Regan","given":"Andrew"},{"family":"McCarthy","given":"Gerard"},{"family":"Ryan","given":"Damien"},{"family":"Galvin","given":"Rose"}],"issued":{"date-parts":[["2021",7,28]]}}}],"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(14)</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3BFCF093"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71A60C12"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0A29F21F"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063A522D"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066F43B2"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7584B1BE"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276" w:type="dxa"/>
            <w:tcBorders>
              <w:top w:val="nil"/>
              <w:left w:val="nil"/>
              <w:bottom w:val="nil"/>
              <w:right w:val="nil"/>
            </w:tcBorders>
            <w:noWrap/>
            <w:vAlign w:val="bottom"/>
            <w:hideMark/>
          </w:tcPr>
          <w:p w14:paraId="7EA3BB0F"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4D30702C" w14:textId="77777777" w:rsidTr="00E50F35">
        <w:trPr>
          <w:trHeight w:val="320"/>
        </w:trPr>
        <w:tc>
          <w:tcPr>
            <w:tcW w:w="10632" w:type="dxa"/>
            <w:gridSpan w:val="8"/>
            <w:tcBorders>
              <w:top w:val="nil"/>
              <w:left w:val="nil"/>
              <w:bottom w:val="nil"/>
              <w:right w:val="nil"/>
            </w:tcBorders>
            <w:shd w:val="clear" w:color="auto" w:fill="E8E8E8" w:themeFill="background2"/>
            <w:noWrap/>
            <w:vAlign w:val="bottom"/>
          </w:tcPr>
          <w:p w14:paraId="06142086"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Quantitative non-randomized</w:t>
            </w:r>
          </w:p>
        </w:tc>
      </w:tr>
      <w:tr w:rsidR="002F0281" w:rsidRPr="001C11CA" w14:paraId="19324706" w14:textId="77777777" w:rsidTr="00E50F35">
        <w:trPr>
          <w:trHeight w:val="320"/>
        </w:trPr>
        <w:tc>
          <w:tcPr>
            <w:tcW w:w="1417" w:type="dxa"/>
            <w:tcBorders>
              <w:top w:val="nil"/>
              <w:left w:val="nil"/>
              <w:bottom w:val="nil"/>
              <w:right w:val="nil"/>
            </w:tcBorders>
            <w:noWrap/>
            <w:vAlign w:val="bottom"/>
            <w:hideMark/>
          </w:tcPr>
          <w:p w14:paraId="564C2A5D"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Author</w:t>
            </w:r>
          </w:p>
        </w:tc>
        <w:tc>
          <w:tcPr>
            <w:tcW w:w="1134" w:type="dxa"/>
            <w:tcBorders>
              <w:top w:val="nil"/>
              <w:left w:val="nil"/>
              <w:bottom w:val="nil"/>
              <w:right w:val="nil"/>
            </w:tcBorders>
            <w:noWrap/>
            <w:vAlign w:val="bottom"/>
            <w:hideMark/>
          </w:tcPr>
          <w:p w14:paraId="43021E95" w14:textId="77777777" w:rsidR="002F0281" w:rsidRPr="009411AF"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Clear questions?</w:t>
            </w:r>
          </w:p>
        </w:tc>
        <w:tc>
          <w:tcPr>
            <w:tcW w:w="992" w:type="dxa"/>
            <w:tcBorders>
              <w:top w:val="nil"/>
              <w:left w:val="nil"/>
              <w:bottom w:val="nil"/>
              <w:right w:val="nil"/>
            </w:tcBorders>
            <w:noWrap/>
            <w:vAlign w:val="bottom"/>
            <w:hideMark/>
          </w:tcPr>
          <w:p w14:paraId="435C0A14"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Data address?</w:t>
            </w:r>
          </w:p>
        </w:tc>
        <w:tc>
          <w:tcPr>
            <w:tcW w:w="1559" w:type="dxa"/>
            <w:tcBorders>
              <w:top w:val="nil"/>
              <w:left w:val="nil"/>
              <w:bottom w:val="nil"/>
              <w:right w:val="nil"/>
            </w:tcBorders>
            <w:noWrap/>
            <w:vAlign w:val="bottom"/>
            <w:hideMark/>
          </w:tcPr>
          <w:p w14:paraId="3CFB73D6"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Representative sample?</w:t>
            </w:r>
          </w:p>
        </w:tc>
        <w:tc>
          <w:tcPr>
            <w:tcW w:w="1418" w:type="dxa"/>
            <w:tcBorders>
              <w:top w:val="nil"/>
              <w:left w:val="nil"/>
              <w:bottom w:val="nil"/>
              <w:right w:val="nil"/>
            </w:tcBorders>
            <w:noWrap/>
            <w:vAlign w:val="bottom"/>
            <w:hideMark/>
          </w:tcPr>
          <w:p w14:paraId="1597B907"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Measurements appropriate?</w:t>
            </w:r>
          </w:p>
        </w:tc>
        <w:tc>
          <w:tcPr>
            <w:tcW w:w="1418" w:type="dxa"/>
            <w:tcBorders>
              <w:top w:val="nil"/>
              <w:left w:val="nil"/>
              <w:bottom w:val="nil"/>
              <w:right w:val="nil"/>
            </w:tcBorders>
            <w:noWrap/>
            <w:vAlign w:val="bottom"/>
            <w:hideMark/>
          </w:tcPr>
          <w:p w14:paraId="78A204AD"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Complete data?</w:t>
            </w:r>
          </w:p>
        </w:tc>
        <w:tc>
          <w:tcPr>
            <w:tcW w:w="1418" w:type="dxa"/>
            <w:tcBorders>
              <w:top w:val="nil"/>
              <w:left w:val="nil"/>
              <w:bottom w:val="nil"/>
              <w:right w:val="nil"/>
            </w:tcBorders>
            <w:noWrap/>
            <w:vAlign w:val="bottom"/>
            <w:hideMark/>
          </w:tcPr>
          <w:p w14:paraId="7A9A5775"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Confounders accounted?</w:t>
            </w:r>
          </w:p>
        </w:tc>
        <w:tc>
          <w:tcPr>
            <w:tcW w:w="1276" w:type="dxa"/>
            <w:tcBorders>
              <w:top w:val="nil"/>
              <w:left w:val="nil"/>
              <w:bottom w:val="nil"/>
              <w:right w:val="nil"/>
            </w:tcBorders>
            <w:noWrap/>
            <w:vAlign w:val="bottom"/>
            <w:hideMark/>
          </w:tcPr>
          <w:p w14:paraId="0E1A1207"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Interventions as intended?</w:t>
            </w:r>
          </w:p>
        </w:tc>
      </w:tr>
      <w:tr w:rsidR="002F0281" w:rsidRPr="001C11CA" w14:paraId="0C3E7E1B" w14:textId="77777777" w:rsidTr="00E50F35">
        <w:trPr>
          <w:trHeight w:val="320"/>
        </w:trPr>
        <w:tc>
          <w:tcPr>
            <w:tcW w:w="1417" w:type="dxa"/>
            <w:tcBorders>
              <w:top w:val="nil"/>
              <w:left w:val="nil"/>
              <w:bottom w:val="nil"/>
              <w:right w:val="nil"/>
            </w:tcBorders>
            <w:noWrap/>
            <w:vAlign w:val="bottom"/>
            <w:hideMark/>
          </w:tcPr>
          <w:p w14:paraId="38DB78A9"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Harper et al. (2022)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{"citationID":"UjQNIJ9N","properties":{"formattedCitation":"(17)","plainCitation":"(17)","noteIndex":0},"citationItems":[{"id":3576,"uris":["http://zotero.org/users/7916238/items/PHS7U7R9"],"itemData":{"id":3576,"type":"article-journal","abstract":"Older women have higher levels of frailty resulting in disability and reduced quality of life. Presentation to an Emergency Department (ED) is an opportunity to address frailty and provide tailored interventions to promote function. An ED allied health team integrated frailty assessment and interventions into care through a 'Frailty Intervention Team' (FIT) program. A prospective study informed by the Reach, Effectiveness, Adoption, Implementation, Maintenance (RE-AIM) framework to evaluate the FIT program tailored to female older adults. The purpose of this project was to evaluate the FIT program over a three-month period and use the findings to further develop the intervention. Over three-months, 192 older females (&gt; 70 years) were identified with mild frailty and discharged directly home. Ninety percent were offered the FIT program with 83.3 % accepting all recommended frailty management strategies. Ninety percent of patients were satisfied with the FIT program, however staff and patient barriers to provision of frailty services were identified. The FIT program was largely adopted by staff and accepted by older female patients with mild frailty in the ED. However, program effectiveness was limited by gaps in communication about frailty in the ED and implementation of frailty management strategies after discharge.","archive":"CINAHL Complete","container-title":"Australasian Emergency Care","DOI":"10.1016/j.auec.2023.02.003","ISSN":"2589-1375","issue":"3","journalAbbreviation":"Australasian Emergency Care","note":"publisher-place: New York, New York\npublisher: Elsevier B.V.","page":"264-270","source":"EBSCOhost","title":"Older women's view on frailty and an Emergency Department evidence-based Frailty Intervention Team (FIT) program: An evaluation using the Reach, Effectiveness, Adoption, Implementation, Maintenance RE-AIM framework.","volume":"26","author":[{"family":"Harper","given":"Kristie J."},{"family":"Williamson","given":"Melinda"},{"family":"Edwards","given":"Deborah"},{"family":"Haak","given":"Jenna"},{"family":"Barton","given":"Annette"},{"family":"Slatyer","given":"Susan"}],"issued":{"date-parts":[["2023",9]]}}}],"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(17)</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56B0D02C"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582F0D96"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20291906" w14:textId="77777777" w:rsidR="002F0281" w:rsidRPr="009411AF" w:rsidRDefault="002F0281" w:rsidP="00E50F35">
            <w:pPr>
              <w:spacing w:after="0" w:line="240" w:lineRule="auto"/>
              <w:rPr>
                <w:rFonts w:ascii="Times New Roman" w:eastAsia="Times New Roman" w:hAnsi="Times New Roman" w:cs="Times New Roman"/>
                <w:color w:val="000000"/>
                <w:sz w:val="24"/>
                <w:szCs w:val="24"/>
                <w:lang w:val="en-CA" w:eastAsia="ko-KR"/>
              </w:rPr>
            </w:pPr>
            <w:r w:rsidRPr="009411AF">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63B1B360"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333B4C8F"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04F4C5E5"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276" w:type="dxa"/>
            <w:tcBorders>
              <w:top w:val="nil"/>
              <w:left w:val="nil"/>
              <w:bottom w:val="nil"/>
              <w:right w:val="nil"/>
            </w:tcBorders>
            <w:noWrap/>
            <w:vAlign w:val="bottom"/>
            <w:hideMark/>
          </w:tcPr>
          <w:p w14:paraId="3D58A1A8"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36A99FF5" w14:textId="77777777" w:rsidTr="00E50F35">
        <w:trPr>
          <w:trHeight w:val="320"/>
        </w:trPr>
        <w:tc>
          <w:tcPr>
            <w:tcW w:w="1417" w:type="dxa"/>
            <w:tcBorders>
              <w:top w:val="nil"/>
              <w:left w:val="nil"/>
              <w:bottom w:val="nil"/>
              <w:right w:val="nil"/>
            </w:tcBorders>
            <w:noWrap/>
            <w:vAlign w:val="bottom"/>
            <w:hideMark/>
          </w:tcPr>
          <w:p w14:paraId="54787DA4"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Liberman et al. (2020)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{"citationID":"of7Cdpae","properties":{"formattedCitation":"(19)","plainCitation":"(19)","noteIndex":0},"citationItems":[{"id":4070,"uris":["http://zotero.org/users/7916238/items/4RXTSYT8"],"itemData":{"id":4070,"type":"article-journal","abstract":"Background: Older adults presenting to the emergency department (ED) represent a highly vulnerable patient population with complex conditions and multiple comorbidities. The introduction of a Geriatric and Palliative (GAP)-ED partnership may be an effective strategy to avoid unneeded admissions and improve outcomes for this population.Objectives: The primary objective was to decrease 30-day revisit and hospitalization rates in this population through identifying patients that could be safely sent home with connection to community resources. Secondary outcomes included achieving high patient and family satisfaction scores assessed through follow-up interviews.Methods: The GAP-ED intervention included the placement of a Specialist in the ED to coordinate care for older adults presenting to the ED who were likely to be discharged home. Independent t-tests and chi-squared tests were used to assess for changes in outcomes between the intervention group and a blocked matched historical usual-care group.Results: There was no significant difference in 30-day ED revisits between the two groups, but there was a statistically significant reduction in hospital admissions from these 30-day revisits. Patient and family satisfaction with the presence of the GAP-ED Specialist was high.Conclusion: The implementation of a GAP-ED partnership and use of a GAP-ED Specialist is an effective means of reducing hospitalization in older adults revisiting the ED.","archive":"CINAHL Complete","container-title":"Journal of Emergency Medicine (0736-4679)","DOI":"10.1016/j.jemermed.2019.10.006","ISSN":"0736-4679","issue":"2","journalAbbreviation":"Journal of Emergency Medicine (0736-4679)","note":"publisher: Pergamon Press - An Imprint of Elsevier Science","page":"191-197","source":"EBSCOhost","title":"The GAP-ED Project: Improving Care for Elderly Patients Presenting to the Emergency Department.","volume":"58","author":[{"family":"Liberman","given":"Tara"},{"family":"Roofeh","given":"Regina"},{"family":"Sohn","given":"Natalie"},{"family":"Brave","given":"Martina"},{"family":"Smith","given":"Alison"},{"family":"Willis","given":"Helena"},{"family":"Silverman","given":"Robert"},{"family":"Kwon","given":"Nancy"}],"issued":{"date-parts":[["2020",2]]}}}],"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(19)</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2D78E062"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1144E759"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1B6BE959"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15E3AEA9"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5AB04D21"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388BCC9F"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276" w:type="dxa"/>
            <w:tcBorders>
              <w:top w:val="nil"/>
              <w:left w:val="nil"/>
              <w:bottom w:val="nil"/>
              <w:right w:val="nil"/>
            </w:tcBorders>
            <w:noWrap/>
            <w:vAlign w:val="bottom"/>
            <w:hideMark/>
          </w:tcPr>
          <w:p w14:paraId="6635BD3C"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4AB114C0" w14:textId="77777777" w:rsidTr="00E50F35">
        <w:trPr>
          <w:trHeight w:val="320"/>
        </w:trPr>
        <w:tc>
          <w:tcPr>
            <w:tcW w:w="1417" w:type="dxa"/>
            <w:tcBorders>
              <w:top w:val="nil"/>
              <w:left w:val="nil"/>
              <w:bottom w:val="nil"/>
              <w:right w:val="nil"/>
            </w:tcBorders>
            <w:noWrap/>
            <w:vAlign w:val="bottom"/>
            <w:hideMark/>
          </w:tcPr>
          <w:p w14:paraId="246A48D5"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Ouchi et al. (2024)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{"citationID":"invVI6MK","properties":{"formattedCitation":"(20)","plainCitation":"(20)","noteIndex":0},"citationItems":[{"id":3862,"uris":["http://zotero.org/users/7916238/items/43K2KQ9B"],"itemData":{"id":3862,"type":"article-journal","abstract":"Background and Objectives Advance care planning (ACP) conversations are important to provide goal-concordant care (i.e. the care that matches the patient's previously stated goals) near end of life. While 31% of older adults presenting to the emergency department (ED) have dementia, only 39% have previously had ACP conversations. We refined and piloted an ED-based, motivational interview designed to stimulate ACP conversations (ED GOAL) for patients living with cognitive impairment and their caregivers. Research Design and Methods We systematically refined ED GOAL and then conducted an acceptability study in an urban, academic medical center. We prospectively enrolled adults aged 50+ with cognitive impairment and their caregivers. Trained clinicians conducted the intervention. We measured acceptability after the intervention and participants' ACP engagement at baseline and 1-month follow-up. Results Specific statements to address both the patient and caregiver were added to the ED GOAL script. Of 60 eligible patient/caregiver dyads approached, 26 participated, and 20 (77%) completed follow-up assessments. Patient mean age was 79 years (SD 8.5); 65% were female, 92.3% were White, 96.2% were non-Hispanic, and 69% had moderate dementia. Most patients/caregivers reported feeling completely heard and understood by the study clinician about their future medical care preferences (58%, 15/26). They also reported that the study clinician was very respectful (96%, 25/26) when eliciting those preferences. Discussion and Implications Patients living with cognitive impairment and their caregivers found our refined ED GOAL acceptable and respectful. Future studies need to examine the effect of ED GOAL on ACP engagement among these dyads in the ED.","archive":"CINAHL Complete","container-title":"Gerontologist","DOI":"10.1093/geront/gnad020","ISSN":"0016-9013","issue":"1","journalAbbreviation":"Gerontologist","note":"publisher: Oxford University Press / USA","page":"1-8","source":"EBSCOhost","title":"Refinement of an Emergency Department-Based, Advance Care Planning Intervention for Patients With Cognitive Impairment and Their Caregivers.","volume":"64","author":[{"family":"Ouchi","given":"Kei"},{"family":"Joshi","given":"Christopher"},{"family":"Kaithamattam","given":"Jenson"},{"family":"Gale","given":"Seth A"},{"family":"Marshall","given":"Gad A"},{"family":"Pietras","given":"Alison"},{"family":"Wang","given":"Wei"},{"family":"Boyer","given":"Edward W"},{"family":"Tulsky","given":"James A"},{"family":"Block","given":"Susan D"},{"family":"Rentz","given":"Dorene"},{"family":"Schonberg","given":"Mara A"}],"issued":{"date-parts":[["2024",1]]}}}],"schema":"https://github.com/citation-style-language/schema/raw/master/csl-citation.json"}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(20)</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1C78CA27"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60F00B8A"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73F79102"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7B82FECC"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6B75C8B9"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20A261B6"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276" w:type="dxa"/>
            <w:tcBorders>
              <w:top w:val="nil"/>
              <w:left w:val="nil"/>
              <w:bottom w:val="nil"/>
              <w:right w:val="nil"/>
            </w:tcBorders>
            <w:noWrap/>
            <w:vAlign w:val="bottom"/>
            <w:hideMark/>
          </w:tcPr>
          <w:p w14:paraId="108B4A61"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7186C219" w14:textId="77777777" w:rsidTr="00E50F35">
        <w:trPr>
          <w:trHeight w:val="320"/>
        </w:trPr>
        <w:tc>
          <w:tcPr>
            <w:tcW w:w="10632" w:type="dxa"/>
            <w:gridSpan w:val="8"/>
            <w:tcBorders>
              <w:top w:val="nil"/>
              <w:left w:val="nil"/>
              <w:bottom w:val="nil"/>
              <w:right w:val="nil"/>
            </w:tcBorders>
            <w:shd w:val="clear" w:color="auto" w:fill="E8E8E8" w:themeFill="background2"/>
            <w:noWrap/>
            <w:vAlign w:val="bottom"/>
          </w:tcPr>
          <w:p w14:paraId="0675D55B"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 xml:space="preserve">Quantitative descriptive </w:t>
            </w:r>
          </w:p>
        </w:tc>
      </w:tr>
      <w:tr w:rsidR="002F0281" w:rsidRPr="001C11CA" w14:paraId="2FA19687" w14:textId="77777777" w:rsidTr="00E50F35">
        <w:trPr>
          <w:trHeight w:val="320"/>
        </w:trPr>
        <w:tc>
          <w:tcPr>
            <w:tcW w:w="1417" w:type="dxa"/>
            <w:tcBorders>
              <w:top w:val="nil"/>
              <w:left w:val="nil"/>
              <w:bottom w:val="nil"/>
              <w:right w:val="nil"/>
            </w:tcBorders>
            <w:noWrap/>
            <w:vAlign w:val="bottom"/>
            <w:hideMark/>
          </w:tcPr>
          <w:p w14:paraId="59D12235"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Author</w:t>
            </w:r>
          </w:p>
        </w:tc>
        <w:tc>
          <w:tcPr>
            <w:tcW w:w="1134" w:type="dxa"/>
            <w:tcBorders>
              <w:top w:val="nil"/>
              <w:left w:val="nil"/>
              <w:bottom w:val="nil"/>
              <w:right w:val="nil"/>
            </w:tcBorders>
            <w:noWrap/>
            <w:vAlign w:val="bottom"/>
            <w:hideMark/>
          </w:tcPr>
          <w:p w14:paraId="471A1F19" w14:textId="77777777" w:rsidR="002F0281" w:rsidRPr="009411AF"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Clear questions?</w:t>
            </w:r>
          </w:p>
        </w:tc>
        <w:tc>
          <w:tcPr>
            <w:tcW w:w="992" w:type="dxa"/>
            <w:tcBorders>
              <w:top w:val="nil"/>
              <w:left w:val="nil"/>
              <w:bottom w:val="nil"/>
              <w:right w:val="nil"/>
            </w:tcBorders>
            <w:noWrap/>
            <w:vAlign w:val="bottom"/>
            <w:hideMark/>
          </w:tcPr>
          <w:p w14:paraId="5027E5BC"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Data address?</w:t>
            </w:r>
          </w:p>
        </w:tc>
        <w:tc>
          <w:tcPr>
            <w:tcW w:w="1559" w:type="dxa"/>
            <w:tcBorders>
              <w:top w:val="nil"/>
              <w:left w:val="nil"/>
              <w:bottom w:val="nil"/>
              <w:right w:val="nil"/>
            </w:tcBorders>
            <w:noWrap/>
            <w:vAlign w:val="bottom"/>
            <w:hideMark/>
          </w:tcPr>
          <w:p w14:paraId="25A54D77"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Sampling strategy?</w:t>
            </w:r>
          </w:p>
        </w:tc>
        <w:tc>
          <w:tcPr>
            <w:tcW w:w="1418" w:type="dxa"/>
            <w:tcBorders>
              <w:top w:val="nil"/>
              <w:left w:val="nil"/>
              <w:bottom w:val="nil"/>
              <w:right w:val="nil"/>
            </w:tcBorders>
            <w:noWrap/>
            <w:vAlign w:val="bottom"/>
            <w:hideMark/>
          </w:tcPr>
          <w:p w14:paraId="5199A4D9"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Representative sample?</w:t>
            </w:r>
          </w:p>
        </w:tc>
        <w:tc>
          <w:tcPr>
            <w:tcW w:w="1418" w:type="dxa"/>
            <w:tcBorders>
              <w:top w:val="nil"/>
              <w:left w:val="nil"/>
              <w:bottom w:val="nil"/>
              <w:right w:val="nil"/>
            </w:tcBorders>
            <w:noWrap/>
            <w:vAlign w:val="bottom"/>
            <w:hideMark/>
          </w:tcPr>
          <w:p w14:paraId="0E55F1C6"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Measurements appropriate?</w:t>
            </w:r>
          </w:p>
        </w:tc>
        <w:tc>
          <w:tcPr>
            <w:tcW w:w="1418" w:type="dxa"/>
            <w:tcBorders>
              <w:top w:val="nil"/>
              <w:left w:val="nil"/>
              <w:bottom w:val="nil"/>
              <w:right w:val="nil"/>
            </w:tcBorders>
            <w:noWrap/>
            <w:vAlign w:val="bottom"/>
            <w:hideMark/>
          </w:tcPr>
          <w:p w14:paraId="122903B6"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Low nonresponse bias?</w:t>
            </w:r>
          </w:p>
        </w:tc>
        <w:tc>
          <w:tcPr>
            <w:tcW w:w="1276" w:type="dxa"/>
            <w:tcBorders>
              <w:top w:val="nil"/>
              <w:left w:val="nil"/>
              <w:bottom w:val="nil"/>
              <w:right w:val="nil"/>
            </w:tcBorders>
            <w:noWrap/>
            <w:vAlign w:val="bottom"/>
            <w:hideMark/>
          </w:tcPr>
          <w:p w14:paraId="4A801B3C"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Statistical analysis appropriate?</w:t>
            </w:r>
          </w:p>
        </w:tc>
      </w:tr>
      <w:tr w:rsidR="002F0281" w:rsidRPr="001C11CA" w14:paraId="040C02F6" w14:textId="77777777" w:rsidTr="00E50F35">
        <w:trPr>
          <w:trHeight w:val="320"/>
        </w:trPr>
        <w:tc>
          <w:tcPr>
            <w:tcW w:w="1417" w:type="dxa"/>
            <w:tcBorders>
              <w:top w:val="nil"/>
              <w:left w:val="nil"/>
              <w:bottom w:val="nil"/>
              <w:right w:val="nil"/>
            </w:tcBorders>
            <w:noWrap/>
            <w:vAlign w:val="bottom"/>
            <w:hideMark/>
          </w:tcPr>
          <w:p w14:paraId="651888B1"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Lichen et al. (2021)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{"citationID":"V3LTyr3c","properties":{"formattedCitation":"(18)","plainCitation":"(18)","noteIndex":0},"citationItems":[{"id":3548,"uris":["http://zotero.org/users/7916238/items/A6LUKF9C"],"itemData":{"id":3548,"type":"article-journal","abstract":"Objective: Determine if a comfort cart would improve older adults' comfort and facilitate communication during Emergency Department (ED) visits.Methods: A comfort cart containing low-cost, non-pharmacological interventions to imp</w:instrText>
            </w:r>
            <w:r>
              <w:rPr>
                <w:rFonts w:ascii="Times New Roman" w:hAnsi="Times New Roman" w:cs="Times New Roman" w:hint="eastAsia"/>
                <w:color w:val="000000"/>
                <w:sz w:val="18"/>
                <w:szCs w:val="18"/>
              </w:rPr>
              <w:instrText>rove patient comfort and ability to communicate (e.g., hearing amplifiers, reading glasses) were made available to patients aged ≥65 years. Patients and clinicians were surveyed to assess effectiveness. We followed the Standards for Quality Improvement Re</w:instrText>
            </w:r>
            <w:r>
              <w:rPr>
                <w:rFonts w:ascii="Times New Roman" w:hAnsi="Times New Roman" w:cs="Times New Roman"/>
                <w:color w:val="000000"/>
                <w:sz w:val="18"/>
                <w:szCs w:val="18"/>
              </w:rPr>
              <w:instrText xml:space="preserve">porting Excellence: SQUIRE 2.0 guidelines.Results: Three hundred patients and 100 providers were surveyed. Among patients, 98.0%, 95.1%, and 67.5% somewhat or strongly agreed that the comfort cart improved comfort, overall experience, and independence, respectively. Among providers, 97.0%, 95.0%, 87.0%, and 83% somewhat or strongly agreed that the comfort cart provided comfort, improved patient satisfaction, increased ability to give compassionate care, and increased patient orientation.Conclusion: The comfort cart was an affordable and effective intervention that improved patients' comfort by facilitating communication, wellbeing, and compassionate care delivery.","archive":"CINAHL Complete","container-title":"American Journal of Emergency Medicine","DOI":"10.1016/j.ajem.2020.04.089","ISSN":"0735-6757","journalAbbreviation":"American Journal of Emergency Medicine","note":"publisher-place: Philadelphia, Pennsylvania\npublisher: Elsevier B.V.","page":"15-20","source":"EBSCOhost","title":"Non-pharmacologic interventions improve comfort and experience among older adults in the Emergency Department.","volume":"39","author":[{"family":"Lichen","given":"Isabella M."},{"family":"Berning","given":"Michelle J."},{"family":"Bower","given":"Susan M."},{"family":"Stanich","given":"Jessica A."},{"family":"Jeffery","given":"Molly M."},{"family":"Campbell","given":"Ronna L."},{"family":"Walker","given":"Laura E."},{"family":"Bellolio","given":"Fernanda"}],"issued":{"date-parts":[["2021",1]]}}}],"schema":"https://github.com/citation-style-language/schema/raw/master/csl-citation.json"}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(18)</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7940CB5C"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45C67930"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6A240E83"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044D9CE6"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3088C6D9"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0A413B84"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9411AF">
              <w:rPr>
                <w:rFonts w:ascii="Times New Roman" w:eastAsia="Times New Roman" w:hAnsi="Times New Roman" w:cs="Times New Roman"/>
                <w:color w:val="000000"/>
                <w:sz w:val="18"/>
                <w:szCs w:val="18"/>
                <w:lang w:val="en-CA" w:eastAsia="ko-KR"/>
              </w:rPr>
              <w:t>?</w:t>
            </w:r>
          </w:p>
        </w:tc>
        <w:tc>
          <w:tcPr>
            <w:tcW w:w="1276" w:type="dxa"/>
            <w:tcBorders>
              <w:top w:val="nil"/>
              <w:left w:val="nil"/>
              <w:bottom w:val="nil"/>
              <w:right w:val="nil"/>
            </w:tcBorders>
            <w:noWrap/>
            <w:vAlign w:val="bottom"/>
            <w:hideMark/>
          </w:tcPr>
          <w:p w14:paraId="0394F1C7"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631C739E" w14:textId="77777777" w:rsidTr="00E50F35">
        <w:trPr>
          <w:trHeight w:val="320"/>
        </w:trPr>
        <w:tc>
          <w:tcPr>
            <w:tcW w:w="10632" w:type="dxa"/>
            <w:gridSpan w:val="8"/>
            <w:tcBorders>
              <w:top w:val="nil"/>
              <w:left w:val="nil"/>
              <w:bottom w:val="nil"/>
              <w:right w:val="nil"/>
            </w:tcBorders>
            <w:shd w:val="clear" w:color="auto" w:fill="E8E8E8" w:themeFill="background2"/>
            <w:noWrap/>
            <w:vAlign w:val="bottom"/>
          </w:tcPr>
          <w:p w14:paraId="5BDA5C86"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Mixed methods (MM)</w:t>
            </w:r>
          </w:p>
        </w:tc>
      </w:tr>
      <w:tr w:rsidR="002F0281" w:rsidRPr="001C11CA" w14:paraId="39CFF2C0" w14:textId="77777777" w:rsidTr="00E50F35">
        <w:trPr>
          <w:trHeight w:val="320"/>
        </w:trPr>
        <w:tc>
          <w:tcPr>
            <w:tcW w:w="1417" w:type="dxa"/>
            <w:tcBorders>
              <w:top w:val="nil"/>
              <w:left w:val="nil"/>
              <w:bottom w:val="nil"/>
              <w:right w:val="nil"/>
            </w:tcBorders>
            <w:noWrap/>
            <w:vAlign w:val="bottom"/>
            <w:hideMark/>
          </w:tcPr>
          <w:p w14:paraId="558C66AA"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Author</w:t>
            </w:r>
          </w:p>
        </w:tc>
        <w:tc>
          <w:tcPr>
            <w:tcW w:w="1134" w:type="dxa"/>
            <w:tcBorders>
              <w:top w:val="nil"/>
              <w:left w:val="nil"/>
              <w:bottom w:val="nil"/>
              <w:right w:val="nil"/>
            </w:tcBorders>
            <w:noWrap/>
            <w:vAlign w:val="bottom"/>
            <w:hideMark/>
          </w:tcPr>
          <w:p w14:paraId="064B61AD" w14:textId="77777777" w:rsidR="002F0281" w:rsidRPr="009411AF"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Clear questions?</w:t>
            </w:r>
          </w:p>
        </w:tc>
        <w:tc>
          <w:tcPr>
            <w:tcW w:w="992" w:type="dxa"/>
            <w:tcBorders>
              <w:top w:val="nil"/>
              <w:left w:val="nil"/>
              <w:bottom w:val="nil"/>
              <w:right w:val="nil"/>
            </w:tcBorders>
            <w:noWrap/>
            <w:vAlign w:val="bottom"/>
            <w:hideMark/>
          </w:tcPr>
          <w:p w14:paraId="14EEDC21"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Data address?</w:t>
            </w:r>
          </w:p>
        </w:tc>
        <w:tc>
          <w:tcPr>
            <w:tcW w:w="1559" w:type="dxa"/>
            <w:tcBorders>
              <w:top w:val="nil"/>
              <w:left w:val="nil"/>
              <w:bottom w:val="nil"/>
              <w:right w:val="nil"/>
            </w:tcBorders>
            <w:noWrap/>
            <w:vAlign w:val="bottom"/>
            <w:hideMark/>
          </w:tcPr>
          <w:p w14:paraId="2A7F8CE5"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Rationale for MM design?</w:t>
            </w:r>
          </w:p>
        </w:tc>
        <w:tc>
          <w:tcPr>
            <w:tcW w:w="1418" w:type="dxa"/>
            <w:tcBorders>
              <w:top w:val="nil"/>
              <w:left w:val="nil"/>
              <w:bottom w:val="nil"/>
              <w:right w:val="nil"/>
            </w:tcBorders>
            <w:noWrap/>
            <w:vAlign w:val="bottom"/>
            <w:hideMark/>
          </w:tcPr>
          <w:p w14:paraId="7A4CFBCA"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Integration effective?</w:t>
            </w:r>
          </w:p>
        </w:tc>
        <w:tc>
          <w:tcPr>
            <w:tcW w:w="1418" w:type="dxa"/>
            <w:tcBorders>
              <w:top w:val="nil"/>
              <w:left w:val="nil"/>
              <w:bottom w:val="nil"/>
              <w:right w:val="nil"/>
            </w:tcBorders>
            <w:noWrap/>
            <w:vAlign w:val="bottom"/>
            <w:hideMark/>
          </w:tcPr>
          <w:p w14:paraId="766462F9"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Interpretation adequate?</w:t>
            </w:r>
          </w:p>
        </w:tc>
        <w:tc>
          <w:tcPr>
            <w:tcW w:w="1418" w:type="dxa"/>
            <w:tcBorders>
              <w:top w:val="nil"/>
              <w:left w:val="nil"/>
              <w:bottom w:val="nil"/>
              <w:right w:val="nil"/>
            </w:tcBorders>
            <w:noWrap/>
            <w:vAlign w:val="bottom"/>
            <w:hideMark/>
          </w:tcPr>
          <w:p w14:paraId="0435EE8F"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Divergence addressed?</w:t>
            </w:r>
          </w:p>
        </w:tc>
        <w:tc>
          <w:tcPr>
            <w:tcW w:w="1276" w:type="dxa"/>
            <w:tcBorders>
              <w:top w:val="nil"/>
              <w:left w:val="nil"/>
              <w:bottom w:val="nil"/>
              <w:right w:val="nil"/>
            </w:tcBorders>
            <w:noWrap/>
            <w:vAlign w:val="bottom"/>
            <w:hideMark/>
          </w:tcPr>
          <w:p w14:paraId="240DA06B"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Quality criteria met?</w:t>
            </w:r>
          </w:p>
        </w:tc>
      </w:tr>
      <w:tr w:rsidR="002F0281" w:rsidRPr="001C11CA" w14:paraId="2A8B18CD" w14:textId="77777777" w:rsidTr="00E50F35">
        <w:trPr>
          <w:trHeight w:val="320"/>
        </w:trPr>
        <w:tc>
          <w:tcPr>
            <w:tcW w:w="1417" w:type="dxa"/>
            <w:tcBorders>
              <w:top w:val="nil"/>
              <w:left w:val="nil"/>
              <w:bottom w:val="nil"/>
              <w:right w:val="nil"/>
            </w:tcBorders>
            <w:noWrap/>
            <w:vAlign w:val="bottom"/>
            <w:hideMark/>
          </w:tcPr>
          <w:p w14:paraId="79A08D55"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Carayon et al. (2025)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{"citationID":"g70CVx7x","properties":{"formattedCitation":"(15)","plainCitation":"(15)","noteIndex":0},"citationItems":[{"id":6404,"uris":["http://zotero.org/users/7916238/items/KB8E73IG"],"itemData":{"id":6404,"type":"article-journal","abstract":"OBJECTIVES: The transition of older adults from the emergency department (ED) to home remains a potential area of preventable harm. Through a human-centered design process, we developed a patient-centered intervention aimed at improving communication and coordination between ED staff and patients. The intervention included a new electronic health record (EHR)-based template for physicians to enter discharge instructions, a redesigned after-visit-summary (AVS), enhanced nurse training for patient teach-back, and EHR-embedded tips for nurses at the time of follow-up call. Our research objective was to evaluate this patient-centered ED discharge process redesign from multiple perspectives.\nMETHODS: Using the SEIPS 3.0 model, we evaluated the intervention, in particular work system barriers and facilitators in the 3 subprocesses of the redesigned ED discharge process: physician writing discharge instructions, nurse/patient communication at discharge, and nurse/patient communication at follow-up call. We used multiple methods to collect quantitative and qualitative data from the perspectives of patients, and ED physicians and nurses.\nRESULTS: Overall, the redesigned patient-centered discharge process was perceived positively by ED physicians and advanced practice providers, ED nurses, and patients. All 3 groups identified work system facilitators regarding the intervention, in particular the usability of the AVS. Work system barriers pointed to areas for future improvement of the intervention, such as adding prepopulated information to the AVS.\nCONCLUSIONS: Using a human-centered design process, we improved ED discharge for older adults. Our SEIPS-based research and evaluation fit with the learning health system concept as it provides input for future work system and patient safety improvement.","container-title":"Journal of Patient Safety","DOI":"10.1097/PTS.0000000000001328","ISSN":"1549-8425","issue":"4","journalAbbreviation":"J Patient Saf","language":"eng","note":"PMID: 40094456","page":"203-212","source":"PubMed","title":"A Mixed Methods SEIPS-based Evaluation of a Patient-centered ED Discharge Process Redesign for Older Adults","volume":"21","author":[{"family":"Carayon","given":"Pascale"},{"family":"Wust","given":"Kathryn"},{"family":"Barton","given":"Hanna J."},{"family":"Shah","given":"Manish N."},{"family":"Dail","given":"Paula Vw"},{"family":"King","given":"Barbara J."},{"family":"Buckley","given":"Denise M."},{"family":"Ehlenfeldt","given":"Brad"},{"family":"Patterson","given":"Brian W."},{"family":"Hoonakker","given":"Peter"},{"family":"Werner","given":"Nicole E."}],"issued":{"date-parts":[["2025",6,1]]}}}],"schema":"https://github.com/citation-style-language/schema/raw/master/csl-citation.json"}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(15)</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1F5AF110"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7EDEBDF6"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422A8DB0"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758A7492" w14:textId="77777777" w:rsidR="002F0281" w:rsidRPr="00574F80"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574F80">
              <w:rPr>
                <w:rFonts w:ascii="Times New Roman" w:eastAsia="Times New Roman" w:hAnsi="Times New Roman" w:cs="Times New Roman"/>
                <w:b/>
                <w:bCs/>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5BA70ADC"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sidRPr="007D7520">
              <w:rPr>
                <w:rFonts w:ascii="Times New Roman" w:eastAsia="Times New Roman" w:hAnsi="Times New Roman" w:cs="Times New Roman"/>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325883A6"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sidRPr="00D21D59">
              <w:rPr>
                <w:rFonts w:ascii="Times New Roman" w:eastAsia="Times New Roman" w:hAnsi="Times New Roman" w:cs="Times New Roman"/>
                <w:color w:val="000000"/>
                <w:sz w:val="18"/>
                <w:szCs w:val="18"/>
                <w:lang w:val="en-CA" w:eastAsia="ko-KR"/>
              </w:rPr>
              <w:t>?</w:t>
            </w:r>
          </w:p>
        </w:tc>
        <w:tc>
          <w:tcPr>
            <w:tcW w:w="1276" w:type="dxa"/>
            <w:tcBorders>
              <w:top w:val="nil"/>
              <w:left w:val="nil"/>
              <w:bottom w:val="nil"/>
              <w:right w:val="nil"/>
            </w:tcBorders>
            <w:noWrap/>
            <w:vAlign w:val="bottom"/>
            <w:hideMark/>
          </w:tcPr>
          <w:p w14:paraId="08BF3619" w14:textId="77777777" w:rsidR="002F0281" w:rsidRPr="00D21D59" w:rsidRDefault="002F0281" w:rsidP="00E50F35">
            <w:pPr>
              <w:spacing w:after="0" w:line="240" w:lineRule="auto"/>
              <w:rPr>
                <w:rFonts w:ascii="Times New Roman" w:eastAsia="Times New Roman" w:hAnsi="Times New Roman" w:cs="Times New Roman"/>
                <w:color w:val="000000"/>
                <w:sz w:val="18"/>
                <w:szCs w:val="18"/>
                <w:lang w:val="en-CA" w:eastAsia="ko-KR"/>
              </w:rPr>
            </w:pPr>
            <w:r w:rsidRPr="00D21D59">
              <w:rPr>
                <w:rFonts w:ascii="Times New Roman" w:eastAsia="Times New Roman" w:hAnsi="Times New Roman" w:cs="Times New Roman"/>
                <w:color w:val="000000"/>
                <w:sz w:val="18"/>
                <w:szCs w:val="18"/>
                <w:lang w:val="en-CA" w:eastAsia="ko-KR"/>
              </w:rPr>
              <w:t>?</w:t>
            </w:r>
          </w:p>
        </w:tc>
      </w:tr>
      <w:tr w:rsidR="002F0281" w:rsidRPr="001C11CA" w14:paraId="777DB49B" w14:textId="77777777" w:rsidTr="00E50F35">
        <w:trPr>
          <w:trHeight w:val="320"/>
        </w:trPr>
        <w:tc>
          <w:tcPr>
            <w:tcW w:w="1417" w:type="dxa"/>
            <w:tcBorders>
              <w:top w:val="nil"/>
              <w:left w:val="nil"/>
              <w:bottom w:val="nil"/>
              <w:right w:val="nil"/>
            </w:tcBorders>
            <w:noWrap/>
            <w:vAlign w:val="bottom"/>
            <w:hideMark/>
          </w:tcPr>
          <w:p w14:paraId="35434165"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Pepping et al. (2024)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{"citationID":"Vg6xNgQs","properties":{"formattedCitation":"(4)","plainCitation":"(4)","noteIndex":0},"citationItems":[{"id":2403,"uris":["http://zotero.org/users/7916238/items/B9RZNZRA"],"itemData":{"id":2403,"type":"article-journal","abstract":"Older adults with acute functional decline may visit emergency departments (EDs) for medical support despite a lack of strict medical urgency. The introduction of transitional care teams (TCT) at the ED has shown promise in reducing avoidable admittances. However, the optimal composition and implementation of TCTs are still poorly defined. We evaluated the effect of TCTs consisting of an elderly care physician (ECP) and transfer nurse versus a transfer nurse only on reducing hospital admissions, as well as the experience of patients and caregivers regarding quality of care.","container-title":"BMC Geriatrics","DOI":"10.1186/s12877-024-05260-2","ISSN":"1471-2318","issue":"1","journalAbbreviation":"BMC Geriatrics","page":"668","source":"BioMed Central","title":"An emergency department transitional care team prevents unnecessary hospitalization of older adults: a mixed methods study","title-short":"An emergency department transitional care team prevents unnecessary hospitalization of older adults","volume":"24","author":[{"family":"Pepping","given":"R. M.C."},{"family":"Vos","given":"R. C."},{"family":"Numans","given":"M. E."},{"family":"Kroon","given":"I."},{"family":"Rappard","given":"K."},{"family":"Labots","given":"G."},{"family":"Nieuwkoop","given":"C.","non-dropping-particle":"van"},{"family":"Aken","given":"Maarten O.","non-dropping-particle":"van"}],"issued":{"date-parts":[["2024",8,8]]}}}],"schema":"https://github.com/citation-style-language/schema/raw/master/csl-citation.json"} </w:instrText>
            </w:r>
            <w:r w:rsidRPr="001A7435">
              <w:rPr>
                <w:rFonts w:ascii="Times New Roman" w:hAnsi="Times New Roman" w:cs="Times New Roman"/>
                <w:color w:val="000000"/>
                <w:sz w:val="18"/>
                <w:szCs w:val="18"/>
              </w:rPr>
              <w:fldChar w:fldCharType="separate"/>
            </w:r>
            <w:r w:rsidRPr="001A7435">
              <w:rPr>
                <w:rFonts w:ascii="Times New Roman" w:hAnsi="Times New Roman" w:cs="Times New Roman"/>
                <w:noProof/>
                <w:color w:val="000000"/>
                <w:sz w:val="18"/>
                <w:szCs w:val="18"/>
              </w:rPr>
              <w:t>(4)</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7030A01F"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147BBCB3"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6A02E72E" w14:textId="77777777" w:rsidR="002F0281" w:rsidRPr="00574F80"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574F80">
              <w:rPr>
                <w:rFonts w:ascii="Times New Roman" w:eastAsia="Times New Roman" w:hAnsi="Times New Roman" w:cs="Times New Roman"/>
                <w:b/>
                <w:bCs/>
                <w:color w:val="000000"/>
                <w:sz w:val="24"/>
                <w:szCs w:val="24"/>
                <w:lang w:val="en-CA" w:eastAsia="ko-KR"/>
              </w:rPr>
              <w:sym w:font="Wingdings" w:char="F0FB"/>
            </w:r>
          </w:p>
        </w:tc>
        <w:tc>
          <w:tcPr>
            <w:tcW w:w="1418" w:type="dxa"/>
            <w:tcBorders>
              <w:top w:val="nil"/>
              <w:left w:val="nil"/>
              <w:bottom w:val="nil"/>
              <w:right w:val="nil"/>
            </w:tcBorders>
            <w:noWrap/>
            <w:vAlign w:val="bottom"/>
            <w:hideMark/>
          </w:tcPr>
          <w:p w14:paraId="0C6BCCD8"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1E9E3AFC"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9411AF">
              <w:rPr>
                <w:rFonts w:ascii="Times New Roman" w:eastAsia="Times New Roman" w:hAnsi="Times New Roman" w:cs="Times New Roman"/>
                <w:color w:val="000000"/>
                <w:sz w:val="18"/>
                <w:szCs w:val="18"/>
                <w:lang w:val="en-CA" w:eastAsia="ko-KR"/>
              </w:rPr>
              <w:t>?</w:t>
            </w:r>
          </w:p>
        </w:tc>
        <w:tc>
          <w:tcPr>
            <w:tcW w:w="1418" w:type="dxa"/>
            <w:tcBorders>
              <w:top w:val="nil"/>
              <w:left w:val="nil"/>
              <w:bottom w:val="nil"/>
              <w:right w:val="nil"/>
            </w:tcBorders>
            <w:noWrap/>
            <w:vAlign w:val="bottom"/>
            <w:hideMark/>
          </w:tcPr>
          <w:p w14:paraId="37499816"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9411AF">
              <w:rPr>
                <w:rFonts w:ascii="Times New Roman" w:eastAsia="Times New Roman" w:hAnsi="Times New Roman" w:cs="Times New Roman"/>
                <w:color w:val="000000"/>
                <w:sz w:val="18"/>
                <w:szCs w:val="18"/>
                <w:lang w:val="en-CA" w:eastAsia="ko-KR"/>
              </w:rPr>
              <w:t>?</w:t>
            </w:r>
          </w:p>
        </w:tc>
        <w:tc>
          <w:tcPr>
            <w:tcW w:w="1276" w:type="dxa"/>
            <w:tcBorders>
              <w:top w:val="nil"/>
              <w:left w:val="nil"/>
              <w:bottom w:val="nil"/>
              <w:right w:val="nil"/>
            </w:tcBorders>
            <w:noWrap/>
            <w:vAlign w:val="bottom"/>
            <w:hideMark/>
          </w:tcPr>
          <w:p w14:paraId="1D5C42DC"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4187AFD7" w14:textId="77777777" w:rsidTr="00E50F35">
        <w:trPr>
          <w:trHeight w:val="320"/>
        </w:trPr>
        <w:tc>
          <w:tcPr>
            <w:tcW w:w="10632" w:type="dxa"/>
            <w:gridSpan w:val="8"/>
            <w:tcBorders>
              <w:top w:val="nil"/>
              <w:left w:val="nil"/>
              <w:bottom w:val="nil"/>
              <w:right w:val="nil"/>
            </w:tcBorders>
            <w:shd w:val="clear" w:color="auto" w:fill="E8E8E8" w:themeFill="background2"/>
            <w:noWrap/>
            <w:vAlign w:val="bottom"/>
          </w:tcPr>
          <w:p w14:paraId="2C86917A"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 xml:space="preserve">Qualitative </w:t>
            </w:r>
          </w:p>
        </w:tc>
      </w:tr>
      <w:tr w:rsidR="002F0281" w:rsidRPr="001C11CA" w14:paraId="30AECC58" w14:textId="77777777" w:rsidTr="00E50F35">
        <w:trPr>
          <w:trHeight w:val="320"/>
        </w:trPr>
        <w:tc>
          <w:tcPr>
            <w:tcW w:w="1417" w:type="dxa"/>
            <w:tcBorders>
              <w:top w:val="nil"/>
              <w:left w:val="nil"/>
              <w:bottom w:val="nil"/>
              <w:right w:val="nil"/>
            </w:tcBorders>
            <w:noWrap/>
            <w:vAlign w:val="bottom"/>
            <w:hideMark/>
          </w:tcPr>
          <w:p w14:paraId="0D719FA1" w14:textId="77777777" w:rsidR="002F0281" w:rsidRPr="001A7435"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1A7435">
              <w:rPr>
                <w:rFonts w:ascii="Times New Roman" w:eastAsia="Times New Roman" w:hAnsi="Times New Roman" w:cs="Times New Roman"/>
                <w:b/>
                <w:bCs/>
                <w:color w:val="000000"/>
                <w:sz w:val="18"/>
                <w:szCs w:val="18"/>
                <w:lang w:val="en-CA" w:eastAsia="ko-KR"/>
              </w:rPr>
              <w:t>Author</w:t>
            </w:r>
          </w:p>
        </w:tc>
        <w:tc>
          <w:tcPr>
            <w:tcW w:w="1134" w:type="dxa"/>
            <w:tcBorders>
              <w:top w:val="nil"/>
              <w:left w:val="nil"/>
              <w:bottom w:val="nil"/>
              <w:right w:val="nil"/>
            </w:tcBorders>
            <w:noWrap/>
            <w:vAlign w:val="bottom"/>
            <w:hideMark/>
          </w:tcPr>
          <w:p w14:paraId="5B0592C4" w14:textId="77777777" w:rsidR="002F0281" w:rsidRPr="009411AF"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9411AF">
              <w:rPr>
                <w:rFonts w:ascii="Times New Roman" w:eastAsia="Times New Roman" w:hAnsi="Times New Roman" w:cs="Times New Roman"/>
                <w:b/>
                <w:bCs/>
                <w:color w:val="000000"/>
                <w:sz w:val="18"/>
                <w:szCs w:val="18"/>
                <w:lang w:val="en-CA" w:eastAsia="ko-KR"/>
              </w:rPr>
              <w:t>Clear questions?</w:t>
            </w:r>
          </w:p>
        </w:tc>
        <w:tc>
          <w:tcPr>
            <w:tcW w:w="992" w:type="dxa"/>
            <w:tcBorders>
              <w:top w:val="nil"/>
              <w:left w:val="nil"/>
              <w:bottom w:val="nil"/>
              <w:right w:val="nil"/>
            </w:tcBorders>
            <w:noWrap/>
            <w:vAlign w:val="bottom"/>
            <w:hideMark/>
          </w:tcPr>
          <w:p w14:paraId="7FDC5AA4"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Data address?</w:t>
            </w:r>
          </w:p>
        </w:tc>
        <w:tc>
          <w:tcPr>
            <w:tcW w:w="1559" w:type="dxa"/>
            <w:tcBorders>
              <w:top w:val="nil"/>
              <w:left w:val="nil"/>
              <w:bottom w:val="nil"/>
              <w:right w:val="nil"/>
            </w:tcBorders>
            <w:noWrap/>
            <w:vAlign w:val="bottom"/>
            <w:hideMark/>
          </w:tcPr>
          <w:p w14:paraId="438E45EE"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Qualitative approach appropriate?</w:t>
            </w:r>
          </w:p>
        </w:tc>
        <w:tc>
          <w:tcPr>
            <w:tcW w:w="1418" w:type="dxa"/>
            <w:tcBorders>
              <w:top w:val="nil"/>
              <w:left w:val="nil"/>
              <w:bottom w:val="nil"/>
              <w:right w:val="nil"/>
            </w:tcBorders>
            <w:noWrap/>
            <w:vAlign w:val="bottom"/>
            <w:hideMark/>
          </w:tcPr>
          <w:p w14:paraId="441D9B25"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Data collection adequate?</w:t>
            </w:r>
          </w:p>
        </w:tc>
        <w:tc>
          <w:tcPr>
            <w:tcW w:w="1418" w:type="dxa"/>
            <w:tcBorders>
              <w:top w:val="nil"/>
              <w:left w:val="nil"/>
              <w:bottom w:val="nil"/>
              <w:right w:val="nil"/>
            </w:tcBorders>
            <w:noWrap/>
            <w:vAlign w:val="bottom"/>
            <w:hideMark/>
          </w:tcPr>
          <w:p w14:paraId="3ED5B28F"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Findings supported by data?</w:t>
            </w:r>
          </w:p>
        </w:tc>
        <w:tc>
          <w:tcPr>
            <w:tcW w:w="1418" w:type="dxa"/>
            <w:tcBorders>
              <w:top w:val="nil"/>
              <w:left w:val="nil"/>
              <w:bottom w:val="nil"/>
              <w:right w:val="nil"/>
            </w:tcBorders>
            <w:noWrap/>
            <w:vAlign w:val="bottom"/>
            <w:hideMark/>
          </w:tcPr>
          <w:p w14:paraId="272FE2CE"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Interpretation substantiated?</w:t>
            </w:r>
          </w:p>
        </w:tc>
        <w:tc>
          <w:tcPr>
            <w:tcW w:w="1276" w:type="dxa"/>
            <w:tcBorders>
              <w:top w:val="nil"/>
              <w:left w:val="nil"/>
              <w:bottom w:val="nil"/>
              <w:right w:val="nil"/>
            </w:tcBorders>
            <w:noWrap/>
            <w:vAlign w:val="bottom"/>
            <w:hideMark/>
          </w:tcPr>
          <w:p w14:paraId="731CBDEB" w14:textId="77777777" w:rsidR="002F0281" w:rsidRPr="00D21D59" w:rsidRDefault="002F0281" w:rsidP="00E50F35">
            <w:pPr>
              <w:spacing w:after="0" w:line="240" w:lineRule="auto"/>
              <w:rPr>
                <w:rFonts w:ascii="Times New Roman" w:eastAsia="Times New Roman" w:hAnsi="Times New Roman" w:cs="Times New Roman"/>
                <w:b/>
                <w:bCs/>
                <w:color w:val="000000"/>
                <w:sz w:val="18"/>
                <w:szCs w:val="18"/>
                <w:lang w:val="en-CA" w:eastAsia="ko-KR"/>
              </w:rPr>
            </w:pPr>
            <w:r w:rsidRPr="00D21D59">
              <w:rPr>
                <w:rFonts w:ascii="Times New Roman" w:eastAsia="Times New Roman" w:hAnsi="Times New Roman" w:cs="Times New Roman"/>
                <w:b/>
                <w:bCs/>
                <w:color w:val="000000"/>
                <w:sz w:val="18"/>
                <w:szCs w:val="18"/>
                <w:lang w:val="en-CA" w:eastAsia="ko-KR"/>
              </w:rPr>
              <w:t>Coherence across methods?</w:t>
            </w:r>
          </w:p>
        </w:tc>
      </w:tr>
      <w:tr w:rsidR="002F0281" w:rsidRPr="001C11CA" w14:paraId="5EF5820A" w14:textId="77777777" w:rsidTr="00E50F35">
        <w:trPr>
          <w:trHeight w:val="320"/>
        </w:trPr>
        <w:tc>
          <w:tcPr>
            <w:tcW w:w="1417" w:type="dxa"/>
            <w:tcBorders>
              <w:top w:val="nil"/>
              <w:left w:val="nil"/>
              <w:bottom w:val="nil"/>
              <w:right w:val="nil"/>
            </w:tcBorders>
            <w:noWrap/>
            <w:vAlign w:val="bottom"/>
            <w:hideMark/>
          </w:tcPr>
          <w:p w14:paraId="3CE21C11"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Blomaard et al. (2021) </w:t>
            </w:r>
            <w:r w:rsidRPr="001A7435">
              <w:rPr>
                <w:rFonts w:ascii="Times New Roman" w:hAnsi="Times New Roman" w:cs="Times New Roman"/>
                <w:sz w:val="18"/>
                <w:szCs w:val="18"/>
              </w:rPr>
              <w:fldChar w:fldCharType="begin"/>
            </w:r>
            <w:r>
              <w:rPr>
                <w:rFonts w:ascii="Times New Roman" w:hAnsi="Times New Roman" w:cs="Times New Roman"/>
                <w:sz w:val="18"/>
                <w:szCs w:val="18"/>
              </w:rPr>
              <w:instrText xml:space="preserve"> ADDIN ZOTERO_ITEM CSL_CITATION {"citationID":"F4nkAEwf","properties":{"formattedCitation":"(12)","plainCitation":"(12)","noteIndex":0},"citationItems":[{"id":3122,"uris":["http://zotero.org/users/7916238/items/EMV4AGBA"],"itemData":{"id":3122,"type":"article-journal","abstract":"Background: The patient perspective on the use of screening for high risks of adverse health outcomes in Emergency Department (ED) care is underexposed, although it is an important perspective influencing implementation in routine care. This study explores the experiences with, and attitudes towards geriatric screening in routine ED care among older people who visited the ED.Methods: This was a qualitative study using individual face-to-face semi-structured interviews. Interviews were conducted in older patients (</w:instrText>
            </w:r>
            <w:r>
              <w:rPr>
                <w:rFonts w:ascii="Times New Roman" w:hAnsi="Times New Roman" w:cs="Times New Roman" w:hint="eastAsia"/>
                <w:sz w:val="18"/>
                <w:szCs w:val="18"/>
              </w:rPr>
              <w:instrText>≥</w:instrText>
            </w:r>
            <w:r>
              <w:rPr>
                <w:rFonts w:ascii="Times New Roman" w:hAnsi="Times New Roman" w:cs="Times New Roman"/>
                <w:sz w:val="18"/>
                <w:szCs w:val="18"/>
              </w:rPr>
              <w:instrText xml:space="preserve">70 years) who completed the 'Acutely Presenting Older Patient' screener while visiting the ED of a Dutch academic hospital. Purposive convenience sampling was used to select a heterogeneous sample of participants regarding age, disease severity and the result from screening. Transcripts were analyzed inductively using thematic analysis.Results: After 13 interviews (7 women, median age 82 years), data saturation was reached. The participants had noticed little of the screening administration during triage and screening was considered as a normal part of ED care. Most participants believed that geriatric screening contributes to assessing older patients holistically, recognizing geriatric problems early and comforting patients with communication and attention. None of the participants had a negative attitude towards screening or thought that screening is discrimination on age. Care providers should communicate respectfully with frail older patients and involve them in decision-making.Conclusions: Older patients experienced geriatric screening as a normal part of ED care and had predominantly positive attitudes towards its use in the ED. This qualitative study advocates for continuing the implementation of geriatric screening in routine ED practice.","archive":"CINAHL Complete","container-title":"BMC Geriatrics","DOI":"10.1186/s12877-021-02144-7","ISSN":"1471-2318","issue":"1","journalAbbreviation":"BMC Geriatrics","note":"publisher: BioMed Central","page":"1-10","source":"EBSCOhost","title":"Experiences with and attitudes towards geriatric screening among older emergency department patients: a qualitative study.","volume":"21","author":[{"family":"Blomaard","given":"Laura C."},{"family":"Olthof","given":"Mareline"},{"family":"Meuleman","given":"Yvette"},{"family":"Groot","given":"Bas","non-dropping-particle":"de"},{"family":"Gussekloo","given":"Jacobijn"},{"family":"Mooijaart","given":"Simon P."}],"issued":{"date-parts":[["2021",3,20]]}}}],"schema":"https://github.com/citation-style-language/schema/raw/master/csl-citation.json"} </w:instrText>
            </w:r>
            <w:r w:rsidRPr="001A7435">
              <w:rPr>
                <w:rFonts w:ascii="Times New Roman" w:hAnsi="Times New Roman" w:cs="Times New Roman"/>
                <w:sz w:val="18"/>
                <w:szCs w:val="18"/>
              </w:rPr>
              <w:fldChar w:fldCharType="separate"/>
            </w:r>
            <w:r>
              <w:rPr>
                <w:rFonts w:ascii="Times New Roman" w:hAnsi="Times New Roman" w:cs="Times New Roman"/>
                <w:sz w:val="18"/>
                <w:szCs w:val="18"/>
              </w:rPr>
              <w:t>(12)</w:t>
            </w:r>
            <w:r w:rsidRPr="001A7435">
              <w:rPr>
                <w:rFonts w:ascii="Times New Roman" w:hAnsi="Times New Roman" w:cs="Times New Roman"/>
                <w:sz w:val="18"/>
                <w:szCs w:val="18"/>
              </w:rPr>
              <w:fldChar w:fldCharType="end"/>
            </w:r>
          </w:p>
        </w:tc>
        <w:tc>
          <w:tcPr>
            <w:tcW w:w="1134" w:type="dxa"/>
            <w:tcBorders>
              <w:top w:val="nil"/>
              <w:left w:val="nil"/>
              <w:bottom w:val="nil"/>
              <w:right w:val="nil"/>
            </w:tcBorders>
            <w:noWrap/>
            <w:vAlign w:val="bottom"/>
            <w:hideMark/>
          </w:tcPr>
          <w:p w14:paraId="495B98AF"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59FD499D"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64FDF648"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7DDE17B9"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4C40FFCE"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74A25561"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276" w:type="dxa"/>
            <w:tcBorders>
              <w:top w:val="nil"/>
              <w:left w:val="nil"/>
              <w:bottom w:val="nil"/>
              <w:right w:val="nil"/>
            </w:tcBorders>
            <w:noWrap/>
            <w:vAlign w:val="bottom"/>
            <w:hideMark/>
          </w:tcPr>
          <w:p w14:paraId="12B25863"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3F0C40CE" w14:textId="77777777" w:rsidTr="00E50F35">
        <w:trPr>
          <w:trHeight w:val="320"/>
        </w:trPr>
        <w:tc>
          <w:tcPr>
            <w:tcW w:w="1417" w:type="dxa"/>
            <w:tcBorders>
              <w:top w:val="nil"/>
              <w:left w:val="nil"/>
              <w:bottom w:val="nil"/>
              <w:right w:val="nil"/>
            </w:tcBorders>
            <w:noWrap/>
            <w:vAlign w:val="bottom"/>
            <w:hideMark/>
          </w:tcPr>
          <w:p w14:paraId="0B8A9CB1"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Burnett et al. (2024)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{"citationID":"HmNbWXwl","properties":{"formattedCitation":"(13)","plainCitation":"(13)","noteIndex":0},"citationItems":[{"id":3706,"uris":["http://zotero.org/users/7916238/items/2X3VPY49"],"itemData":{"id":3706,"type":"article-journal","abstract":"Objective: Elder Mistreatment (EM) occurs in approximately 10% of older adults and is associated with trauma-related outcomes including depression, anxiety, posttraumatic stress disorder, and early mortality. Low screening and older adult self-reporting, especially within emergency departments, represent missed opportunities for identify and mitigate future EM occurrences and consequences. To date, no studies have obtained EM survivors' perspectives on EM screening and response practices in emergency departments. Methods: Semi-structured interviews with 19 EM survivors of those with Adult Protective Services validated EM were completed in older adults' homes. The Elder Mistreatment Emergency Department Screening and Response Tool (EM-SART) was used to guide the interview questions. All interviews were recorded, transcribed, and analyzed using qualitative thematic analyses. Results: The participants were mostly female (63%) and white (58%) with an average age of 74 years. Physical abuse accounted for 67% of the EM incidents. Three themes emerged indicating the survivor preference for (1) building rapport and approaching the older adult with compassion and care, (2) setting the context before asking the EM questions, and (3) allowing mutuality, collaborative work, and shared decision-making during the response. Conclusions: Older adults are agreeable and willing to self-report and actively engage in the EM screening and response practices in the emergency department if trauma-informed care principles are utilized.","archive":"CINAHL Complete","container-title":"International Journal of Psychiatry in Medicine","DOI":"10.1177/00912174231225765","ISSN":"0091-2174","issue":"6","journalAbbreviation":"International Journal of Psychiatry in Medicine","note":"publisher-place: Thousand Oaks, California\npublisher: Sage Publications Inc.","page":"633-643","source":"EBSCOhost","title":"Perspectives on elder mistreatment screening and responding in emergency departments: A qualitative study with survivors.","volume":"59","author":[{"family":"Burnett","given":"Jason"},{"family":"Campetti","given":"Randi"},{"family":"Froberg","given":"Ruthann"},{"family":"Beauchamp","given":"Jennifer ES"},{"family":"Lees-Haggerty","given":"Kristin"}],"issued":{"date-parts":[["2024",11]]}}}],"schema":"https://github.com/citation-style-language/schema/raw/master/csl-citation.json"}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(13)</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5FA9EAB8"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149E8C6F"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217E2DE8"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00B3DDE0"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0F537D85"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11031211"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276" w:type="dxa"/>
            <w:tcBorders>
              <w:top w:val="nil"/>
              <w:left w:val="nil"/>
              <w:bottom w:val="nil"/>
              <w:right w:val="nil"/>
            </w:tcBorders>
            <w:noWrap/>
            <w:vAlign w:val="bottom"/>
            <w:hideMark/>
          </w:tcPr>
          <w:p w14:paraId="3DD8BE60"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102E66A9" w14:textId="77777777" w:rsidTr="00E50F35">
        <w:trPr>
          <w:trHeight w:val="320"/>
        </w:trPr>
        <w:tc>
          <w:tcPr>
            <w:tcW w:w="1417" w:type="dxa"/>
            <w:tcBorders>
              <w:top w:val="nil"/>
              <w:left w:val="nil"/>
              <w:bottom w:val="nil"/>
              <w:right w:val="nil"/>
            </w:tcBorders>
            <w:noWrap/>
            <w:vAlign w:val="bottom"/>
            <w:hideMark/>
          </w:tcPr>
          <w:p w14:paraId="541EEB69" w14:textId="77777777" w:rsidR="002F0281" w:rsidRPr="001A7435" w:rsidRDefault="002F0281" w:rsidP="00E50F35">
            <w:pPr>
              <w:spacing w:after="0" w:line="240" w:lineRule="auto"/>
              <w:rPr>
                <w:rFonts w:ascii="Times New Roman" w:eastAsia="Times New Roman" w:hAnsi="Times New Roman" w:cs="Times New Roman"/>
                <w:color w:val="000000"/>
                <w:sz w:val="18"/>
                <w:szCs w:val="18"/>
                <w:lang w:val="en-CA" w:eastAsia="ko-KR"/>
              </w:rPr>
            </w:pPr>
            <w:r w:rsidRPr="001A7435">
              <w:rPr>
                <w:rFonts w:ascii="Times New Roman" w:eastAsia="Times New Roman" w:hAnsi="Times New Roman" w:cs="Times New Roman"/>
                <w:color w:val="000000"/>
                <w:sz w:val="18"/>
                <w:szCs w:val="18"/>
                <w:lang w:val="en-CA" w:eastAsia="ko-KR"/>
              </w:rPr>
              <w:t xml:space="preserve">Fareed et al. (2021) </w:t>
            </w:r>
            <w:r w:rsidRPr="001A7435">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ADDIN ZOTERO_ITEM CSL_CITATION {"citationID":"rPzc9EDp","properties":{"formattedCitation":"(16)","plainCitation":"(16)","noteIndex":0},"citationItems":[{"id":3232,"uris":["http://zotero.org/users/7916238/items/FU7BQQ4J"],"itemData":{"id":3232,"type":"article-journal","archive":"CINAHL Complete","container-title":"American Journal of Emergency Medicine","DOI":"10.1016/j.ajem.2020.07.073","ISSN":"0735-6757","journalAbbreviation":"American Journal of Emergency Medicine","note":"publisher-place: Philadelphia, Pennsylvania\npublisher: Elsevier B.V.","page":"656-658","source":"EBSCOhost","title":"Geriatric assistive devices improve older patient engagement and clinical care in an emergency department.","volume":"46","author":[{"family":"Fareed","given":"Naleef"},{"family":"Southerland","given":"Lauren T."},{"family":"Rao","given":"Brian M."},{"family":"Sieck","given":"Cynthia J."}],"issued":{"date-parts":[["2021",8]]}}}],"schema":"https://github.com/citation-style-language/schema/raw/master/csl-citation.json"} </w:instrText>
            </w:r>
            <w:r w:rsidRPr="001A7435">
              <w:rPr>
                <w:rFonts w:ascii="Times New Roman" w:hAnsi="Times New Roman" w:cs="Times New Roman"/>
                <w:color w:val="000000"/>
                <w:sz w:val="18"/>
                <w:szCs w:val="18"/>
              </w:rPr>
              <w:fldChar w:fldCharType="separate"/>
            </w:r>
            <w:r>
              <w:rPr>
                <w:rFonts w:ascii="Times New Roman" w:hAnsi="Times New Roman" w:cs="Times New Roman"/>
                <w:noProof/>
                <w:color w:val="000000"/>
                <w:sz w:val="18"/>
                <w:szCs w:val="18"/>
              </w:rPr>
              <w:t>(16)</w:t>
            </w:r>
            <w:r w:rsidRPr="001A7435">
              <w:rPr>
                <w:rFonts w:ascii="Times New Roman" w:hAnsi="Times New Roman" w:cs="Times New Roman"/>
                <w:color w:val="000000"/>
                <w:sz w:val="18"/>
                <w:szCs w:val="18"/>
              </w:rPr>
              <w:fldChar w:fldCharType="end"/>
            </w:r>
          </w:p>
        </w:tc>
        <w:tc>
          <w:tcPr>
            <w:tcW w:w="1134" w:type="dxa"/>
            <w:tcBorders>
              <w:top w:val="nil"/>
              <w:left w:val="nil"/>
              <w:bottom w:val="nil"/>
              <w:right w:val="nil"/>
            </w:tcBorders>
            <w:noWrap/>
            <w:vAlign w:val="bottom"/>
            <w:hideMark/>
          </w:tcPr>
          <w:p w14:paraId="413A0D69"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992" w:type="dxa"/>
            <w:tcBorders>
              <w:top w:val="nil"/>
              <w:left w:val="nil"/>
              <w:bottom w:val="nil"/>
              <w:right w:val="nil"/>
            </w:tcBorders>
            <w:noWrap/>
            <w:vAlign w:val="bottom"/>
            <w:hideMark/>
          </w:tcPr>
          <w:p w14:paraId="6B214F0E"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559" w:type="dxa"/>
            <w:tcBorders>
              <w:top w:val="nil"/>
              <w:left w:val="nil"/>
              <w:bottom w:val="nil"/>
              <w:right w:val="nil"/>
            </w:tcBorders>
            <w:noWrap/>
            <w:vAlign w:val="bottom"/>
            <w:hideMark/>
          </w:tcPr>
          <w:p w14:paraId="77E2CB16"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529606B3"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608BD6AB"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418" w:type="dxa"/>
            <w:tcBorders>
              <w:top w:val="nil"/>
              <w:left w:val="nil"/>
              <w:bottom w:val="nil"/>
              <w:right w:val="nil"/>
            </w:tcBorders>
            <w:noWrap/>
            <w:vAlign w:val="bottom"/>
            <w:hideMark/>
          </w:tcPr>
          <w:p w14:paraId="6FB74F8F"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c>
          <w:tcPr>
            <w:tcW w:w="1276" w:type="dxa"/>
            <w:tcBorders>
              <w:top w:val="nil"/>
              <w:left w:val="nil"/>
              <w:bottom w:val="nil"/>
              <w:right w:val="nil"/>
            </w:tcBorders>
            <w:noWrap/>
            <w:vAlign w:val="bottom"/>
            <w:hideMark/>
          </w:tcPr>
          <w:p w14:paraId="6674214D"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Pr>
                <w:rFonts w:ascii="Times New Roman" w:eastAsia="Times New Roman" w:hAnsi="Times New Roman" w:cs="Times New Roman"/>
                <w:color w:val="000000"/>
                <w:sz w:val="18"/>
                <w:szCs w:val="18"/>
                <w:lang w:val="en-CA" w:eastAsia="ko-KR"/>
              </w:rPr>
              <w:sym w:font="Wingdings" w:char="F0FC"/>
            </w:r>
          </w:p>
        </w:tc>
      </w:tr>
      <w:tr w:rsidR="002F0281" w:rsidRPr="001C11CA" w14:paraId="2C5C63A9" w14:textId="77777777" w:rsidTr="00E50F35">
        <w:trPr>
          <w:trHeight w:val="320"/>
        </w:trPr>
        <w:tc>
          <w:tcPr>
            <w:tcW w:w="10632" w:type="dxa"/>
            <w:gridSpan w:val="8"/>
            <w:tcBorders>
              <w:top w:val="nil"/>
              <w:left w:val="nil"/>
              <w:bottom w:val="nil"/>
              <w:right w:val="nil"/>
            </w:tcBorders>
            <w:noWrap/>
            <w:vAlign w:val="bottom"/>
          </w:tcPr>
          <w:p w14:paraId="5F251325" w14:textId="77777777" w:rsidR="002F0281" w:rsidRPr="009411AF" w:rsidRDefault="002F0281" w:rsidP="00E50F35">
            <w:pPr>
              <w:spacing w:after="0" w:line="240" w:lineRule="auto"/>
              <w:rPr>
                <w:rFonts w:ascii="Times New Roman" w:eastAsia="Times New Roman" w:hAnsi="Times New Roman" w:cs="Times New Roman"/>
                <w:color w:val="000000"/>
                <w:sz w:val="18"/>
                <w:szCs w:val="18"/>
                <w:lang w:val="en-CA" w:eastAsia="ko-KR"/>
              </w:rPr>
            </w:pPr>
            <w:r w:rsidRPr="009411AF">
              <w:rPr>
                <w:rFonts w:ascii="Times New Roman" w:eastAsia="Times New Roman" w:hAnsi="Times New Roman" w:cs="Times New Roman"/>
                <w:color w:val="000000"/>
                <w:sz w:val="18"/>
                <w:szCs w:val="18"/>
                <w:lang w:val="en-CA" w:eastAsia="ko-KR"/>
              </w:rPr>
              <w:t xml:space="preserve">Note:  = Yes; </w:t>
            </w:r>
            <w:r w:rsidRPr="007D7520">
              <w:rPr>
                <w:rFonts w:ascii="Times New Roman" w:eastAsia="Times New Roman" w:hAnsi="Times New Roman" w:cs="Times New Roman"/>
                <w:color w:val="000000"/>
                <w:sz w:val="24"/>
                <w:szCs w:val="24"/>
                <w:lang w:val="en-CA" w:eastAsia="ko-KR"/>
              </w:rPr>
              <w:sym w:font="Wingdings" w:char="F0FB"/>
            </w:r>
            <w:r w:rsidRPr="009411AF">
              <w:rPr>
                <w:rFonts w:ascii="Times New Roman" w:eastAsia="Times New Roman" w:hAnsi="Times New Roman" w:cs="Times New Roman"/>
                <w:color w:val="000000"/>
                <w:sz w:val="18"/>
                <w:szCs w:val="18"/>
                <w:lang w:val="en-CA" w:eastAsia="ko-KR"/>
              </w:rPr>
              <w:t xml:space="preserve"> = No; ? = Can’t tell</w:t>
            </w:r>
          </w:p>
        </w:tc>
      </w:tr>
    </w:tbl>
    <w:p w14:paraId="6F680F7A" w14:textId="77777777" w:rsidR="002F0281" w:rsidRDefault="002F0281" w:rsidP="002F0281">
      <w:pPr>
        <w:spacing w:after="0" w:line="240" w:lineRule="auto"/>
        <w:rPr>
          <w:rFonts w:ascii="Times New Roman" w:hAnsi="Times New Roman" w:cs="Times New Roman"/>
          <w:bCs/>
          <w:sz w:val="24"/>
          <w:szCs w:val="24"/>
          <w:lang w:val="en-CA"/>
        </w:rPr>
      </w:pPr>
    </w:p>
    <w:p w14:paraId="750FAC20"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281"/>
    <w:rsid w:val="002E281E"/>
    <w:rsid w:val="002F0281"/>
    <w:rsid w:val="003201BB"/>
    <w:rsid w:val="00865217"/>
    <w:rsid w:val="008F6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A6266"/>
  <w15:chartTrackingRefBased/>
  <w15:docId w15:val="{F926433D-711F-46D6-8CC2-4745C9617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281"/>
    <w:pPr>
      <w:spacing w:line="259" w:lineRule="auto"/>
    </w:pPr>
    <w:rPr>
      <w:rFonts w:ascii="Calibri" w:eastAsiaTheme="minorEastAsia" w:hAnsi="Calibri" w:cs="Calibri"/>
      <w:kern w:val="0"/>
      <w:sz w:val="22"/>
      <w:szCs w:val="22"/>
      <w:lang w:val="en-AU" w:eastAsia="en-GB"/>
      <w14:ligatures w14:val="none"/>
    </w:rPr>
  </w:style>
  <w:style w:type="paragraph" w:styleId="Heading1">
    <w:name w:val="heading 1"/>
    <w:basedOn w:val="Normal"/>
    <w:next w:val="Normal"/>
    <w:link w:val="Heading1Char"/>
    <w:uiPriority w:val="9"/>
    <w:qFormat/>
    <w:rsid w:val="002F028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F028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F028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F028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2F028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2F0281"/>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2F0281"/>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2F0281"/>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2F0281"/>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2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02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02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02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02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02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2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2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281"/>
    <w:rPr>
      <w:rFonts w:eastAsiaTheme="majorEastAsia" w:cstheme="majorBidi"/>
      <w:color w:val="272727" w:themeColor="text1" w:themeTint="D8"/>
    </w:rPr>
  </w:style>
  <w:style w:type="paragraph" w:styleId="Title">
    <w:name w:val="Title"/>
    <w:basedOn w:val="Normal"/>
    <w:next w:val="Normal"/>
    <w:link w:val="TitleChar"/>
    <w:uiPriority w:val="10"/>
    <w:qFormat/>
    <w:rsid w:val="002F0281"/>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F02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0281"/>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F02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281"/>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2F0281"/>
    <w:rPr>
      <w:i/>
      <w:iCs/>
      <w:color w:val="404040" w:themeColor="text1" w:themeTint="BF"/>
    </w:rPr>
  </w:style>
  <w:style w:type="paragraph" w:styleId="ListParagraph">
    <w:name w:val="List Paragraph"/>
    <w:basedOn w:val="Normal"/>
    <w:uiPriority w:val="34"/>
    <w:qFormat/>
    <w:rsid w:val="002F0281"/>
    <w:pPr>
      <w:spacing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2F0281"/>
    <w:rPr>
      <w:i/>
      <w:iCs/>
      <w:color w:val="0F4761" w:themeColor="accent1" w:themeShade="BF"/>
    </w:rPr>
  </w:style>
  <w:style w:type="paragraph" w:styleId="IntenseQuote">
    <w:name w:val="Intense Quote"/>
    <w:basedOn w:val="Normal"/>
    <w:next w:val="Normal"/>
    <w:link w:val="IntenseQuoteChar"/>
    <w:uiPriority w:val="30"/>
    <w:qFormat/>
    <w:rsid w:val="002F028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2F0281"/>
    <w:rPr>
      <w:i/>
      <w:iCs/>
      <w:color w:val="0F4761" w:themeColor="accent1" w:themeShade="BF"/>
    </w:rPr>
  </w:style>
  <w:style w:type="character" w:styleId="IntenseReference">
    <w:name w:val="Intense Reference"/>
    <w:basedOn w:val="DefaultParagraphFont"/>
    <w:uiPriority w:val="32"/>
    <w:qFormat/>
    <w:rsid w:val="002F0281"/>
    <w:rPr>
      <w:b/>
      <w:bCs/>
      <w:smallCaps/>
      <w:color w:val="0F4761" w:themeColor="accent1" w:themeShade="BF"/>
      <w:spacing w:val="5"/>
    </w:rPr>
  </w:style>
  <w:style w:type="paragraph" w:styleId="Caption">
    <w:name w:val="caption"/>
    <w:basedOn w:val="Normal"/>
    <w:next w:val="Normal"/>
    <w:uiPriority w:val="35"/>
    <w:unhideWhenUsed/>
    <w:qFormat/>
    <w:rsid w:val="002F0281"/>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3917</Words>
  <Characters>23895</Characters>
  <Application>Microsoft Office Word</Application>
  <DocSecurity>0</DocSecurity>
  <Lines>702</Lines>
  <Paragraphs>361</Paragraphs>
  <ScaleCrop>false</ScaleCrop>
  <Company>Springer Nature</Company>
  <LinksUpToDate>false</LinksUpToDate>
  <CharactersWithSpaces>27451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2025-11-27T07:07:00Z</dcterms:created>
  <dcterms:modified xsi:type="dcterms:W3CDTF">2025-11-27T07:07:00Z</dcterms:modified>
</cp:coreProperties>
</file>