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0540D3" w14:textId="77777777" w:rsidR="00A86A45" w:rsidRDefault="00004ECD">
      <w:pPr>
        <w:pStyle w:val="aa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1"/>
      <w:r>
        <w:rPr>
          <w:rFonts w:ascii="Times New Roman" w:hAnsi="Times New Roman" w:cs="Times New Roman"/>
          <w:sz w:val="24"/>
          <w:szCs w:val="24"/>
        </w:rPr>
        <w:t>Supplement data</w:t>
      </w:r>
    </w:p>
    <w:p w14:paraId="1294A22A" w14:textId="77777777" w:rsidR="00A86A45" w:rsidRDefault="00004ECD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Metabolomics based 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mechanism</w:t>
      </w:r>
      <w:r>
        <w:rPr>
          <w:rFonts w:ascii="Times New Roman" w:eastAsia="宋体" w:hAnsi="Times New Roman" w:cs="Times New Roman" w:hint="eastAsia"/>
          <w:b/>
          <w:bCs/>
          <w:sz w:val="24"/>
          <w:szCs w:val="24"/>
        </w:rPr>
        <w:t xml:space="preserve"> exploration of Pulmonary Arterial Hypertension pathogenesis: novel lessons from explanted lungs</w:t>
      </w:r>
    </w:p>
    <w:p w14:paraId="6B1DF1FB" w14:textId="77777777" w:rsidR="00A86A45" w:rsidRDefault="00A86A45">
      <w:pPr>
        <w:spacing w:line="48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14:paraId="76D92A62" w14:textId="07BB050F" w:rsidR="00A86A45" w:rsidRDefault="00004ECD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Jingjing</w:t>
      </w:r>
      <w:proofErr w:type="spellEnd"/>
      <w:r>
        <w:rPr>
          <w:rFonts w:ascii="Times New Roman" w:hAnsi="Times New Roman"/>
          <w:sz w:val="24"/>
          <w:szCs w:val="24"/>
        </w:rPr>
        <w:t xml:space="preserve"> Ding</w:t>
      </w:r>
      <w:r>
        <w:rPr>
          <w:rFonts w:ascii="Times New Roman" w:hAnsi="Times New Roman"/>
          <w:sz w:val="24"/>
          <w:szCs w:val="24"/>
          <w:vertAlign w:val="superscript"/>
        </w:rPr>
        <w:t>1#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Chunyan</w:t>
      </w:r>
      <w:proofErr w:type="spellEnd"/>
      <w:r>
        <w:rPr>
          <w:rFonts w:ascii="Times New Roman" w:hAnsi="Times New Roman"/>
          <w:sz w:val="24"/>
          <w:szCs w:val="24"/>
        </w:rPr>
        <w:t xml:space="preserve"> Chu</w:t>
      </w:r>
      <w:r>
        <w:rPr>
          <w:rFonts w:ascii="Times New Roman" w:hAnsi="Times New Roman"/>
          <w:sz w:val="24"/>
          <w:szCs w:val="24"/>
          <w:vertAlign w:val="superscript"/>
        </w:rPr>
        <w:t>1#</w:t>
      </w:r>
      <w:r>
        <w:rPr>
          <w:rFonts w:ascii="Times New Roman" w:hAnsi="Times New Roman"/>
          <w:sz w:val="24"/>
          <w:szCs w:val="24"/>
        </w:rPr>
        <w:t>, Zhengsheng Mao</w:t>
      </w:r>
      <w:r>
        <w:rPr>
          <w:rFonts w:ascii="Times New Roman" w:hAnsi="Times New Roman"/>
          <w:sz w:val="24"/>
          <w:szCs w:val="24"/>
          <w:vertAlign w:val="superscript"/>
        </w:rPr>
        <w:t>1#</w:t>
      </w:r>
      <w:r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  <w:szCs w:val="24"/>
        </w:rPr>
        <w:t>Jiawen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Yang</w:t>
      </w:r>
      <w:r>
        <w:rPr>
          <w:rFonts w:ascii="Times New Roman" w:hAnsi="Times New Roman" w:hint="eastAsia"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Jie</w:t>
      </w:r>
      <w:proofErr w:type="spellEnd"/>
      <w:r>
        <w:rPr>
          <w:rFonts w:ascii="Times New Roman" w:hAnsi="Times New Roman"/>
          <w:sz w:val="24"/>
          <w:szCs w:val="24"/>
        </w:rPr>
        <w:t xml:space="preserve"> Wang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Li Hu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>Peng Chen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Yue Cao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Yan Li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Hua Wan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, Dong Wei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Jingyu</w:t>
      </w:r>
      <w:proofErr w:type="spellEnd"/>
      <w:r>
        <w:rPr>
          <w:rFonts w:ascii="Times New Roman" w:hAnsi="Times New Roman"/>
          <w:sz w:val="24"/>
          <w:szCs w:val="24"/>
        </w:rPr>
        <w:t xml:space="preserve"> Chen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*, Feng Chen</w:t>
      </w:r>
      <w:r>
        <w:rPr>
          <w:rFonts w:ascii="Times New Roman" w:hAnsi="Times New Roman"/>
          <w:sz w:val="24"/>
          <w:szCs w:val="24"/>
          <w:vertAlign w:val="superscript"/>
        </w:rPr>
        <w:t>1,3,4</w:t>
      </w:r>
      <w:r>
        <w:rPr>
          <w:rFonts w:ascii="Times New Roman" w:hAnsi="Times New Roman"/>
          <w:sz w:val="24"/>
          <w:szCs w:val="24"/>
        </w:rPr>
        <w:t>*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Youjia</w:t>
      </w:r>
      <w:proofErr w:type="spellEnd"/>
      <w:r>
        <w:rPr>
          <w:rFonts w:ascii="Times New Roman" w:hAnsi="Times New Roman"/>
          <w:sz w:val="24"/>
          <w:szCs w:val="24"/>
        </w:rPr>
        <w:t xml:space="preserve"> Yu</w:t>
      </w:r>
      <w:r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*</w:t>
      </w:r>
    </w:p>
    <w:p w14:paraId="043BE9B7" w14:textId="77777777" w:rsidR="00A86A45" w:rsidRDefault="00A86A45">
      <w:pPr>
        <w:spacing w:line="480" w:lineRule="auto"/>
        <w:rPr>
          <w:sz w:val="24"/>
          <w:szCs w:val="24"/>
        </w:rPr>
      </w:pPr>
    </w:p>
    <w:p w14:paraId="0981CB8E" w14:textId="77777777" w:rsidR="00A86A45" w:rsidRDefault="00A86A45">
      <w:pPr>
        <w:spacing w:line="480" w:lineRule="auto"/>
        <w:rPr>
          <w:sz w:val="24"/>
          <w:szCs w:val="24"/>
        </w:rPr>
        <w:sectPr w:rsidR="00A86A4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6AB14B" w14:textId="77777777" w:rsidR="00A86A45" w:rsidRDefault="00004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KEGG Enrich pathway between patients and the control</w:t>
      </w:r>
    </w:p>
    <w:tbl>
      <w:tblPr>
        <w:tblStyle w:val="ac"/>
        <w:tblW w:w="14317" w:type="dxa"/>
        <w:jc w:val="center"/>
        <w:tblLayout w:type="fixed"/>
        <w:tblLook w:val="04A0" w:firstRow="1" w:lastRow="0" w:firstColumn="1" w:lastColumn="0" w:noHBand="0" w:noVBand="1"/>
      </w:tblPr>
      <w:tblGrid>
        <w:gridCol w:w="2558"/>
        <w:gridCol w:w="1270"/>
        <w:gridCol w:w="1984"/>
        <w:gridCol w:w="6946"/>
        <w:gridCol w:w="1559"/>
      </w:tblGrid>
      <w:tr w:rsidR="00A86A45" w14:paraId="47820C5E" w14:textId="77777777">
        <w:trPr>
          <w:jc w:val="center"/>
        </w:trPr>
        <w:tc>
          <w:tcPr>
            <w:tcW w:w="25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20789E" w14:textId="77777777" w:rsidR="00A86A45" w:rsidRDefault="00004EC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1" w:name="OLE_LINK2" w:colFirst="0" w:colLast="4"/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X.Pathway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C00E3A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value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EEB630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Pathway.ID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D03796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KEGG.Names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F161E9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Iron</w:t>
            </w:r>
          </w:p>
          <w:p w14:paraId="3246218E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model</w:t>
            </w:r>
          </w:p>
        </w:tc>
      </w:tr>
      <w:tr w:rsidR="00A86A45" w14:paraId="2C5E6B69" w14:textId="77777777">
        <w:trPr>
          <w:jc w:val="center"/>
        </w:trPr>
        <w:tc>
          <w:tcPr>
            <w:tcW w:w="25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3214C6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Metabolic pathways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7E39C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1.50E-05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7C7AD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map01100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8240C2" w14:textId="19A42716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Spermidine;</w:t>
            </w:r>
            <w:r w:rsidR="00E7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Spermine;</w:t>
            </w:r>
            <w:r w:rsidR="00E7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D-ornithine;(2e)-2,5-dichloro-4-oxo-2-hexenedioic </w:t>
            </w:r>
            <w:proofErr w:type="spellStart"/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acid;Thymine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;D-mannose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6-phosphate;4-pyridoxate;4-(2-aminophenyl)-2,4-dioxobutanoic acid;Caffeine;Dihydrouracil;24-hydroxycalcitriol;Gamma-linolenic 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acid;Calcitriol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B2F9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1E6987AB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B58A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beta-Alanin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952A1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3.52E-05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D1811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map00410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0F7E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Spermidine;Spermine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;Dihydrouracil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232F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5DD11DD8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67A78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Bile secretion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5352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4.12E-05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A4A75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map04976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4280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Spermidine;Spermine</w:t>
            </w:r>
            <w:proofErr w:type="gram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;Acetylcholine;Cefazolin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00DE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095B7491" w14:textId="77777777">
        <w:trPr>
          <w:trHeight w:val="716"/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2CEA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Parathyroid hormone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synthesis, secretion and action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E6E5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0.000174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C477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map04928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D7E3C" w14:textId="09B88E41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24-hydroxycalcitriol;</w:t>
            </w:r>
            <w:r w:rsidR="00E7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Calcitriol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0A8E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16F34F2E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3945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Taste transduction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1016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0.001862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C175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map04742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7A46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Acetylcholine;Aspartame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A76F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6F037DB6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162F1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Glutathione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D791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0.002619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C24E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map00480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083F6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Spermidine;Spermine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3709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50F0E7BF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AB10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Steroid biosynthesis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6CBA2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0.004495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F018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map00100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BA097" w14:textId="2CBDD59C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24-hydroxycalcitriol;</w:t>
            </w:r>
            <w:r w:rsidR="00E77F3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Calcitriol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CB24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66DF5600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77802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Pyrimidine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B49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0.00749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4438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map00240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0364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Thymine;Dihydrouracil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E9176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6E3AD97D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31AB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Lysosome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39FD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0.007983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8B788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map04142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59282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D-mannose 6-phosphate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23E3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28E733DA" w14:textId="77777777">
        <w:trPr>
          <w:trHeight w:val="507"/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6921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 of actin cytoskeleton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0263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0.009969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626D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map04810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C649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CAD7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6B3C4464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CFD9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Arginine and proline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8BFE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0.010639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D00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map00330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808A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Spermidine;Spermine</w:t>
            </w:r>
            <w:proofErr w:type="spellEnd"/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062D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2AD866E7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8A76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Nicotine addiction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A72E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0.013929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7F8D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map05033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3366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AEF3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4F089689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075C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Endocrine and other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factor-regulated calcium reabsorption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3F0B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0.015903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5B17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map04961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C6AD3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Calcitriol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EF5E7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2E5985D1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3D74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Tuberculosis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723B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0.017874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1607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map05152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FB32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Calcitriol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83F1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22313309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F645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D-Arginine and D-ornithine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9270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0.019841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B5E68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map00472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1A95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D-ornithine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9C46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3EAA1D50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FA4F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Vitamin B6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8FA5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0.021005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7B3B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map00750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564F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D-erythrose 4-phosphate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CF4581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negative</w:t>
            </w:r>
          </w:p>
        </w:tc>
      </w:tr>
      <w:tr w:rsidR="00A86A45" w14:paraId="7884F9ED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3496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Alanine, aspartate and glutamate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94996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0.021005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CD4D0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map00250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1964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N-acetyl-l-aspartic acid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F289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negative</w:t>
            </w:r>
          </w:p>
        </w:tc>
      </w:tr>
      <w:tr w:rsidR="00A86A45" w14:paraId="079FF0EE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4E778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Cholinergic synapse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0AF8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0.023763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9913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map04725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51BBC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5E7F2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660F01F9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A8EE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Insulin secretion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9602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0.023763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B8EE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map04911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593E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8AF6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6291CB11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BA6C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Synaptic vesicle cycle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989F6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0.023763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BE9DA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map04721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1D53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EAEB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3DD5AE97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83F8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Sulfur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A6E58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0.024713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7FE4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map00920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3FC7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Sulfuric acid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8F398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negative</w:t>
            </w:r>
          </w:p>
        </w:tc>
      </w:tr>
      <w:tr w:rsidR="00A86A45" w14:paraId="35C47187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79C51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Pentose phosphate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pathway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4A88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0.026192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D1A8A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map00030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40845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D-erythrose 4-phosphate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2287E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negative</w:t>
            </w:r>
          </w:p>
        </w:tc>
      </w:tr>
      <w:tr w:rsidR="00A86A45" w14:paraId="5518F7B4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40A4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Phenylalanine, tyrosine and tryptophan biosynthesis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4B3582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0.026192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0B5C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map00400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9C526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D-erythrose 4-phosphate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CE4F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negative</w:t>
            </w:r>
          </w:p>
        </w:tc>
      </w:tr>
      <w:tr w:rsidR="00A86A45" w14:paraId="1B1DD65C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386A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Gastric acid secretion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2032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0.027669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0798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map04971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372B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45FD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4E387AB8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548AF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Pancreatic secretion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2436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0.029617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D1B55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map04972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6B768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6BA5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3A897AF9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8C52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Salivary secretion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3F462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0.033501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7209E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map04970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19E7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8BE4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5BD740ED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F649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Folate biosynthesis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3EA25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0.042328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A8B19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map00790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7090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Neopterin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18424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negative</w:t>
            </w:r>
          </w:p>
        </w:tc>
      </w:tr>
      <w:tr w:rsidR="00A86A45" w14:paraId="2320F531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2BB02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Caffeine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D1FA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0.043144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53C0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map00232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D1FC6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Caffeine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8EE7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tr w:rsidR="00A86A45" w14:paraId="625E2B27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B27D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Cysteine and methionine metabolism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4B043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0.045235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ABA8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map00270</w:t>
            </w:r>
          </w:p>
        </w:tc>
        <w:tc>
          <w:tcPr>
            <w:tcW w:w="69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E3A69D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Sulfuric acid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BA462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negative</w:t>
            </w:r>
          </w:p>
        </w:tc>
      </w:tr>
      <w:tr w:rsidR="00A86A45" w14:paraId="127A148D" w14:textId="77777777">
        <w:trPr>
          <w:jc w:val="center"/>
        </w:trPr>
        <w:tc>
          <w:tcPr>
            <w:tcW w:w="25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1AA520E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cAMP signaling pathway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E1AC997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0.048885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B46BEA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map04024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89CC37B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Acetylcholine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1040680" w14:textId="77777777" w:rsidR="00A86A45" w:rsidRDefault="00004ECD"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231F20"/>
                <w:kern w:val="0"/>
                <w:sz w:val="24"/>
                <w:szCs w:val="24"/>
              </w:rPr>
              <w:t>positive</w:t>
            </w:r>
          </w:p>
        </w:tc>
      </w:tr>
      <w:bookmarkEnd w:id="0"/>
      <w:bookmarkEnd w:id="1"/>
    </w:tbl>
    <w:p w14:paraId="7073139A" w14:textId="77777777" w:rsidR="00A86A45" w:rsidRDefault="00A86A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9C3F100" w14:textId="77777777" w:rsidR="00A86A45" w:rsidRDefault="00A86A45">
      <w:pPr>
        <w:widowControl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3D01340A" w14:textId="77777777" w:rsidR="00A86A45" w:rsidRDefault="00A86A45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A86A45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2362F75" w14:textId="77777777" w:rsidR="00A86A45" w:rsidRDefault="00004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S2.</w:t>
      </w:r>
      <w:r>
        <w:rPr>
          <w:rFonts w:ascii="Times New Roman" w:hAnsi="Times New Roman" w:cs="Times New Roman"/>
          <w:sz w:val="24"/>
          <w:szCs w:val="24"/>
        </w:rPr>
        <w:t xml:space="preserve"> Clinical information of the patients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iPAH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or CHD-PAH.</w:t>
      </w:r>
    </w:p>
    <w:p w14:paraId="23C794D1" w14:textId="77777777" w:rsidR="00A86A45" w:rsidRDefault="00A86A4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7"/>
        <w:gridCol w:w="2015"/>
        <w:gridCol w:w="1952"/>
        <w:gridCol w:w="1406"/>
        <w:gridCol w:w="1462"/>
      </w:tblGrid>
      <w:tr w:rsidR="00A86A45" w14:paraId="06CE819F" w14:textId="77777777">
        <w:trPr>
          <w:jc w:val="center"/>
        </w:trPr>
        <w:tc>
          <w:tcPr>
            <w:tcW w:w="1687" w:type="dxa"/>
            <w:tcBorders>
              <w:bottom w:val="single" w:sz="4" w:space="0" w:color="000000" w:themeColor="text1"/>
            </w:tcBorders>
          </w:tcPr>
          <w:p w14:paraId="3AA4CC66" w14:textId="77777777" w:rsidR="00A86A45" w:rsidRDefault="00A86A4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17" w:type="dxa"/>
            <w:tcBorders>
              <w:bottom w:val="single" w:sz="4" w:space="0" w:color="000000" w:themeColor="text1"/>
            </w:tcBorders>
          </w:tcPr>
          <w:p w14:paraId="5F4240EA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iPAH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(n=13)</w:t>
            </w:r>
          </w:p>
        </w:tc>
        <w:tc>
          <w:tcPr>
            <w:tcW w:w="1952" w:type="dxa"/>
            <w:tcBorders>
              <w:bottom w:val="single" w:sz="4" w:space="0" w:color="000000" w:themeColor="text1"/>
            </w:tcBorders>
          </w:tcPr>
          <w:p w14:paraId="0BC14560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CHD-PAH(n=5)</w:t>
            </w:r>
          </w:p>
        </w:tc>
        <w:tc>
          <w:tcPr>
            <w:tcW w:w="1408" w:type="dxa"/>
            <w:tcBorders>
              <w:bottom w:val="single" w:sz="4" w:space="0" w:color="000000" w:themeColor="text1"/>
            </w:tcBorders>
          </w:tcPr>
          <w:p w14:paraId="108F2ABA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464" w:type="dxa"/>
            <w:tcBorders>
              <w:bottom w:val="single" w:sz="4" w:space="0" w:color="000000" w:themeColor="text1"/>
            </w:tcBorders>
          </w:tcPr>
          <w:p w14:paraId="5F66D38C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</w:p>
        </w:tc>
      </w:tr>
      <w:tr w:rsidR="00A86A45" w14:paraId="6C2B42D1" w14:textId="77777777">
        <w:trPr>
          <w:jc w:val="center"/>
        </w:trPr>
        <w:tc>
          <w:tcPr>
            <w:tcW w:w="1687" w:type="dxa"/>
            <w:tcBorders>
              <w:top w:val="single" w:sz="4" w:space="0" w:color="000000" w:themeColor="text1"/>
              <w:tl2br w:val="nil"/>
              <w:tr2bl w:val="nil"/>
            </w:tcBorders>
            <w:vAlign w:val="center"/>
          </w:tcPr>
          <w:p w14:paraId="3B4F697C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 (M/F)</w:t>
            </w:r>
          </w:p>
        </w:tc>
        <w:tc>
          <w:tcPr>
            <w:tcW w:w="2017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708E80C7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5/8</w:t>
            </w:r>
          </w:p>
        </w:tc>
        <w:tc>
          <w:tcPr>
            <w:tcW w:w="1952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25EF3E1E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0/5</w:t>
            </w:r>
          </w:p>
        </w:tc>
        <w:tc>
          <w:tcPr>
            <w:tcW w:w="1408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662EC70F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  <w:tcBorders>
              <w:top w:val="single" w:sz="4" w:space="0" w:color="000000" w:themeColor="text1"/>
              <w:tl2br w:val="nil"/>
              <w:tr2bl w:val="nil"/>
            </w:tcBorders>
          </w:tcPr>
          <w:p w14:paraId="2B977333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0.25*</w:t>
            </w:r>
          </w:p>
        </w:tc>
      </w:tr>
      <w:tr w:rsidR="00A86A45" w14:paraId="7D7DA92C" w14:textId="77777777">
        <w:trPr>
          <w:jc w:val="center"/>
        </w:trPr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 w14:paraId="52AF3D37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2017" w:type="dxa"/>
            <w:tcBorders>
              <w:tl2br w:val="nil"/>
              <w:tr2bl w:val="nil"/>
            </w:tcBorders>
          </w:tcPr>
          <w:p w14:paraId="27CC5966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29.38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±2.64</w:t>
            </w:r>
          </w:p>
        </w:tc>
        <w:tc>
          <w:tcPr>
            <w:tcW w:w="1952" w:type="dxa"/>
            <w:tcBorders>
              <w:tl2br w:val="nil"/>
              <w:tr2bl w:val="nil"/>
            </w:tcBorders>
          </w:tcPr>
          <w:p w14:paraId="658E5F8A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33.20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±4.78</w:t>
            </w:r>
          </w:p>
        </w:tc>
        <w:tc>
          <w:tcPr>
            <w:tcW w:w="1408" w:type="dxa"/>
            <w:tcBorders>
              <w:tl2br w:val="nil"/>
              <w:tr2bl w:val="nil"/>
            </w:tcBorders>
          </w:tcPr>
          <w:p w14:paraId="21F427E5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464" w:type="dxa"/>
            <w:tcBorders>
              <w:tl2br w:val="nil"/>
              <w:tr2bl w:val="nil"/>
            </w:tcBorders>
          </w:tcPr>
          <w:p w14:paraId="2EAB5236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</w:tr>
      <w:tr w:rsidR="00A86A45" w14:paraId="72ACEFB8" w14:textId="77777777">
        <w:trPr>
          <w:jc w:val="center"/>
        </w:trPr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 w14:paraId="58CFE8BB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2017" w:type="dxa"/>
            <w:tcBorders>
              <w:tl2br w:val="nil"/>
              <w:tr2bl w:val="nil"/>
            </w:tcBorders>
          </w:tcPr>
          <w:p w14:paraId="3B202F91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19.97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±2.19</w:t>
            </w:r>
          </w:p>
        </w:tc>
        <w:tc>
          <w:tcPr>
            <w:tcW w:w="1952" w:type="dxa"/>
            <w:tcBorders>
              <w:tl2br w:val="nil"/>
              <w:tr2bl w:val="nil"/>
            </w:tcBorders>
          </w:tcPr>
          <w:p w14:paraId="5CCD9B26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19.14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±1.80</w:t>
            </w:r>
          </w:p>
        </w:tc>
        <w:tc>
          <w:tcPr>
            <w:tcW w:w="1408" w:type="dxa"/>
            <w:tcBorders>
              <w:tl2br w:val="nil"/>
              <w:tr2bl w:val="nil"/>
            </w:tcBorders>
          </w:tcPr>
          <w:p w14:paraId="56C5F9F6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1464" w:type="dxa"/>
            <w:tcBorders>
              <w:tl2br w:val="nil"/>
              <w:tr2bl w:val="nil"/>
            </w:tcBorders>
          </w:tcPr>
          <w:p w14:paraId="0413478F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A86A45" w14:paraId="48B44B25" w14:textId="77777777">
        <w:trPr>
          <w:jc w:val="center"/>
        </w:trPr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 w14:paraId="6F755D94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WHO FC</w:t>
            </w:r>
          </w:p>
          <w:p w14:paraId="0493DACD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Theme="minorEastAsia" w:cs="Times New Roman"/>
                <w:sz w:val="24"/>
                <w:szCs w:val="24"/>
              </w:rPr>
              <w:t>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宋体" w:hAnsi="宋体" w:cs="Times New Roman"/>
                <w:sz w:val="24"/>
                <w:szCs w:val="24"/>
              </w:rPr>
              <w:t>Ⅱ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Theme="minorEastAsia" w:cs="Times New Roman"/>
                <w:sz w:val="24"/>
                <w:szCs w:val="24"/>
              </w:rPr>
              <w:t>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宋体" w:hAnsi="宋体" w:cs="Times New Roman"/>
                <w:sz w:val="24"/>
                <w:szCs w:val="24"/>
              </w:rPr>
              <w:t>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17" w:type="dxa"/>
            <w:tcBorders>
              <w:tl2br w:val="nil"/>
              <w:tr2bl w:val="nil"/>
            </w:tcBorders>
          </w:tcPr>
          <w:p w14:paraId="373D8A78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9/4</w:t>
            </w:r>
          </w:p>
        </w:tc>
        <w:tc>
          <w:tcPr>
            <w:tcW w:w="1952" w:type="dxa"/>
            <w:tcBorders>
              <w:tl2br w:val="nil"/>
              <w:tr2bl w:val="nil"/>
            </w:tcBorders>
          </w:tcPr>
          <w:p w14:paraId="4EF5E693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</w:t>
            </w:r>
          </w:p>
        </w:tc>
        <w:tc>
          <w:tcPr>
            <w:tcW w:w="1408" w:type="dxa"/>
            <w:tcBorders>
              <w:tl2br w:val="nil"/>
              <w:tr2bl w:val="nil"/>
            </w:tcBorders>
          </w:tcPr>
          <w:p w14:paraId="4A9B6C18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64" w:type="dxa"/>
            <w:tcBorders>
              <w:tl2br w:val="nil"/>
              <w:tr2bl w:val="nil"/>
            </w:tcBorders>
          </w:tcPr>
          <w:p w14:paraId="478EB4A0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0.99*</w:t>
            </w:r>
          </w:p>
        </w:tc>
      </w:tr>
      <w:tr w:rsidR="00A86A45" w14:paraId="2EF856E9" w14:textId="77777777">
        <w:trPr>
          <w:jc w:val="center"/>
        </w:trPr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 w14:paraId="47B3AF4B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</w:t>
            </w:r>
          </w:p>
        </w:tc>
        <w:tc>
          <w:tcPr>
            <w:tcW w:w="2017" w:type="dxa"/>
            <w:tcBorders>
              <w:tl2br w:val="nil"/>
              <w:tr2bl w:val="nil"/>
            </w:tcBorders>
          </w:tcPr>
          <w:p w14:paraId="5358BCD1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103.23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±5.70</w:t>
            </w:r>
          </w:p>
        </w:tc>
        <w:tc>
          <w:tcPr>
            <w:tcW w:w="1952" w:type="dxa"/>
            <w:tcBorders>
              <w:tl2br w:val="nil"/>
              <w:tr2bl w:val="nil"/>
            </w:tcBorders>
          </w:tcPr>
          <w:p w14:paraId="0E507F56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115.00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±7.62</w:t>
            </w:r>
          </w:p>
        </w:tc>
        <w:tc>
          <w:tcPr>
            <w:tcW w:w="1408" w:type="dxa"/>
            <w:tcBorders>
              <w:tl2br w:val="nil"/>
              <w:tr2bl w:val="nil"/>
            </w:tcBorders>
          </w:tcPr>
          <w:p w14:paraId="4131BED0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1464" w:type="dxa"/>
            <w:tcBorders>
              <w:tl2br w:val="nil"/>
              <w:tr2bl w:val="nil"/>
            </w:tcBorders>
          </w:tcPr>
          <w:p w14:paraId="2C7210B9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A86A45" w14:paraId="11388F0D" w14:textId="77777777">
        <w:trPr>
          <w:jc w:val="center"/>
        </w:trPr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 w14:paraId="082AE9FC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mPAP</w:t>
            </w:r>
            <w:proofErr w:type="spellEnd"/>
          </w:p>
        </w:tc>
        <w:tc>
          <w:tcPr>
            <w:tcW w:w="2017" w:type="dxa"/>
            <w:tcBorders>
              <w:tl2br w:val="nil"/>
              <w:tr2bl w:val="nil"/>
            </w:tcBorders>
          </w:tcPr>
          <w:p w14:paraId="715F2B01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67.58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±4.03</w:t>
            </w:r>
          </w:p>
        </w:tc>
        <w:tc>
          <w:tcPr>
            <w:tcW w:w="1952" w:type="dxa"/>
            <w:tcBorders>
              <w:tl2br w:val="nil"/>
              <w:tr2bl w:val="nil"/>
            </w:tcBorders>
          </w:tcPr>
          <w:p w14:paraId="6B01C9FC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62.00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±9.28</w:t>
            </w:r>
          </w:p>
        </w:tc>
        <w:tc>
          <w:tcPr>
            <w:tcW w:w="1408" w:type="dxa"/>
            <w:tcBorders>
              <w:tl2br w:val="nil"/>
              <w:tr2bl w:val="nil"/>
            </w:tcBorders>
          </w:tcPr>
          <w:p w14:paraId="3EAEB5DE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464" w:type="dxa"/>
            <w:tcBorders>
              <w:tl2br w:val="nil"/>
              <w:tr2bl w:val="nil"/>
            </w:tcBorders>
          </w:tcPr>
          <w:p w14:paraId="4F83E016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  <w:tr w:rsidR="00A86A45" w14:paraId="2DB67D0C" w14:textId="77777777">
        <w:trPr>
          <w:jc w:val="center"/>
        </w:trPr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 w14:paraId="41D49E25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EF</w:t>
            </w:r>
          </w:p>
        </w:tc>
        <w:tc>
          <w:tcPr>
            <w:tcW w:w="2017" w:type="dxa"/>
            <w:tcBorders>
              <w:tl2br w:val="nil"/>
              <w:tr2bl w:val="nil"/>
            </w:tcBorders>
          </w:tcPr>
          <w:p w14:paraId="14C3C2AB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62.85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±1.48</w:t>
            </w:r>
          </w:p>
        </w:tc>
        <w:tc>
          <w:tcPr>
            <w:tcW w:w="1952" w:type="dxa"/>
            <w:tcBorders>
              <w:tl2br w:val="nil"/>
              <w:tr2bl w:val="nil"/>
            </w:tcBorders>
          </w:tcPr>
          <w:p w14:paraId="350FC9B4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64.20</w:t>
            </w:r>
            <w:r>
              <w:rPr>
                <w:rFonts w:ascii="Times New Roman" w:eastAsia="微软雅黑" w:hAnsi="Times New Roman" w:cs="Times New Roman"/>
                <w:color w:val="333333"/>
                <w:sz w:val="24"/>
                <w:szCs w:val="24"/>
              </w:rPr>
              <w:t>±2.18</w:t>
            </w:r>
          </w:p>
        </w:tc>
        <w:tc>
          <w:tcPr>
            <w:tcW w:w="1408" w:type="dxa"/>
            <w:tcBorders>
              <w:tl2br w:val="nil"/>
              <w:tr2bl w:val="nil"/>
            </w:tcBorders>
          </w:tcPr>
          <w:p w14:paraId="39B9BEFB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1464" w:type="dxa"/>
            <w:tcBorders>
              <w:tl2br w:val="nil"/>
              <w:tr2bl w:val="nil"/>
            </w:tcBorders>
          </w:tcPr>
          <w:p w14:paraId="25E06CB1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</w:tr>
      <w:tr w:rsidR="00A86A45" w14:paraId="37DF516C" w14:textId="77777777">
        <w:trPr>
          <w:jc w:val="center"/>
        </w:trPr>
        <w:tc>
          <w:tcPr>
            <w:tcW w:w="1687" w:type="dxa"/>
            <w:tcBorders>
              <w:tl2br w:val="nil"/>
              <w:tr2bl w:val="nil"/>
            </w:tcBorders>
            <w:vAlign w:val="center"/>
          </w:tcPr>
          <w:p w14:paraId="4CE7F86B" w14:textId="77777777" w:rsidR="00A86A45" w:rsidRDefault="00004ECD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Drugs (1/&gt;1)</w:t>
            </w:r>
          </w:p>
        </w:tc>
        <w:tc>
          <w:tcPr>
            <w:tcW w:w="2017" w:type="dxa"/>
            <w:tcBorders>
              <w:tl2br w:val="nil"/>
              <w:tr2bl w:val="nil"/>
            </w:tcBorders>
          </w:tcPr>
          <w:p w14:paraId="7A321083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2/11</w:t>
            </w:r>
          </w:p>
        </w:tc>
        <w:tc>
          <w:tcPr>
            <w:tcW w:w="1952" w:type="dxa"/>
            <w:tcBorders>
              <w:tl2br w:val="nil"/>
              <w:tr2bl w:val="nil"/>
            </w:tcBorders>
          </w:tcPr>
          <w:p w14:paraId="6DB06427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2/11</w:t>
            </w:r>
          </w:p>
        </w:tc>
        <w:tc>
          <w:tcPr>
            <w:tcW w:w="1408" w:type="dxa"/>
            <w:tcBorders>
              <w:tl2br w:val="nil"/>
              <w:tr2bl w:val="nil"/>
            </w:tcBorders>
          </w:tcPr>
          <w:p w14:paraId="22FF2208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1464" w:type="dxa"/>
            <w:tcBorders>
              <w:tl2br w:val="nil"/>
              <w:tr2bl w:val="nil"/>
            </w:tcBorders>
          </w:tcPr>
          <w:p w14:paraId="30C95C1B" w14:textId="77777777" w:rsidR="00A86A45" w:rsidRDefault="00004E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</w:tr>
    </w:tbl>
    <w:p w14:paraId="0D437F5E" w14:textId="77777777" w:rsidR="00A86A45" w:rsidRDefault="00004EC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*Fisher exact rate</w:t>
      </w:r>
    </w:p>
    <w:p w14:paraId="7179F889" w14:textId="77777777" w:rsidR="00A86A45" w:rsidRDefault="00A86A4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F40933B" w14:textId="77777777" w:rsidR="00A86A45" w:rsidRDefault="00A86A4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5D3B31" w14:textId="77777777" w:rsidR="00A86A45" w:rsidRDefault="00004EC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114300" distR="114300" wp14:anchorId="2B20B3B3" wp14:editId="209AA9AE">
            <wp:extent cx="5139055" cy="4837430"/>
            <wp:effectExtent l="19050" t="0" r="3954" b="0"/>
            <wp:docPr id="1" name="图片 1" descr="S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-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9607" cy="483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B48AE9" w14:textId="77777777" w:rsidR="00A86A45" w:rsidRDefault="00004ECD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hAnsi="Times New Roman" w:cs="Times New Roman"/>
          <w:sz w:val="24"/>
          <w:szCs w:val="24"/>
        </w:rPr>
        <w:t xml:space="preserve"> Bubble chart for enrichment analysis of metabolic pathways in the comparison between PAH and control.</w:t>
      </w:r>
    </w:p>
    <w:p w14:paraId="4341EAC1" w14:textId="77777777" w:rsidR="00A86A45" w:rsidRDefault="00A86A4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2D7CD59" w14:textId="77777777" w:rsidR="00A86A45" w:rsidRDefault="00A86A4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7BD81168" w14:textId="77777777" w:rsidR="00A86A45" w:rsidRDefault="00A86A45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sectPr w:rsidR="00A86A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7AC03" w14:textId="77777777" w:rsidR="00004ECD" w:rsidRDefault="00004ECD" w:rsidP="00E77F31">
      <w:r>
        <w:separator/>
      </w:r>
    </w:p>
  </w:endnote>
  <w:endnote w:type="continuationSeparator" w:id="0">
    <w:p w14:paraId="62F60824" w14:textId="77777777" w:rsidR="00004ECD" w:rsidRDefault="00004ECD" w:rsidP="00E77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92BBB" w14:textId="77777777" w:rsidR="00004ECD" w:rsidRDefault="00004ECD" w:rsidP="00E77F31">
      <w:r>
        <w:separator/>
      </w:r>
    </w:p>
  </w:footnote>
  <w:footnote w:type="continuationSeparator" w:id="0">
    <w:p w14:paraId="08A480D1" w14:textId="77777777" w:rsidR="00004ECD" w:rsidRDefault="00004ECD" w:rsidP="00E77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33D9C"/>
    <w:rsid w:val="00003BAD"/>
    <w:rsid w:val="00004ECD"/>
    <w:rsid w:val="000540A9"/>
    <w:rsid w:val="000A5FC9"/>
    <w:rsid w:val="000B018A"/>
    <w:rsid w:val="000B13A3"/>
    <w:rsid w:val="000F4AAD"/>
    <w:rsid w:val="00110888"/>
    <w:rsid w:val="00134766"/>
    <w:rsid w:val="00154117"/>
    <w:rsid w:val="001A0AFE"/>
    <w:rsid w:val="001C41F0"/>
    <w:rsid w:val="001E689D"/>
    <w:rsid w:val="001F1D85"/>
    <w:rsid w:val="00222117"/>
    <w:rsid w:val="0023723C"/>
    <w:rsid w:val="00301C50"/>
    <w:rsid w:val="00303A19"/>
    <w:rsid w:val="00317997"/>
    <w:rsid w:val="00322816"/>
    <w:rsid w:val="0033345C"/>
    <w:rsid w:val="003355A7"/>
    <w:rsid w:val="0034196E"/>
    <w:rsid w:val="003676B8"/>
    <w:rsid w:val="00376740"/>
    <w:rsid w:val="003D5D4A"/>
    <w:rsid w:val="003E7598"/>
    <w:rsid w:val="003F1011"/>
    <w:rsid w:val="00405E77"/>
    <w:rsid w:val="00414133"/>
    <w:rsid w:val="00415628"/>
    <w:rsid w:val="00447B7C"/>
    <w:rsid w:val="004534A8"/>
    <w:rsid w:val="00490915"/>
    <w:rsid w:val="004B1DAA"/>
    <w:rsid w:val="004C4E57"/>
    <w:rsid w:val="0052607B"/>
    <w:rsid w:val="005432AC"/>
    <w:rsid w:val="005470DB"/>
    <w:rsid w:val="0055127A"/>
    <w:rsid w:val="00563DE4"/>
    <w:rsid w:val="005B0ACB"/>
    <w:rsid w:val="005E0FFC"/>
    <w:rsid w:val="005F680D"/>
    <w:rsid w:val="00642FA3"/>
    <w:rsid w:val="006603EF"/>
    <w:rsid w:val="006A46E4"/>
    <w:rsid w:val="006B2D91"/>
    <w:rsid w:val="00702C02"/>
    <w:rsid w:val="00707000"/>
    <w:rsid w:val="00735C6A"/>
    <w:rsid w:val="00772D8A"/>
    <w:rsid w:val="0079698F"/>
    <w:rsid w:val="008521CA"/>
    <w:rsid w:val="0087039D"/>
    <w:rsid w:val="008C21D1"/>
    <w:rsid w:val="008C61A6"/>
    <w:rsid w:val="008C7560"/>
    <w:rsid w:val="008C7EA0"/>
    <w:rsid w:val="008D6182"/>
    <w:rsid w:val="00901D82"/>
    <w:rsid w:val="00922CF4"/>
    <w:rsid w:val="009337B3"/>
    <w:rsid w:val="00952A5F"/>
    <w:rsid w:val="009C74ED"/>
    <w:rsid w:val="009D5205"/>
    <w:rsid w:val="00A00969"/>
    <w:rsid w:val="00A05C40"/>
    <w:rsid w:val="00A116D0"/>
    <w:rsid w:val="00A32235"/>
    <w:rsid w:val="00A61FF1"/>
    <w:rsid w:val="00A65F3B"/>
    <w:rsid w:val="00A86A45"/>
    <w:rsid w:val="00A87E5A"/>
    <w:rsid w:val="00A9094D"/>
    <w:rsid w:val="00AA5173"/>
    <w:rsid w:val="00AE5D83"/>
    <w:rsid w:val="00AE6786"/>
    <w:rsid w:val="00B25314"/>
    <w:rsid w:val="00B33D9C"/>
    <w:rsid w:val="00B61F77"/>
    <w:rsid w:val="00B66E0B"/>
    <w:rsid w:val="00B75352"/>
    <w:rsid w:val="00B77E46"/>
    <w:rsid w:val="00BB6230"/>
    <w:rsid w:val="00BC13DA"/>
    <w:rsid w:val="00BC5738"/>
    <w:rsid w:val="00BF6E76"/>
    <w:rsid w:val="00C24ACA"/>
    <w:rsid w:val="00C4375B"/>
    <w:rsid w:val="00C53ED2"/>
    <w:rsid w:val="00C76F34"/>
    <w:rsid w:val="00CE3532"/>
    <w:rsid w:val="00D06389"/>
    <w:rsid w:val="00D2286E"/>
    <w:rsid w:val="00D30FDA"/>
    <w:rsid w:val="00D43951"/>
    <w:rsid w:val="00D80D62"/>
    <w:rsid w:val="00DC625A"/>
    <w:rsid w:val="00DE15E3"/>
    <w:rsid w:val="00DE6055"/>
    <w:rsid w:val="00DE65AC"/>
    <w:rsid w:val="00E03663"/>
    <w:rsid w:val="00E17583"/>
    <w:rsid w:val="00E41275"/>
    <w:rsid w:val="00E55680"/>
    <w:rsid w:val="00E55940"/>
    <w:rsid w:val="00E629F4"/>
    <w:rsid w:val="00E77F31"/>
    <w:rsid w:val="00E863F6"/>
    <w:rsid w:val="00E92E04"/>
    <w:rsid w:val="00EB11F3"/>
    <w:rsid w:val="00F022B3"/>
    <w:rsid w:val="00F0456B"/>
    <w:rsid w:val="00F37A43"/>
    <w:rsid w:val="00F65C17"/>
    <w:rsid w:val="00F718E4"/>
    <w:rsid w:val="00F838F9"/>
    <w:rsid w:val="00FA2D7E"/>
    <w:rsid w:val="00FB0AD2"/>
    <w:rsid w:val="00FD6436"/>
    <w:rsid w:val="00FF7074"/>
    <w:rsid w:val="02C370C0"/>
    <w:rsid w:val="0B390E0C"/>
    <w:rsid w:val="13C621F4"/>
    <w:rsid w:val="19406C58"/>
    <w:rsid w:val="1D1F2108"/>
    <w:rsid w:val="1FE44271"/>
    <w:rsid w:val="2D083121"/>
    <w:rsid w:val="2E5E7D75"/>
    <w:rsid w:val="30C927A1"/>
    <w:rsid w:val="30F74B68"/>
    <w:rsid w:val="359376D9"/>
    <w:rsid w:val="372D543B"/>
    <w:rsid w:val="385D02BE"/>
    <w:rsid w:val="3CD34C50"/>
    <w:rsid w:val="3EDD13C0"/>
    <w:rsid w:val="41F173B0"/>
    <w:rsid w:val="45C14CEE"/>
    <w:rsid w:val="45C2760A"/>
    <w:rsid w:val="471A6011"/>
    <w:rsid w:val="5A4939BC"/>
    <w:rsid w:val="5A8E4ECD"/>
    <w:rsid w:val="5F241920"/>
    <w:rsid w:val="61A91A30"/>
    <w:rsid w:val="623E4025"/>
    <w:rsid w:val="6243247B"/>
    <w:rsid w:val="63235B89"/>
    <w:rsid w:val="64052136"/>
    <w:rsid w:val="68412BFC"/>
    <w:rsid w:val="69B403E6"/>
    <w:rsid w:val="69F466FB"/>
    <w:rsid w:val="74F37D61"/>
    <w:rsid w:val="773B1E70"/>
    <w:rsid w:val="79032949"/>
    <w:rsid w:val="7B6F3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9EF91B"/>
  <w15:docId w15:val="{8C407242-E795-4EBF-A7AB-59A2D192D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c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annotation reference"/>
    <w:basedOn w:val="a0"/>
    <w:qFormat/>
    <w:rPr>
      <w:sz w:val="21"/>
      <w:szCs w:val="21"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paragraph" w:styleId="ae">
    <w:name w:val="List Paragraph"/>
    <w:basedOn w:val="a"/>
    <w:uiPriority w:val="34"/>
    <w:qFormat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b">
    <w:name w:val="标题 字符"/>
    <w:basedOn w:val="a0"/>
    <w:link w:val="aa"/>
    <w:uiPriority w:val="10"/>
    <w:qFormat/>
    <w:rPr>
      <w:rFonts w:asciiTheme="majorHAnsi" w:eastAsia="宋体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504</Words>
  <Characters>2873</Characters>
  <Application>Microsoft Office Word</Application>
  <DocSecurity>0</DocSecurity>
  <Lines>23</Lines>
  <Paragraphs>6</Paragraphs>
  <ScaleCrop>false</ScaleCrop>
  <Company>Sky123.Org</Company>
  <LinksUpToDate>false</LinksUpToDate>
  <CharactersWithSpaces>3371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ccy016960@163.com</cp:lastModifiedBy>
  <cp:revision>16</cp:revision>
  <dcterms:created xsi:type="dcterms:W3CDTF">2020-07-10T06:51:00Z</dcterms:created>
  <dcterms:modified xsi:type="dcterms:W3CDTF">2021-08-15T15:10:00Z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