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B397687" w14:textId="3CC131F5" w:rsidR="002301C8" w:rsidRDefault="002301C8" w:rsidP="002301C8">
      <w:pPr>
        <w:rPr>
          <w:rFonts w:ascii="Times New Roman" w:hAnsi="Times New Roman" w:cs="Times New Roman"/>
          <w:b/>
          <w:bCs/>
          <w:sz w:val="22"/>
        </w:rPr>
      </w:pPr>
    </w:p>
    <w:p w14:paraId="6A21F218" w14:textId="1F4BDF46" w:rsidR="00FB4835" w:rsidRDefault="00FB4835" w:rsidP="002301C8">
      <w:pPr>
        <w:rPr>
          <w:rFonts w:ascii="Times New Roman" w:hAnsi="Times New Roman" w:cs="Times New Roman" w:hint="eastAsia"/>
          <w:b/>
          <w:bCs/>
          <w:sz w:val="22"/>
        </w:rPr>
      </w:pPr>
      <w:r>
        <w:rPr>
          <w:rFonts w:ascii="Times New Roman" w:hAnsi="Times New Roman" w:cs="Times New Roman"/>
          <w:b/>
          <w:bCs/>
          <w:noProof/>
          <w:sz w:val="22"/>
        </w:rPr>
        <w:drawing>
          <wp:inline distT="0" distB="0" distL="0" distR="0" wp14:anchorId="1D838EC3" wp14:editId="5AA66050">
            <wp:extent cx="5393690" cy="4794885"/>
            <wp:effectExtent l="0" t="0" r="0" b="5715"/>
            <wp:docPr id="854685387" name="図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93690" cy="47948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41B7D39" w14:textId="3160A1F7" w:rsidR="007F0012" w:rsidRPr="00C217DA" w:rsidRDefault="007F0012" w:rsidP="002301C8">
      <w:pPr>
        <w:rPr>
          <w:rFonts w:ascii="Times New Roman" w:hAnsi="Times New Roman" w:cs="Times New Roman"/>
          <w:sz w:val="22"/>
        </w:rPr>
      </w:pPr>
      <w:r w:rsidRPr="00C217DA">
        <w:rPr>
          <w:rFonts w:ascii="Times New Roman" w:hAnsi="Times New Roman" w:cs="Times New Roman"/>
          <w:b/>
          <w:bCs/>
          <w:sz w:val="22"/>
        </w:rPr>
        <w:t xml:space="preserve">Figure </w:t>
      </w:r>
      <w:r w:rsidR="00DE7265">
        <w:rPr>
          <w:rFonts w:ascii="Times New Roman" w:hAnsi="Times New Roman" w:cs="Times New Roman" w:hint="eastAsia"/>
          <w:b/>
          <w:bCs/>
          <w:sz w:val="22"/>
        </w:rPr>
        <w:t>S</w:t>
      </w:r>
      <w:r w:rsidRPr="00C217DA">
        <w:rPr>
          <w:rFonts w:ascii="Times New Roman" w:hAnsi="Times New Roman" w:cs="Times New Roman"/>
          <w:b/>
          <w:bCs/>
          <w:sz w:val="22"/>
        </w:rPr>
        <w:t xml:space="preserve">1. Distribution of ARSACS cases among newly hospitalized neurological patients. </w:t>
      </w:r>
      <w:r w:rsidRPr="00C217DA">
        <w:rPr>
          <w:rFonts w:ascii="Times New Roman" w:hAnsi="Times New Roman" w:cs="Times New Roman"/>
          <w:sz w:val="22"/>
        </w:rPr>
        <w:t xml:space="preserve">A total of </w:t>
      </w:r>
      <w:r>
        <w:rPr>
          <w:rFonts w:ascii="Times New Roman" w:hAnsi="Times New Roman" w:cs="Times New Roman"/>
          <w:sz w:val="22"/>
        </w:rPr>
        <w:t>five</w:t>
      </w:r>
      <w:r w:rsidRPr="00C217DA">
        <w:rPr>
          <w:rFonts w:ascii="Times New Roman" w:hAnsi="Times New Roman" w:cs="Times New Roman"/>
          <w:sz w:val="22"/>
        </w:rPr>
        <w:t xml:space="preserve"> patients </w:t>
      </w:r>
      <w:r>
        <w:rPr>
          <w:rFonts w:ascii="Times New Roman" w:hAnsi="Times New Roman" w:cs="Times New Roman"/>
          <w:sz w:val="22"/>
        </w:rPr>
        <w:t xml:space="preserve">with </w:t>
      </w:r>
      <w:r w:rsidRPr="00C217DA">
        <w:rPr>
          <w:rFonts w:ascii="Times New Roman" w:hAnsi="Times New Roman" w:cs="Times New Roman"/>
          <w:sz w:val="22"/>
        </w:rPr>
        <w:t xml:space="preserve">ARSACS were identified among </w:t>
      </w:r>
      <w:r>
        <w:rPr>
          <w:rFonts w:ascii="Times New Roman" w:hAnsi="Times New Roman" w:cs="Times New Roman"/>
          <w:sz w:val="22"/>
        </w:rPr>
        <w:t xml:space="preserve">the </w:t>
      </w:r>
      <w:r w:rsidRPr="00C217DA">
        <w:rPr>
          <w:rFonts w:ascii="Times New Roman" w:hAnsi="Times New Roman" w:cs="Times New Roman"/>
          <w:sz w:val="22"/>
        </w:rPr>
        <w:t xml:space="preserve">3,347 newly hospitalized patients, distributed across two diagnostic categories: spinocerebellar degeneration (SCD) and </w:t>
      </w:r>
      <w:r w:rsidR="005648E1" w:rsidRPr="005648E1">
        <w:rPr>
          <w:rFonts w:ascii="Times New Roman" w:hAnsi="Times New Roman" w:cs="Times New Roman"/>
          <w:sz w:val="22"/>
        </w:rPr>
        <w:t>peripheral neuropathy (PN)</w:t>
      </w:r>
      <w:r w:rsidRPr="00C217DA">
        <w:rPr>
          <w:rFonts w:ascii="Times New Roman" w:hAnsi="Times New Roman" w:cs="Times New Roman"/>
          <w:sz w:val="22"/>
        </w:rPr>
        <w:t xml:space="preserve">. Among </w:t>
      </w:r>
      <w:r>
        <w:rPr>
          <w:rFonts w:ascii="Times New Roman" w:hAnsi="Times New Roman" w:cs="Times New Roman"/>
          <w:sz w:val="22"/>
        </w:rPr>
        <w:t xml:space="preserve">the </w:t>
      </w:r>
      <w:r w:rsidRPr="00C217DA">
        <w:rPr>
          <w:rFonts w:ascii="Times New Roman" w:hAnsi="Times New Roman" w:cs="Times New Roman"/>
          <w:sz w:val="22"/>
        </w:rPr>
        <w:t xml:space="preserve">219 patients in the SCD group, 4 (1.8%) were diagnosed with ARSACS. Additionally, one patient with ARSACS was identified among </w:t>
      </w:r>
      <w:r>
        <w:rPr>
          <w:rFonts w:ascii="Times New Roman" w:hAnsi="Times New Roman" w:cs="Times New Roman"/>
          <w:sz w:val="22"/>
        </w:rPr>
        <w:t xml:space="preserve">the </w:t>
      </w:r>
      <w:r w:rsidRPr="00C217DA">
        <w:rPr>
          <w:rFonts w:ascii="Times New Roman" w:hAnsi="Times New Roman" w:cs="Times New Roman"/>
          <w:sz w:val="22"/>
        </w:rPr>
        <w:t xml:space="preserve">348 patients (0.3%) in the </w:t>
      </w:r>
      <w:r w:rsidR="005648E1">
        <w:rPr>
          <w:rFonts w:ascii="Times New Roman" w:hAnsi="Times New Roman" w:cs="Times New Roman" w:hint="eastAsia"/>
          <w:sz w:val="22"/>
        </w:rPr>
        <w:t>PN</w:t>
      </w:r>
      <w:r w:rsidRPr="00C217DA">
        <w:rPr>
          <w:rFonts w:ascii="Times New Roman" w:hAnsi="Times New Roman" w:cs="Times New Roman"/>
          <w:sz w:val="22"/>
        </w:rPr>
        <w:t xml:space="preserve"> group. The pie chart demonstrates the overall distribution of neurological disorders in our department, with ARSACS cases highlighted within their respective diagnostic categories (SCD and neuropathy). </w:t>
      </w:r>
    </w:p>
    <w:p w14:paraId="4B6E6E0D" w14:textId="6E0ED416" w:rsidR="007F0012" w:rsidRDefault="007F0012" w:rsidP="00E858F5">
      <w:pPr>
        <w:jc w:val="left"/>
        <w:rPr>
          <w:rFonts w:ascii="Times New Roman" w:hAnsi="Times New Roman" w:cs="Times New Roman" w:hint="eastAsia"/>
          <w:sz w:val="22"/>
        </w:rPr>
      </w:pPr>
      <w:r w:rsidRPr="00C217DA">
        <w:rPr>
          <w:rFonts w:ascii="Times New Roman" w:hAnsi="Times New Roman" w:cs="Times New Roman"/>
          <w:sz w:val="22"/>
        </w:rPr>
        <w:t xml:space="preserve">Abbreviations: ARSACS, </w:t>
      </w:r>
      <w:r>
        <w:rPr>
          <w:rFonts w:ascii="Times New Roman" w:hAnsi="Times New Roman" w:cs="Times New Roman"/>
          <w:sz w:val="22"/>
        </w:rPr>
        <w:t>a</w:t>
      </w:r>
      <w:r w:rsidRPr="00C217DA">
        <w:rPr>
          <w:rFonts w:ascii="Times New Roman" w:hAnsi="Times New Roman" w:cs="Times New Roman"/>
          <w:sz w:val="22"/>
        </w:rPr>
        <w:t xml:space="preserve">utosomal </w:t>
      </w:r>
      <w:r>
        <w:rPr>
          <w:rFonts w:ascii="Times New Roman" w:hAnsi="Times New Roman" w:cs="Times New Roman"/>
          <w:sz w:val="22"/>
        </w:rPr>
        <w:t>r</w:t>
      </w:r>
      <w:r w:rsidRPr="00C217DA">
        <w:rPr>
          <w:rFonts w:ascii="Times New Roman" w:hAnsi="Times New Roman" w:cs="Times New Roman"/>
          <w:sz w:val="22"/>
        </w:rPr>
        <w:t xml:space="preserve">ecessive </w:t>
      </w:r>
      <w:r>
        <w:rPr>
          <w:rFonts w:ascii="Times New Roman" w:hAnsi="Times New Roman" w:cs="Times New Roman"/>
          <w:sz w:val="22"/>
        </w:rPr>
        <w:t>s</w:t>
      </w:r>
      <w:r w:rsidRPr="00C217DA">
        <w:rPr>
          <w:rFonts w:ascii="Times New Roman" w:hAnsi="Times New Roman" w:cs="Times New Roman"/>
          <w:sz w:val="22"/>
        </w:rPr>
        <w:t xml:space="preserve">pastic </w:t>
      </w:r>
      <w:r>
        <w:rPr>
          <w:rFonts w:ascii="Times New Roman" w:hAnsi="Times New Roman" w:cs="Times New Roman"/>
          <w:sz w:val="22"/>
        </w:rPr>
        <w:t>a</w:t>
      </w:r>
      <w:r w:rsidRPr="00C217DA">
        <w:rPr>
          <w:rFonts w:ascii="Times New Roman" w:hAnsi="Times New Roman" w:cs="Times New Roman"/>
          <w:sz w:val="22"/>
        </w:rPr>
        <w:t>taxia of Charlevoix</w:t>
      </w:r>
      <w:r>
        <w:rPr>
          <w:rFonts w:ascii="Times New Roman" w:hAnsi="Times New Roman" w:cs="Times New Roman"/>
          <w:sz w:val="22"/>
        </w:rPr>
        <w:t>–</w:t>
      </w:r>
      <w:r w:rsidRPr="00C217DA">
        <w:rPr>
          <w:rFonts w:ascii="Times New Roman" w:hAnsi="Times New Roman" w:cs="Times New Roman"/>
          <w:sz w:val="22"/>
        </w:rPr>
        <w:t xml:space="preserve">Saguenay; CVD, </w:t>
      </w:r>
      <w:r>
        <w:rPr>
          <w:rFonts w:ascii="Times New Roman" w:hAnsi="Times New Roman" w:cs="Times New Roman"/>
          <w:sz w:val="22"/>
        </w:rPr>
        <w:t>c</w:t>
      </w:r>
      <w:r w:rsidRPr="00C217DA">
        <w:rPr>
          <w:rFonts w:ascii="Times New Roman" w:hAnsi="Times New Roman" w:cs="Times New Roman"/>
          <w:sz w:val="22"/>
        </w:rPr>
        <w:t xml:space="preserve">erebrovascular disease; </w:t>
      </w:r>
      <w:bookmarkStart w:id="0" w:name="_Hlk190530741"/>
      <w:r>
        <w:rPr>
          <w:rFonts w:ascii="Times New Roman" w:hAnsi="Times New Roman" w:cs="Times New Roman" w:hint="eastAsia"/>
          <w:sz w:val="22"/>
        </w:rPr>
        <w:t xml:space="preserve">PN, peripheral </w:t>
      </w:r>
      <w:r>
        <w:rPr>
          <w:rFonts w:ascii="Times New Roman" w:hAnsi="Times New Roman" w:cs="Times New Roman"/>
          <w:sz w:val="22"/>
        </w:rPr>
        <w:t>neuropathy</w:t>
      </w:r>
      <w:r>
        <w:rPr>
          <w:rFonts w:ascii="Times New Roman" w:hAnsi="Times New Roman" w:cs="Times New Roman" w:hint="eastAsia"/>
          <w:sz w:val="22"/>
        </w:rPr>
        <w:t xml:space="preserve">; </w:t>
      </w:r>
      <w:r w:rsidRPr="00C217DA">
        <w:rPr>
          <w:rFonts w:ascii="Times New Roman" w:hAnsi="Times New Roman" w:cs="Times New Roman"/>
          <w:sz w:val="22"/>
        </w:rPr>
        <w:t xml:space="preserve">MND, </w:t>
      </w:r>
      <w:r>
        <w:rPr>
          <w:rFonts w:ascii="Times New Roman" w:hAnsi="Times New Roman" w:cs="Times New Roman"/>
          <w:sz w:val="22"/>
        </w:rPr>
        <w:t>m</w:t>
      </w:r>
      <w:r w:rsidRPr="00C217DA">
        <w:rPr>
          <w:rFonts w:ascii="Times New Roman" w:hAnsi="Times New Roman" w:cs="Times New Roman"/>
          <w:sz w:val="22"/>
        </w:rPr>
        <w:t xml:space="preserve">otor neuron disease; PRD, </w:t>
      </w:r>
      <w:r>
        <w:rPr>
          <w:rFonts w:ascii="Times New Roman" w:hAnsi="Times New Roman" w:cs="Times New Roman"/>
          <w:sz w:val="22"/>
        </w:rPr>
        <w:t>p</w:t>
      </w:r>
      <w:r w:rsidRPr="00C217DA">
        <w:rPr>
          <w:rFonts w:ascii="Times New Roman" w:hAnsi="Times New Roman" w:cs="Times New Roman"/>
          <w:sz w:val="22"/>
        </w:rPr>
        <w:t>arkinsonism and related disorders</w:t>
      </w:r>
      <w:bookmarkEnd w:id="0"/>
      <w:r w:rsidRPr="00C217DA">
        <w:rPr>
          <w:rFonts w:ascii="Times New Roman" w:hAnsi="Times New Roman" w:cs="Times New Roman"/>
          <w:sz w:val="22"/>
        </w:rPr>
        <w:t>; SC</w:t>
      </w:r>
      <w:r w:rsidR="00155D04">
        <w:rPr>
          <w:rFonts w:ascii="Times New Roman" w:hAnsi="Times New Roman" w:cs="Times New Roman" w:hint="eastAsia"/>
          <w:sz w:val="22"/>
        </w:rPr>
        <w:t>D</w:t>
      </w:r>
      <w:r w:rsidRPr="00C217DA">
        <w:rPr>
          <w:rFonts w:ascii="Times New Roman" w:hAnsi="Times New Roman" w:cs="Times New Roman"/>
          <w:sz w:val="22"/>
        </w:rPr>
        <w:t xml:space="preserve">, </w:t>
      </w:r>
      <w:r w:rsidRPr="00B03963">
        <w:rPr>
          <w:rFonts w:asciiTheme="majorBidi" w:hAnsiTheme="majorBidi" w:cstheme="majorBidi"/>
          <w:sz w:val="22"/>
        </w:rPr>
        <w:t>spinocerebellar degeneration</w:t>
      </w:r>
      <w:r w:rsidRPr="00C217DA">
        <w:rPr>
          <w:rFonts w:ascii="Times New Roman" w:hAnsi="Times New Roman" w:cs="Times New Roman"/>
          <w:sz w:val="22"/>
        </w:rPr>
        <w:t xml:space="preserve">; EC, </w:t>
      </w:r>
      <w:r>
        <w:rPr>
          <w:rFonts w:ascii="Times New Roman" w:hAnsi="Times New Roman" w:cs="Times New Roman"/>
          <w:sz w:val="22"/>
        </w:rPr>
        <w:t>e</w:t>
      </w:r>
      <w:r w:rsidRPr="00C217DA">
        <w:rPr>
          <w:rFonts w:ascii="Times New Roman" w:hAnsi="Times New Roman" w:cs="Times New Roman"/>
          <w:sz w:val="22"/>
        </w:rPr>
        <w:t xml:space="preserve">ncephalitis/encephalopathy; NJD, </w:t>
      </w:r>
      <w:r>
        <w:rPr>
          <w:rFonts w:ascii="Times New Roman" w:hAnsi="Times New Roman" w:cs="Times New Roman"/>
          <w:sz w:val="22"/>
        </w:rPr>
        <w:t>n</w:t>
      </w:r>
      <w:r w:rsidRPr="00C217DA">
        <w:rPr>
          <w:rFonts w:ascii="Times New Roman" w:hAnsi="Times New Roman" w:cs="Times New Roman"/>
          <w:sz w:val="22"/>
        </w:rPr>
        <w:t xml:space="preserve">euromuscular junction disorder; SC&amp;SD, </w:t>
      </w:r>
      <w:r>
        <w:rPr>
          <w:rFonts w:ascii="Times New Roman" w:hAnsi="Times New Roman" w:cs="Times New Roman"/>
          <w:sz w:val="22"/>
        </w:rPr>
        <w:t>s</w:t>
      </w:r>
      <w:r w:rsidRPr="00C217DA">
        <w:rPr>
          <w:rFonts w:ascii="Times New Roman" w:hAnsi="Times New Roman" w:cs="Times New Roman"/>
          <w:sz w:val="22"/>
        </w:rPr>
        <w:t xml:space="preserve">pinal cord and spinal disorders; MS, </w:t>
      </w:r>
      <w:r>
        <w:rPr>
          <w:rFonts w:ascii="Times New Roman" w:hAnsi="Times New Roman" w:cs="Times New Roman"/>
          <w:sz w:val="22"/>
        </w:rPr>
        <w:t>m</w:t>
      </w:r>
      <w:r w:rsidRPr="00C217DA">
        <w:rPr>
          <w:rFonts w:ascii="Times New Roman" w:hAnsi="Times New Roman" w:cs="Times New Roman"/>
          <w:sz w:val="22"/>
        </w:rPr>
        <w:t xml:space="preserve">ultiple </w:t>
      </w:r>
      <w:r>
        <w:rPr>
          <w:rFonts w:ascii="Times New Roman" w:hAnsi="Times New Roman" w:cs="Times New Roman"/>
          <w:sz w:val="22"/>
        </w:rPr>
        <w:t>s</w:t>
      </w:r>
      <w:r w:rsidRPr="00C217DA">
        <w:rPr>
          <w:rFonts w:ascii="Times New Roman" w:hAnsi="Times New Roman" w:cs="Times New Roman"/>
          <w:sz w:val="22"/>
        </w:rPr>
        <w:t xml:space="preserve">clerosis; NMO, </w:t>
      </w:r>
      <w:r>
        <w:rPr>
          <w:rFonts w:ascii="Times New Roman" w:hAnsi="Times New Roman" w:cs="Times New Roman"/>
          <w:sz w:val="22"/>
        </w:rPr>
        <w:t>n</w:t>
      </w:r>
      <w:r w:rsidRPr="00C217DA">
        <w:rPr>
          <w:rFonts w:ascii="Times New Roman" w:hAnsi="Times New Roman" w:cs="Times New Roman"/>
          <w:sz w:val="22"/>
        </w:rPr>
        <w:t xml:space="preserve">euromyelitis </w:t>
      </w:r>
      <w:proofErr w:type="spellStart"/>
      <w:r>
        <w:rPr>
          <w:rFonts w:ascii="Times New Roman" w:hAnsi="Times New Roman" w:cs="Times New Roman"/>
          <w:sz w:val="22"/>
        </w:rPr>
        <w:t>o</w:t>
      </w:r>
      <w:r w:rsidRPr="00C217DA">
        <w:rPr>
          <w:rFonts w:ascii="Times New Roman" w:hAnsi="Times New Roman" w:cs="Times New Roman"/>
          <w:sz w:val="22"/>
        </w:rPr>
        <w:t>ptica</w:t>
      </w:r>
      <w:proofErr w:type="spellEnd"/>
      <w:r w:rsidRPr="00C217DA">
        <w:rPr>
          <w:rFonts w:ascii="Times New Roman" w:hAnsi="Times New Roman" w:cs="Times New Roman"/>
          <w:sz w:val="22"/>
        </w:rPr>
        <w:t xml:space="preserve">; FND, </w:t>
      </w:r>
      <w:r>
        <w:rPr>
          <w:rFonts w:ascii="Times New Roman" w:hAnsi="Times New Roman" w:cs="Times New Roman"/>
          <w:sz w:val="22"/>
        </w:rPr>
        <w:t>f</w:t>
      </w:r>
      <w:r w:rsidRPr="00C217DA">
        <w:rPr>
          <w:rFonts w:ascii="Times New Roman" w:hAnsi="Times New Roman" w:cs="Times New Roman"/>
          <w:sz w:val="22"/>
        </w:rPr>
        <w:t>unctional neurological symptom disorder.</w:t>
      </w:r>
      <w:r w:rsidR="00155D04">
        <w:rPr>
          <w:rFonts w:ascii="Times New Roman" w:hAnsi="Times New Roman" w:cs="Times New Roman" w:hint="eastAsia"/>
          <w:sz w:val="22"/>
        </w:rPr>
        <w:t xml:space="preserve"> </w:t>
      </w:r>
    </w:p>
    <w:p w14:paraId="0C28A051" w14:textId="77777777" w:rsidR="00E858F5" w:rsidRPr="00E858F5" w:rsidRDefault="00E858F5" w:rsidP="00E858F5">
      <w:pPr>
        <w:jc w:val="left"/>
        <w:rPr>
          <w:rFonts w:ascii="Times New Roman" w:hAnsi="Times New Roman" w:cs="Times New Roman"/>
          <w:sz w:val="22"/>
        </w:rPr>
      </w:pPr>
    </w:p>
    <w:p w14:paraId="6680BEE3" w14:textId="79429ADB" w:rsidR="002301C8" w:rsidRDefault="00E858F5" w:rsidP="002301C8">
      <w:pPr>
        <w:widowControl/>
        <w:jc w:val="left"/>
        <w:rPr>
          <w:rFonts w:ascii="Times New Roman" w:hAnsi="Times New Roman" w:cs="Times New Roman"/>
          <w:b/>
          <w:bCs/>
          <w:sz w:val="22"/>
        </w:rPr>
      </w:pPr>
      <w:r>
        <w:rPr>
          <w:rFonts w:ascii="Times New Roman" w:hAnsi="Times New Roman" w:cs="Times New Roman"/>
          <w:b/>
          <w:bCs/>
          <w:noProof/>
          <w:sz w:val="22"/>
        </w:rPr>
        <w:drawing>
          <wp:inline distT="0" distB="0" distL="0" distR="0" wp14:anchorId="2D834AEE" wp14:editId="407F934C">
            <wp:extent cx="5391150" cy="4314825"/>
            <wp:effectExtent l="0" t="0" r="0" b="9525"/>
            <wp:docPr id="814191809" name="図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91150" cy="4314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42A67FF" w14:textId="77777777" w:rsidR="007F0012" w:rsidRPr="00C217DA" w:rsidRDefault="007F0012" w:rsidP="002301C8">
      <w:pPr>
        <w:jc w:val="left"/>
        <w:rPr>
          <w:rFonts w:ascii="Times New Roman" w:hAnsi="Times New Roman" w:cs="Times New Roman"/>
          <w:b/>
          <w:bCs/>
          <w:sz w:val="22"/>
        </w:rPr>
      </w:pPr>
    </w:p>
    <w:p w14:paraId="74280652" w14:textId="15AABD7F" w:rsidR="007F0012" w:rsidRPr="00C217DA" w:rsidRDefault="007F0012" w:rsidP="002301C8">
      <w:pPr>
        <w:jc w:val="left"/>
        <w:rPr>
          <w:rFonts w:ascii="Times New Roman" w:hAnsi="Times New Roman" w:cs="Times New Roman"/>
          <w:b/>
          <w:bCs/>
          <w:sz w:val="22"/>
        </w:rPr>
      </w:pPr>
      <w:r w:rsidRPr="00C217DA">
        <w:rPr>
          <w:rFonts w:ascii="Times New Roman" w:hAnsi="Times New Roman" w:cs="Times New Roman"/>
          <w:b/>
          <w:bCs/>
          <w:sz w:val="22"/>
        </w:rPr>
        <w:t xml:space="preserve">Figure </w:t>
      </w:r>
      <w:r w:rsidR="00DE7265">
        <w:rPr>
          <w:rFonts w:ascii="Times New Roman" w:hAnsi="Times New Roman" w:cs="Times New Roman" w:hint="eastAsia"/>
          <w:b/>
          <w:bCs/>
          <w:sz w:val="22"/>
        </w:rPr>
        <w:t>S</w:t>
      </w:r>
      <w:r w:rsidRPr="00C217DA">
        <w:rPr>
          <w:rFonts w:ascii="Times New Roman" w:hAnsi="Times New Roman" w:cs="Times New Roman"/>
          <w:b/>
          <w:bCs/>
          <w:sz w:val="22"/>
        </w:rPr>
        <w:t xml:space="preserve">2. Pedigrees and ARSACS gene mutations in five Japanese cases from four families. </w:t>
      </w:r>
    </w:p>
    <w:p w14:paraId="3E875B4B" w14:textId="377A6B4D" w:rsidR="007F0012" w:rsidRPr="00C217DA" w:rsidRDefault="007F0012" w:rsidP="002301C8">
      <w:pPr>
        <w:jc w:val="left"/>
        <w:rPr>
          <w:rFonts w:ascii="Times New Roman" w:hAnsi="Times New Roman" w:cs="Times New Roman" w:hint="eastAsia"/>
          <w:sz w:val="22"/>
        </w:rPr>
      </w:pPr>
      <w:r w:rsidRPr="00C217DA">
        <w:rPr>
          <w:rFonts w:ascii="Times New Roman" w:hAnsi="Times New Roman" w:cs="Times New Roman"/>
          <w:sz w:val="22"/>
        </w:rPr>
        <w:t>The pedigrees (A</w:t>
      </w:r>
      <w:r>
        <w:rPr>
          <w:rFonts w:ascii="Times New Roman" w:hAnsi="Times New Roman" w:cs="Times New Roman"/>
          <w:sz w:val="22"/>
        </w:rPr>
        <w:t>–</w:t>
      </w:r>
      <w:r w:rsidRPr="00C217DA">
        <w:rPr>
          <w:rFonts w:ascii="Times New Roman" w:hAnsi="Times New Roman" w:cs="Times New Roman"/>
          <w:sz w:val="22"/>
        </w:rPr>
        <w:t>D) show</w:t>
      </w:r>
      <w:r>
        <w:rPr>
          <w:rFonts w:ascii="Times New Roman" w:eastAsia="游明朝" w:hAnsi="Times New Roman" w:cs="Times New Roman"/>
          <w:sz w:val="22"/>
        </w:rPr>
        <w:t xml:space="preserve">s family relationships and genetic findings in </w:t>
      </w:r>
      <w:r w:rsidRPr="00C217DA">
        <w:rPr>
          <w:rFonts w:ascii="Times New Roman" w:hAnsi="Times New Roman" w:cs="Times New Roman"/>
          <w:sz w:val="22"/>
        </w:rPr>
        <w:t>patients</w:t>
      </w:r>
      <w:r>
        <w:rPr>
          <w:rFonts w:ascii="Times New Roman" w:eastAsia="游明朝" w:hAnsi="Times New Roman" w:cs="Times New Roman"/>
          <w:sz w:val="22"/>
        </w:rPr>
        <w:t xml:space="preserve"> with ARSACS. Black symbols indicate </w:t>
      </w:r>
      <w:r w:rsidRPr="00C217DA">
        <w:rPr>
          <w:rFonts w:ascii="Times New Roman" w:hAnsi="Times New Roman" w:cs="Times New Roman"/>
          <w:sz w:val="22"/>
        </w:rPr>
        <w:t>individuals</w:t>
      </w:r>
      <w:r>
        <w:rPr>
          <w:rFonts w:ascii="Times New Roman" w:eastAsia="游明朝" w:hAnsi="Times New Roman" w:cs="Times New Roman"/>
          <w:sz w:val="22"/>
        </w:rPr>
        <w:t xml:space="preserve"> affected </w:t>
      </w:r>
      <w:r w:rsidRPr="00C217DA">
        <w:rPr>
          <w:rFonts w:ascii="Times New Roman" w:hAnsi="Times New Roman" w:cs="Times New Roman"/>
          <w:sz w:val="22"/>
        </w:rPr>
        <w:t>by ARSACS, and arrows denote probands. Family A included siblings (Cases 1 and 2) harboring homozygous mutations (c.10939 G&gt;T). Family B had a proband (Case 3) with compound heterozygous mutations (c.262 C&gt;T and c.5143 A&gt;T). Family C included Case 4 with compound heterozygous mutations (c.2159_</w:t>
      </w:r>
      <w:r w:rsidR="00763872">
        <w:rPr>
          <w:rFonts w:ascii="Times New Roman" w:hAnsi="Times New Roman" w:cs="Times New Roman" w:hint="eastAsia"/>
          <w:sz w:val="22"/>
        </w:rPr>
        <w:t>21</w:t>
      </w:r>
      <w:r w:rsidRPr="00C217DA">
        <w:rPr>
          <w:rFonts w:ascii="Times New Roman" w:hAnsi="Times New Roman" w:cs="Times New Roman"/>
          <w:sz w:val="22"/>
        </w:rPr>
        <w:t xml:space="preserve">60 </w:t>
      </w:r>
      <w:proofErr w:type="spellStart"/>
      <w:r w:rsidRPr="00C217DA">
        <w:rPr>
          <w:rFonts w:ascii="Times New Roman" w:hAnsi="Times New Roman" w:cs="Times New Roman"/>
          <w:sz w:val="22"/>
        </w:rPr>
        <w:t>insTTA</w:t>
      </w:r>
      <w:proofErr w:type="spellEnd"/>
      <w:r w:rsidRPr="00C217DA">
        <w:rPr>
          <w:rFonts w:ascii="Times New Roman" w:hAnsi="Times New Roman" w:cs="Times New Roman"/>
          <w:sz w:val="22"/>
        </w:rPr>
        <w:t xml:space="preserve"> and c.13294_</w:t>
      </w:r>
      <w:r w:rsidR="00763872" w:rsidRPr="00763872">
        <w:rPr>
          <w:rFonts w:ascii="Times New Roman" w:hAnsi="Times New Roman" w:cs="Times New Roman"/>
          <w:sz w:val="22"/>
        </w:rPr>
        <w:t>1329</w:t>
      </w:r>
      <w:r w:rsidRPr="00C217DA">
        <w:rPr>
          <w:rFonts w:ascii="Times New Roman" w:hAnsi="Times New Roman" w:cs="Times New Roman"/>
          <w:sz w:val="22"/>
        </w:rPr>
        <w:t xml:space="preserve">5 </w:t>
      </w:r>
      <w:proofErr w:type="spellStart"/>
      <w:r w:rsidRPr="00C217DA">
        <w:rPr>
          <w:rFonts w:ascii="Times New Roman" w:hAnsi="Times New Roman" w:cs="Times New Roman"/>
          <w:sz w:val="22"/>
        </w:rPr>
        <w:t>insAA</w:t>
      </w:r>
      <w:proofErr w:type="spellEnd"/>
      <w:r w:rsidRPr="00C217DA">
        <w:rPr>
          <w:rFonts w:ascii="Times New Roman" w:hAnsi="Times New Roman" w:cs="Times New Roman"/>
          <w:sz w:val="22"/>
        </w:rPr>
        <w:t>). Family D included Case 5 with compound heterozygous mutations (c.7273 C&gt;T and c.10967 C&gt;T). Square symbols represent males, circular symbols represent females, and open symbols indicate unaffected individuals.</w:t>
      </w:r>
      <w:r w:rsidR="00D903CB">
        <w:rPr>
          <w:rFonts w:ascii="Times New Roman" w:hAnsi="Times New Roman" w:cs="Times New Roman" w:hint="eastAsia"/>
          <w:sz w:val="22"/>
        </w:rPr>
        <w:t xml:space="preserve"> </w:t>
      </w:r>
    </w:p>
    <w:p w14:paraId="69C62E7A" w14:textId="77777777" w:rsidR="007F0012" w:rsidRPr="00C217DA" w:rsidRDefault="007F0012" w:rsidP="002301C8">
      <w:pPr>
        <w:jc w:val="left"/>
        <w:rPr>
          <w:rFonts w:ascii="Times New Roman" w:hAnsi="Times New Roman" w:cs="Times New Roman"/>
          <w:sz w:val="22"/>
        </w:rPr>
      </w:pPr>
    </w:p>
    <w:p w14:paraId="6CA08406" w14:textId="77777777" w:rsidR="004F16FE" w:rsidRPr="007F0012" w:rsidRDefault="004F16FE" w:rsidP="002301C8"/>
    <w:sectPr w:rsidR="004F16FE" w:rsidRPr="007F0012"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16EB4D6" w14:textId="77777777" w:rsidR="00813F49" w:rsidRDefault="00813F49" w:rsidP="00DE7265">
      <w:r>
        <w:separator/>
      </w:r>
    </w:p>
  </w:endnote>
  <w:endnote w:type="continuationSeparator" w:id="0">
    <w:p w14:paraId="3E22A1E9" w14:textId="77777777" w:rsidR="00813F49" w:rsidRDefault="00813F49" w:rsidP="00DE726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37EF81B" w14:textId="77777777" w:rsidR="00813F49" w:rsidRDefault="00813F49" w:rsidP="00DE7265">
      <w:r>
        <w:separator/>
      </w:r>
    </w:p>
  </w:footnote>
  <w:footnote w:type="continuationSeparator" w:id="0">
    <w:p w14:paraId="12CB209D" w14:textId="77777777" w:rsidR="00813F49" w:rsidRDefault="00813F49" w:rsidP="00DE726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efaultTabStop w:val="840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F0012"/>
    <w:rsid w:val="00155D04"/>
    <w:rsid w:val="00170A55"/>
    <w:rsid w:val="002301C8"/>
    <w:rsid w:val="002778CC"/>
    <w:rsid w:val="002A5315"/>
    <w:rsid w:val="004F16FE"/>
    <w:rsid w:val="005648E1"/>
    <w:rsid w:val="00763872"/>
    <w:rsid w:val="00786B85"/>
    <w:rsid w:val="007F0012"/>
    <w:rsid w:val="00813F49"/>
    <w:rsid w:val="00846A1A"/>
    <w:rsid w:val="00D04199"/>
    <w:rsid w:val="00D903CB"/>
    <w:rsid w:val="00DE7265"/>
    <w:rsid w:val="00E858F5"/>
    <w:rsid w:val="00FB48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0E32D11F"/>
  <w15:chartTrackingRefBased/>
  <w15:docId w15:val="{632756DF-A908-4865-AFF8-0D70EDD285D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7F0012"/>
    <w:pPr>
      <w:widowControl w:val="0"/>
      <w:jc w:val="both"/>
    </w:pPr>
    <w:rPr>
      <w14:ligatures w14:val="standardContextual"/>
    </w:rPr>
  </w:style>
  <w:style w:type="paragraph" w:styleId="1">
    <w:name w:val="heading 1"/>
    <w:basedOn w:val="a"/>
    <w:next w:val="a"/>
    <w:link w:val="10"/>
    <w:uiPriority w:val="9"/>
    <w:qFormat/>
    <w:rsid w:val="007F0012"/>
    <w:pPr>
      <w:keepNext/>
      <w:keepLines/>
      <w:spacing w:before="280" w:after="80"/>
      <w:outlineLvl w:val="0"/>
    </w:pPr>
    <w:rPr>
      <w:rFonts w:asciiTheme="majorHAnsi" w:eastAsiaTheme="majorEastAsia" w:hAnsiTheme="majorHAnsi" w:cstheme="majorBidi"/>
      <w:color w:val="000000" w:themeColor="text1"/>
      <w:sz w:val="32"/>
      <w:szCs w:val="32"/>
      <w14:ligatures w14:val="none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7F001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00000" w:themeColor="text1"/>
      <w:sz w:val="28"/>
      <w:szCs w:val="28"/>
      <w14:ligatures w14:val="none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7F0012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00000" w:themeColor="text1"/>
      <w:sz w:val="24"/>
      <w:szCs w:val="24"/>
      <w14:ligatures w14:val="none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7F0012"/>
    <w:pPr>
      <w:keepNext/>
      <w:keepLines/>
      <w:spacing w:before="80" w:after="40"/>
      <w:outlineLvl w:val="3"/>
    </w:pPr>
    <w:rPr>
      <w:rFonts w:asciiTheme="majorHAnsi" w:eastAsiaTheme="majorEastAsia" w:hAnsiTheme="majorHAnsi" w:cstheme="majorBidi"/>
      <w:color w:val="000000" w:themeColor="text1"/>
      <w14:ligatures w14:val="none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7F0012"/>
    <w:pPr>
      <w:keepNext/>
      <w:keepLines/>
      <w:spacing w:before="80" w:after="40"/>
      <w:ind w:leftChars="100" w:left="100"/>
      <w:outlineLvl w:val="4"/>
    </w:pPr>
    <w:rPr>
      <w:rFonts w:asciiTheme="majorHAnsi" w:eastAsiaTheme="majorEastAsia" w:hAnsiTheme="majorHAnsi" w:cstheme="majorBidi"/>
      <w:color w:val="000000" w:themeColor="text1"/>
      <w14:ligatures w14:val="none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7F0012"/>
    <w:pPr>
      <w:keepNext/>
      <w:keepLines/>
      <w:spacing w:before="80" w:after="40"/>
      <w:ind w:leftChars="200" w:left="200"/>
      <w:outlineLvl w:val="5"/>
    </w:pPr>
    <w:rPr>
      <w:rFonts w:asciiTheme="majorHAnsi" w:eastAsiaTheme="majorEastAsia" w:hAnsiTheme="majorHAnsi" w:cstheme="majorBidi"/>
      <w:color w:val="000000" w:themeColor="text1"/>
      <w14:ligatures w14:val="none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7F0012"/>
    <w:pPr>
      <w:keepNext/>
      <w:keepLines/>
      <w:spacing w:before="80" w:after="40"/>
      <w:ind w:leftChars="300" w:left="300"/>
      <w:outlineLvl w:val="6"/>
    </w:pPr>
    <w:rPr>
      <w:rFonts w:asciiTheme="majorHAnsi" w:eastAsiaTheme="majorEastAsia" w:hAnsiTheme="majorHAnsi" w:cstheme="majorBidi"/>
      <w:color w:val="000000" w:themeColor="text1"/>
      <w14:ligatures w14:val="none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7F0012"/>
    <w:pPr>
      <w:keepNext/>
      <w:keepLines/>
      <w:spacing w:before="80" w:after="40"/>
      <w:ind w:leftChars="400" w:left="400"/>
      <w:outlineLvl w:val="7"/>
    </w:pPr>
    <w:rPr>
      <w:rFonts w:asciiTheme="majorHAnsi" w:eastAsiaTheme="majorEastAsia" w:hAnsiTheme="majorHAnsi" w:cstheme="majorBidi"/>
      <w:color w:val="000000" w:themeColor="text1"/>
      <w14:ligatures w14:val="none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7F0012"/>
    <w:pPr>
      <w:keepNext/>
      <w:keepLines/>
      <w:spacing w:before="80" w:after="40"/>
      <w:ind w:leftChars="500" w:left="500"/>
      <w:outlineLvl w:val="8"/>
    </w:pPr>
    <w:rPr>
      <w:rFonts w:asciiTheme="majorHAnsi" w:eastAsiaTheme="majorEastAsia" w:hAnsiTheme="majorHAnsi" w:cstheme="majorBidi"/>
      <w:color w:val="000000" w:themeColor="text1"/>
      <w14:ligatures w14:val="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見出し 1 (文字)"/>
    <w:basedOn w:val="a0"/>
    <w:link w:val="1"/>
    <w:uiPriority w:val="9"/>
    <w:rsid w:val="007F0012"/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character" w:customStyle="1" w:styleId="20">
    <w:name w:val="見出し 2 (文字)"/>
    <w:basedOn w:val="a0"/>
    <w:link w:val="2"/>
    <w:uiPriority w:val="9"/>
    <w:semiHidden/>
    <w:rsid w:val="007F0012"/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character" w:customStyle="1" w:styleId="30">
    <w:name w:val="見出し 3 (文字)"/>
    <w:basedOn w:val="a0"/>
    <w:link w:val="3"/>
    <w:uiPriority w:val="9"/>
    <w:semiHidden/>
    <w:rsid w:val="007F0012"/>
    <w:rPr>
      <w:rFonts w:asciiTheme="majorHAnsi" w:eastAsiaTheme="majorEastAsia" w:hAnsiTheme="majorHAnsi" w:cstheme="majorBidi"/>
      <w:color w:val="000000" w:themeColor="text1"/>
      <w:sz w:val="24"/>
      <w:szCs w:val="24"/>
    </w:rPr>
  </w:style>
  <w:style w:type="character" w:customStyle="1" w:styleId="40">
    <w:name w:val="見出し 4 (文字)"/>
    <w:basedOn w:val="a0"/>
    <w:link w:val="4"/>
    <w:uiPriority w:val="9"/>
    <w:semiHidden/>
    <w:rsid w:val="007F0012"/>
    <w:rPr>
      <w:rFonts w:asciiTheme="majorHAnsi" w:eastAsiaTheme="majorEastAsia" w:hAnsiTheme="majorHAnsi" w:cstheme="majorBidi"/>
      <w:color w:val="000000" w:themeColor="text1"/>
    </w:rPr>
  </w:style>
  <w:style w:type="character" w:customStyle="1" w:styleId="50">
    <w:name w:val="見出し 5 (文字)"/>
    <w:basedOn w:val="a0"/>
    <w:link w:val="5"/>
    <w:uiPriority w:val="9"/>
    <w:semiHidden/>
    <w:rsid w:val="007F0012"/>
    <w:rPr>
      <w:rFonts w:asciiTheme="majorHAnsi" w:eastAsiaTheme="majorEastAsia" w:hAnsiTheme="majorHAnsi" w:cstheme="majorBidi"/>
      <w:color w:val="000000" w:themeColor="text1"/>
    </w:rPr>
  </w:style>
  <w:style w:type="character" w:customStyle="1" w:styleId="60">
    <w:name w:val="見出し 6 (文字)"/>
    <w:basedOn w:val="a0"/>
    <w:link w:val="6"/>
    <w:uiPriority w:val="9"/>
    <w:semiHidden/>
    <w:rsid w:val="007F0012"/>
    <w:rPr>
      <w:rFonts w:asciiTheme="majorHAnsi" w:eastAsiaTheme="majorEastAsia" w:hAnsiTheme="majorHAnsi" w:cstheme="majorBidi"/>
      <w:color w:val="000000" w:themeColor="text1"/>
    </w:rPr>
  </w:style>
  <w:style w:type="character" w:customStyle="1" w:styleId="70">
    <w:name w:val="見出し 7 (文字)"/>
    <w:basedOn w:val="a0"/>
    <w:link w:val="7"/>
    <w:uiPriority w:val="9"/>
    <w:semiHidden/>
    <w:rsid w:val="007F0012"/>
    <w:rPr>
      <w:rFonts w:asciiTheme="majorHAnsi" w:eastAsiaTheme="majorEastAsia" w:hAnsiTheme="majorHAnsi" w:cstheme="majorBidi"/>
      <w:color w:val="000000" w:themeColor="text1"/>
    </w:rPr>
  </w:style>
  <w:style w:type="character" w:customStyle="1" w:styleId="80">
    <w:name w:val="見出し 8 (文字)"/>
    <w:basedOn w:val="a0"/>
    <w:link w:val="8"/>
    <w:uiPriority w:val="9"/>
    <w:semiHidden/>
    <w:rsid w:val="007F0012"/>
    <w:rPr>
      <w:rFonts w:asciiTheme="majorHAnsi" w:eastAsiaTheme="majorEastAsia" w:hAnsiTheme="majorHAnsi" w:cstheme="majorBidi"/>
      <w:color w:val="000000" w:themeColor="text1"/>
    </w:rPr>
  </w:style>
  <w:style w:type="character" w:customStyle="1" w:styleId="90">
    <w:name w:val="見出し 9 (文字)"/>
    <w:basedOn w:val="a0"/>
    <w:link w:val="9"/>
    <w:uiPriority w:val="9"/>
    <w:semiHidden/>
    <w:rsid w:val="007F0012"/>
    <w:rPr>
      <w:rFonts w:asciiTheme="majorHAnsi" w:eastAsiaTheme="majorEastAsia" w:hAnsiTheme="majorHAnsi" w:cstheme="majorBidi"/>
      <w:color w:val="000000" w:themeColor="text1"/>
    </w:rPr>
  </w:style>
  <w:style w:type="paragraph" w:styleId="a3">
    <w:name w:val="Title"/>
    <w:basedOn w:val="a"/>
    <w:next w:val="a"/>
    <w:link w:val="a4"/>
    <w:uiPriority w:val="10"/>
    <w:qFormat/>
    <w:rsid w:val="007F0012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none"/>
    </w:rPr>
  </w:style>
  <w:style w:type="character" w:customStyle="1" w:styleId="a4">
    <w:name w:val="表題 (文字)"/>
    <w:basedOn w:val="a0"/>
    <w:link w:val="a3"/>
    <w:uiPriority w:val="10"/>
    <w:rsid w:val="007F001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7F0012"/>
    <w:pPr>
      <w:numPr>
        <w:ilvl w:val="1"/>
      </w:num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  <w14:ligatures w14:val="none"/>
    </w:rPr>
  </w:style>
  <w:style w:type="character" w:customStyle="1" w:styleId="a6">
    <w:name w:val="副題 (文字)"/>
    <w:basedOn w:val="a0"/>
    <w:link w:val="a5"/>
    <w:uiPriority w:val="11"/>
    <w:rsid w:val="007F0012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7F0012"/>
    <w:pPr>
      <w:spacing w:before="160" w:after="160"/>
      <w:jc w:val="center"/>
    </w:pPr>
    <w:rPr>
      <w:i/>
      <w:iCs/>
      <w:color w:val="404040" w:themeColor="text1" w:themeTint="BF"/>
      <w14:ligatures w14:val="none"/>
    </w:rPr>
  </w:style>
  <w:style w:type="character" w:customStyle="1" w:styleId="a8">
    <w:name w:val="引用文 (文字)"/>
    <w:basedOn w:val="a0"/>
    <w:link w:val="a7"/>
    <w:uiPriority w:val="29"/>
    <w:rsid w:val="007F0012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7F0012"/>
    <w:pPr>
      <w:ind w:left="720"/>
      <w:contextualSpacing/>
    </w:pPr>
    <w:rPr>
      <w14:ligatures w14:val="none"/>
    </w:rPr>
  </w:style>
  <w:style w:type="character" w:styleId="21">
    <w:name w:val="Intense Emphasis"/>
    <w:basedOn w:val="a0"/>
    <w:uiPriority w:val="21"/>
    <w:qFormat/>
    <w:rsid w:val="007F0012"/>
    <w:rPr>
      <w:i/>
      <w:iCs/>
      <w:color w:val="0F4761" w:themeColor="accent1" w:themeShade="BF"/>
    </w:rPr>
  </w:style>
  <w:style w:type="paragraph" w:styleId="22">
    <w:name w:val="Intense Quote"/>
    <w:basedOn w:val="a"/>
    <w:next w:val="a"/>
    <w:link w:val="23"/>
    <w:uiPriority w:val="30"/>
    <w:qFormat/>
    <w:rsid w:val="007F0012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  <w14:ligatures w14:val="none"/>
    </w:rPr>
  </w:style>
  <w:style w:type="character" w:customStyle="1" w:styleId="23">
    <w:name w:val="引用文 2 (文字)"/>
    <w:basedOn w:val="a0"/>
    <w:link w:val="22"/>
    <w:uiPriority w:val="30"/>
    <w:rsid w:val="007F0012"/>
    <w:rPr>
      <w:i/>
      <w:iCs/>
      <w:color w:val="0F4761" w:themeColor="accent1" w:themeShade="BF"/>
    </w:rPr>
  </w:style>
  <w:style w:type="character" w:styleId="24">
    <w:name w:val="Intense Reference"/>
    <w:basedOn w:val="a0"/>
    <w:uiPriority w:val="32"/>
    <w:qFormat/>
    <w:rsid w:val="007F0012"/>
    <w:rPr>
      <w:b/>
      <w:bCs/>
      <w:smallCaps/>
      <w:color w:val="0F4761" w:themeColor="accent1" w:themeShade="BF"/>
      <w:spacing w:val="5"/>
    </w:rPr>
  </w:style>
  <w:style w:type="paragraph" w:styleId="aa">
    <w:name w:val="header"/>
    <w:basedOn w:val="a"/>
    <w:link w:val="ab"/>
    <w:uiPriority w:val="99"/>
    <w:unhideWhenUsed/>
    <w:rsid w:val="00DE7265"/>
    <w:pPr>
      <w:tabs>
        <w:tab w:val="center" w:pos="4252"/>
        <w:tab w:val="right" w:pos="8504"/>
      </w:tabs>
      <w:snapToGrid w:val="0"/>
    </w:pPr>
  </w:style>
  <w:style w:type="character" w:customStyle="1" w:styleId="ab">
    <w:name w:val="ヘッダー (文字)"/>
    <w:basedOn w:val="a0"/>
    <w:link w:val="aa"/>
    <w:uiPriority w:val="99"/>
    <w:rsid w:val="00DE7265"/>
    <w:rPr>
      <w14:ligatures w14:val="standardContextual"/>
    </w:rPr>
  </w:style>
  <w:style w:type="paragraph" w:styleId="ac">
    <w:name w:val="footer"/>
    <w:basedOn w:val="a"/>
    <w:link w:val="ad"/>
    <w:uiPriority w:val="99"/>
    <w:unhideWhenUsed/>
    <w:rsid w:val="00DE7265"/>
    <w:pPr>
      <w:tabs>
        <w:tab w:val="center" w:pos="4252"/>
        <w:tab w:val="right" w:pos="8504"/>
      </w:tabs>
      <w:snapToGrid w:val="0"/>
    </w:pPr>
  </w:style>
  <w:style w:type="character" w:customStyle="1" w:styleId="ad">
    <w:name w:val="フッター (文字)"/>
    <w:basedOn w:val="a0"/>
    <w:link w:val="ac"/>
    <w:uiPriority w:val="99"/>
    <w:rsid w:val="00DE7265"/>
    <w:rPr>
      <w14:ligatures w14:val="standardContextua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2</Pages>
  <Words>284</Words>
  <Characters>1623</Characters>
  <Application>Microsoft Office Word</Application>
  <DocSecurity>0</DocSecurity>
  <Lines>13</Lines>
  <Paragraphs>3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Mitsuharu Ueda</dc:creator>
  <cp:keywords/>
  <dc:description/>
  <cp:lastModifiedBy>Mitsuharu Ueda</cp:lastModifiedBy>
  <cp:revision>8</cp:revision>
  <dcterms:created xsi:type="dcterms:W3CDTF">2025-09-20T00:34:00Z</dcterms:created>
  <dcterms:modified xsi:type="dcterms:W3CDTF">2025-09-20T11:50:00Z</dcterms:modified>
</cp:coreProperties>
</file>