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A5A25" w14:textId="14CD269B" w:rsidR="00A45E44" w:rsidRPr="005E6E88" w:rsidRDefault="00A45E44" w:rsidP="00FD3306">
      <w:pPr>
        <w:rPr>
          <w:b/>
          <w:bCs/>
          <w:sz w:val="26"/>
          <w:szCs w:val="26"/>
          <w:lang w:val="en-US" w:eastAsia="en-US"/>
        </w:rPr>
      </w:pPr>
      <w:bookmarkStart w:id="0" w:name="_Toc194608648"/>
      <w:bookmarkStart w:id="1" w:name="_Ref194609201"/>
      <w:bookmarkStart w:id="2" w:name="_Ref194611909"/>
      <w:bookmarkStart w:id="3" w:name="_Ref194416106"/>
      <w:bookmarkStart w:id="4" w:name="_Ref194416129"/>
      <w:bookmarkStart w:id="5" w:name="_Ref194416142"/>
      <w:r w:rsidRPr="005E6E88">
        <w:rPr>
          <w:b/>
          <w:bCs/>
          <w:sz w:val="26"/>
          <w:szCs w:val="26"/>
          <w:lang w:val="en-US" w:eastAsia="en-US"/>
        </w:rPr>
        <w:t xml:space="preserve">Supplementary </w:t>
      </w:r>
      <w:bookmarkEnd w:id="0"/>
      <w:bookmarkEnd w:id="1"/>
      <w:bookmarkEnd w:id="2"/>
      <w:r w:rsidR="005E6E88" w:rsidRPr="005E6E88">
        <w:rPr>
          <w:b/>
          <w:bCs/>
          <w:sz w:val="26"/>
          <w:szCs w:val="26"/>
          <w:lang w:val="en-US" w:eastAsia="en-US"/>
        </w:rPr>
        <w:t>material</w:t>
      </w:r>
    </w:p>
    <w:p w14:paraId="41E07E50" w14:textId="77777777" w:rsidR="00FD3306" w:rsidRPr="005E6E88" w:rsidRDefault="00FD3306" w:rsidP="00FD3306">
      <w:pPr>
        <w:pStyle w:val="Titelberschrift"/>
        <w:rPr>
          <w:noProof/>
          <w:color w:val="auto"/>
          <w:lang w:val="en-US" w:bidi="en-US"/>
        </w:rPr>
      </w:pPr>
      <w:r w:rsidRPr="005E6E88">
        <w:rPr>
          <w:noProof/>
          <w:color w:val="auto"/>
          <w:lang w:val="en-US" w:bidi="en-US"/>
        </w:rPr>
        <w:t>What do people really eat? Consolidating datasets on food consumption as a reference for analyzing dietary recommendations.</w:t>
      </w:r>
    </w:p>
    <w:sdt>
      <w:sdtPr>
        <w:rPr>
          <w:b w:val="0"/>
          <w:bCs w:val="0"/>
          <w:color w:val="auto"/>
          <w:sz w:val="22"/>
          <w:szCs w:val="20"/>
        </w:rPr>
        <w:id w:val="-1363204212"/>
        <w:docPartObj>
          <w:docPartGallery w:val="Table of Contents"/>
          <w:docPartUnique/>
        </w:docPartObj>
      </w:sdtPr>
      <w:sdtEndPr>
        <w:rPr>
          <w:noProof/>
        </w:rPr>
      </w:sdtEndPr>
      <w:sdtContent>
        <w:p w14:paraId="6E706C65" w14:textId="1B243708" w:rsidR="00FD3306" w:rsidRDefault="00FD3306">
          <w:pPr>
            <w:pStyle w:val="TOCHeading"/>
          </w:pPr>
          <w:r w:rsidRPr="005E6E88">
            <w:rPr>
              <w:color w:val="auto"/>
            </w:rPr>
            <w:t>Contents</w:t>
          </w:r>
        </w:p>
        <w:p w14:paraId="2F300317" w14:textId="27A00F6A" w:rsidR="005E6E88" w:rsidRDefault="005E6E88">
          <w:pPr>
            <w:pStyle w:val="TOC1"/>
            <w:rPr>
              <w:rFonts w:asciiTheme="minorHAnsi" w:eastAsiaTheme="minorEastAsia" w:hAnsiTheme="minorHAnsi" w:cstheme="minorBidi"/>
              <w:b w:val="0"/>
              <w:noProof/>
              <w:szCs w:val="22"/>
              <w:lang w:val="en-US" w:eastAsia="en-US"/>
            </w:rPr>
          </w:pPr>
          <w:r>
            <w:rPr>
              <w:b w:val="0"/>
              <w:color w:val="008CD2"/>
            </w:rPr>
            <w:fldChar w:fldCharType="begin"/>
          </w:r>
          <w:r>
            <w:rPr>
              <w:b w:val="0"/>
              <w:color w:val="008CD2"/>
            </w:rPr>
            <w:instrText xml:space="preserve"> TOC \o "1-3" \h \z \u </w:instrText>
          </w:r>
          <w:r>
            <w:rPr>
              <w:b w:val="0"/>
              <w:color w:val="008CD2"/>
            </w:rPr>
            <w:fldChar w:fldCharType="separate"/>
          </w:r>
          <w:hyperlink w:anchor="_Toc203763112" w:history="1">
            <w:r w:rsidRPr="006329DB">
              <w:rPr>
                <w:rStyle w:val="Hyperlink"/>
                <w:noProof/>
                <w:lang w:val="en-US" w:eastAsia="en-US"/>
              </w:rPr>
              <w:t>S1.</w:t>
            </w:r>
            <w:r>
              <w:rPr>
                <w:rFonts w:asciiTheme="minorHAnsi" w:eastAsiaTheme="minorEastAsia" w:hAnsiTheme="minorHAnsi" w:cstheme="minorBidi"/>
                <w:b w:val="0"/>
                <w:noProof/>
                <w:szCs w:val="22"/>
                <w:lang w:val="en-US" w:eastAsia="en-US"/>
              </w:rPr>
              <w:tab/>
            </w:r>
            <w:r w:rsidRPr="006329DB">
              <w:rPr>
                <w:rStyle w:val="Hyperlink"/>
                <w:noProof/>
                <w:lang w:val="en-US" w:eastAsia="en-US"/>
              </w:rPr>
              <w:t>Assessment of status quo intake</w:t>
            </w:r>
            <w:r>
              <w:rPr>
                <w:noProof/>
                <w:webHidden/>
              </w:rPr>
              <w:tab/>
            </w:r>
            <w:r>
              <w:rPr>
                <w:noProof/>
                <w:webHidden/>
              </w:rPr>
              <w:fldChar w:fldCharType="begin"/>
            </w:r>
            <w:r>
              <w:rPr>
                <w:noProof/>
                <w:webHidden/>
              </w:rPr>
              <w:instrText xml:space="preserve"> PAGEREF _Toc203763112 \h </w:instrText>
            </w:r>
            <w:r>
              <w:rPr>
                <w:noProof/>
                <w:webHidden/>
              </w:rPr>
            </w:r>
            <w:r>
              <w:rPr>
                <w:noProof/>
                <w:webHidden/>
              </w:rPr>
              <w:fldChar w:fldCharType="separate"/>
            </w:r>
            <w:r>
              <w:rPr>
                <w:noProof/>
                <w:webHidden/>
              </w:rPr>
              <w:t>2</w:t>
            </w:r>
            <w:r>
              <w:rPr>
                <w:noProof/>
                <w:webHidden/>
              </w:rPr>
              <w:fldChar w:fldCharType="end"/>
            </w:r>
          </w:hyperlink>
        </w:p>
        <w:p w14:paraId="5FF35209" w14:textId="5CD3E15B" w:rsidR="005E6E88" w:rsidRDefault="00160955">
          <w:pPr>
            <w:pStyle w:val="TOC1"/>
            <w:rPr>
              <w:rFonts w:asciiTheme="minorHAnsi" w:eastAsiaTheme="minorEastAsia" w:hAnsiTheme="minorHAnsi" w:cstheme="minorBidi"/>
              <w:b w:val="0"/>
              <w:noProof/>
              <w:szCs w:val="22"/>
              <w:lang w:val="en-US" w:eastAsia="en-US"/>
            </w:rPr>
          </w:pPr>
          <w:hyperlink w:anchor="_Toc203763113" w:history="1">
            <w:r w:rsidR="005E6E88" w:rsidRPr="006329DB">
              <w:rPr>
                <w:rStyle w:val="Hyperlink"/>
                <w:noProof/>
                <w:lang w:val="en-US" w:eastAsia="en-US"/>
              </w:rPr>
              <w:t>S2.</w:t>
            </w:r>
            <w:r w:rsidR="005E6E88">
              <w:rPr>
                <w:rFonts w:asciiTheme="minorHAnsi" w:eastAsiaTheme="minorEastAsia" w:hAnsiTheme="minorHAnsi" w:cstheme="minorBidi"/>
                <w:b w:val="0"/>
                <w:noProof/>
                <w:szCs w:val="22"/>
                <w:lang w:val="en-US" w:eastAsia="en-US"/>
              </w:rPr>
              <w:tab/>
            </w:r>
            <w:r w:rsidR="005E6E88" w:rsidRPr="006329DB">
              <w:rPr>
                <w:rStyle w:val="Hyperlink"/>
                <w:noProof/>
                <w:lang w:val="en-US" w:eastAsia="en-US"/>
              </w:rPr>
              <w:t>The status quo intake as the reference for dietary recommendations</w:t>
            </w:r>
            <w:r w:rsidR="005E6E88">
              <w:rPr>
                <w:noProof/>
                <w:webHidden/>
              </w:rPr>
              <w:tab/>
            </w:r>
            <w:r w:rsidR="005E6E88">
              <w:rPr>
                <w:noProof/>
                <w:webHidden/>
              </w:rPr>
              <w:fldChar w:fldCharType="begin"/>
            </w:r>
            <w:r w:rsidR="005E6E88">
              <w:rPr>
                <w:noProof/>
                <w:webHidden/>
              </w:rPr>
              <w:instrText xml:space="preserve"> PAGEREF _Toc203763113 \h </w:instrText>
            </w:r>
            <w:r w:rsidR="005E6E88">
              <w:rPr>
                <w:noProof/>
                <w:webHidden/>
              </w:rPr>
            </w:r>
            <w:r w:rsidR="005E6E88">
              <w:rPr>
                <w:noProof/>
                <w:webHidden/>
              </w:rPr>
              <w:fldChar w:fldCharType="separate"/>
            </w:r>
            <w:r w:rsidR="005E6E88">
              <w:rPr>
                <w:noProof/>
                <w:webHidden/>
              </w:rPr>
              <w:t>3</w:t>
            </w:r>
            <w:r w:rsidR="005E6E88">
              <w:rPr>
                <w:noProof/>
                <w:webHidden/>
              </w:rPr>
              <w:fldChar w:fldCharType="end"/>
            </w:r>
          </w:hyperlink>
        </w:p>
        <w:p w14:paraId="149F0474" w14:textId="64A652CF" w:rsidR="005E6E88" w:rsidRDefault="00160955">
          <w:pPr>
            <w:pStyle w:val="TOC2"/>
            <w:rPr>
              <w:rFonts w:asciiTheme="minorHAnsi" w:eastAsiaTheme="minorEastAsia" w:hAnsiTheme="minorHAnsi" w:cstheme="minorBidi"/>
              <w:noProof/>
              <w:color w:val="auto"/>
              <w:szCs w:val="22"/>
              <w:lang w:val="en-US" w:eastAsia="en-US"/>
            </w:rPr>
          </w:pPr>
          <w:hyperlink w:anchor="_Toc203763114" w:history="1">
            <w:r w:rsidR="005E6E88" w:rsidRPr="006329DB">
              <w:rPr>
                <w:rStyle w:val="Hyperlink"/>
                <w:noProof/>
              </w:rPr>
              <w:t>S2.1</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fruit</w:t>
            </w:r>
            <w:r w:rsidR="005E6E88">
              <w:rPr>
                <w:noProof/>
                <w:webHidden/>
              </w:rPr>
              <w:tab/>
            </w:r>
            <w:r w:rsidR="005E6E88">
              <w:rPr>
                <w:noProof/>
                <w:webHidden/>
              </w:rPr>
              <w:fldChar w:fldCharType="begin"/>
            </w:r>
            <w:r w:rsidR="005E6E88">
              <w:rPr>
                <w:noProof/>
                <w:webHidden/>
              </w:rPr>
              <w:instrText xml:space="preserve"> PAGEREF _Toc203763114 \h </w:instrText>
            </w:r>
            <w:r w:rsidR="005E6E88">
              <w:rPr>
                <w:noProof/>
                <w:webHidden/>
              </w:rPr>
            </w:r>
            <w:r w:rsidR="005E6E88">
              <w:rPr>
                <w:noProof/>
                <w:webHidden/>
              </w:rPr>
              <w:fldChar w:fldCharType="separate"/>
            </w:r>
            <w:r w:rsidR="005E6E88">
              <w:rPr>
                <w:noProof/>
                <w:webHidden/>
              </w:rPr>
              <w:t>3</w:t>
            </w:r>
            <w:r w:rsidR="005E6E88">
              <w:rPr>
                <w:noProof/>
                <w:webHidden/>
              </w:rPr>
              <w:fldChar w:fldCharType="end"/>
            </w:r>
          </w:hyperlink>
        </w:p>
        <w:p w14:paraId="337AA02C" w14:textId="078EAC22" w:rsidR="005E6E88" w:rsidRDefault="00160955">
          <w:pPr>
            <w:pStyle w:val="TOC2"/>
            <w:rPr>
              <w:rFonts w:asciiTheme="minorHAnsi" w:eastAsiaTheme="minorEastAsia" w:hAnsiTheme="minorHAnsi" w:cstheme="minorBidi"/>
              <w:noProof/>
              <w:color w:val="auto"/>
              <w:szCs w:val="22"/>
              <w:lang w:val="en-US" w:eastAsia="en-US"/>
            </w:rPr>
          </w:pPr>
          <w:hyperlink w:anchor="_Toc203763115" w:history="1">
            <w:r w:rsidR="005E6E88" w:rsidRPr="006329DB">
              <w:rPr>
                <w:rStyle w:val="Hyperlink"/>
                <w:noProof/>
              </w:rPr>
              <w:t>S2.2</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vegetables</w:t>
            </w:r>
            <w:r w:rsidR="005E6E88">
              <w:rPr>
                <w:noProof/>
                <w:webHidden/>
              </w:rPr>
              <w:tab/>
            </w:r>
            <w:r w:rsidR="005E6E88">
              <w:rPr>
                <w:noProof/>
                <w:webHidden/>
              </w:rPr>
              <w:fldChar w:fldCharType="begin"/>
            </w:r>
            <w:r w:rsidR="005E6E88">
              <w:rPr>
                <w:noProof/>
                <w:webHidden/>
              </w:rPr>
              <w:instrText xml:space="preserve"> PAGEREF _Toc203763115 \h </w:instrText>
            </w:r>
            <w:r w:rsidR="005E6E88">
              <w:rPr>
                <w:noProof/>
                <w:webHidden/>
              </w:rPr>
            </w:r>
            <w:r w:rsidR="005E6E88">
              <w:rPr>
                <w:noProof/>
                <w:webHidden/>
              </w:rPr>
              <w:fldChar w:fldCharType="separate"/>
            </w:r>
            <w:r w:rsidR="005E6E88">
              <w:rPr>
                <w:noProof/>
                <w:webHidden/>
              </w:rPr>
              <w:t>4</w:t>
            </w:r>
            <w:r w:rsidR="005E6E88">
              <w:rPr>
                <w:noProof/>
                <w:webHidden/>
              </w:rPr>
              <w:fldChar w:fldCharType="end"/>
            </w:r>
          </w:hyperlink>
        </w:p>
        <w:p w14:paraId="025F7D26" w14:textId="4CF3FA39" w:rsidR="005E6E88" w:rsidRDefault="00160955">
          <w:pPr>
            <w:pStyle w:val="TOC2"/>
            <w:rPr>
              <w:rFonts w:asciiTheme="minorHAnsi" w:eastAsiaTheme="minorEastAsia" w:hAnsiTheme="minorHAnsi" w:cstheme="minorBidi"/>
              <w:noProof/>
              <w:color w:val="auto"/>
              <w:szCs w:val="22"/>
              <w:lang w:val="en-US" w:eastAsia="en-US"/>
            </w:rPr>
          </w:pPr>
          <w:hyperlink w:anchor="_Toc203763116" w:history="1">
            <w:r w:rsidR="005E6E88" w:rsidRPr="006329DB">
              <w:rPr>
                <w:rStyle w:val="Hyperlink"/>
                <w:noProof/>
              </w:rPr>
              <w:t>S2.3</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legumes</w:t>
            </w:r>
            <w:r w:rsidR="005E6E88">
              <w:rPr>
                <w:noProof/>
                <w:webHidden/>
              </w:rPr>
              <w:tab/>
            </w:r>
            <w:r w:rsidR="005E6E88">
              <w:rPr>
                <w:noProof/>
                <w:webHidden/>
              </w:rPr>
              <w:fldChar w:fldCharType="begin"/>
            </w:r>
            <w:r w:rsidR="005E6E88">
              <w:rPr>
                <w:noProof/>
                <w:webHidden/>
              </w:rPr>
              <w:instrText xml:space="preserve"> PAGEREF _Toc203763116 \h </w:instrText>
            </w:r>
            <w:r w:rsidR="005E6E88">
              <w:rPr>
                <w:noProof/>
                <w:webHidden/>
              </w:rPr>
            </w:r>
            <w:r w:rsidR="005E6E88">
              <w:rPr>
                <w:noProof/>
                <w:webHidden/>
              </w:rPr>
              <w:fldChar w:fldCharType="separate"/>
            </w:r>
            <w:r w:rsidR="005E6E88">
              <w:rPr>
                <w:noProof/>
                <w:webHidden/>
              </w:rPr>
              <w:t>5</w:t>
            </w:r>
            <w:r w:rsidR="005E6E88">
              <w:rPr>
                <w:noProof/>
                <w:webHidden/>
              </w:rPr>
              <w:fldChar w:fldCharType="end"/>
            </w:r>
          </w:hyperlink>
        </w:p>
        <w:p w14:paraId="2450C105" w14:textId="30623DEC" w:rsidR="005E6E88" w:rsidRDefault="00160955">
          <w:pPr>
            <w:pStyle w:val="TOC2"/>
            <w:rPr>
              <w:rFonts w:asciiTheme="minorHAnsi" w:eastAsiaTheme="minorEastAsia" w:hAnsiTheme="minorHAnsi" w:cstheme="minorBidi"/>
              <w:noProof/>
              <w:color w:val="auto"/>
              <w:szCs w:val="22"/>
              <w:lang w:val="en-US" w:eastAsia="en-US"/>
            </w:rPr>
          </w:pPr>
          <w:hyperlink w:anchor="_Toc203763117" w:history="1">
            <w:r w:rsidR="005E6E88" w:rsidRPr="006329DB">
              <w:rPr>
                <w:rStyle w:val="Hyperlink"/>
                <w:noProof/>
              </w:rPr>
              <w:t>S2.4</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nuts</w:t>
            </w:r>
            <w:r w:rsidR="005E6E88">
              <w:rPr>
                <w:noProof/>
                <w:webHidden/>
              </w:rPr>
              <w:tab/>
            </w:r>
            <w:r w:rsidR="005E6E88">
              <w:rPr>
                <w:noProof/>
                <w:webHidden/>
              </w:rPr>
              <w:fldChar w:fldCharType="begin"/>
            </w:r>
            <w:r w:rsidR="005E6E88">
              <w:rPr>
                <w:noProof/>
                <w:webHidden/>
              </w:rPr>
              <w:instrText xml:space="preserve"> PAGEREF _Toc203763117 \h </w:instrText>
            </w:r>
            <w:r w:rsidR="005E6E88">
              <w:rPr>
                <w:noProof/>
                <w:webHidden/>
              </w:rPr>
            </w:r>
            <w:r w:rsidR="005E6E88">
              <w:rPr>
                <w:noProof/>
                <w:webHidden/>
              </w:rPr>
              <w:fldChar w:fldCharType="separate"/>
            </w:r>
            <w:r w:rsidR="005E6E88">
              <w:rPr>
                <w:noProof/>
                <w:webHidden/>
              </w:rPr>
              <w:t>5</w:t>
            </w:r>
            <w:r w:rsidR="005E6E88">
              <w:rPr>
                <w:noProof/>
                <w:webHidden/>
              </w:rPr>
              <w:fldChar w:fldCharType="end"/>
            </w:r>
          </w:hyperlink>
        </w:p>
        <w:p w14:paraId="4909A8B9" w14:textId="3AFBB02D" w:rsidR="005E6E88" w:rsidRDefault="00160955">
          <w:pPr>
            <w:pStyle w:val="TOC2"/>
            <w:rPr>
              <w:rFonts w:asciiTheme="minorHAnsi" w:eastAsiaTheme="minorEastAsia" w:hAnsiTheme="minorHAnsi" w:cstheme="minorBidi"/>
              <w:noProof/>
              <w:color w:val="auto"/>
              <w:szCs w:val="22"/>
              <w:lang w:val="en-US" w:eastAsia="en-US"/>
            </w:rPr>
          </w:pPr>
          <w:hyperlink w:anchor="_Toc203763118" w:history="1">
            <w:r w:rsidR="005E6E88" w:rsidRPr="006329DB">
              <w:rPr>
                <w:rStyle w:val="Hyperlink"/>
                <w:noProof/>
              </w:rPr>
              <w:t>S2.5</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cereals</w:t>
            </w:r>
            <w:r w:rsidR="005E6E88">
              <w:rPr>
                <w:noProof/>
                <w:webHidden/>
              </w:rPr>
              <w:tab/>
            </w:r>
            <w:r w:rsidR="005E6E88">
              <w:rPr>
                <w:noProof/>
                <w:webHidden/>
              </w:rPr>
              <w:fldChar w:fldCharType="begin"/>
            </w:r>
            <w:r w:rsidR="005E6E88">
              <w:rPr>
                <w:noProof/>
                <w:webHidden/>
              </w:rPr>
              <w:instrText xml:space="preserve"> PAGEREF _Toc203763118 \h </w:instrText>
            </w:r>
            <w:r w:rsidR="005E6E88">
              <w:rPr>
                <w:noProof/>
                <w:webHidden/>
              </w:rPr>
            </w:r>
            <w:r w:rsidR="005E6E88">
              <w:rPr>
                <w:noProof/>
                <w:webHidden/>
              </w:rPr>
              <w:fldChar w:fldCharType="separate"/>
            </w:r>
            <w:r w:rsidR="005E6E88">
              <w:rPr>
                <w:noProof/>
                <w:webHidden/>
              </w:rPr>
              <w:t>6</w:t>
            </w:r>
            <w:r w:rsidR="005E6E88">
              <w:rPr>
                <w:noProof/>
                <w:webHidden/>
              </w:rPr>
              <w:fldChar w:fldCharType="end"/>
            </w:r>
          </w:hyperlink>
        </w:p>
        <w:p w14:paraId="129A8BC4" w14:textId="22DD5490" w:rsidR="005E6E88" w:rsidRDefault="00160955">
          <w:pPr>
            <w:pStyle w:val="TOC2"/>
            <w:rPr>
              <w:rFonts w:asciiTheme="minorHAnsi" w:eastAsiaTheme="minorEastAsia" w:hAnsiTheme="minorHAnsi" w:cstheme="minorBidi"/>
              <w:noProof/>
              <w:color w:val="auto"/>
              <w:szCs w:val="22"/>
              <w:lang w:val="en-US" w:eastAsia="en-US"/>
            </w:rPr>
          </w:pPr>
          <w:hyperlink w:anchor="_Toc203763119" w:history="1">
            <w:r w:rsidR="005E6E88" w:rsidRPr="006329DB">
              <w:rPr>
                <w:rStyle w:val="Hyperlink"/>
                <w:noProof/>
              </w:rPr>
              <w:t>S2.6</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wholegrain</w:t>
            </w:r>
            <w:r w:rsidR="005E6E88">
              <w:rPr>
                <w:noProof/>
                <w:webHidden/>
              </w:rPr>
              <w:tab/>
            </w:r>
            <w:r w:rsidR="005E6E88">
              <w:rPr>
                <w:noProof/>
                <w:webHidden/>
              </w:rPr>
              <w:fldChar w:fldCharType="begin"/>
            </w:r>
            <w:r w:rsidR="005E6E88">
              <w:rPr>
                <w:noProof/>
                <w:webHidden/>
              </w:rPr>
              <w:instrText xml:space="preserve"> PAGEREF _Toc203763119 \h </w:instrText>
            </w:r>
            <w:r w:rsidR="005E6E88">
              <w:rPr>
                <w:noProof/>
                <w:webHidden/>
              </w:rPr>
            </w:r>
            <w:r w:rsidR="005E6E88">
              <w:rPr>
                <w:noProof/>
                <w:webHidden/>
              </w:rPr>
              <w:fldChar w:fldCharType="separate"/>
            </w:r>
            <w:r w:rsidR="005E6E88">
              <w:rPr>
                <w:noProof/>
                <w:webHidden/>
              </w:rPr>
              <w:t>7</w:t>
            </w:r>
            <w:r w:rsidR="005E6E88">
              <w:rPr>
                <w:noProof/>
                <w:webHidden/>
              </w:rPr>
              <w:fldChar w:fldCharType="end"/>
            </w:r>
          </w:hyperlink>
        </w:p>
        <w:p w14:paraId="4DF0876A" w14:textId="61308EB8" w:rsidR="005E6E88" w:rsidRDefault="00160955">
          <w:pPr>
            <w:pStyle w:val="TOC2"/>
            <w:rPr>
              <w:rFonts w:asciiTheme="minorHAnsi" w:eastAsiaTheme="minorEastAsia" w:hAnsiTheme="minorHAnsi" w:cstheme="minorBidi"/>
              <w:noProof/>
              <w:color w:val="auto"/>
              <w:szCs w:val="22"/>
              <w:lang w:val="en-US" w:eastAsia="en-US"/>
            </w:rPr>
          </w:pPr>
          <w:hyperlink w:anchor="_Toc203763120" w:history="1">
            <w:r w:rsidR="005E6E88" w:rsidRPr="006329DB">
              <w:rPr>
                <w:rStyle w:val="Hyperlink"/>
                <w:noProof/>
              </w:rPr>
              <w:t>S2.7</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plant oils</w:t>
            </w:r>
            <w:r w:rsidR="005E6E88">
              <w:rPr>
                <w:noProof/>
                <w:webHidden/>
              </w:rPr>
              <w:tab/>
            </w:r>
            <w:r w:rsidR="005E6E88">
              <w:rPr>
                <w:noProof/>
                <w:webHidden/>
              </w:rPr>
              <w:fldChar w:fldCharType="begin"/>
            </w:r>
            <w:r w:rsidR="005E6E88">
              <w:rPr>
                <w:noProof/>
                <w:webHidden/>
              </w:rPr>
              <w:instrText xml:space="preserve"> PAGEREF _Toc203763120 \h </w:instrText>
            </w:r>
            <w:r w:rsidR="005E6E88">
              <w:rPr>
                <w:noProof/>
                <w:webHidden/>
              </w:rPr>
            </w:r>
            <w:r w:rsidR="005E6E88">
              <w:rPr>
                <w:noProof/>
                <w:webHidden/>
              </w:rPr>
              <w:fldChar w:fldCharType="separate"/>
            </w:r>
            <w:r w:rsidR="005E6E88">
              <w:rPr>
                <w:noProof/>
                <w:webHidden/>
              </w:rPr>
              <w:t>7</w:t>
            </w:r>
            <w:r w:rsidR="005E6E88">
              <w:rPr>
                <w:noProof/>
                <w:webHidden/>
              </w:rPr>
              <w:fldChar w:fldCharType="end"/>
            </w:r>
          </w:hyperlink>
        </w:p>
        <w:p w14:paraId="1F87C39A" w14:textId="270FDCDA" w:rsidR="005E6E88" w:rsidRDefault="00160955">
          <w:pPr>
            <w:pStyle w:val="TOC2"/>
            <w:rPr>
              <w:rFonts w:asciiTheme="minorHAnsi" w:eastAsiaTheme="minorEastAsia" w:hAnsiTheme="minorHAnsi" w:cstheme="minorBidi"/>
              <w:noProof/>
              <w:color w:val="auto"/>
              <w:szCs w:val="22"/>
              <w:lang w:val="en-US" w:eastAsia="en-US"/>
            </w:rPr>
          </w:pPr>
          <w:hyperlink w:anchor="_Toc203763121" w:history="1">
            <w:r w:rsidR="005E6E88" w:rsidRPr="006329DB">
              <w:rPr>
                <w:rStyle w:val="Hyperlink"/>
                <w:noProof/>
              </w:rPr>
              <w:t>S2.8</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spreadable fats</w:t>
            </w:r>
            <w:r w:rsidR="005E6E88">
              <w:rPr>
                <w:noProof/>
                <w:webHidden/>
              </w:rPr>
              <w:tab/>
            </w:r>
            <w:r w:rsidR="005E6E88">
              <w:rPr>
                <w:noProof/>
                <w:webHidden/>
              </w:rPr>
              <w:fldChar w:fldCharType="begin"/>
            </w:r>
            <w:r w:rsidR="005E6E88">
              <w:rPr>
                <w:noProof/>
                <w:webHidden/>
              </w:rPr>
              <w:instrText xml:space="preserve"> PAGEREF _Toc203763121 \h </w:instrText>
            </w:r>
            <w:r w:rsidR="005E6E88">
              <w:rPr>
                <w:noProof/>
                <w:webHidden/>
              </w:rPr>
            </w:r>
            <w:r w:rsidR="005E6E88">
              <w:rPr>
                <w:noProof/>
                <w:webHidden/>
              </w:rPr>
              <w:fldChar w:fldCharType="separate"/>
            </w:r>
            <w:r w:rsidR="005E6E88">
              <w:rPr>
                <w:noProof/>
                <w:webHidden/>
              </w:rPr>
              <w:t>8</w:t>
            </w:r>
            <w:r w:rsidR="005E6E88">
              <w:rPr>
                <w:noProof/>
                <w:webHidden/>
              </w:rPr>
              <w:fldChar w:fldCharType="end"/>
            </w:r>
          </w:hyperlink>
        </w:p>
        <w:p w14:paraId="3667B979" w14:textId="29E4652D" w:rsidR="005E6E88" w:rsidRDefault="00160955">
          <w:pPr>
            <w:pStyle w:val="TOC2"/>
            <w:rPr>
              <w:rFonts w:asciiTheme="minorHAnsi" w:eastAsiaTheme="minorEastAsia" w:hAnsiTheme="minorHAnsi" w:cstheme="minorBidi"/>
              <w:noProof/>
              <w:color w:val="auto"/>
              <w:szCs w:val="22"/>
              <w:lang w:val="en-US" w:eastAsia="en-US"/>
            </w:rPr>
          </w:pPr>
          <w:hyperlink w:anchor="_Toc203763122" w:history="1">
            <w:r w:rsidR="005E6E88" w:rsidRPr="006329DB">
              <w:rPr>
                <w:rStyle w:val="Hyperlink"/>
                <w:noProof/>
              </w:rPr>
              <w:t>S2.9</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milk equivalents</w:t>
            </w:r>
            <w:r w:rsidR="005E6E88">
              <w:rPr>
                <w:noProof/>
                <w:webHidden/>
              </w:rPr>
              <w:tab/>
            </w:r>
            <w:r w:rsidR="005E6E88">
              <w:rPr>
                <w:noProof/>
                <w:webHidden/>
              </w:rPr>
              <w:fldChar w:fldCharType="begin"/>
            </w:r>
            <w:r w:rsidR="005E6E88">
              <w:rPr>
                <w:noProof/>
                <w:webHidden/>
              </w:rPr>
              <w:instrText xml:space="preserve"> PAGEREF _Toc203763122 \h </w:instrText>
            </w:r>
            <w:r w:rsidR="005E6E88">
              <w:rPr>
                <w:noProof/>
                <w:webHidden/>
              </w:rPr>
            </w:r>
            <w:r w:rsidR="005E6E88">
              <w:rPr>
                <w:noProof/>
                <w:webHidden/>
              </w:rPr>
              <w:fldChar w:fldCharType="separate"/>
            </w:r>
            <w:r w:rsidR="005E6E88">
              <w:rPr>
                <w:noProof/>
                <w:webHidden/>
              </w:rPr>
              <w:t>9</w:t>
            </w:r>
            <w:r w:rsidR="005E6E88">
              <w:rPr>
                <w:noProof/>
                <w:webHidden/>
              </w:rPr>
              <w:fldChar w:fldCharType="end"/>
            </w:r>
          </w:hyperlink>
        </w:p>
        <w:p w14:paraId="44431838" w14:textId="43C5CBD3" w:rsidR="005E6E88" w:rsidRDefault="00160955">
          <w:pPr>
            <w:pStyle w:val="TOC2"/>
            <w:rPr>
              <w:rFonts w:asciiTheme="minorHAnsi" w:eastAsiaTheme="minorEastAsia" w:hAnsiTheme="minorHAnsi" w:cstheme="minorBidi"/>
              <w:noProof/>
              <w:color w:val="auto"/>
              <w:szCs w:val="22"/>
              <w:lang w:val="en-US" w:eastAsia="en-US"/>
            </w:rPr>
          </w:pPr>
          <w:hyperlink w:anchor="_Toc203763123" w:history="1">
            <w:r w:rsidR="005E6E88" w:rsidRPr="006329DB">
              <w:rPr>
                <w:rStyle w:val="Hyperlink"/>
                <w:noProof/>
              </w:rPr>
              <w:t>S2.10</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potatoes</w:t>
            </w:r>
            <w:r w:rsidR="005E6E88">
              <w:rPr>
                <w:noProof/>
                <w:webHidden/>
              </w:rPr>
              <w:tab/>
            </w:r>
            <w:r w:rsidR="005E6E88">
              <w:rPr>
                <w:noProof/>
                <w:webHidden/>
              </w:rPr>
              <w:fldChar w:fldCharType="begin"/>
            </w:r>
            <w:r w:rsidR="005E6E88">
              <w:rPr>
                <w:noProof/>
                <w:webHidden/>
              </w:rPr>
              <w:instrText xml:space="preserve"> PAGEREF _Toc203763123 \h </w:instrText>
            </w:r>
            <w:r w:rsidR="005E6E88">
              <w:rPr>
                <w:noProof/>
                <w:webHidden/>
              </w:rPr>
            </w:r>
            <w:r w:rsidR="005E6E88">
              <w:rPr>
                <w:noProof/>
                <w:webHidden/>
              </w:rPr>
              <w:fldChar w:fldCharType="separate"/>
            </w:r>
            <w:r w:rsidR="005E6E88">
              <w:rPr>
                <w:noProof/>
                <w:webHidden/>
              </w:rPr>
              <w:t>10</w:t>
            </w:r>
            <w:r w:rsidR="005E6E88">
              <w:rPr>
                <w:noProof/>
                <w:webHidden/>
              </w:rPr>
              <w:fldChar w:fldCharType="end"/>
            </w:r>
          </w:hyperlink>
        </w:p>
        <w:p w14:paraId="5D04FE33" w14:textId="1DA86AFD" w:rsidR="005E6E88" w:rsidRDefault="00160955">
          <w:pPr>
            <w:pStyle w:val="TOC2"/>
            <w:rPr>
              <w:rFonts w:asciiTheme="minorHAnsi" w:eastAsiaTheme="minorEastAsia" w:hAnsiTheme="minorHAnsi" w:cstheme="minorBidi"/>
              <w:noProof/>
              <w:color w:val="auto"/>
              <w:szCs w:val="22"/>
              <w:lang w:val="en-US" w:eastAsia="en-US"/>
            </w:rPr>
          </w:pPr>
          <w:hyperlink w:anchor="_Toc203763124" w:history="1">
            <w:r w:rsidR="005E6E88" w:rsidRPr="006329DB">
              <w:rPr>
                <w:rStyle w:val="Hyperlink"/>
                <w:noProof/>
              </w:rPr>
              <w:t>S2.11</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eggs</w:t>
            </w:r>
            <w:r w:rsidR="005E6E88">
              <w:rPr>
                <w:noProof/>
                <w:webHidden/>
              </w:rPr>
              <w:tab/>
            </w:r>
            <w:r w:rsidR="005E6E88">
              <w:rPr>
                <w:noProof/>
                <w:webHidden/>
              </w:rPr>
              <w:fldChar w:fldCharType="begin"/>
            </w:r>
            <w:r w:rsidR="005E6E88">
              <w:rPr>
                <w:noProof/>
                <w:webHidden/>
              </w:rPr>
              <w:instrText xml:space="preserve"> PAGEREF _Toc203763124 \h </w:instrText>
            </w:r>
            <w:r w:rsidR="005E6E88">
              <w:rPr>
                <w:noProof/>
                <w:webHidden/>
              </w:rPr>
            </w:r>
            <w:r w:rsidR="005E6E88">
              <w:rPr>
                <w:noProof/>
                <w:webHidden/>
              </w:rPr>
              <w:fldChar w:fldCharType="separate"/>
            </w:r>
            <w:r w:rsidR="005E6E88">
              <w:rPr>
                <w:noProof/>
                <w:webHidden/>
              </w:rPr>
              <w:t>10</w:t>
            </w:r>
            <w:r w:rsidR="005E6E88">
              <w:rPr>
                <w:noProof/>
                <w:webHidden/>
              </w:rPr>
              <w:fldChar w:fldCharType="end"/>
            </w:r>
          </w:hyperlink>
        </w:p>
        <w:p w14:paraId="2398CCE9" w14:textId="386D2663" w:rsidR="005E6E88" w:rsidRDefault="00160955">
          <w:pPr>
            <w:pStyle w:val="TOC2"/>
            <w:rPr>
              <w:rFonts w:asciiTheme="minorHAnsi" w:eastAsiaTheme="minorEastAsia" w:hAnsiTheme="minorHAnsi" w:cstheme="minorBidi"/>
              <w:noProof/>
              <w:color w:val="auto"/>
              <w:szCs w:val="22"/>
              <w:lang w:val="en-US" w:eastAsia="en-US"/>
            </w:rPr>
          </w:pPr>
          <w:hyperlink w:anchor="_Toc203763125" w:history="1">
            <w:r w:rsidR="005E6E88" w:rsidRPr="006329DB">
              <w:rPr>
                <w:rStyle w:val="Hyperlink"/>
                <w:noProof/>
              </w:rPr>
              <w:t>S2.12</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fish</w:t>
            </w:r>
            <w:r w:rsidR="005E6E88">
              <w:rPr>
                <w:noProof/>
                <w:webHidden/>
              </w:rPr>
              <w:tab/>
            </w:r>
            <w:r w:rsidR="005E6E88">
              <w:rPr>
                <w:noProof/>
                <w:webHidden/>
              </w:rPr>
              <w:fldChar w:fldCharType="begin"/>
            </w:r>
            <w:r w:rsidR="005E6E88">
              <w:rPr>
                <w:noProof/>
                <w:webHidden/>
              </w:rPr>
              <w:instrText xml:space="preserve"> PAGEREF _Toc203763125 \h </w:instrText>
            </w:r>
            <w:r w:rsidR="005E6E88">
              <w:rPr>
                <w:noProof/>
                <w:webHidden/>
              </w:rPr>
            </w:r>
            <w:r w:rsidR="005E6E88">
              <w:rPr>
                <w:noProof/>
                <w:webHidden/>
              </w:rPr>
              <w:fldChar w:fldCharType="separate"/>
            </w:r>
            <w:r w:rsidR="005E6E88">
              <w:rPr>
                <w:noProof/>
                <w:webHidden/>
              </w:rPr>
              <w:t>11</w:t>
            </w:r>
            <w:r w:rsidR="005E6E88">
              <w:rPr>
                <w:noProof/>
                <w:webHidden/>
              </w:rPr>
              <w:fldChar w:fldCharType="end"/>
            </w:r>
          </w:hyperlink>
        </w:p>
        <w:p w14:paraId="37F9CD14" w14:textId="400D3327" w:rsidR="005E6E88" w:rsidRDefault="00160955">
          <w:pPr>
            <w:pStyle w:val="TOC2"/>
            <w:rPr>
              <w:rFonts w:asciiTheme="minorHAnsi" w:eastAsiaTheme="minorEastAsia" w:hAnsiTheme="minorHAnsi" w:cstheme="minorBidi"/>
              <w:noProof/>
              <w:color w:val="auto"/>
              <w:szCs w:val="22"/>
              <w:lang w:val="en-US" w:eastAsia="en-US"/>
            </w:rPr>
          </w:pPr>
          <w:hyperlink w:anchor="_Toc203763126" w:history="1">
            <w:r w:rsidR="005E6E88" w:rsidRPr="006329DB">
              <w:rPr>
                <w:rStyle w:val="Hyperlink"/>
                <w:noProof/>
              </w:rPr>
              <w:t>S2.13</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poultry</w:t>
            </w:r>
            <w:r w:rsidR="005E6E88">
              <w:rPr>
                <w:noProof/>
                <w:webHidden/>
              </w:rPr>
              <w:tab/>
            </w:r>
            <w:r w:rsidR="005E6E88">
              <w:rPr>
                <w:noProof/>
                <w:webHidden/>
              </w:rPr>
              <w:fldChar w:fldCharType="begin"/>
            </w:r>
            <w:r w:rsidR="005E6E88">
              <w:rPr>
                <w:noProof/>
                <w:webHidden/>
              </w:rPr>
              <w:instrText xml:space="preserve"> PAGEREF _Toc203763126 \h </w:instrText>
            </w:r>
            <w:r w:rsidR="005E6E88">
              <w:rPr>
                <w:noProof/>
                <w:webHidden/>
              </w:rPr>
            </w:r>
            <w:r w:rsidR="005E6E88">
              <w:rPr>
                <w:noProof/>
                <w:webHidden/>
              </w:rPr>
              <w:fldChar w:fldCharType="separate"/>
            </w:r>
            <w:r w:rsidR="005E6E88">
              <w:rPr>
                <w:noProof/>
                <w:webHidden/>
              </w:rPr>
              <w:t>12</w:t>
            </w:r>
            <w:r w:rsidR="005E6E88">
              <w:rPr>
                <w:noProof/>
                <w:webHidden/>
              </w:rPr>
              <w:fldChar w:fldCharType="end"/>
            </w:r>
          </w:hyperlink>
        </w:p>
        <w:p w14:paraId="053D4838" w14:textId="4B6A955E" w:rsidR="005E6E88" w:rsidRDefault="00160955">
          <w:pPr>
            <w:pStyle w:val="TOC2"/>
            <w:rPr>
              <w:rFonts w:asciiTheme="minorHAnsi" w:eastAsiaTheme="minorEastAsia" w:hAnsiTheme="minorHAnsi" w:cstheme="minorBidi"/>
              <w:noProof/>
              <w:color w:val="auto"/>
              <w:szCs w:val="22"/>
              <w:lang w:val="en-US" w:eastAsia="en-US"/>
            </w:rPr>
          </w:pPr>
          <w:hyperlink w:anchor="_Toc203763127" w:history="1">
            <w:r w:rsidR="005E6E88" w:rsidRPr="006329DB">
              <w:rPr>
                <w:rStyle w:val="Hyperlink"/>
                <w:noProof/>
              </w:rPr>
              <w:t>S2.14</w:t>
            </w:r>
            <w:r w:rsidR="005E6E88">
              <w:rPr>
                <w:rFonts w:asciiTheme="minorHAnsi" w:eastAsiaTheme="minorEastAsia" w:hAnsiTheme="minorHAnsi" w:cstheme="minorBidi"/>
                <w:noProof/>
                <w:color w:val="auto"/>
                <w:szCs w:val="22"/>
                <w:lang w:val="en-US" w:eastAsia="en-US"/>
              </w:rPr>
              <w:tab/>
            </w:r>
            <w:r w:rsidR="005E6E88" w:rsidRPr="006329DB">
              <w:rPr>
                <w:rStyle w:val="Hyperlink"/>
                <w:noProof/>
              </w:rPr>
              <w:t>Intake of red meat</w:t>
            </w:r>
            <w:r w:rsidR="005E6E88">
              <w:rPr>
                <w:noProof/>
                <w:webHidden/>
              </w:rPr>
              <w:tab/>
            </w:r>
            <w:r w:rsidR="005E6E88">
              <w:rPr>
                <w:noProof/>
                <w:webHidden/>
              </w:rPr>
              <w:fldChar w:fldCharType="begin"/>
            </w:r>
            <w:r w:rsidR="005E6E88">
              <w:rPr>
                <w:noProof/>
                <w:webHidden/>
              </w:rPr>
              <w:instrText xml:space="preserve"> PAGEREF _Toc203763127 \h </w:instrText>
            </w:r>
            <w:r w:rsidR="005E6E88">
              <w:rPr>
                <w:noProof/>
                <w:webHidden/>
              </w:rPr>
            </w:r>
            <w:r w:rsidR="005E6E88">
              <w:rPr>
                <w:noProof/>
                <w:webHidden/>
              </w:rPr>
              <w:fldChar w:fldCharType="separate"/>
            </w:r>
            <w:r w:rsidR="005E6E88">
              <w:rPr>
                <w:noProof/>
                <w:webHidden/>
              </w:rPr>
              <w:t>12</w:t>
            </w:r>
            <w:r w:rsidR="005E6E88">
              <w:rPr>
                <w:noProof/>
                <w:webHidden/>
              </w:rPr>
              <w:fldChar w:fldCharType="end"/>
            </w:r>
          </w:hyperlink>
        </w:p>
        <w:p w14:paraId="1B08388E" w14:textId="718169EA" w:rsidR="005E6E88" w:rsidRDefault="00160955">
          <w:pPr>
            <w:pStyle w:val="TOC1"/>
            <w:rPr>
              <w:rFonts w:asciiTheme="minorHAnsi" w:eastAsiaTheme="minorEastAsia" w:hAnsiTheme="minorHAnsi" w:cstheme="minorBidi"/>
              <w:b w:val="0"/>
              <w:noProof/>
              <w:szCs w:val="22"/>
              <w:lang w:val="en-US" w:eastAsia="en-US"/>
            </w:rPr>
          </w:pPr>
          <w:hyperlink w:anchor="_Toc203763128" w:history="1">
            <w:r w:rsidR="005E6E88" w:rsidRPr="006329DB">
              <w:rPr>
                <w:rStyle w:val="Hyperlink"/>
                <w:noProof/>
                <w:lang w:val="en-US" w:eastAsia="en-US"/>
              </w:rPr>
              <w:t>S3.</w:t>
            </w:r>
            <w:r w:rsidR="005E6E88">
              <w:rPr>
                <w:rFonts w:asciiTheme="minorHAnsi" w:eastAsiaTheme="minorEastAsia" w:hAnsiTheme="minorHAnsi" w:cstheme="minorBidi"/>
                <w:b w:val="0"/>
                <w:noProof/>
                <w:szCs w:val="22"/>
                <w:lang w:val="en-US" w:eastAsia="en-US"/>
              </w:rPr>
              <w:tab/>
            </w:r>
            <w:r w:rsidR="005E6E88" w:rsidRPr="006329DB">
              <w:rPr>
                <w:rStyle w:val="Hyperlink"/>
                <w:noProof/>
                <w:lang w:val="en-US"/>
              </w:rPr>
              <w:t>Goodness</w:t>
            </w:r>
            <w:r w:rsidR="005E6E88" w:rsidRPr="006329DB">
              <w:rPr>
                <w:rStyle w:val="Hyperlink"/>
                <w:noProof/>
                <w:lang w:val="en-US" w:eastAsia="en-US"/>
              </w:rPr>
              <w:t xml:space="preserve"> of fit of the consolidation</w:t>
            </w:r>
            <w:r w:rsidR="005E6E88">
              <w:rPr>
                <w:noProof/>
                <w:webHidden/>
              </w:rPr>
              <w:tab/>
            </w:r>
            <w:r w:rsidR="005E6E88">
              <w:rPr>
                <w:noProof/>
                <w:webHidden/>
              </w:rPr>
              <w:fldChar w:fldCharType="begin"/>
            </w:r>
            <w:r w:rsidR="005E6E88">
              <w:rPr>
                <w:noProof/>
                <w:webHidden/>
              </w:rPr>
              <w:instrText xml:space="preserve"> PAGEREF _Toc203763128 \h </w:instrText>
            </w:r>
            <w:r w:rsidR="005E6E88">
              <w:rPr>
                <w:noProof/>
                <w:webHidden/>
              </w:rPr>
            </w:r>
            <w:r w:rsidR="005E6E88">
              <w:rPr>
                <w:noProof/>
                <w:webHidden/>
              </w:rPr>
              <w:fldChar w:fldCharType="separate"/>
            </w:r>
            <w:r w:rsidR="005E6E88">
              <w:rPr>
                <w:noProof/>
                <w:webHidden/>
              </w:rPr>
              <w:t>14</w:t>
            </w:r>
            <w:r w:rsidR="005E6E88">
              <w:rPr>
                <w:noProof/>
                <w:webHidden/>
              </w:rPr>
              <w:fldChar w:fldCharType="end"/>
            </w:r>
          </w:hyperlink>
        </w:p>
        <w:p w14:paraId="256E5982" w14:textId="38171B4E" w:rsidR="005E6E88" w:rsidRDefault="00160955">
          <w:pPr>
            <w:pStyle w:val="TOC2"/>
            <w:rPr>
              <w:rFonts w:asciiTheme="minorHAnsi" w:eastAsiaTheme="minorEastAsia" w:hAnsiTheme="minorHAnsi" w:cstheme="minorBidi"/>
              <w:noProof/>
              <w:color w:val="auto"/>
              <w:szCs w:val="22"/>
              <w:lang w:val="en-US" w:eastAsia="en-US"/>
            </w:rPr>
          </w:pPr>
          <w:hyperlink w:anchor="_Toc203763129" w:history="1">
            <w:r w:rsidR="005E6E88" w:rsidRPr="006329DB">
              <w:rPr>
                <w:rStyle w:val="Hyperlink"/>
                <w:rFonts w:eastAsia="Calibri"/>
                <w:noProof/>
                <w:lang w:eastAsia="en-US"/>
              </w:rPr>
              <w:t>S3.1</w:t>
            </w:r>
            <w:r w:rsidR="005E6E88">
              <w:rPr>
                <w:rFonts w:asciiTheme="minorHAnsi" w:eastAsiaTheme="minorEastAsia" w:hAnsiTheme="minorHAnsi" w:cstheme="minorBidi"/>
                <w:noProof/>
                <w:color w:val="auto"/>
                <w:szCs w:val="22"/>
                <w:lang w:val="en-US" w:eastAsia="en-US"/>
              </w:rPr>
              <w:tab/>
            </w:r>
            <w:r w:rsidR="005E6E88" w:rsidRPr="006329DB">
              <w:rPr>
                <w:rStyle w:val="Hyperlink"/>
                <w:rFonts w:eastAsia="Calibri"/>
                <w:noProof/>
                <w:lang w:eastAsia="en-US"/>
              </w:rPr>
              <w:t>Correlation coefficient</w:t>
            </w:r>
            <w:r w:rsidR="005E6E88">
              <w:rPr>
                <w:noProof/>
                <w:webHidden/>
              </w:rPr>
              <w:tab/>
            </w:r>
            <w:r w:rsidR="005E6E88">
              <w:rPr>
                <w:noProof/>
                <w:webHidden/>
              </w:rPr>
              <w:fldChar w:fldCharType="begin"/>
            </w:r>
            <w:r w:rsidR="005E6E88">
              <w:rPr>
                <w:noProof/>
                <w:webHidden/>
              </w:rPr>
              <w:instrText xml:space="preserve"> PAGEREF _Toc203763129 \h </w:instrText>
            </w:r>
            <w:r w:rsidR="005E6E88">
              <w:rPr>
                <w:noProof/>
                <w:webHidden/>
              </w:rPr>
            </w:r>
            <w:r w:rsidR="005E6E88">
              <w:rPr>
                <w:noProof/>
                <w:webHidden/>
              </w:rPr>
              <w:fldChar w:fldCharType="separate"/>
            </w:r>
            <w:r w:rsidR="005E6E88">
              <w:rPr>
                <w:noProof/>
                <w:webHidden/>
              </w:rPr>
              <w:t>14</w:t>
            </w:r>
            <w:r w:rsidR="005E6E88">
              <w:rPr>
                <w:noProof/>
                <w:webHidden/>
              </w:rPr>
              <w:fldChar w:fldCharType="end"/>
            </w:r>
          </w:hyperlink>
        </w:p>
        <w:p w14:paraId="156C935E" w14:textId="7B6EDE31" w:rsidR="005E6E88" w:rsidRDefault="00160955">
          <w:pPr>
            <w:pStyle w:val="TOC2"/>
            <w:rPr>
              <w:rFonts w:asciiTheme="minorHAnsi" w:eastAsiaTheme="minorEastAsia" w:hAnsiTheme="minorHAnsi" w:cstheme="minorBidi"/>
              <w:noProof/>
              <w:color w:val="auto"/>
              <w:szCs w:val="22"/>
              <w:lang w:val="en-US" w:eastAsia="en-US"/>
            </w:rPr>
          </w:pPr>
          <w:hyperlink w:anchor="_Toc203763130" w:history="1">
            <w:r w:rsidR="005E6E88" w:rsidRPr="006329DB">
              <w:rPr>
                <w:rStyle w:val="Hyperlink"/>
                <w:noProof/>
                <w:lang w:eastAsia="en-US"/>
              </w:rPr>
              <w:t>S3.2</w:t>
            </w:r>
            <w:r w:rsidR="005E6E88">
              <w:rPr>
                <w:rFonts w:asciiTheme="minorHAnsi" w:eastAsiaTheme="minorEastAsia" w:hAnsiTheme="minorHAnsi" w:cstheme="minorBidi"/>
                <w:noProof/>
                <w:color w:val="auto"/>
                <w:szCs w:val="22"/>
                <w:lang w:val="en-US" w:eastAsia="en-US"/>
              </w:rPr>
              <w:tab/>
            </w:r>
            <w:r w:rsidR="005E6E88" w:rsidRPr="006329DB">
              <w:rPr>
                <w:rStyle w:val="Hyperlink"/>
                <w:noProof/>
                <w:lang w:eastAsia="en-US"/>
              </w:rPr>
              <w:t>Distribution of adjustments</w:t>
            </w:r>
            <w:r w:rsidR="005E6E88">
              <w:rPr>
                <w:noProof/>
                <w:webHidden/>
              </w:rPr>
              <w:tab/>
            </w:r>
            <w:r w:rsidR="005E6E88">
              <w:rPr>
                <w:noProof/>
                <w:webHidden/>
              </w:rPr>
              <w:fldChar w:fldCharType="begin"/>
            </w:r>
            <w:r w:rsidR="005E6E88">
              <w:rPr>
                <w:noProof/>
                <w:webHidden/>
              </w:rPr>
              <w:instrText xml:space="preserve"> PAGEREF _Toc203763130 \h </w:instrText>
            </w:r>
            <w:r w:rsidR="005E6E88">
              <w:rPr>
                <w:noProof/>
                <w:webHidden/>
              </w:rPr>
            </w:r>
            <w:r w:rsidR="005E6E88">
              <w:rPr>
                <w:noProof/>
                <w:webHidden/>
              </w:rPr>
              <w:fldChar w:fldCharType="separate"/>
            </w:r>
            <w:r w:rsidR="005E6E88">
              <w:rPr>
                <w:noProof/>
                <w:webHidden/>
              </w:rPr>
              <w:t>15</w:t>
            </w:r>
            <w:r w:rsidR="005E6E88">
              <w:rPr>
                <w:noProof/>
                <w:webHidden/>
              </w:rPr>
              <w:fldChar w:fldCharType="end"/>
            </w:r>
          </w:hyperlink>
        </w:p>
        <w:p w14:paraId="015E270A" w14:textId="2ADF2B12" w:rsidR="005E6E88" w:rsidRDefault="00160955">
          <w:pPr>
            <w:pStyle w:val="TOC2"/>
            <w:rPr>
              <w:rFonts w:asciiTheme="minorHAnsi" w:eastAsiaTheme="minorEastAsia" w:hAnsiTheme="minorHAnsi" w:cstheme="minorBidi"/>
              <w:noProof/>
              <w:color w:val="auto"/>
              <w:szCs w:val="22"/>
              <w:lang w:val="en-US" w:eastAsia="en-US"/>
            </w:rPr>
          </w:pPr>
          <w:hyperlink w:anchor="_Toc203763131" w:history="1">
            <w:r w:rsidR="005E6E88" w:rsidRPr="006329DB">
              <w:rPr>
                <w:rStyle w:val="Hyperlink"/>
                <w:rFonts w:eastAsia="Calibri"/>
                <w:noProof/>
                <w:lang w:eastAsia="en-US"/>
              </w:rPr>
              <w:t>S3.3</w:t>
            </w:r>
            <w:r w:rsidR="005E6E88">
              <w:rPr>
                <w:rFonts w:asciiTheme="minorHAnsi" w:eastAsiaTheme="minorEastAsia" w:hAnsiTheme="minorHAnsi" w:cstheme="minorBidi"/>
                <w:noProof/>
                <w:color w:val="auto"/>
                <w:szCs w:val="22"/>
                <w:lang w:val="en-US" w:eastAsia="en-US"/>
              </w:rPr>
              <w:tab/>
            </w:r>
            <w:r w:rsidR="005E6E88" w:rsidRPr="006329DB">
              <w:rPr>
                <w:rStyle w:val="Hyperlink"/>
                <w:rFonts w:eastAsia="Calibri"/>
                <w:noProof/>
                <w:lang w:eastAsia="en-US"/>
              </w:rPr>
              <w:t>Adjustments of market balance quantities</w:t>
            </w:r>
            <w:r w:rsidR="005E6E88">
              <w:rPr>
                <w:noProof/>
                <w:webHidden/>
              </w:rPr>
              <w:tab/>
            </w:r>
            <w:r w:rsidR="005E6E88">
              <w:rPr>
                <w:noProof/>
                <w:webHidden/>
              </w:rPr>
              <w:fldChar w:fldCharType="begin"/>
            </w:r>
            <w:r w:rsidR="005E6E88">
              <w:rPr>
                <w:noProof/>
                <w:webHidden/>
              </w:rPr>
              <w:instrText xml:space="preserve"> PAGEREF _Toc203763131 \h </w:instrText>
            </w:r>
            <w:r w:rsidR="005E6E88">
              <w:rPr>
                <w:noProof/>
                <w:webHidden/>
              </w:rPr>
            </w:r>
            <w:r w:rsidR="005E6E88">
              <w:rPr>
                <w:noProof/>
                <w:webHidden/>
              </w:rPr>
              <w:fldChar w:fldCharType="separate"/>
            </w:r>
            <w:r w:rsidR="005E6E88">
              <w:rPr>
                <w:noProof/>
                <w:webHidden/>
              </w:rPr>
              <w:t>19</w:t>
            </w:r>
            <w:r w:rsidR="005E6E88">
              <w:rPr>
                <w:noProof/>
                <w:webHidden/>
              </w:rPr>
              <w:fldChar w:fldCharType="end"/>
            </w:r>
          </w:hyperlink>
        </w:p>
        <w:p w14:paraId="140C4C5B" w14:textId="6BD9D851" w:rsidR="005E6E88" w:rsidRDefault="00160955">
          <w:pPr>
            <w:pStyle w:val="TOC1"/>
            <w:rPr>
              <w:rFonts w:asciiTheme="minorHAnsi" w:eastAsiaTheme="minorEastAsia" w:hAnsiTheme="minorHAnsi" w:cstheme="minorBidi"/>
              <w:b w:val="0"/>
              <w:noProof/>
              <w:szCs w:val="22"/>
              <w:lang w:val="en-US" w:eastAsia="en-US"/>
            </w:rPr>
          </w:pPr>
          <w:hyperlink w:anchor="_Toc203763132" w:history="1">
            <w:r w:rsidR="005E6E88" w:rsidRPr="006329DB">
              <w:rPr>
                <w:rStyle w:val="Hyperlink"/>
                <w:noProof/>
                <w:lang w:val="en-US" w:eastAsia="en-US"/>
              </w:rPr>
              <w:t>S4.</w:t>
            </w:r>
            <w:r w:rsidR="005E6E88">
              <w:rPr>
                <w:rFonts w:asciiTheme="minorHAnsi" w:eastAsiaTheme="minorEastAsia" w:hAnsiTheme="minorHAnsi" w:cstheme="minorBidi"/>
                <w:b w:val="0"/>
                <w:noProof/>
                <w:szCs w:val="22"/>
                <w:lang w:val="en-US" w:eastAsia="en-US"/>
              </w:rPr>
              <w:tab/>
            </w:r>
            <w:r w:rsidR="005E6E88" w:rsidRPr="006329DB">
              <w:rPr>
                <w:rStyle w:val="Hyperlink"/>
                <w:noProof/>
                <w:lang w:val="en-US" w:eastAsia="en-US"/>
              </w:rPr>
              <w:t>References in supplementary information</w:t>
            </w:r>
            <w:r w:rsidR="005E6E88">
              <w:rPr>
                <w:noProof/>
                <w:webHidden/>
              </w:rPr>
              <w:tab/>
            </w:r>
            <w:r w:rsidR="005E6E88">
              <w:rPr>
                <w:noProof/>
                <w:webHidden/>
              </w:rPr>
              <w:fldChar w:fldCharType="begin"/>
            </w:r>
            <w:r w:rsidR="005E6E88">
              <w:rPr>
                <w:noProof/>
                <w:webHidden/>
              </w:rPr>
              <w:instrText xml:space="preserve"> PAGEREF _Toc203763132 \h </w:instrText>
            </w:r>
            <w:r w:rsidR="005E6E88">
              <w:rPr>
                <w:noProof/>
                <w:webHidden/>
              </w:rPr>
            </w:r>
            <w:r w:rsidR="005E6E88">
              <w:rPr>
                <w:noProof/>
                <w:webHidden/>
              </w:rPr>
              <w:fldChar w:fldCharType="separate"/>
            </w:r>
            <w:r w:rsidR="005E6E88">
              <w:rPr>
                <w:noProof/>
                <w:webHidden/>
              </w:rPr>
              <w:t>20</w:t>
            </w:r>
            <w:r w:rsidR="005E6E88">
              <w:rPr>
                <w:noProof/>
                <w:webHidden/>
              </w:rPr>
              <w:fldChar w:fldCharType="end"/>
            </w:r>
          </w:hyperlink>
        </w:p>
        <w:p w14:paraId="69FB5BF8" w14:textId="36D9E87F" w:rsidR="00FD3306" w:rsidRDefault="005E6E88">
          <w:r>
            <w:rPr>
              <w:b/>
              <w:color w:val="008CD2"/>
            </w:rPr>
            <w:fldChar w:fldCharType="end"/>
          </w:r>
        </w:p>
      </w:sdtContent>
    </w:sdt>
    <w:p w14:paraId="59F8F108" w14:textId="135DB96E" w:rsidR="00FD3306" w:rsidRDefault="00FD3306">
      <w:pPr>
        <w:suppressAutoHyphens w:val="0"/>
        <w:spacing w:before="0" w:line="240" w:lineRule="auto"/>
        <w:jc w:val="left"/>
        <w:rPr>
          <w:lang w:val="en-US" w:eastAsia="en-US"/>
        </w:rPr>
      </w:pPr>
      <w:r>
        <w:rPr>
          <w:lang w:val="en-US" w:eastAsia="en-US"/>
        </w:rPr>
        <w:br w:type="page"/>
      </w:r>
    </w:p>
    <w:p w14:paraId="0FCC00E5" w14:textId="00ECC5BA" w:rsidR="000D5343" w:rsidRDefault="000D5343" w:rsidP="00FD3306">
      <w:pPr>
        <w:pStyle w:val="Heading1"/>
        <w:numPr>
          <w:ilvl w:val="0"/>
          <w:numId w:val="1"/>
        </w:numPr>
        <w:rPr>
          <w:lang w:val="en-US" w:eastAsia="en-US"/>
        </w:rPr>
      </w:pPr>
      <w:bookmarkStart w:id="6" w:name="_Toc203763112"/>
      <w:bookmarkStart w:id="7" w:name="_Toc194608650"/>
      <w:bookmarkEnd w:id="3"/>
      <w:bookmarkEnd w:id="4"/>
      <w:bookmarkEnd w:id="5"/>
      <w:r w:rsidRPr="000D5343">
        <w:rPr>
          <w:lang w:val="en-US" w:eastAsia="en-US"/>
        </w:rPr>
        <w:lastRenderedPageBreak/>
        <w:t>Assessment of status quo intake</w:t>
      </w:r>
      <w:bookmarkEnd w:id="6"/>
    </w:p>
    <w:p w14:paraId="5A0B0133" w14:textId="77777777" w:rsidR="000D5343" w:rsidRPr="000D5343" w:rsidRDefault="000D5343" w:rsidP="000D5343">
      <w:pPr>
        <w:rPr>
          <w:lang w:val="en-US" w:eastAsia="en-US"/>
        </w:rPr>
      </w:pPr>
    </w:p>
    <w:tbl>
      <w:tblPr>
        <w:tblpPr w:leftFromText="180" w:rightFromText="180" w:vertAnchor="text" w:horzAnchor="margin" w:tblpY="54"/>
        <w:tblW w:w="9493" w:type="dxa"/>
        <w:tblLayout w:type="fixed"/>
        <w:tblCellMar>
          <w:left w:w="85" w:type="dxa"/>
          <w:right w:w="85" w:type="dxa"/>
        </w:tblCellMar>
        <w:tblLook w:val="04A0" w:firstRow="1" w:lastRow="0" w:firstColumn="1" w:lastColumn="0" w:noHBand="0" w:noVBand="1"/>
      </w:tblPr>
      <w:tblGrid>
        <w:gridCol w:w="282"/>
        <w:gridCol w:w="4342"/>
        <w:gridCol w:w="191"/>
        <w:gridCol w:w="283"/>
        <w:gridCol w:w="4395"/>
      </w:tblGrid>
      <w:tr w:rsidR="000D5343" w:rsidRPr="00CD7FAE" w14:paraId="4A930C6D" w14:textId="77777777" w:rsidTr="00F125B8">
        <w:trPr>
          <w:trHeight w:val="283"/>
        </w:trPr>
        <w:tc>
          <w:tcPr>
            <w:tcW w:w="282" w:type="dxa"/>
            <w:shd w:val="clear" w:color="000000" w:fill="997427"/>
            <w:noWrap/>
            <w:vAlign w:val="center"/>
            <w:hideMark/>
          </w:tcPr>
          <w:p w14:paraId="0CB24CE4" w14:textId="77777777" w:rsidR="000D5343" w:rsidRPr="007A0B17" w:rsidRDefault="000D5343" w:rsidP="000D5343">
            <w:pPr>
              <w:suppressAutoHyphens w:val="0"/>
              <w:spacing w:before="0" w:line="240" w:lineRule="auto"/>
              <w:jc w:val="left"/>
              <w:rPr>
                <w:rFonts w:cs="Calibri"/>
                <w:color w:val="000000"/>
                <w:szCs w:val="22"/>
                <w:lang w:val="en-US" w:eastAsia="en-US"/>
              </w:rPr>
            </w:pPr>
            <w:r w:rsidRPr="007A0B17">
              <w:rPr>
                <w:rFonts w:cs="Calibri"/>
                <w:color w:val="000000"/>
                <w:szCs w:val="22"/>
                <w:lang w:val="en-US" w:eastAsia="en-US"/>
              </w:rPr>
              <w:t> </w:t>
            </w:r>
          </w:p>
        </w:tc>
        <w:tc>
          <w:tcPr>
            <w:tcW w:w="4342" w:type="dxa"/>
            <w:tcBorders>
              <w:right w:val="single" w:sz="4" w:space="0" w:color="auto"/>
            </w:tcBorders>
            <w:shd w:val="clear" w:color="auto" w:fill="FFFFFF" w:themeFill="background1"/>
            <w:noWrap/>
            <w:vAlign w:val="center"/>
            <w:hideMark/>
          </w:tcPr>
          <w:p w14:paraId="2F3C73C9" w14:textId="61824F4A" w:rsidR="000D5343" w:rsidRPr="000D5343" w:rsidRDefault="000D5343" w:rsidP="000D5343">
            <w:pPr>
              <w:suppressAutoHyphens w:val="0"/>
              <w:spacing w:before="0" w:line="240" w:lineRule="auto"/>
              <w:jc w:val="left"/>
              <w:rPr>
                <w:rFonts w:cs="Calibri"/>
                <w:color w:val="000000"/>
                <w:szCs w:val="22"/>
                <w:lang w:eastAsia="en-US"/>
              </w:rPr>
            </w:pPr>
            <w:proofErr w:type="spellStart"/>
            <w:r w:rsidRPr="000D5343">
              <w:rPr>
                <w:rFonts w:cs="Calibri"/>
                <w:color w:val="000000"/>
                <w:szCs w:val="22"/>
                <w:lang w:eastAsia="en-US"/>
              </w:rPr>
              <w:t>Grain-based</w:t>
            </w:r>
            <w:proofErr w:type="spellEnd"/>
            <w:r w:rsidRPr="000D5343">
              <w:rPr>
                <w:rFonts w:cs="Calibri"/>
                <w:color w:val="000000"/>
                <w:szCs w:val="22"/>
                <w:lang w:eastAsia="en-US"/>
              </w:rPr>
              <w:t xml:space="preserve"> </w:t>
            </w:r>
            <w:proofErr w:type="spellStart"/>
            <w:r w:rsidRPr="000D5343">
              <w:rPr>
                <w:rFonts w:cs="Calibri"/>
                <w:color w:val="000000"/>
                <w:szCs w:val="22"/>
                <w:lang w:eastAsia="en-US"/>
              </w:rPr>
              <w:t>products</w:t>
            </w:r>
            <w:proofErr w:type="spellEnd"/>
            <w:r w:rsidRPr="000D5343">
              <w:rPr>
                <w:rFonts w:cs="Calibri"/>
                <w:color w:val="000000"/>
                <w:szCs w:val="22"/>
                <w:lang w:eastAsia="en-US"/>
              </w:rPr>
              <w:t xml:space="preserve"> (+</w:t>
            </w:r>
            <w:r w:rsidR="00F125B8">
              <w:rPr>
                <w:rFonts w:cs="Calibri"/>
                <w:color w:val="000000"/>
                <w:szCs w:val="22"/>
                <w:lang w:eastAsia="en-US"/>
              </w:rPr>
              <w:t>381</w:t>
            </w:r>
            <w:r w:rsidRPr="000D5343">
              <w:rPr>
                <w:rFonts w:cs="Calibri"/>
                <w:color w:val="000000"/>
                <w:szCs w:val="22"/>
                <w:lang w:eastAsia="en-US"/>
              </w:rPr>
              <w:t xml:space="preserve"> kcal)</w:t>
            </w:r>
          </w:p>
        </w:tc>
        <w:tc>
          <w:tcPr>
            <w:tcW w:w="191" w:type="dxa"/>
            <w:tcBorders>
              <w:left w:val="single" w:sz="4" w:space="0" w:color="auto"/>
            </w:tcBorders>
            <w:shd w:val="clear" w:color="auto" w:fill="FFFFFF" w:themeFill="background1"/>
          </w:tcPr>
          <w:p w14:paraId="59434D7B" w14:textId="77777777" w:rsidR="000D5343" w:rsidRPr="000D5343" w:rsidRDefault="000D5343" w:rsidP="000D5343">
            <w:pPr>
              <w:suppressAutoHyphens w:val="0"/>
              <w:spacing w:before="0" w:line="240" w:lineRule="auto"/>
              <w:jc w:val="left"/>
              <w:rPr>
                <w:rFonts w:cs="Calibri"/>
                <w:color w:val="000000"/>
                <w:szCs w:val="22"/>
                <w:lang w:eastAsia="en-US"/>
              </w:rPr>
            </w:pPr>
          </w:p>
        </w:tc>
        <w:tc>
          <w:tcPr>
            <w:tcW w:w="283" w:type="dxa"/>
            <w:shd w:val="clear" w:color="auto" w:fill="005654"/>
            <w:vAlign w:val="center"/>
          </w:tcPr>
          <w:p w14:paraId="06005947" w14:textId="77777777" w:rsidR="000D5343" w:rsidRPr="000D5343" w:rsidRDefault="000D5343" w:rsidP="000D5343">
            <w:pPr>
              <w:suppressAutoHyphens w:val="0"/>
              <w:spacing w:before="0" w:line="240" w:lineRule="auto"/>
              <w:jc w:val="left"/>
              <w:rPr>
                <w:rFonts w:cs="Calibri"/>
                <w:color w:val="000000"/>
                <w:szCs w:val="22"/>
                <w:lang w:eastAsia="en-US"/>
              </w:rPr>
            </w:pPr>
          </w:p>
        </w:tc>
        <w:tc>
          <w:tcPr>
            <w:tcW w:w="4395" w:type="dxa"/>
            <w:shd w:val="clear" w:color="auto" w:fill="FFFFFF" w:themeFill="background1"/>
            <w:vAlign w:val="center"/>
          </w:tcPr>
          <w:p w14:paraId="566DBA5B" w14:textId="777E5060" w:rsidR="000D5343" w:rsidRPr="000D5343" w:rsidRDefault="00F125B8" w:rsidP="000D5343">
            <w:pPr>
              <w:suppressAutoHyphens w:val="0"/>
              <w:spacing w:before="0" w:line="240" w:lineRule="auto"/>
              <w:jc w:val="left"/>
              <w:rPr>
                <w:rFonts w:cs="Calibri"/>
                <w:color w:val="000000"/>
                <w:szCs w:val="22"/>
                <w:lang w:eastAsia="en-US"/>
              </w:rPr>
            </w:pPr>
            <w:proofErr w:type="spellStart"/>
            <w:r w:rsidRPr="000D5343">
              <w:rPr>
                <w:rFonts w:cs="Calibri"/>
                <w:color w:val="000000"/>
                <w:szCs w:val="22"/>
                <w:lang w:eastAsia="en-US"/>
              </w:rPr>
              <w:t>Beverages</w:t>
            </w:r>
            <w:proofErr w:type="spellEnd"/>
            <w:r w:rsidRPr="000D5343">
              <w:rPr>
                <w:rFonts w:cs="Calibri"/>
                <w:color w:val="000000"/>
                <w:szCs w:val="22"/>
                <w:lang w:eastAsia="en-US"/>
              </w:rPr>
              <w:t xml:space="preserve"> (</w:t>
            </w:r>
            <w:r>
              <w:rPr>
                <w:rFonts w:cs="Calibri"/>
                <w:color w:val="000000"/>
                <w:szCs w:val="22"/>
                <w:lang w:eastAsia="en-US"/>
              </w:rPr>
              <w:t>-12</w:t>
            </w:r>
            <w:r w:rsidRPr="000D5343">
              <w:rPr>
                <w:rFonts w:cs="Calibri"/>
                <w:color w:val="000000"/>
                <w:szCs w:val="22"/>
                <w:lang w:eastAsia="en-US"/>
              </w:rPr>
              <w:t xml:space="preserve"> kcal)</w:t>
            </w:r>
          </w:p>
        </w:tc>
      </w:tr>
      <w:tr w:rsidR="000D5343" w:rsidRPr="00CD7FAE" w14:paraId="4D1593BE" w14:textId="77777777" w:rsidTr="007A0B17">
        <w:trPr>
          <w:trHeight w:val="57"/>
        </w:trPr>
        <w:tc>
          <w:tcPr>
            <w:tcW w:w="282" w:type="dxa"/>
            <w:shd w:val="clear" w:color="auto" w:fill="auto"/>
            <w:noWrap/>
            <w:vAlign w:val="center"/>
            <w:hideMark/>
          </w:tcPr>
          <w:p w14:paraId="06508380" w14:textId="77777777" w:rsidR="000D5343" w:rsidRPr="00362131" w:rsidRDefault="000D5343" w:rsidP="000D5343">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59D16711" w14:textId="77777777" w:rsidR="000D5343" w:rsidRPr="00362131" w:rsidRDefault="000D5343" w:rsidP="000D5343">
            <w:pPr>
              <w:suppressAutoHyphens w:val="0"/>
              <w:spacing w:before="0" w:line="240" w:lineRule="auto"/>
              <w:jc w:val="left"/>
              <w:rPr>
                <w:rFonts w:ascii="Times New Roman" w:hAnsi="Times New Roman"/>
                <w:sz w:val="2"/>
                <w:szCs w:val="2"/>
                <w:lang w:eastAsia="en-US"/>
              </w:rPr>
            </w:pPr>
          </w:p>
        </w:tc>
        <w:tc>
          <w:tcPr>
            <w:tcW w:w="191" w:type="dxa"/>
            <w:tcBorders>
              <w:left w:val="single" w:sz="4" w:space="0" w:color="auto"/>
            </w:tcBorders>
            <w:shd w:val="clear" w:color="auto" w:fill="FFFFFF" w:themeFill="background1"/>
          </w:tcPr>
          <w:p w14:paraId="17970806" w14:textId="77777777" w:rsidR="000D5343" w:rsidRPr="00362131" w:rsidRDefault="000D5343" w:rsidP="000D5343">
            <w:pPr>
              <w:suppressAutoHyphens w:val="0"/>
              <w:spacing w:before="0" w:line="240" w:lineRule="auto"/>
              <w:jc w:val="left"/>
              <w:rPr>
                <w:rFonts w:ascii="Times New Roman" w:hAnsi="Times New Roman"/>
                <w:sz w:val="2"/>
                <w:szCs w:val="2"/>
                <w:lang w:eastAsia="en-US"/>
              </w:rPr>
            </w:pPr>
          </w:p>
        </w:tc>
        <w:tc>
          <w:tcPr>
            <w:tcW w:w="283" w:type="dxa"/>
            <w:shd w:val="clear" w:color="auto" w:fill="FFFFFF" w:themeFill="background1"/>
            <w:vAlign w:val="center"/>
          </w:tcPr>
          <w:p w14:paraId="181B979D" w14:textId="77777777" w:rsidR="000D5343" w:rsidRPr="00362131" w:rsidRDefault="000D5343" w:rsidP="000D5343">
            <w:pPr>
              <w:suppressAutoHyphens w:val="0"/>
              <w:spacing w:before="0" w:line="240" w:lineRule="auto"/>
              <w:jc w:val="left"/>
              <w:rPr>
                <w:rFonts w:ascii="Times New Roman" w:hAnsi="Times New Roman"/>
                <w:sz w:val="2"/>
                <w:szCs w:val="2"/>
                <w:lang w:eastAsia="en-US"/>
              </w:rPr>
            </w:pPr>
          </w:p>
        </w:tc>
        <w:tc>
          <w:tcPr>
            <w:tcW w:w="4395" w:type="dxa"/>
            <w:shd w:val="clear" w:color="auto" w:fill="FFFFFF" w:themeFill="background1"/>
            <w:vAlign w:val="center"/>
          </w:tcPr>
          <w:p w14:paraId="759415CF" w14:textId="77777777" w:rsidR="000D5343" w:rsidRPr="00362131" w:rsidRDefault="000D5343" w:rsidP="000D5343">
            <w:pPr>
              <w:suppressAutoHyphens w:val="0"/>
              <w:spacing w:before="0" w:line="240" w:lineRule="auto"/>
              <w:jc w:val="left"/>
              <w:rPr>
                <w:rFonts w:ascii="Times New Roman" w:hAnsi="Times New Roman"/>
                <w:sz w:val="2"/>
                <w:szCs w:val="2"/>
                <w:lang w:eastAsia="en-US"/>
              </w:rPr>
            </w:pPr>
          </w:p>
        </w:tc>
      </w:tr>
      <w:tr w:rsidR="007A0B17" w:rsidRPr="00CD7FAE" w14:paraId="655B3787" w14:textId="77777777" w:rsidTr="00F125B8">
        <w:trPr>
          <w:trHeight w:val="283"/>
        </w:trPr>
        <w:tc>
          <w:tcPr>
            <w:tcW w:w="282" w:type="dxa"/>
            <w:shd w:val="clear" w:color="auto" w:fill="3886CC"/>
            <w:noWrap/>
            <w:vAlign w:val="center"/>
            <w:hideMark/>
          </w:tcPr>
          <w:p w14:paraId="4FD1CF71" w14:textId="77777777" w:rsidR="007A0B17" w:rsidRPr="000D5343" w:rsidRDefault="007A0B17" w:rsidP="007A0B17">
            <w:pPr>
              <w:suppressAutoHyphens w:val="0"/>
              <w:spacing w:before="0" w:line="240" w:lineRule="auto"/>
              <w:jc w:val="left"/>
              <w:rPr>
                <w:rFonts w:cs="Calibri"/>
                <w:color w:val="000000"/>
                <w:sz w:val="20"/>
                <w:lang w:eastAsia="en-US"/>
              </w:rPr>
            </w:pPr>
            <w:r w:rsidRPr="000D5343">
              <w:rPr>
                <w:rFonts w:cs="Calibri"/>
                <w:color w:val="000000"/>
                <w:sz w:val="20"/>
                <w:lang w:eastAsia="en-US"/>
              </w:rPr>
              <w:t> </w:t>
            </w:r>
          </w:p>
        </w:tc>
        <w:tc>
          <w:tcPr>
            <w:tcW w:w="4342" w:type="dxa"/>
            <w:tcBorders>
              <w:right w:val="single" w:sz="4" w:space="0" w:color="auto"/>
            </w:tcBorders>
            <w:shd w:val="clear" w:color="auto" w:fill="FFFFFF" w:themeFill="background1"/>
            <w:noWrap/>
            <w:vAlign w:val="center"/>
          </w:tcPr>
          <w:p w14:paraId="3F0FFFB6" w14:textId="0E05393C" w:rsidR="007A0B17" w:rsidRPr="000D5343" w:rsidRDefault="007A0B17" w:rsidP="007A0B17">
            <w:pPr>
              <w:suppressAutoHyphens w:val="0"/>
              <w:spacing w:before="0" w:line="240" w:lineRule="auto"/>
              <w:jc w:val="left"/>
              <w:rPr>
                <w:rFonts w:cs="Calibri"/>
                <w:color w:val="000000"/>
                <w:szCs w:val="22"/>
                <w:lang w:eastAsia="en-US"/>
              </w:rPr>
            </w:pPr>
            <w:proofErr w:type="spellStart"/>
            <w:r w:rsidRPr="000D5343">
              <w:rPr>
                <w:rFonts w:cs="Calibri"/>
                <w:color w:val="000000"/>
                <w:szCs w:val="22"/>
                <w:lang w:eastAsia="en-US"/>
              </w:rPr>
              <w:t>Dairy</w:t>
            </w:r>
            <w:proofErr w:type="spellEnd"/>
            <w:r w:rsidRPr="000D5343">
              <w:rPr>
                <w:rFonts w:cs="Calibri"/>
                <w:color w:val="000000"/>
                <w:szCs w:val="22"/>
                <w:lang w:eastAsia="en-US"/>
              </w:rPr>
              <w:t xml:space="preserve"> </w:t>
            </w:r>
            <w:proofErr w:type="spellStart"/>
            <w:r w:rsidRPr="000D5343">
              <w:rPr>
                <w:rFonts w:cs="Calibri"/>
                <w:color w:val="000000"/>
                <w:szCs w:val="22"/>
                <w:lang w:eastAsia="en-US"/>
              </w:rPr>
              <w:t>products</w:t>
            </w:r>
            <w:proofErr w:type="spellEnd"/>
            <w:r w:rsidRPr="000D5343">
              <w:rPr>
                <w:rFonts w:cs="Calibri"/>
                <w:color w:val="000000"/>
                <w:szCs w:val="22"/>
                <w:lang w:eastAsia="en-US"/>
              </w:rPr>
              <w:t xml:space="preserve"> (+</w:t>
            </w:r>
            <w:r w:rsidR="00F125B8">
              <w:rPr>
                <w:rFonts w:cs="Calibri"/>
                <w:color w:val="000000"/>
                <w:szCs w:val="22"/>
                <w:lang w:eastAsia="en-US"/>
              </w:rPr>
              <w:t>183</w:t>
            </w:r>
            <w:r w:rsidRPr="000D5343">
              <w:rPr>
                <w:rFonts w:cs="Calibri"/>
                <w:color w:val="000000"/>
                <w:szCs w:val="22"/>
                <w:lang w:eastAsia="en-US"/>
              </w:rPr>
              <w:t xml:space="preserve"> kcal)</w:t>
            </w:r>
          </w:p>
        </w:tc>
        <w:tc>
          <w:tcPr>
            <w:tcW w:w="191" w:type="dxa"/>
            <w:tcBorders>
              <w:left w:val="single" w:sz="4" w:space="0" w:color="auto"/>
            </w:tcBorders>
            <w:shd w:val="clear" w:color="auto" w:fill="FFFFFF" w:themeFill="background1"/>
          </w:tcPr>
          <w:p w14:paraId="03674166" w14:textId="77777777" w:rsidR="007A0B17" w:rsidRPr="000D5343" w:rsidRDefault="007A0B17" w:rsidP="007A0B17">
            <w:pPr>
              <w:suppressAutoHyphens w:val="0"/>
              <w:spacing w:before="0" w:line="240" w:lineRule="auto"/>
              <w:jc w:val="left"/>
              <w:rPr>
                <w:rFonts w:cs="Calibri"/>
                <w:color w:val="000000"/>
                <w:szCs w:val="22"/>
                <w:lang w:eastAsia="en-US"/>
              </w:rPr>
            </w:pPr>
          </w:p>
        </w:tc>
        <w:tc>
          <w:tcPr>
            <w:tcW w:w="283" w:type="dxa"/>
            <w:shd w:val="clear" w:color="auto" w:fill="542A00"/>
            <w:vAlign w:val="center"/>
          </w:tcPr>
          <w:p w14:paraId="2B4497A9" w14:textId="77777777" w:rsidR="007A0B17" w:rsidRPr="000D5343" w:rsidRDefault="007A0B17" w:rsidP="007A0B17">
            <w:pPr>
              <w:suppressAutoHyphens w:val="0"/>
              <w:spacing w:before="0" w:line="240" w:lineRule="auto"/>
              <w:jc w:val="left"/>
              <w:rPr>
                <w:rFonts w:cs="Calibri"/>
                <w:color w:val="000000"/>
                <w:szCs w:val="22"/>
                <w:lang w:eastAsia="en-US"/>
              </w:rPr>
            </w:pPr>
          </w:p>
        </w:tc>
        <w:tc>
          <w:tcPr>
            <w:tcW w:w="4395" w:type="dxa"/>
            <w:shd w:val="clear" w:color="auto" w:fill="FFFFFF" w:themeFill="background1"/>
            <w:vAlign w:val="center"/>
          </w:tcPr>
          <w:p w14:paraId="017AF6D0" w14:textId="1132ACEF" w:rsidR="007A0B17" w:rsidRPr="000D5343" w:rsidRDefault="00F125B8" w:rsidP="007A0B17">
            <w:pPr>
              <w:suppressAutoHyphens w:val="0"/>
              <w:spacing w:before="0" w:line="240" w:lineRule="auto"/>
              <w:jc w:val="left"/>
              <w:rPr>
                <w:rFonts w:cs="Calibri"/>
                <w:color w:val="000000"/>
                <w:szCs w:val="22"/>
                <w:lang w:eastAsia="en-US"/>
              </w:rPr>
            </w:pPr>
            <w:r w:rsidRPr="000D5343">
              <w:rPr>
                <w:rFonts w:cs="Calibri"/>
                <w:color w:val="000000"/>
                <w:szCs w:val="22"/>
                <w:lang w:eastAsia="en-US"/>
              </w:rPr>
              <w:t xml:space="preserve">Coffee, </w:t>
            </w:r>
            <w:proofErr w:type="spellStart"/>
            <w:r w:rsidRPr="000D5343">
              <w:rPr>
                <w:rFonts w:cs="Calibri"/>
                <w:color w:val="000000"/>
                <w:szCs w:val="22"/>
                <w:lang w:eastAsia="en-US"/>
              </w:rPr>
              <w:t>cocoa</w:t>
            </w:r>
            <w:proofErr w:type="spellEnd"/>
            <w:r w:rsidRPr="000D5343">
              <w:rPr>
                <w:rFonts w:cs="Calibri"/>
                <w:color w:val="000000"/>
                <w:szCs w:val="22"/>
                <w:lang w:eastAsia="en-US"/>
              </w:rPr>
              <w:t xml:space="preserve">, </w:t>
            </w:r>
            <w:proofErr w:type="spellStart"/>
            <w:r w:rsidRPr="000D5343">
              <w:rPr>
                <w:rFonts w:cs="Calibri"/>
                <w:color w:val="000000"/>
                <w:szCs w:val="22"/>
                <w:lang w:eastAsia="en-US"/>
              </w:rPr>
              <w:t>tea</w:t>
            </w:r>
            <w:proofErr w:type="spellEnd"/>
            <w:r w:rsidRPr="000D5343">
              <w:rPr>
                <w:rFonts w:cs="Calibri"/>
                <w:color w:val="000000"/>
                <w:szCs w:val="22"/>
                <w:lang w:eastAsia="en-US"/>
              </w:rPr>
              <w:t xml:space="preserve"> (-1</w:t>
            </w:r>
            <w:r>
              <w:rPr>
                <w:rFonts w:cs="Calibri"/>
                <w:color w:val="000000"/>
                <w:szCs w:val="22"/>
                <w:lang w:eastAsia="en-US"/>
              </w:rPr>
              <w:t>3</w:t>
            </w:r>
            <w:r w:rsidRPr="000D5343">
              <w:rPr>
                <w:rFonts w:cs="Calibri"/>
                <w:color w:val="000000"/>
                <w:szCs w:val="22"/>
                <w:lang w:eastAsia="en-US"/>
              </w:rPr>
              <w:t xml:space="preserve"> kcal)</w:t>
            </w:r>
          </w:p>
        </w:tc>
      </w:tr>
      <w:tr w:rsidR="00F125B8" w:rsidRPr="00CD7FAE" w14:paraId="2D121831" w14:textId="77777777" w:rsidTr="007A0B17">
        <w:trPr>
          <w:trHeight w:val="57"/>
        </w:trPr>
        <w:tc>
          <w:tcPr>
            <w:tcW w:w="282" w:type="dxa"/>
            <w:shd w:val="clear" w:color="auto" w:fill="auto"/>
            <w:noWrap/>
            <w:vAlign w:val="center"/>
            <w:hideMark/>
          </w:tcPr>
          <w:p w14:paraId="776E33CF" w14:textId="77777777" w:rsidR="00F125B8" w:rsidRPr="00362131" w:rsidRDefault="00F125B8" w:rsidP="00F125B8">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59C68043"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c>
          <w:tcPr>
            <w:tcW w:w="191" w:type="dxa"/>
            <w:tcBorders>
              <w:left w:val="single" w:sz="4" w:space="0" w:color="auto"/>
            </w:tcBorders>
            <w:shd w:val="clear" w:color="auto" w:fill="FFFFFF" w:themeFill="background1"/>
          </w:tcPr>
          <w:p w14:paraId="199F1AA8"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c>
          <w:tcPr>
            <w:tcW w:w="283" w:type="dxa"/>
            <w:shd w:val="clear" w:color="auto" w:fill="FFFFFF" w:themeFill="background1"/>
            <w:vAlign w:val="center"/>
          </w:tcPr>
          <w:p w14:paraId="07CE6638"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c>
          <w:tcPr>
            <w:tcW w:w="4395" w:type="dxa"/>
            <w:shd w:val="clear" w:color="auto" w:fill="FFFFFF" w:themeFill="background1"/>
            <w:vAlign w:val="center"/>
          </w:tcPr>
          <w:p w14:paraId="143414E4"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r>
      <w:tr w:rsidR="00F125B8" w:rsidRPr="004E5F26" w14:paraId="07CB62AB" w14:textId="77777777" w:rsidTr="00F125B8">
        <w:trPr>
          <w:trHeight w:val="283"/>
        </w:trPr>
        <w:tc>
          <w:tcPr>
            <w:tcW w:w="282" w:type="dxa"/>
            <w:shd w:val="clear" w:color="auto" w:fill="02B6A5"/>
            <w:noWrap/>
            <w:vAlign w:val="center"/>
          </w:tcPr>
          <w:p w14:paraId="2A36CD78" w14:textId="2C546D1D" w:rsidR="00F125B8" w:rsidRPr="00CD7FAE" w:rsidRDefault="00F125B8" w:rsidP="00F125B8">
            <w:pPr>
              <w:suppressAutoHyphens w:val="0"/>
              <w:spacing w:before="0" w:line="240" w:lineRule="auto"/>
              <w:jc w:val="left"/>
              <w:rPr>
                <w:rFonts w:cs="Calibri"/>
                <w:color w:val="000000"/>
                <w:sz w:val="20"/>
                <w:lang w:eastAsia="en-US"/>
              </w:rPr>
            </w:pPr>
          </w:p>
        </w:tc>
        <w:tc>
          <w:tcPr>
            <w:tcW w:w="4342" w:type="dxa"/>
            <w:tcBorders>
              <w:right w:val="single" w:sz="4" w:space="0" w:color="auto"/>
            </w:tcBorders>
            <w:shd w:val="clear" w:color="auto" w:fill="FFFFFF" w:themeFill="background1"/>
            <w:noWrap/>
            <w:vAlign w:val="center"/>
          </w:tcPr>
          <w:p w14:paraId="13753AE1" w14:textId="490A6385" w:rsidR="00F125B8" w:rsidRPr="000D5343" w:rsidRDefault="00F125B8" w:rsidP="00F125B8">
            <w:pPr>
              <w:suppressAutoHyphens w:val="0"/>
              <w:spacing w:before="0" w:line="240" w:lineRule="auto"/>
              <w:jc w:val="left"/>
              <w:rPr>
                <w:rFonts w:cs="Calibri"/>
                <w:color w:val="000000"/>
                <w:szCs w:val="22"/>
                <w:lang w:eastAsia="en-US"/>
              </w:rPr>
            </w:pPr>
            <w:proofErr w:type="spellStart"/>
            <w:r w:rsidRPr="00E608CB">
              <w:rPr>
                <w:rFonts w:cs="Calibri"/>
                <w:color w:val="000000"/>
                <w:szCs w:val="22"/>
                <w:lang w:eastAsia="en-US"/>
              </w:rPr>
              <w:t>Alcohol</w:t>
            </w:r>
            <w:proofErr w:type="spellEnd"/>
            <w:r w:rsidRPr="00E608CB">
              <w:rPr>
                <w:rFonts w:cs="Calibri"/>
                <w:color w:val="000000"/>
                <w:szCs w:val="22"/>
                <w:lang w:eastAsia="en-US"/>
              </w:rPr>
              <w:t xml:space="preserve"> (+</w:t>
            </w:r>
            <w:r>
              <w:rPr>
                <w:rFonts w:cs="Calibri"/>
                <w:color w:val="000000"/>
                <w:szCs w:val="22"/>
                <w:lang w:eastAsia="en-US"/>
              </w:rPr>
              <w:t>73 kcal</w:t>
            </w:r>
            <w:r w:rsidRPr="00E608CB">
              <w:rPr>
                <w:rFonts w:cs="Calibri"/>
                <w:color w:val="000000"/>
                <w:szCs w:val="22"/>
                <w:lang w:eastAsia="en-US"/>
              </w:rPr>
              <w:t>)</w:t>
            </w:r>
          </w:p>
        </w:tc>
        <w:tc>
          <w:tcPr>
            <w:tcW w:w="191" w:type="dxa"/>
            <w:tcBorders>
              <w:left w:val="single" w:sz="4" w:space="0" w:color="auto"/>
            </w:tcBorders>
            <w:shd w:val="clear" w:color="auto" w:fill="FFFFFF" w:themeFill="background1"/>
          </w:tcPr>
          <w:p w14:paraId="596DB6D8" w14:textId="77777777" w:rsidR="00F125B8" w:rsidRPr="000D5343" w:rsidRDefault="00F125B8" w:rsidP="00F125B8">
            <w:pPr>
              <w:suppressAutoHyphens w:val="0"/>
              <w:spacing w:before="0" w:line="240" w:lineRule="auto"/>
              <w:jc w:val="left"/>
              <w:rPr>
                <w:rFonts w:cs="Calibri"/>
                <w:color w:val="000000"/>
                <w:szCs w:val="22"/>
                <w:lang w:eastAsia="en-US"/>
              </w:rPr>
            </w:pPr>
          </w:p>
        </w:tc>
        <w:tc>
          <w:tcPr>
            <w:tcW w:w="283" w:type="dxa"/>
            <w:shd w:val="clear" w:color="auto" w:fill="C00000"/>
            <w:vAlign w:val="center"/>
          </w:tcPr>
          <w:p w14:paraId="610C6D16" w14:textId="77777777" w:rsidR="00F125B8" w:rsidRPr="000D5343" w:rsidRDefault="00F125B8" w:rsidP="00F125B8">
            <w:pPr>
              <w:suppressAutoHyphens w:val="0"/>
              <w:spacing w:before="0" w:line="240" w:lineRule="auto"/>
              <w:jc w:val="left"/>
              <w:rPr>
                <w:rFonts w:cs="Calibri"/>
                <w:color w:val="000000"/>
                <w:szCs w:val="22"/>
                <w:lang w:eastAsia="en-US"/>
              </w:rPr>
            </w:pPr>
          </w:p>
        </w:tc>
        <w:tc>
          <w:tcPr>
            <w:tcW w:w="4395" w:type="dxa"/>
            <w:shd w:val="clear" w:color="auto" w:fill="FFFFFF" w:themeFill="background1"/>
            <w:vAlign w:val="center"/>
          </w:tcPr>
          <w:p w14:paraId="34C1BF0F" w14:textId="791FB711" w:rsidR="00F125B8" w:rsidRPr="000D5343" w:rsidRDefault="00F125B8" w:rsidP="00F125B8">
            <w:pPr>
              <w:suppressAutoHyphens w:val="0"/>
              <w:spacing w:before="0" w:line="240" w:lineRule="auto"/>
              <w:jc w:val="left"/>
              <w:rPr>
                <w:rFonts w:cs="Calibri"/>
                <w:color w:val="000000"/>
                <w:szCs w:val="22"/>
                <w:lang w:val="en-US" w:eastAsia="en-US"/>
              </w:rPr>
            </w:pPr>
            <w:r w:rsidRPr="000D5343">
              <w:rPr>
                <w:rFonts w:cs="Calibri"/>
                <w:color w:val="000000"/>
                <w:szCs w:val="22"/>
                <w:lang w:val="en-US" w:eastAsia="en-US"/>
              </w:rPr>
              <w:t>Fruit and fruit products (-</w:t>
            </w:r>
            <w:r>
              <w:rPr>
                <w:rFonts w:cs="Calibri"/>
                <w:color w:val="000000"/>
                <w:szCs w:val="22"/>
                <w:lang w:val="en-US" w:eastAsia="en-US"/>
              </w:rPr>
              <w:t>32</w:t>
            </w:r>
            <w:r w:rsidRPr="000D5343">
              <w:rPr>
                <w:rFonts w:cs="Calibri"/>
                <w:color w:val="000000"/>
                <w:szCs w:val="22"/>
                <w:lang w:val="en-US" w:eastAsia="en-US"/>
              </w:rPr>
              <w:t xml:space="preserve"> kcal)</w:t>
            </w:r>
          </w:p>
        </w:tc>
      </w:tr>
      <w:tr w:rsidR="00F125B8" w:rsidRPr="004E5F26" w14:paraId="28CDB04F" w14:textId="77777777" w:rsidTr="007A0B17">
        <w:trPr>
          <w:trHeight w:val="57"/>
        </w:trPr>
        <w:tc>
          <w:tcPr>
            <w:tcW w:w="282" w:type="dxa"/>
            <w:shd w:val="clear" w:color="auto" w:fill="FFFFFF" w:themeFill="background1"/>
            <w:noWrap/>
            <w:vAlign w:val="center"/>
            <w:hideMark/>
          </w:tcPr>
          <w:p w14:paraId="2094E0C9" w14:textId="77777777" w:rsidR="00F125B8" w:rsidRPr="000D5343" w:rsidRDefault="00F125B8" w:rsidP="00F125B8">
            <w:pPr>
              <w:suppressAutoHyphens w:val="0"/>
              <w:spacing w:before="0" w:line="240" w:lineRule="auto"/>
              <w:jc w:val="left"/>
              <w:rPr>
                <w:rFonts w:cs="Calibri"/>
                <w:color w:val="000000"/>
                <w:sz w:val="2"/>
                <w:szCs w:val="2"/>
                <w:lang w:val="en-US" w:eastAsia="en-US"/>
              </w:rPr>
            </w:pPr>
          </w:p>
        </w:tc>
        <w:tc>
          <w:tcPr>
            <w:tcW w:w="4342" w:type="dxa"/>
            <w:tcBorders>
              <w:right w:val="single" w:sz="4" w:space="0" w:color="auto"/>
            </w:tcBorders>
            <w:shd w:val="clear" w:color="auto" w:fill="FFFFFF" w:themeFill="background1"/>
            <w:noWrap/>
            <w:vAlign w:val="center"/>
          </w:tcPr>
          <w:p w14:paraId="0A804E5F" w14:textId="77777777" w:rsidR="00F125B8" w:rsidRPr="000D5343" w:rsidRDefault="00F125B8" w:rsidP="00F125B8">
            <w:pPr>
              <w:suppressAutoHyphens w:val="0"/>
              <w:spacing w:before="0" w:line="240" w:lineRule="auto"/>
              <w:jc w:val="left"/>
              <w:rPr>
                <w:rFonts w:ascii="Times New Roman" w:hAnsi="Times New Roman"/>
                <w:sz w:val="2"/>
                <w:szCs w:val="2"/>
                <w:lang w:val="en-US" w:eastAsia="en-US"/>
              </w:rPr>
            </w:pPr>
          </w:p>
        </w:tc>
        <w:tc>
          <w:tcPr>
            <w:tcW w:w="191" w:type="dxa"/>
            <w:tcBorders>
              <w:left w:val="single" w:sz="4" w:space="0" w:color="auto"/>
            </w:tcBorders>
            <w:shd w:val="clear" w:color="auto" w:fill="FFFFFF" w:themeFill="background1"/>
          </w:tcPr>
          <w:p w14:paraId="0FB2FB97" w14:textId="77777777" w:rsidR="00F125B8" w:rsidRPr="000D5343" w:rsidRDefault="00F125B8" w:rsidP="00F125B8">
            <w:pPr>
              <w:suppressAutoHyphens w:val="0"/>
              <w:spacing w:before="0" w:line="240" w:lineRule="auto"/>
              <w:jc w:val="left"/>
              <w:rPr>
                <w:rFonts w:ascii="Times New Roman" w:hAnsi="Times New Roman"/>
                <w:sz w:val="2"/>
                <w:szCs w:val="2"/>
                <w:lang w:val="en-US" w:eastAsia="en-US"/>
              </w:rPr>
            </w:pPr>
          </w:p>
        </w:tc>
        <w:tc>
          <w:tcPr>
            <w:tcW w:w="283" w:type="dxa"/>
            <w:shd w:val="clear" w:color="auto" w:fill="FFFFFF" w:themeFill="background1"/>
            <w:vAlign w:val="center"/>
          </w:tcPr>
          <w:p w14:paraId="606A7684" w14:textId="77777777" w:rsidR="00F125B8" w:rsidRPr="000D5343" w:rsidRDefault="00F125B8" w:rsidP="00F125B8">
            <w:pPr>
              <w:suppressAutoHyphens w:val="0"/>
              <w:spacing w:before="0" w:line="240" w:lineRule="auto"/>
              <w:jc w:val="left"/>
              <w:rPr>
                <w:rFonts w:ascii="Times New Roman" w:hAnsi="Times New Roman"/>
                <w:sz w:val="2"/>
                <w:szCs w:val="2"/>
                <w:lang w:val="en-US" w:eastAsia="en-US"/>
              </w:rPr>
            </w:pPr>
          </w:p>
        </w:tc>
        <w:tc>
          <w:tcPr>
            <w:tcW w:w="4395" w:type="dxa"/>
            <w:shd w:val="clear" w:color="auto" w:fill="FFFFFF" w:themeFill="background1"/>
            <w:vAlign w:val="center"/>
          </w:tcPr>
          <w:p w14:paraId="6F519BAA" w14:textId="77777777" w:rsidR="00F125B8" w:rsidRPr="000D5343" w:rsidRDefault="00F125B8" w:rsidP="00F125B8">
            <w:pPr>
              <w:suppressAutoHyphens w:val="0"/>
              <w:spacing w:before="0" w:line="240" w:lineRule="auto"/>
              <w:jc w:val="left"/>
              <w:rPr>
                <w:rFonts w:ascii="Times New Roman" w:hAnsi="Times New Roman"/>
                <w:sz w:val="2"/>
                <w:szCs w:val="2"/>
                <w:lang w:val="en-US" w:eastAsia="en-US"/>
              </w:rPr>
            </w:pPr>
          </w:p>
        </w:tc>
      </w:tr>
      <w:tr w:rsidR="00F125B8" w:rsidRPr="00CD7FAE" w14:paraId="3814434F" w14:textId="77777777" w:rsidTr="00F125B8">
        <w:trPr>
          <w:trHeight w:val="283"/>
        </w:trPr>
        <w:tc>
          <w:tcPr>
            <w:tcW w:w="282" w:type="dxa"/>
            <w:shd w:val="clear" w:color="auto" w:fill="B40085"/>
            <w:noWrap/>
            <w:vAlign w:val="center"/>
            <w:hideMark/>
          </w:tcPr>
          <w:p w14:paraId="75F1A1BC" w14:textId="77777777" w:rsidR="00F125B8" w:rsidRPr="00F125B8" w:rsidRDefault="00F125B8" w:rsidP="00F125B8">
            <w:pPr>
              <w:suppressAutoHyphens w:val="0"/>
              <w:spacing w:before="0" w:line="240" w:lineRule="auto"/>
              <w:jc w:val="left"/>
              <w:rPr>
                <w:rFonts w:cs="Calibri"/>
                <w:color w:val="000000"/>
                <w:sz w:val="20"/>
                <w:lang w:val="en-US" w:eastAsia="en-US"/>
              </w:rPr>
            </w:pPr>
            <w:r w:rsidRPr="00F125B8">
              <w:rPr>
                <w:rFonts w:cs="Calibri"/>
                <w:color w:val="000000"/>
                <w:sz w:val="20"/>
                <w:lang w:val="en-US" w:eastAsia="en-US"/>
              </w:rPr>
              <w:t> </w:t>
            </w:r>
          </w:p>
        </w:tc>
        <w:tc>
          <w:tcPr>
            <w:tcW w:w="4342" w:type="dxa"/>
            <w:tcBorders>
              <w:right w:val="single" w:sz="4" w:space="0" w:color="auto"/>
            </w:tcBorders>
            <w:shd w:val="clear" w:color="auto" w:fill="FFFFFF" w:themeFill="background1"/>
            <w:noWrap/>
            <w:vAlign w:val="center"/>
          </w:tcPr>
          <w:p w14:paraId="51D69DBC" w14:textId="2E98C53A" w:rsidR="00F125B8" w:rsidRPr="00F125B8" w:rsidRDefault="00F125B8" w:rsidP="00F125B8">
            <w:pPr>
              <w:suppressAutoHyphens w:val="0"/>
              <w:spacing w:before="0" w:line="240" w:lineRule="auto"/>
              <w:jc w:val="left"/>
              <w:rPr>
                <w:rFonts w:cs="Calibri"/>
                <w:color w:val="000000"/>
                <w:szCs w:val="22"/>
                <w:lang w:eastAsia="en-US"/>
              </w:rPr>
            </w:pPr>
            <w:r w:rsidRPr="000D5343">
              <w:rPr>
                <w:rFonts w:cs="Calibri"/>
                <w:color w:val="000000"/>
                <w:szCs w:val="22"/>
                <w:lang w:eastAsia="en-US"/>
              </w:rPr>
              <w:t xml:space="preserve">Sugar </w:t>
            </w:r>
            <w:proofErr w:type="spellStart"/>
            <w:r w:rsidRPr="000D5343">
              <w:rPr>
                <w:rFonts w:cs="Calibri"/>
                <w:color w:val="000000"/>
                <w:szCs w:val="22"/>
                <w:lang w:eastAsia="en-US"/>
              </w:rPr>
              <w:t>products</w:t>
            </w:r>
            <w:proofErr w:type="spellEnd"/>
            <w:r w:rsidRPr="000D5343">
              <w:rPr>
                <w:rFonts w:cs="Calibri"/>
                <w:color w:val="000000"/>
                <w:szCs w:val="22"/>
                <w:lang w:eastAsia="en-US"/>
              </w:rPr>
              <w:t xml:space="preserve"> (+</w:t>
            </w:r>
            <w:r>
              <w:rPr>
                <w:rFonts w:cs="Calibri"/>
                <w:color w:val="000000"/>
                <w:szCs w:val="22"/>
                <w:lang w:eastAsia="en-US"/>
              </w:rPr>
              <w:t>68</w:t>
            </w:r>
            <w:r w:rsidRPr="000D5343">
              <w:rPr>
                <w:rFonts w:cs="Calibri"/>
                <w:color w:val="000000"/>
                <w:szCs w:val="22"/>
                <w:lang w:eastAsia="en-US"/>
              </w:rPr>
              <w:t xml:space="preserve"> kcal)</w:t>
            </w:r>
          </w:p>
        </w:tc>
        <w:tc>
          <w:tcPr>
            <w:tcW w:w="191" w:type="dxa"/>
            <w:tcBorders>
              <w:left w:val="single" w:sz="4" w:space="0" w:color="auto"/>
            </w:tcBorders>
            <w:shd w:val="clear" w:color="auto" w:fill="FFFFFF" w:themeFill="background1"/>
          </w:tcPr>
          <w:p w14:paraId="2F0A2F0C" w14:textId="77777777" w:rsidR="00F125B8" w:rsidRPr="000D5343" w:rsidRDefault="00F125B8" w:rsidP="00F125B8">
            <w:pPr>
              <w:suppressAutoHyphens w:val="0"/>
              <w:spacing w:before="0" w:line="240" w:lineRule="auto"/>
              <w:jc w:val="left"/>
              <w:rPr>
                <w:rFonts w:cs="Calibri"/>
                <w:color w:val="000000"/>
                <w:szCs w:val="22"/>
                <w:lang w:eastAsia="en-US"/>
              </w:rPr>
            </w:pPr>
          </w:p>
        </w:tc>
        <w:tc>
          <w:tcPr>
            <w:tcW w:w="283" w:type="dxa"/>
            <w:shd w:val="clear" w:color="auto" w:fill="FF6600"/>
            <w:vAlign w:val="center"/>
          </w:tcPr>
          <w:p w14:paraId="34BBBBAC" w14:textId="77777777" w:rsidR="00F125B8" w:rsidRPr="000D5343" w:rsidRDefault="00F125B8" w:rsidP="00F125B8">
            <w:pPr>
              <w:suppressAutoHyphens w:val="0"/>
              <w:spacing w:before="0" w:line="240" w:lineRule="auto"/>
              <w:jc w:val="left"/>
              <w:rPr>
                <w:rFonts w:cs="Calibri"/>
                <w:color w:val="000000"/>
                <w:szCs w:val="22"/>
                <w:lang w:eastAsia="en-US"/>
              </w:rPr>
            </w:pPr>
          </w:p>
        </w:tc>
        <w:tc>
          <w:tcPr>
            <w:tcW w:w="4395" w:type="dxa"/>
            <w:shd w:val="clear" w:color="auto" w:fill="FFFFFF" w:themeFill="background1"/>
            <w:vAlign w:val="center"/>
          </w:tcPr>
          <w:p w14:paraId="211B86EF" w14:textId="10B90DB7" w:rsidR="00F125B8" w:rsidRPr="000D5343" w:rsidRDefault="00F125B8" w:rsidP="00F125B8">
            <w:pPr>
              <w:suppressAutoHyphens w:val="0"/>
              <w:spacing w:before="0" w:line="240" w:lineRule="auto"/>
              <w:jc w:val="left"/>
              <w:rPr>
                <w:rFonts w:cs="Calibri"/>
                <w:color w:val="000000"/>
                <w:szCs w:val="22"/>
                <w:lang w:eastAsia="en-US"/>
              </w:rPr>
            </w:pPr>
            <w:r w:rsidRPr="000D5343">
              <w:rPr>
                <w:rFonts w:cs="Calibri"/>
                <w:color w:val="000000"/>
                <w:szCs w:val="22"/>
                <w:lang w:eastAsia="en-US"/>
              </w:rPr>
              <w:t>Juices (-</w:t>
            </w:r>
            <w:r>
              <w:rPr>
                <w:rFonts w:cs="Calibri"/>
                <w:color w:val="000000"/>
                <w:szCs w:val="22"/>
                <w:lang w:eastAsia="en-US"/>
              </w:rPr>
              <w:t>66</w:t>
            </w:r>
            <w:r w:rsidRPr="000D5343">
              <w:rPr>
                <w:rFonts w:cs="Calibri"/>
                <w:color w:val="000000"/>
                <w:szCs w:val="22"/>
                <w:lang w:eastAsia="en-US"/>
              </w:rPr>
              <w:t xml:space="preserve"> kcal)</w:t>
            </w:r>
          </w:p>
        </w:tc>
      </w:tr>
      <w:tr w:rsidR="00F125B8" w:rsidRPr="00CD7FAE" w14:paraId="275422F6" w14:textId="77777777" w:rsidTr="000D5343">
        <w:trPr>
          <w:trHeight w:val="57"/>
        </w:trPr>
        <w:tc>
          <w:tcPr>
            <w:tcW w:w="282" w:type="dxa"/>
            <w:shd w:val="clear" w:color="auto" w:fill="FFFFFF" w:themeFill="background1"/>
            <w:noWrap/>
            <w:vAlign w:val="center"/>
          </w:tcPr>
          <w:p w14:paraId="7C670849"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17B5C984"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191" w:type="dxa"/>
            <w:tcBorders>
              <w:left w:val="single" w:sz="4" w:space="0" w:color="auto"/>
            </w:tcBorders>
            <w:shd w:val="clear" w:color="auto" w:fill="FFFFFF" w:themeFill="background1"/>
          </w:tcPr>
          <w:p w14:paraId="0D02660E"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283" w:type="dxa"/>
            <w:shd w:val="clear" w:color="auto" w:fill="FFFFFF" w:themeFill="background1"/>
            <w:vAlign w:val="center"/>
          </w:tcPr>
          <w:p w14:paraId="3011E4D4"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4395" w:type="dxa"/>
            <w:shd w:val="clear" w:color="auto" w:fill="FFFFFF" w:themeFill="background1"/>
            <w:vAlign w:val="center"/>
          </w:tcPr>
          <w:p w14:paraId="39846644" w14:textId="77777777" w:rsidR="00F125B8" w:rsidRPr="00E608CB" w:rsidRDefault="00F125B8" w:rsidP="00F125B8">
            <w:pPr>
              <w:suppressAutoHyphens w:val="0"/>
              <w:spacing w:before="0" w:line="240" w:lineRule="auto"/>
              <w:jc w:val="left"/>
              <w:rPr>
                <w:rFonts w:cs="Calibri"/>
                <w:color w:val="000000"/>
                <w:sz w:val="2"/>
                <w:szCs w:val="2"/>
                <w:lang w:eastAsia="en-US"/>
              </w:rPr>
            </w:pPr>
          </w:p>
        </w:tc>
      </w:tr>
      <w:tr w:rsidR="00F125B8" w:rsidRPr="00CD7FAE" w14:paraId="366741BE" w14:textId="77777777" w:rsidTr="00F125B8">
        <w:trPr>
          <w:trHeight w:val="283"/>
        </w:trPr>
        <w:tc>
          <w:tcPr>
            <w:tcW w:w="282" w:type="dxa"/>
            <w:shd w:val="clear" w:color="auto" w:fill="82261C"/>
            <w:noWrap/>
            <w:vAlign w:val="center"/>
          </w:tcPr>
          <w:p w14:paraId="61CDEC31" w14:textId="77777777" w:rsidR="00F125B8" w:rsidRPr="00CD7FAE" w:rsidRDefault="00F125B8" w:rsidP="00F125B8">
            <w:pPr>
              <w:suppressAutoHyphens w:val="0"/>
              <w:spacing w:before="0" w:line="240" w:lineRule="auto"/>
              <w:jc w:val="left"/>
              <w:rPr>
                <w:rFonts w:cs="Calibri"/>
                <w:color w:val="000000"/>
                <w:sz w:val="20"/>
                <w:lang w:eastAsia="en-US"/>
              </w:rPr>
            </w:pPr>
          </w:p>
        </w:tc>
        <w:tc>
          <w:tcPr>
            <w:tcW w:w="4342" w:type="dxa"/>
            <w:tcBorders>
              <w:right w:val="single" w:sz="4" w:space="0" w:color="auto"/>
            </w:tcBorders>
            <w:shd w:val="clear" w:color="auto" w:fill="FFFFFF" w:themeFill="background1"/>
            <w:noWrap/>
            <w:vAlign w:val="center"/>
          </w:tcPr>
          <w:p w14:paraId="33EAEFD0" w14:textId="35D308BB" w:rsidR="00F125B8" w:rsidRPr="000D5343" w:rsidRDefault="00F125B8" w:rsidP="00F125B8">
            <w:pPr>
              <w:suppressAutoHyphens w:val="0"/>
              <w:spacing w:before="0" w:line="240" w:lineRule="auto"/>
              <w:jc w:val="left"/>
              <w:rPr>
                <w:rFonts w:cs="Calibri"/>
                <w:color w:val="000000"/>
                <w:szCs w:val="22"/>
                <w:lang w:eastAsia="en-US"/>
              </w:rPr>
            </w:pPr>
            <w:proofErr w:type="spellStart"/>
            <w:r w:rsidRPr="000D5343">
              <w:rPr>
                <w:rFonts w:cs="Calibri"/>
                <w:color w:val="000000"/>
                <w:szCs w:val="22"/>
                <w:lang w:eastAsia="en-US"/>
              </w:rPr>
              <w:t>Sauces</w:t>
            </w:r>
            <w:proofErr w:type="spellEnd"/>
            <w:r w:rsidRPr="000D5343">
              <w:rPr>
                <w:rFonts w:cs="Calibri"/>
                <w:color w:val="000000"/>
                <w:szCs w:val="22"/>
                <w:lang w:eastAsia="en-US"/>
              </w:rPr>
              <w:t xml:space="preserve"> (+</w:t>
            </w:r>
            <w:r>
              <w:rPr>
                <w:rFonts w:cs="Calibri"/>
                <w:color w:val="000000"/>
                <w:szCs w:val="22"/>
                <w:lang w:eastAsia="en-US"/>
              </w:rPr>
              <w:t>50</w:t>
            </w:r>
            <w:r w:rsidRPr="000D5343">
              <w:rPr>
                <w:rFonts w:cs="Calibri"/>
                <w:color w:val="000000"/>
                <w:szCs w:val="22"/>
                <w:lang w:eastAsia="en-US"/>
              </w:rPr>
              <w:t xml:space="preserve"> kcal)</w:t>
            </w:r>
          </w:p>
        </w:tc>
        <w:tc>
          <w:tcPr>
            <w:tcW w:w="191" w:type="dxa"/>
            <w:tcBorders>
              <w:left w:val="single" w:sz="4" w:space="0" w:color="auto"/>
            </w:tcBorders>
            <w:shd w:val="clear" w:color="auto" w:fill="FFFFFF" w:themeFill="background1"/>
          </w:tcPr>
          <w:p w14:paraId="513D15AF" w14:textId="77777777" w:rsidR="00F125B8" w:rsidRPr="000D5343" w:rsidRDefault="00F125B8" w:rsidP="00F125B8">
            <w:pPr>
              <w:suppressAutoHyphens w:val="0"/>
              <w:spacing w:before="0" w:line="240" w:lineRule="auto"/>
              <w:jc w:val="left"/>
              <w:rPr>
                <w:rFonts w:cs="Calibri"/>
                <w:color w:val="000000"/>
                <w:szCs w:val="22"/>
                <w:lang w:eastAsia="en-US"/>
              </w:rPr>
            </w:pPr>
          </w:p>
        </w:tc>
        <w:tc>
          <w:tcPr>
            <w:tcW w:w="283" w:type="dxa"/>
            <w:shd w:val="clear" w:color="auto" w:fill="FFFFFF" w:themeFill="background1"/>
            <w:vAlign w:val="center"/>
          </w:tcPr>
          <w:p w14:paraId="2F75B34A" w14:textId="77777777" w:rsidR="00F125B8" w:rsidRPr="000D5343" w:rsidRDefault="00F125B8" w:rsidP="00F125B8">
            <w:pPr>
              <w:suppressAutoHyphens w:val="0"/>
              <w:spacing w:before="0" w:line="240" w:lineRule="auto"/>
              <w:jc w:val="left"/>
              <w:rPr>
                <w:rFonts w:cs="Calibri"/>
                <w:color w:val="000000"/>
                <w:szCs w:val="22"/>
                <w:lang w:eastAsia="en-US"/>
              </w:rPr>
            </w:pPr>
          </w:p>
        </w:tc>
        <w:tc>
          <w:tcPr>
            <w:tcW w:w="4395" w:type="dxa"/>
            <w:shd w:val="clear" w:color="auto" w:fill="FFFFFF" w:themeFill="background1"/>
            <w:vAlign w:val="center"/>
          </w:tcPr>
          <w:p w14:paraId="516BFA1E" w14:textId="6916D7A6" w:rsidR="00F125B8" w:rsidRPr="000D5343" w:rsidRDefault="00F125B8" w:rsidP="00F125B8">
            <w:pPr>
              <w:suppressAutoHyphens w:val="0"/>
              <w:spacing w:before="0" w:line="240" w:lineRule="auto"/>
              <w:jc w:val="left"/>
              <w:rPr>
                <w:rFonts w:cs="Calibri"/>
                <w:color w:val="000000"/>
                <w:szCs w:val="22"/>
                <w:lang w:eastAsia="en-US"/>
              </w:rPr>
            </w:pPr>
          </w:p>
        </w:tc>
      </w:tr>
      <w:tr w:rsidR="00F125B8" w:rsidRPr="00CD7FAE" w14:paraId="155F1B1D" w14:textId="77777777" w:rsidTr="000D5343">
        <w:trPr>
          <w:trHeight w:val="57"/>
        </w:trPr>
        <w:tc>
          <w:tcPr>
            <w:tcW w:w="282" w:type="dxa"/>
            <w:shd w:val="clear" w:color="auto" w:fill="FFFFFF" w:themeFill="background1"/>
            <w:noWrap/>
            <w:vAlign w:val="center"/>
          </w:tcPr>
          <w:p w14:paraId="3251DEA1"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09D6A0B5"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191" w:type="dxa"/>
            <w:tcBorders>
              <w:left w:val="single" w:sz="4" w:space="0" w:color="auto"/>
            </w:tcBorders>
            <w:shd w:val="clear" w:color="auto" w:fill="FFFFFF" w:themeFill="background1"/>
          </w:tcPr>
          <w:p w14:paraId="5A598E41"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283" w:type="dxa"/>
            <w:shd w:val="clear" w:color="auto" w:fill="FFFFFF" w:themeFill="background1"/>
            <w:vAlign w:val="center"/>
          </w:tcPr>
          <w:p w14:paraId="38B33432"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4395" w:type="dxa"/>
            <w:shd w:val="clear" w:color="auto" w:fill="FFFFFF" w:themeFill="background1"/>
            <w:vAlign w:val="center"/>
          </w:tcPr>
          <w:p w14:paraId="4DE6412C" w14:textId="77777777" w:rsidR="00F125B8" w:rsidRPr="00E608CB" w:rsidRDefault="00F125B8" w:rsidP="00F125B8">
            <w:pPr>
              <w:suppressAutoHyphens w:val="0"/>
              <w:spacing w:before="0" w:line="240" w:lineRule="auto"/>
              <w:jc w:val="left"/>
              <w:rPr>
                <w:rFonts w:cs="Calibri"/>
                <w:color w:val="000000"/>
                <w:sz w:val="2"/>
                <w:szCs w:val="2"/>
                <w:lang w:eastAsia="en-US"/>
              </w:rPr>
            </w:pPr>
          </w:p>
        </w:tc>
      </w:tr>
      <w:tr w:rsidR="00F125B8" w:rsidRPr="00CD7FAE" w14:paraId="2B9F589E" w14:textId="77777777" w:rsidTr="00F125B8">
        <w:trPr>
          <w:trHeight w:val="283"/>
        </w:trPr>
        <w:tc>
          <w:tcPr>
            <w:tcW w:w="282" w:type="dxa"/>
            <w:shd w:val="clear" w:color="auto" w:fill="FFC000"/>
            <w:noWrap/>
            <w:vAlign w:val="center"/>
          </w:tcPr>
          <w:p w14:paraId="7C9FF11D" w14:textId="77777777" w:rsidR="00F125B8" w:rsidRPr="00CD7FAE" w:rsidRDefault="00F125B8" w:rsidP="00F125B8">
            <w:pPr>
              <w:suppressAutoHyphens w:val="0"/>
              <w:spacing w:before="0" w:line="240" w:lineRule="auto"/>
              <w:jc w:val="left"/>
              <w:rPr>
                <w:rFonts w:cs="Calibri"/>
                <w:color w:val="000000"/>
                <w:sz w:val="20"/>
                <w:lang w:eastAsia="en-US"/>
              </w:rPr>
            </w:pPr>
          </w:p>
        </w:tc>
        <w:tc>
          <w:tcPr>
            <w:tcW w:w="4342" w:type="dxa"/>
            <w:tcBorders>
              <w:right w:val="single" w:sz="4" w:space="0" w:color="auto"/>
            </w:tcBorders>
            <w:shd w:val="clear" w:color="auto" w:fill="FFFFFF" w:themeFill="background1"/>
            <w:noWrap/>
            <w:vAlign w:val="center"/>
          </w:tcPr>
          <w:p w14:paraId="1EF1CD9D" w14:textId="7C02AC6C" w:rsidR="00F125B8" w:rsidRPr="00E608CB" w:rsidRDefault="00F125B8" w:rsidP="00F125B8">
            <w:pPr>
              <w:suppressAutoHyphens w:val="0"/>
              <w:spacing w:before="0" w:line="240" w:lineRule="auto"/>
              <w:jc w:val="left"/>
              <w:rPr>
                <w:rFonts w:cs="Calibri"/>
                <w:color w:val="000000"/>
                <w:szCs w:val="22"/>
                <w:lang w:eastAsia="en-US"/>
              </w:rPr>
            </w:pPr>
            <w:proofErr w:type="spellStart"/>
            <w:r w:rsidRPr="00F125B8">
              <w:rPr>
                <w:rFonts w:cs="Calibri"/>
                <w:color w:val="000000"/>
                <w:szCs w:val="22"/>
                <w:lang w:eastAsia="en-US"/>
              </w:rPr>
              <w:t>Fats</w:t>
            </w:r>
            <w:proofErr w:type="spellEnd"/>
            <w:r w:rsidRPr="00F125B8">
              <w:rPr>
                <w:rFonts w:cs="Calibri"/>
                <w:color w:val="000000"/>
                <w:szCs w:val="22"/>
                <w:lang w:eastAsia="en-US"/>
              </w:rPr>
              <w:t xml:space="preserve"> and </w:t>
            </w:r>
            <w:proofErr w:type="spellStart"/>
            <w:r w:rsidRPr="00F125B8">
              <w:rPr>
                <w:rFonts w:cs="Calibri"/>
                <w:color w:val="000000"/>
                <w:szCs w:val="22"/>
                <w:lang w:eastAsia="en-US"/>
              </w:rPr>
              <w:t>oils</w:t>
            </w:r>
            <w:proofErr w:type="spellEnd"/>
            <w:r w:rsidRPr="00F125B8">
              <w:rPr>
                <w:rFonts w:cs="Calibri"/>
                <w:color w:val="000000"/>
                <w:szCs w:val="22"/>
                <w:lang w:eastAsia="en-US"/>
              </w:rPr>
              <w:t xml:space="preserve"> (+</w:t>
            </w:r>
            <w:r>
              <w:rPr>
                <w:rFonts w:cs="Calibri"/>
                <w:color w:val="000000"/>
                <w:szCs w:val="22"/>
                <w:lang w:eastAsia="en-US"/>
              </w:rPr>
              <w:t>40</w:t>
            </w:r>
            <w:r w:rsidRPr="00F125B8">
              <w:rPr>
                <w:rFonts w:cs="Calibri"/>
                <w:color w:val="000000"/>
                <w:szCs w:val="22"/>
                <w:lang w:eastAsia="en-US"/>
              </w:rPr>
              <w:t xml:space="preserve"> kcal)</w:t>
            </w:r>
          </w:p>
        </w:tc>
        <w:tc>
          <w:tcPr>
            <w:tcW w:w="191" w:type="dxa"/>
            <w:tcBorders>
              <w:left w:val="single" w:sz="4" w:space="0" w:color="auto"/>
            </w:tcBorders>
            <w:shd w:val="clear" w:color="auto" w:fill="FFFFFF" w:themeFill="background1"/>
          </w:tcPr>
          <w:p w14:paraId="6B72E8E4" w14:textId="77777777" w:rsidR="00F125B8" w:rsidRPr="00E608CB" w:rsidRDefault="00F125B8" w:rsidP="00F125B8">
            <w:pPr>
              <w:suppressAutoHyphens w:val="0"/>
              <w:spacing w:before="0" w:line="240" w:lineRule="auto"/>
              <w:jc w:val="left"/>
              <w:rPr>
                <w:rFonts w:cs="Calibri"/>
                <w:color w:val="000000"/>
                <w:szCs w:val="22"/>
                <w:lang w:eastAsia="en-US"/>
              </w:rPr>
            </w:pPr>
          </w:p>
        </w:tc>
        <w:tc>
          <w:tcPr>
            <w:tcW w:w="283" w:type="dxa"/>
            <w:shd w:val="clear" w:color="auto" w:fill="FFFFFF" w:themeFill="background1"/>
            <w:vAlign w:val="center"/>
          </w:tcPr>
          <w:p w14:paraId="325D5463" w14:textId="77777777" w:rsidR="00F125B8" w:rsidRPr="00E608CB" w:rsidRDefault="00F125B8" w:rsidP="00F125B8">
            <w:pPr>
              <w:suppressAutoHyphens w:val="0"/>
              <w:spacing w:before="0" w:line="240" w:lineRule="auto"/>
              <w:jc w:val="left"/>
              <w:rPr>
                <w:rFonts w:cs="Calibri"/>
                <w:color w:val="000000"/>
                <w:szCs w:val="22"/>
                <w:lang w:eastAsia="en-US"/>
              </w:rPr>
            </w:pPr>
          </w:p>
        </w:tc>
        <w:tc>
          <w:tcPr>
            <w:tcW w:w="4395" w:type="dxa"/>
            <w:shd w:val="clear" w:color="auto" w:fill="FFFFFF" w:themeFill="background1"/>
            <w:vAlign w:val="center"/>
          </w:tcPr>
          <w:p w14:paraId="417B209F" w14:textId="77777777" w:rsidR="00F125B8" w:rsidRPr="00E608CB" w:rsidRDefault="00F125B8" w:rsidP="00F125B8">
            <w:pPr>
              <w:suppressAutoHyphens w:val="0"/>
              <w:spacing w:before="0" w:line="240" w:lineRule="auto"/>
              <w:jc w:val="left"/>
              <w:rPr>
                <w:rFonts w:cs="Calibri"/>
                <w:color w:val="000000"/>
                <w:szCs w:val="22"/>
                <w:lang w:eastAsia="en-US"/>
              </w:rPr>
            </w:pPr>
          </w:p>
        </w:tc>
      </w:tr>
      <w:tr w:rsidR="00F125B8" w:rsidRPr="00CD7FAE" w14:paraId="49906296" w14:textId="77777777" w:rsidTr="000D5343">
        <w:trPr>
          <w:trHeight w:val="57"/>
        </w:trPr>
        <w:tc>
          <w:tcPr>
            <w:tcW w:w="282" w:type="dxa"/>
            <w:shd w:val="clear" w:color="auto" w:fill="auto"/>
            <w:noWrap/>
            <w:vAlign w:val="center"/>
          </w:tcPr>
          <w:p w14:paraId="40405345" w14:textId="77777777" w:rsidR="00F125B8" w:rsidRPr="000D5343" w:rsidRDefault="00F125B8" w:rsidP="00F125B8">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7EC74BD7" w14:textId="77777777" w:rsidR="00F125B8" w:rsidRPr="000D5343" w:rsidRDefault="00F125B8" w:rsidP="00F125B8">
            <w:pPr>
              <w:suppressAutoHyphens w:val="0"/>
              <w:spacing w:before="0" w:line="240" w:lineRule="auto"/>
              <w:jc w:val="left"/>
              <w:rPr>
                <w:rFonts w:cs="Calibri"/>
                <w:color w:val="000000"/>
                <w:sz w:val="2"/>
                <w:szCs w:val="2"/>
                <w:lang w:eastAsia="en-US"/>
              </w:rPr>
            </w:pPr>
          </w:p>
        </w:tc>
        <w:tc>
          <w:tcPr>
            <w:tcW w:w="191" w:type="dxa"/>
            <w:tcBorders>
              <w:left w:val="single" w:sz="4" w:space="0" w:color="auto"/>
            </w:tcBorders>
            <w:shd w:val="clear" w:color="auto" w:fill="FFFFFF" w:themeFill="background1"/>
          </w:tcPr>
          <w:p w14:paraId="3EB565C6" w14:textId="77777777" w:rsidR="00F125B8" w:rsidRPr="000D5343" w:rsidRDefault="00F125B8" w:rsidP="00F125B8">
            <w:pPr>
              <w:suppressAutoHyphens w:val="0"/>
              <w:spacing w:before="0" w:line="240" w:lineRule="auto"/>
              <w:jc w:val="left"/>
              <w:rPr>
                <w:rFonts w:cs="Calibri"/>
                <w:color w:val="000000"/>
                <w:sz w:val="2"/>
                <w:szCs w:val="2"/>
                <w:lang w:eastAsia="en-US"/>
              </w:rPr>
            </w:pPr>
          </w:p>
        </w:tc>
        <w:tc>
          <w:tcPr>
            <w:tcW w:w="283" w:type="dxa"/>
            <w:shd w:val="clear" w:color="auto" w:fill="FFFFFF" w:themeFill="background1"/>
            <w:vAlign w:val="center"/>
          </w:tcPr>
          <w:p w14:paraId="500E41B5" w14:textId="77777777" w:rsidR="00F125B8" w:rsidRPr="000D5343" w:rsidRDefault="00F125B8" w:rsidP="00F125B8">
            <w:pPr>
              <w:suppressAutoHyphens w:val="0"/>
              <w:spacing w:before="0" w:line="240" w:lineRule="auto"/>
              <w:jc w:val="left"/>
              <w:rPr>
                <w:rFonts w:cs="Calibri"/>
                <w:color w:val="000000"/>
                <w:sz w:val="2"/>
                <w:szCs w:val="2"/>
                <w:lang w:eastAsia="en-US"/>
              </w:rPr>
            </w:pPr>
          </w:p>
        </w:tc>
        <w:tc>
          <w:tcPr>
            <w:tcW w:w="4395" w:type="dxa"/>
            <w:shd w:val="clear" w:color="auto" w:fill="FFFFFF" w:themeFill="background1"/>
            <w:vAlign w:val="center"/>
          </w:tcPr>
          <w:p w14:paraId="4DFBA25B" w14:textId="77777777" w:rsidR="00F125B8" w:rsidRPr="000D5343" w:rsidRDefault="00F125B8" w:rsidP="00F125B8">
            <w:pPr>
              <w:suppressAutoHyphens w:val="0"/>
              <w:spacing w:before="0" w:line="240" w:lineRule="auto"/>
              <w:jc w:val="left"/>
              <w:rPr>
                <w:rFonts w:cs="Calibri"/>
                <w:color w:val="000000"/>
                <w:sz w:val="2"/>
                <w:szCs w:val="2"/>
                <w:lang w:eastAsia="en-US"/>
              </w:rPr>
            </w:pPr>
          </w:p>
        </w:tc>
      </w:tr>
      <w:tr w:rsidR="00F125B8" w:rsidRPr="000D5343" w14:paraId="79DA9E0D" w14:textId="77777777" w:rsidTr="007A0B17">
        <w:trPr>
          <w:gridAfter w:val="3"/>
          <w:wAfter w:w="4869" w:type="dxa"/>
          <w:trHeight w:val="283"/>
        </w:trPr>
        <w:tc>
          <w:tcPr>
            <w:tcW w:w="282" w:type="dxa"/>
            <w:shd w:val="clear" w:color="auto" w:fill="1E4E79"/>
            <w:noWrap/>
            <w:vAlign w:val="center"/>
            <w:hideMark/>
          </w:tcPr>
          <w:p w14:paraId="08A70446" w14:textId="77777777" w:rsidR="00F125B8" w:rsidRPr="000D5343" w:rsidRDefault="00F125B8" w:rsidP="00F125B8">
            <w:pPr>
              <w:suppressAutoHyphens w:val="0"/>
              <w:spacing w:before="0" w:line="240" w:lineRule="auto"/>
              <w:jc w:val="left"/>
              <w:rPr>
                <w:rFonts w:cs="Calibri"/>
                <w:color w:val="000000"/>
                <w:sz w:val="20"/>
                <w:lang w:eastAsia="en-US"/>
              </w:rPr>
            </w:pPr>
            <w:r w:rsidRPr="000D5343">
              <w:rPr>
                <w:rFonts w:cs="Calibri"/>
                <w:color w:val="000000"/>
                <w:sz w:val="20"/>
                <w:lang w:eastAsia="en-US"/>
              </w:rPr>
              <w:t> </w:t>
            </w:r>
          </w:p>
        </w:tc>
        <w:tc>
          <w:tcPr>
            <w:tcW w:w="4342" w:type="dxa"/>
            <w:tcBorders>
              <w:right w:val="single" w:sz="4" w:space="0" w:color="auto"/>
            </w:tcBorders>
            <w:shd w:val="clear" w:color="auto" w:fill="FFFFFF" w:themeFill="background1"/>
            <w:noWrap/>
            <w:vAlign w:val="center"/>
          </w:tcPr>
          <w:p w14:paraId="0A5BABCD" w14:textId="0D9D97CF" w:rsidR="00F125B8" w:rsidRPr="000D5343" w:rsidRDefault="00F125B8" w:rsidP="00F125B8">
            <w:pPr>
              <w:suppressAutoHyphens w:val="0"/>
              <w:spacing w:before="0" w:line="240" w:lineRule="auto"/>
              <w:jc w:val="left"/>
              <w:rPr>
                <w:rFonts w:cs="Calibri"/>
                <w:color w:val="000000"/>
                <w:szCs w:val="22"/>
                <w:lang w:eastAsia="en-US"/>
              </w:rPr>
            </w:pPr>
            <w:r w:rsidRPr="000D5343">
              <w:rPr>
                <w:rFonts w:cs="Calibri"/>
                <w:color w:val="000000"/>
                <w:szCs w:val="22"/>
                <w:lang w:eastAsia="en-US"/>
              </w:rPr>
              <w:t xml:space="preserve">Fish </w:t>
            </w:r>
            <w:proofErr w:type="spellStart"/>
            <w:r w:rsidRPr="000D5343">
              <w:rPr>
                <w:rFonts w:cs="Calibri"/>
                <w:color w:val="000000"/>
                <w:szCs w:val="22"/>
                <w:lang w:eastAsia="en-US"/>
              </w:rPr>
              <w:t>products</w:t>
            </w:r>
            <w:proofErr w:type="spellEnd"/>
            <w:r w:rsidRPr="000D5343">
              <w:rPr>
                <w:rFonts w:cs="Calibri"/>
                <w:color w:val="000000"/>
                <w:szCs w:val="22"/>
                <w:lang w:eastAsia="en-US"/>
              </w:rPr>
              <w:t xml:space="preserve"> (+</w:t>
            </w:r>
            <w:r>
              <w:rPr>
                <w:rFonts w:cs="Calibri"/>
                <w:color w:val="000000"/>
                <w:szCs w:val="22"/>
                <w:lang w:eastAsia="en-US"/>
              </w:rPr>
              <w:t>40</w:t>
            </w:r>
            <w:r w:rsidRPr="000D5343">
              <w:rPr>
                <w:rFonts w:cs="Calibri"/>
                <w:color w:val="000000"/>
                <w:szCs w:val="22"/>
                <w:lang w:eastAsia="en-US"/>
              </w:rPr>
              <w:t xml:space="preserve"> kcal)</w:t>
            </w:r>
          </w:p>
        </w:tc>
      </w:tr>
      <w:tr w:rsidR="00F125B8" w:rsidRPr="00362131" w14:paraId="274F8DED" w14:textId="77777777" w:rsidTr="007A0B17">
        <w:trPr>
          <w:gridAfter w:val="3"/>
          <w:wAfter w:w="4869" w:type="dxa"/>
          <w:trHeight w:val="57"/>
        </w:trPr>
        <w:tc>
          <w:tcPr>
            <w:tcW w:w="282" w:type="dxa"/>
            <w:shd w:val="clear" w:color="auto" w:fill="FFFFFF" w:themeFill="background1"/>
            <w:noWrap/>
            <w:vAlign w:val="center"/>
            <w:hideMark/>
          </w:tcPr>
          <w:p w14:paraId="52EE5CF8"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c>
          <w:tcPr>
            <w:tcW w:w="4342" w:type="dxa"/>
            <w:tcBorders>
              <w:right w:val="single" w:sz="4" w:space="0" w:color="auto"/>
            </w:tcBorders>
            <w:shd w:val="clear" w:color="auto" w:fill="FFFFFF" w:themeFill="background1"/>
            <w:noWrap/>
            <w:vAlign w:val="center"/>
          </w:tcPr>
          <w:p w14:paraId="1D7186DD"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r>
      <w:tr w:rsidR="00F125B8" w:rsidRPr="000D5343" w14:paraId="179B48BC" w14:textId="77777777" w:rsidTr="00F125B8">
        <w:trPr>
          <w:gridAfter w:val="3"/>
          <w:wAfter w:w="4869" w:type="dxa"/>
          <w:trHeight w:val="283"/>
        </w:trPr>
        <w:tc>
          <w:tcPr>
            <w:tcW w:w="282" w:type="dxa"/>
            <w:shd w:val="clear" w:color="auto" w:fill="661427"/>
            <w:noWrap/>
            <w:vAlign w:val="center"/>
          </w:tcPr>
          <w:p w14:paraId="32047512" w14:textId="0AE2B5E1" w:rsidR="00F125B8" w:rsidRPr="000D5343" w:rsidRDefault="00F125B8" w:rsidP="00F125B8">
            <w:pPr>
              <w:suppressAutoHyphens w:val="0"/>
              <w:spacing w:before="0" w:line="240" w:lineRule="auto"/>
              <w:jc w:val="left"/>
              <w:rPr>
                <w:rFonts w:cs="Calibri"/>
                <w:color w:val="000000"/>
                <w:sz w:val="20"/>
                <w:lang w:eastAsia="en-US"/>
              </w:rPr>
            </w:pPr>
          </w:p>
        </w:tc>
        <w:tc>
          <w:tcPr>
            <w:tcW w:w="4342" w:type="dxa"/>
            <w:tcBorders>
              <w:right w:val="single" w:sz="4" w:space="0" w:color="auto"/>
            </w:tcBorders>
            <w:shd w:val="clear" w:color="auto" w:fill="FFFFFF" w:themeFill="background1"/>
            <w:noWrap/>
            <w:vAlign w:val="center"/>
          </w:tcPr>
          <w:p w14:paraId="700C0150" w14:textId="48CA3531" w:rsidR="00F125B8" w:rsidRPr="000D5343" w:rsidRDefault="00F125B8" w:rsidP="00F125B8">
            <w:pPr>
              <w:suppressAutoHyphens w:val="0"/>
              <w:spacing w:before="0" w:line="240" w:lineRule="auto"/>
              <w:jc w:val="left"/>
              <w:rPr>
                <w:rFonts w:cs="Calibri"/>
                <w:color w:val="000000"/>
                <w:szCs w:val="22"/>
                <w:lang w:eastAsia="en-US"/>
              </w:rPr>
            </w:pPr>
            <w:r w:rsidRPr="000D5343">
              <w:rPr>
                <w:rFonts w:cs="Calibri"/>
                <w:color w:val="000000"/>
                <w:szCs w:val="22"/>
                <w:lang w:eastAsia="en-US"/>
              </w:rPr>
              <w:t xml:space="preserve">Meat </w:t>
            </w:r>
            <w:proofErr w:type="spellStart"/>
            <w:r w:rsidRPr="000D5343">
              <w:rPr>
                <w:rFonts w:cs="Calibri"/>
                <w:color w:val="000000"/>
                <w:szCs w:val="22"/>
                <w:lang w:eastAsia="en-US"/>
              </w:rPr>
              <w:t>products</w:t>
            </w:r>
            <w:proofErr w:type="spellEnd"/>
            <w:r w:rsidRPr="000D5343">
              <w:rPr>
                <w:rFonts w:cs="Calibri"/>
                <w:color w:val="000000"/>
                <w:szCs w:val="22"/>
                <w:lang w:eastAsia="en-US"/>
              </w:rPr>
              <w:t xml:space="preserve"> (</w:t>
            </w:r>
            <w:r>
              <w:rPr>
                <w:rFonts w:cs="Calibri"/>
                <w:color w:val="000000"/>
                <w:szCs w:val="22"/>
                <w:lang w:eastAsia="en-US"/>
              </w:rPr>
              <w:t>+29</w:t>
            </w:r>
            <w:r w:rsidRPr="000D5343">
              <w:rPr>
                <w:rFonts w:cs="Calibri"/>
                <w:color w:val="000000"/>
                <w:szCs w:val="22"/>
                <w:lang w:eastAsia="en-US"/>
              </w:rPr>
              <w:t xml:space="preserve"> kcal)</w:t>
            </w:r>
          </w:p>
        </w:tc>
      </w:tr>
      <w:tr w:rsidR="00F125B8" w:rsidRPr="00362131" w14:paraId="2B4C3960" w14:textId="77777777" w:rsidTr="007A0B17">
        <w:trPr>
          <w:gridAfter w:val="3"/>
          <w:wAfter w:w="4869" w:type="dxa"/>
          <w:trHeight w:val="57"/>
        </w:trPr>
        <w:tc>
          <w:tcPr>
            <w:tcW w:w="282" w:type="dxa"/>
            <w:shd w:val="clear" w:color="auto" w:fill="FFFFFF" w:themeFill="background1"/>
            <w:noWrap/>
            <w:vAlign w:val="center"/>
            <w:hideMark/>
          </w:tcPr>
          <w:p w14:paraId="3B4212B6"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c>
          <w:tcPr>
            <w:tcW w:w="4342" w:type="dxa"/>
            <w:tcBorders>
              <w:right w:val="single" w:sz="4" w:space="0" w:color="auto"/>
            </w:tcBorders>
            <w:shd w:val="clear" w:color="auto" w:fill="FFFFFF" w:themeFill="background1"/>
            <w:noWrap/>
            <w:vAlign w:val="center"/>
          </w:tcPr>
          <w:p w14:paraId="70D4B5B8" w14:textId="77777777" w:rsidR="00F125B8" w:rsidRPr="00362131" w:rsidRDefault="00F125B8" w:rsidP="00F125B8">
            <w:pPr>
              <w:suppressAutoHyphens w:val="0"/>
              <w:spacing w:before="0" w:line="240" w:lineRule="auto"/>
              <w:jc w:val="left"/>
              <w:rPr>
                <w:rFonts w:ascii="Times New Roman" w:hAnsi="Times New Roman"/>
                <w:sz w:val="2"/>
                <w:szCs w:val="2"/>
                <w:lang w:eastAsia="en-US"/>
              </w:rPr>
            </w:pPr>
          </w:p>
        </w:tc>
      </w:tr>
      <w:tr w:rsidR="00F125B8" w:rsidRPr="000D5343" w14:paraId="7E5F2189" w14:textId="77777777" w:rsidTr="00F125B8">
        <w:trPr>
          <w:gridAfter w:val="3"/>
          <w:wAfter w:w="4869" w:type="dxa"/>
          <w:trHeight w:val="283"/>
        </w:trPr>
        <w:tc>
          <w:tcPr>
            <w:tcW w:w="282" w:type="dxa"/>
            <w:shd w:val="clear" w:color="auto" w:fill="9DC3E6"/>
            <w:noWrap/>
            <w:vAlign w:val="center"/>
            <w:hideMark/>
          </w:tcPr>
          <w:p w14:paraId="2641D026" w14:textId="77777777" w:rsidR="00F125B8" w:rsidRPr="000D5343" w:rsidRDefault="00F125B8" w:rsidP="00F125B8">
            <w:pPr>
              <w:suppressAutoHyphens w:val="0"/>
              <w:spacing w:before="0" w:line="240" w:lineRule="auto"/>
              <w:jc w:val="left"/>
              <w:rPr>
                <w:rFonts w:cs="Calibri"/>
                <w:color w:val="000000"/>
                <w:sz w:val="20"/>
                <w:lang w:eastAsia="en-US"/>
              </w:rPr>
            </w:pPr>
            <w:r w:rsidRPr="000D5343">
              <w:rPr>
                <w:rFonts w:cs="Calibri"/>
                <w:color w:val="000000"/>
                <w:sz w:val="20"/>
                <w:lang w:eastAsia="en-US"/>
              </w:rPr>
              <w:t> </w:t>
            </w:r>
          </w:p>
        </w:tc>
        <w:tc>
          <w:tcPr>
            <w:tcW w:w="4342" w:type="dxa"/>
            <w:tcBorders>
              <w:right w:val="single" w:sz="4" w:space="0" w:color="auto"/>
            </w:tcBorders>
            <w:shd w:val="clear" w:color="auto" w:fill="FFFFFF" w:themeFill="background1"/>
            <w:noWrap/>
            <w:vAlign w:val="center"/>
          </w:tcPr>
          <w:p w14:paraId="45DB0517" w14:textId="760FF52B" w:rsidR="00F125B8" w:rsidRPr="000D5343" w:rsidRDefault="00F125B8" w:rsidP="00F125B8">
            <w:pPr>
              <w:suppressAutoHyphens w:val="0"/>
              <w:spacing w:before="0" w:line="240" w:lineRule="auto"/>
              <w:jc w:val="left"/>
              <w:rPr>
                <w:rFonts w:cs="Calibri"/>
                <w:color w:val="000000"/>
                <w:szCs w:val="22"/>
                <w:lang w:eastAsia="en-US"/>
              </w:rPr>
            </w:pPr>
            <w:r w:rsidRPr="000D5343">
              <w:rPr>
                <w:rFonts w:cs="Calibri"/>
                <w:color w:val="000000"/>
                <w:szCs w:val="22"/>
                <w:lang w:eastAsia="en-US"/>
              </w:rPr>
              <w:t xml:space="preserve">Egg </w:t>
            </w:r>
            <w:proofErr w:type="spellStart"/>
            <w:r w:rsidRPr="000D5343">
              <w:rPr>
                <w:rFonts w:cs="Calibri"/>
                <w:color w:val="000000"/>
                <w:szCs w:val="22"/>
                <w:lang w:eastAsia="en-US"/>
              </w:rPr>
              <w:t>products</w:t>
            </w:r>
            <w:proofErr w:type="spellEnd"/>
            <w:r w:rsidRPr="000D5343">
              <w:rPr>
                <w:rFonts w:cs="Calibri"/>
                <w:color w:val="000000"/>
                <w:szCs w:val="22"/>
                <w:lang w:eastAsia="en-US"/>
              </w:rPr>
              <w:t xml:space="preserve"> (+</w:t>
            </w:r>
            <w:r>
              <w:rPr>
                <w:rFonts w:cs="Calibri"/>
                <w:color w:val="000000"/>
                <w:szCs w:val="22"/>
                <w:lang w:eastAsia="en-US"/>
              </w:rPr>
              <w:t>27</w:t>
            </w:r>
            <w:r w:rsidRPr="000D5343">
              <w:rPr>
                <w:rFonts w:cs="Calibri"/>
                <w:color w:val="000000"/>
                <w:szCs w:val="22"/>
                <w:lang w:eastAsia="en-US"/>
              </w:rPr>
              <w:t xml:space="preserve"> kcal)</w:t>
            </w:r>
          </w:p>
        </w:tc>
      </w:tr>
      <w:tr w:rsidR="00F125B8" w:rsidRPr="000D5343" w14:paraId="44580956" w14:textId="77777777" w:rsidTr="007A0B17">
        <w:trPr>
          <w:gridAfter w:val="3"/>
          <w:wAfter w:w="4869" w:type="dxa"/>
          <w:trHeight w:val="57"/>
        </w:trPr>
        <w:tc>
          <w:tcPr>
            <w:tcW w:w="282" w:type="dxa"/>
            <w:shd w:val="clear" w:color="auto" w:fill="FFFFFF" w:themeFill="background1"/>
            <w:noWrap/>
            <w:vAlign w:val="center"/>
            <w:hideMark/>
          </w:tcPr>
          <w:p w14:paraId="22969156" w14:textId="77777777" w:rsidR="00F125B8" w:rsidRPr="000D5343" w:rsidRDefault="00F125B8" w:rsidP="00F125B8">
            <w:pPr>
              <w:suppressAutoHyphens w:val="0"/>
              <w:spacing w:before="0" w:line="240" w:lineRule="auto"/>
              <w:jc w:val="left"/>
              <w:rPr>
                <w:rFonts w:ascii="Times New Roman" w:hAnsi="Times New Roman"/>
                <w:sz w:val="2"/>
                <w:szCs w:val="2"/>
                <w:lang w:val="en-US" w:eastAsia="en-US"/>
              </w:rPr>
            </w:pPr>
          </w:p>
        </w:tc>
        <w:tc>
          <w:tcPr>
            <w:tcW w:w="4342" w:type="dxa"/>
            <w:tcBorders>
              <w:right w:val="single" w:sz="4" w:space="0" w:color="auto"/>
            </w:tcBorders>
            <w:shd w:val="clear" w:color="auto" w:fill="FFFFFF" w:themeFill="background1"/>
            <w:noWrap/>
            <w:vAlign w:val="center"/>
          </w:tcPr>
          <w:p w14:paraId="055260CB" w14:textId="77777777" w:rsidR="00F125B8" w:rsidRPr="000D5343" w:rsidRDefault="00F125B8" w:rsidP="00F125B8">
            <w:pPr>
              <w:suppressAutoHyphens w:val="0"/>
              <w:spacing w:before="0" w:line="240" w:lineRule="auto"/>
              <w:jc w:val="left"/>
              <w:rPr>
                <w:rFonts w:ascii="Times New Roman" w:hAnsi="Times New Roman"/>
                <w:sz w:val="2"/>
                <w:szCs w:val="2"/>
                <w:lang w:val="en-US" w:eastAsia="en-US"/>
              </w:rPr>
            </w:pPr>
          </w:p>
        </w:tc>
      </w:tr>
      <w:tr w:rsidR="00F125B8" w:rsidRPr="000D5343" w14:paraId="30830B17" w14:textId="77777777" w:rsidTr="00F125B8">
        <w:trPr>
          <w:gridAfter w:val="3"/>
          <w:wAfter w:w="4869" w:type="dxa"/>
          <w:trHeight w:val="283"/>
        </w:trPr>
        <w:tc>
          <w:tcPr>
            <w:tcW w:w="282" w:type="dxa"/>
            <w:shd w:val="clear" w:color="auto" w:fill="548235"/>
            <w:noWrap/>
            <w:vAlign w:val="center"/>
            <w:hideMark/>
          </w:tcPr>
          <w:p w14:paraId="006B0DED" w14:textId="77777777" w:rsidR="00F125B8" w:rsidRPr="000D5343" w:rsidRDefault="00F125B8" w:rsidP="00F125B8">
            <w:pPr>
              <w:suppressAutoHyphens w:val="0"/>
              <w:spacing w:before="0" w:line="240" w:lineRule="auto"/>
              <w:jc w:val="left"/>
              <w:rPr>
                <w:rFonts w:cs="Calibri"/>
                <w:color w:val="000000"/>
                <w:sz w:val="20"/>
                <w:lang w:eastAsia="en-US"/>
              </w:rPr>
            </w:pPr>
            <w:r w:rsidRPr="000D5343">
              <w:rPr>
                <w:rFonts w:cs="Calibri"/>
                <w:color w:val="000000"/>
                <w:sz w:val="20"/>
                <w:lang w:eastAsia="en-US"/>
              </w:rPr>
              <w:t> </w:t>
            </w:r>
          </w:p>
        </w:tc>
        <w:tc>
          <w:tcPr>
            <w:tcW w:w="4342" w:type="dxa"/>
            <w:tcBorders>
              <w:right w:val="single" w:sz="4" w:space="0" w:color="auto"/>
            </w:tcBorders>
            <w:shd w:val="clear" w:color="auto" w:fill="FFFFFF" w:themeFill="background1"/>
            <w:noWrap/>
            <w:vAlign w:val="center"/>
          </w:tcPr>
          <w:p w14:paraId="2601DCDF" w14:textId="5D3D64CF" w:rsidR="00F125B8" w:rsidRPr="000D5343" w:rsidRDefault="00F125B8" w:rsidP="00F125B8">
            <w:pPr>
              <w:suppressAutoHyphens w:val="0"/>
              <w:spacing w:before="0" w:line="240" w:lineRule="auto"/>
              <w:jc w:val="left"/>
              <w:rPr>
                <w:rFonts w:cs="Calibri"/>
                <w:color w:val="000000"/>
                <w:szCs w:val="22"/>
                <w:lang w:eastAsia="en-US"/>
              </w:rPr>
            </w:pPr>
            <w:r w:rsidRPr="007A0B17">
              <w:rPr>
                <w:rFonts w:cs="Calibri"/>
                <w:color w:val="000000"/>
                <w:szCs w:val="22"/>
                <w:lang w:val="en-US" w:eastAsia="en-US"/>
              </w:rPr>
              <w:t>Vegetable products (+</w:t>
            </w:r>
            <w:r>
              <w:rPr>
                <w:rFonts w:cs="Calibri"/>
                <w:color w:val="000000"/>
                <w:szCs w:val="22"/>
                <w:lang w:val="en-US" w:eastAsia="en-US"/>
              </w:rPr>
              <w:t>23</w:t>
            </w:r>
            <w:r w:rsidRPr="007A0B17">
              <w:rPr>
                <w:rFonts w:cs="Calibri"/>
                <w:color w:val="000000"/>
                <w:szCs w:val="22"/>
                <w:lang w:val="en-US" w:eastAsia="en-US"/>
              </w:rPr>
              <w:t xml:space="preserve"> kcal)</w:t>
            </w:r>
          </w:p>
        </w:tc>
      </w:tr>
      <w:tr w:rsidR="00F125B8" w:rsidRPr="00E608CB" w14:paraId="639017E1" w14:textId="77777777" w:rsidTr="000D5343">
        <w:trPr>
          <w:gridAfter w:val="3"/>
          <w:wAfter w:w="4869" w:type="dxa"/>
          <w:trHeight w:val="57"/>
        </w:trPr>
        <w:tc>
          <w:tcPr>
            <w:tcW w:w="282" w:type="dxa"/>
            <w:shd w:val="clear" w:color="auto" w:fill="FFFFFF" w:themeFill="background1"/>
            <w:noWrap/>
            <w:vAlign w:val="center"/>
          </w:tcPr>
          <w:p w14:paraId="2E4D398D"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63A59D4A" w14:textId="77777777" w:rsidR="00F125B8" w:rsidRPr="00E608CB" w:rsidRDefault="00F125B8" w:rsidP="00F125B8">
            <w:pPr>
              <w:suppressAutoHyphens w:val="0"/>
              <w:spacing w:before="0" w:line="240" w:lineRule="auto"/>
              <w:jc w:val="left"/>
              <w:rPr>
                <w:rFonts w:cs="Calibri"/>
                <w:color w:val="000000"/>
                <w:sz w:val="2"/>
                <w:szCs w:val="2"/>
                <w:lang w:eastAsia="en-US"/>
              </w:rPr>
            </w:pPr>
          </w:p>
        </w:tc>
      </w:tr>
      <w:tr w:rsidR="00F125B8" w:rsidRPr="00E608CB" w14:paraId="7AE988E1" w14:textId="77777777" w:rsidTr="00F125B8">
        <w:trPr>
          <w:gridAfter w:val="3"/>
          <w:wAfter w:w="4869" w:type="dxa"/>
          <w:trHeight w:val="283"/>
        </w:trPr>
        <w:tc>
          <w:tcPr>
            <w:tcW w:w="282" w:type="dxa"/>
            <w:shd w:val="clear" w:color="auto" w:fill="C24F2A"/>
            <w:noWrap/>
            <w:vAlign w:val="center"/>
          </w:tcPr>
          <w:p w14:paraId="29F0FBCA" w14:textId="77777777" w:rsidR="00F125B8" w:rsidRPr="00E608CB" w:rsidRDefault="00F125B8" w:rsidP="00F125B8">
            <w:pPr>
              <w:suppressAutoHyphens w:val="0"/>
              <w:spacing w:before="0" w:line="240" w:lineRule="auto"/>
              <w:jc w:val="left"/>
              <w:rPr>
                <w:rFonts w:cs="Calibri"/>
                <w:color w:val="000000"/>
                <w:szCs w:val="22"/>
                <w:lang w:eastAsia="en-US"/>
              </w:rPr>
            </w:pPr>
          </w:p>
        </w:tc>
        <w:tc>
          <w:tcPr>
            <w:tcW w:w="4342" w:type="dxa"/>
            <w:tcBorders>
              <w:right w:val="single" w:sz="4" w:space="0" w:color="auto"/>
            </w:tcBorders>
            <w:shd w:val="clear" w:color="auto" w:fill="FFFFFF" w:themeFill="background1"/>
            <w:noWrap/>
            <w:vAlign w:val="center"/>
          </w:tcPr>
          <w:p w14:paraId="1CF84130" w14:textId="17515283" w:rsidR="00F125B8" w:rsidRPr="000D5343" w:rsidRDefault="00F125B8" w:rsidP="00F125B8">
            <w:pPr>
              <w:suppressAutoHyphens w:val="0"/>
              <w:spacing w:before="0" w:line="240" w:lineRule="auto"/>
              <w:jc w:val="left"/>
              <w:rPr>
                <w:rFonts w:cs="Calibri"/>
                <w:color w:val="000000"/>
                <w:szCs w:val="22"/>
                <w:lang w:eastAsia="en-US"/>
              </w:rPr>
            </w:pPr>
            <w:r w:rsidRPr="007A0B17">
              <w:rPr>
                <w:rFonts w:cs="Calibri"/>
                <w:color w:val="000000"/>
                <w:szCs w:val="22"/>
                <w:lang w:val="en-US" w:eastAsia="en-US"/>
              </w:rPr>
              <w:t>Legumes (+</w:t>
            </w:r>
            <w:r>
              <w:rPr>
                <w:rFonts w:cs="Calibri"/>
                <w:color w:val="000000"/>
                <w:szCs w:val="22"/>
                <w:lang w:val="en-US" w:eastAsia="en-US"/>
              </w:rPr>
              <w:t>5</w:t>
            </w:r>
            <w:r w:rsidRPr="007A0B17">
              <w:rPr>
                <w:rFonts w:cs="Calibri"/>
                <w:color w:val="000000"/>
                <w:szCs w:val="22"/>
                <w:lang w:val="en-US" w:eastAsia="en-US"/>
              </w:rPr>
              <w:t xml:space="preserve"> kcal)</w:t>
            </w:r>
          </w:p>
        </w:tc>
      </w:tr>
      <w:tr w:rsidR="00F125B8" w:rsidRPr="00E608CB" w14:paraId="68D597F9" w14:textId="77777777" w:rsidTr="000D5343">
        <w:trPr>
          <w:gridAfter w:val="3"/>
          <w:wAfter w:w="4869" w:type="dxa"/>
          <w:trHeight w:val="57"/>
        </w:trPr>
        <w:tc>
          <w:tcPr>
            <w:tcW w:w="282" w:type="dxa"/>
            <w:shd w:val="clear" w:color="auto" w:fill="FFFFFF" w:themeFill="background1"/>
            <w:noWrap/>
            <w:vAlign w:val="center"/>
          </w:tcPr>
          <w:p w14:paraId="6C3513A6" w14:textId="77777777" w:rsidR="00F125B8" w:rsidRPr="00E608CB" w:rsidRDefault="00F125B8" w:rsidP="00F125B8">
            <w:pPr>
              <w:suppressAutoHyphens w:val="0"/>
              <w:spacing w:before="0" w:line="240" w:lineRule="auto"/>
              <w:jc w:val="left"/>
              <w:rPr>
                <w:rFonts w:cs="Calibri"/>
                <w:color w:val="000000"/>
                <w:sz w:val="2"/>
                <w:szCs w:val="2"/>
                <w:lang w:eastAsia="en-US"/>
              </w:rPr>
            </w:pPr>
          </w:p>
        </w:tc>
        <w:tc>
          <w:tcPr>
            <w:tcW w:w="4342" w:type="dxa"/>
            <w:tcBorders>
              <w:right w:val="single" w:sz="4" w:space="0" w:color="auto"/>
            </w:tcBorders>
            <w:shd w:val="clear" w:color="auto" w:fill="FFFFFF" w:themeFill="background1"/>
            <w:noWrap/>
            <w:vAlign w:val="center"/>
          </w:tcPr>
          <w:p w14:paraId="4B3FC782" w14:textId="77777777" w:rsidR="00F125B8" w:rsidRPr="00E608CB" w:rsidRDefault="00F125B8" w:rsidP="00F125B8">
            <w:pPr>
              <w:suppressAutoHyphens w:val="0"/>
              <w:spacing w:before="0" w:line="240" w:lineRule="auto"/>
              <w:jc w:val="left"/>
              <w:rPr>
                <w:rFonts w:cs="Calibri"/>
                <w:color w:val="000000"/>
                <w:sz w:val="2"/>
                <w:szCs w:val="2"/>
                <w:lang w:eastAsia="en-US"/>
              </w:rPr>
            </w:pPr>
          </w:p>
        </w:tc>
      </w:tr>
      <w:tr w:rsidR="00F125B8" w:rsidRPr="00E608CB" w14:paraId="1D37CE09" w14:textId="77777777" w:rsidTr="00F125B8">
        <w:trPr>
          <w:gridAfter w:val="3"/>
          <w:wAfter w:w="4869" w:type="dxa"/>
          <w:trHeight w:val="283"/>
        </w:trPr>
        <w:tc>
          <w:tcPr>
            <w:tcW w:w="282" w:type="dxa"/>
            <w:shd w:val="clear" w:color="auto" w:fill="595959"/>
            <w:noWrap/>
            <w:vAlign w:val="center"/>
          </w:tcPr>
          <w:p w14:paraId="65340BD0" w14:textId="77777777" w:rsidR="00F125B8" w:rsidRPr="00E608CB" w:rsidRDefault="00F125B8" w:rsidP="00F125B8">
            <w:pPr>
              <w:suppressAutoHyphens w:val="0"/>
              <w:spacing w:before="0" w:line="240" w:lineRule="auto"/>
              <w:jc w:val="left"/>
              <w:rPr>
                <w:rFonts w:cs="Calibri"/>
                <w:color w:val="000000"/>
                <w:szCs w:val="22"/>
                <w:lang w:eastAsia="en-US"/>
              </w:rPr>
            </w:pPr>
          </w:p>
        </w:tc>
        <w:tc>
          <w:tcPr>
            <w:tcW w:w="4342" w:type="dxa"/>
            <w:tcBorders>
              <w:right w:val="single" w:sz="4" w:space="0" w:color="auto"/>
            </w:tcBorders>
            <w:shd w:val="clear" w:color="auto" w:fill="FFFFFF" w:themeFill="background1"/>
            <w:noWrap/>
            <w:vAlign w:val="center"/>
          </w:tcPr>
          <w:p w14:paraId="18B61B08" w14:textId="2EE766E7" w:rsidR="00F125B8" w:rsidRPr="000D5343" w:rsidRDefault="00F125B8" w:rsidP="00F125B8">
            <w:pPr>
              <w:suppressAutoHyphens w:val="0"/>
              <w:spacing w:before="0" w:line="240" w:lineRule="auto"/>
              <w:jc w:val="left"/>
              <w:rPr>
                <w:rFonts w:cs="Calibri"/>
                <w:color w:val="000000"/>
                <w:szCs w:val="22"/>
                <w:lang w:eastAsia="en-US"/>
              </w:rPr>
            </w:pPr>
            <w:r w:rsidRPr="000D5343">
              <w:rPr>
                <w:rFonts w:cs="Calibri"/>
                <w:color w:val="000000"/>
                <w:szCs w:val="22"/>
                <w:lang w:eastAsia="en-US"/>
              </w:rPr>
              <w:t xml:space="preserve">Composite </w:t>
            </w:r>
            <w:proofErr w:type="spellStart"/>
            <w:r w:rsidRPr="000D5343">
              <w:rPr>
                <w:rFonts w:cs="Calibri"/>
                <w:color w:val="000000"/>
                <w:szCs w:val="22"/>
                <w:lang w:eastAsia="en-US"/>
              </w:rPr>
              <w:t>dishes</w:t>
            </w:r>
            <w:proofErr w:type="spellEnd"/>
            <w:r w:rsidRPr="000D5343">
              <w:rPr>
                <w:rFonts w:cs="Calibri"/>
                <w:color w:val="000000"/>
                <w:szCs w:val="22"/>
                <w:lang w:eastAsia="en-US"/>
              </w:rPr>
              <w:t xml:space="preserve"> (+</w:t>
            </w:r>
            <w:r>
              <w:rPr>
                <w:rFonts w:cs="Calibri"/>
                <w:color w:val="000000"/>
                <w:szCs w:val="22"/>
                <w:lang w:eastAsia="en-US"/>
              </w:rPr>
              <w:t>3</w:t>
            </w:r>
            <w:r w:rsidRPr="000D5343">
              <w:rPr>
                <w:rFonts w:cs="Calibri"/>
                <w:color w:val="000000"/>
                <w:szCs w:val="22"/>
                <w:lang w:eastAsia="en-US"/>
              </w:rPr>
              <w:t xml:space="preserve"> kcal)</w:t>
            </w:r>
          </w:p>
        </w:tc>
      </w:tr>
    </w:tbl>
    <w:p w14:paraId="4A715B5B" w14:textId="77777777" w:rsidR="000D5343" w:rsidRPr="000D5343" w:rsidRDefault="000D5343" w:rsidP="000D5343">
      <w:pPr>
        <w:rPr>
          <w:lang w:val="en-US"/>
        </w:rPr>
      </w:pPr>
    </w:p>
    <w:p w14:paraId="45B9002A" w14:textId="51008DE0" w:rsidR="000D5343" w:rsidRDefault="000D5343" w:rsidP="000D5343">
      <w:pPr>
        <w:pStyle w:val="Caption"/>
        <w:rPr>
          <w:rFonts w:eastAsia="Calibri"/>
          <w:lang w:val="en-US"/>
        </w:rPr>
      </w:pPr>
      <w:r w:rsidRPr="000D5343">
        <w:rPr>
          <w:lang w:val="en-US"/>
        </w:rPr>
        <w:t xml:space="preserve">Supplementary Table </w:t>
      </w:r>
      <w:r>
        <w:fldChar w:fldCharType="begin"/>
      </w:r>
      <w:r w:rsidRPr="000D5343">
        <w:rPr>
          <w:lang w:val="en-US"/>
        </w:rPr>
        <w:instrText xml:space="preserve"> SEQ Supplementary_Table \* ARABIC </w:instrText>
      </w:r>
      <w:r>
        <w:fldChar w:fldCharType="separate"/>
      </w:r>
      <w:r w:rsidRPr="000D5343">
        <w:rPr>
          <w:noProof/>
          <w:lang w:val="en-US"/>
        </w:rPr>
        <w:t>1</w:t>
      </w:r>
      <w:r>
        <w:fldChar w:fldCharType="end"/>
      </w:r>
      <w:r w:rsidRPr="000D5343">
        <w:rPr>
          <w:lang w:val="en-US"/>
        </w:rPr>
        <w:t>:</w:t>
      </w:r>
      <w:r>
        <w:rPr>
          <w:lang w:val="en-US"/>
        </w:rPr>
        <w:t>Adjustments of e</w:t>
      </w:r>
      <w:r w:rsidRPr="0076459F">
        <w:rPr>
          <w:rFonts w:eastAsia="Calibri"/>
          <w:lang w:val="en-US"/>
        </w:rPr>
        <w:t xml:space="preserve">nergy intake per capita per day </w:t>
      </w:r>
      <w:r>
        <w:rPr>
          <w:rFonts w:eastAsia="Calibri"/>
          <w:lang w:val="en-US"/>
        </w:rPr>
        <w:t>by the consolidation, per food item category in kilocalories, ordered by size and direction of adjustment. Supplement to Figure 2.</w:t>
      </w:r>
    </w:p>
    <w:p w14:paraId="1D4FAA10" w14:textId="62EC4DAA" w:rsidR="00F125B8" w:rsidRDefault="00F125B8" w:rsidP="00F125B8">
      <w:pPr>
        <w:rPr>
          <w:lang w:val="en-US"/>
        </w:rPr>
      </w:pPr>
    </w:p>
    <w:p w14:paraId="1E6C4EEC" w14:textId="77777777" w:rsidR="00F125B8" w:rsidRPr="00F125B8" w:rsidRDefault="00F125B8" w:rsidP="00F125B8">
      <w:pPr>
        <w:rPr>
          <w:lang w:val="en-US"/>
        </w:rPr>
      </w:pPr>
    </w:p>
    <w:p w14:paraId="14374ABF" w14:textId="63BC1E13" w:rsidR="000D5343" w:rsidRPr="000D5343" w:rsidRDefault="000D5343" w:rsidP="000D5343">
      <w:pPr>
        <w:suppressAutoHyphens w:val="0"/>
        <w:spacing w:before="0" w:line="240" w:lineRule="auto"/>
        <w:jc w:val="left"/>
        <w:rPr>
          <w:lang w:val="en-US" w:eastAsia="en-US"/>
        </w:rPr>
      </w:pPr>
      <w:r>
        <w:rPr>
          <w:lang w:val="en-US" w:eastAsia="en-US"/>
        </w:rPr>
        <w:br w:type="page"/>
      </w:r>
    </w:p>
    <w:p w14:paraId="6C645305" w14:textId="44A52D69" w:rsidR="00A45E44" w:rsidRPr="001570D6" w:rsidRDefault="00A45E44" w:rsidP="00FD3306">
      <w:pPr>
        <w:pStyle w:val="Heading1"/>
        <w:numPr>
          <w:ilvl w:val="0"/>
          <w:numId w:val="1"/>
        </w:numPr>
        <w:rPr>
          <w:lang w:val="en-US" w:eastAsia="en-US"/>
        </w:rPr>
      </w:pPr>
      <w:bookmarkStart w:id="8" w:name="_Toc203763113"/>
      <w:r>
        <w:rPr>
          <w:lang w:val="en-US" w:eastAsia="en-US"/>
        </w:rPr>
        <w:lastRenderedPageBreak/>
        <w:t>T</w:t>
      </w:r>
      <w:r w:rsidRPr="001570D6">
        <w:rPr>
          <w:lang w:val="en-US" w:eastAsia="en-US"/>
        </w:rPr>
        <w:t xml:space="preserve">he </w:t>
      </w:r>
      <w:r>
        <w:rPr>
          <w:lang w:val="en-US" w:eastAsia="en-US"/>
        </w:rPr>
        <w:t>status quo</w:t>
      </w:r>
      <w:r w:rsidRPr="001570D6">
        <w:rPr>
          <w:lang w:val="en-US" w:eastAsia="en-US"/>
        </w:rPr>
        <w:t xml:space="preserve"> intake as the reference for dietary recommendations</w:t>
      </w:r>
      <w:bookmarkEnd w:id="7"/>
      <w:bookmarkEnd w:id="8"/>
      <w:r w:rsidRPr="001570D6">
        <w:rPr>
          <w:lang w:val="en-US" w:eastAsia="en-US"/>
        </w:rPr>
        <w:tab/>
      </w:r>
    </w:p>
    <w:p w14:paraId="5FD1D03D" w14:textId="7C777D90" w:rsidR="00A45E44" w:rsidRDefault="00A45E44" w:rsidP="00A45E44">
      <w:pPr>
        <w:rPr>
          <w:lang w:val="en-US"/>
        </w:rPr>
      </w:pPr>
      <w:r w:rsidRPr="006D6F70">
        <w:rPr>
          <w:lang w:val="en-US"/>
        </w:rPr>
        <w:t>In the following</w:t>
      </w:r>
      <w:r>
        <w:rPr>
          <w:lang w:val="en-US"/>
        </w:rPr>
        <w:t>,</w:t>
      </w:r>
      <w:r w:rsidRPr="006D6F70">
        <w:rPr>
          <w:lang w:val="en-US"/>
        </w:rPr>
        <w:t xml:space="preserve"> we </w:t>
      </w:r>
      <w:r w:rsidRPr="00EC15D8">
        <w:rPr>
          <w:lang w:val="en-US"/>
        </w:rPr>
        <w:t xml:space="preserve">explain </w:t>
      </w:r>
      <w:r>
        <w:rPr>
          <w:lang w:val="en-US"/>
        </w:rPr>
        <w:t xml:space="preserve">the different definitions </w:t>
      </w:r>
      <w:r w:rsidRPr="00D06F92">
        <w:rPr>
          <w:lang w:val="en-US"/>
        </w:rPr>
        <w:t xml:space="preserve">of </w:t>
      </w:r>
      <w:r>
        <w:rPr>
          <w:lang w:val="en-US"/>
        </w:rPr>
        <w:t>status quo</w:t>
      </w:r>
      <w:r w:rsidRPr="00D06F92">
        <w:rPr>
          <w:lang w:val="en-US"/>
        </w:rPr>
        <w:t xml:space="preserve"> intake</w:t>
      </w:r>
      <w:r>
        <w:rPr>
          <w:lang w:val="en-US"/>
        </w:rPr>
        <w:t xml:space="preserve"> presented in </w:t>
      </w:r>
      <w:r w:rsidR="00AA534B" w:rsidRPr="00AA534B">
        <w:rPr>
          <w:lang w:val="en-US"/>
        </w:rPr>
        <w:t xml:space="preserve">Figure 3 </w:t>
      </w:r>
      <w:r w:rsidRPr="009561FE">
        <w:rPr>
          <w:lang w:val="en-US"/>
        </w:rPr>
        <w:t xml:space="preserve">and discuss </w:t>
      </w:r>
      <w:r>
        <w:rPr>
          <w:lang w:val="en-US"/>
        </w:rPr>
        <w:t>them</w:t>
      </w:r>
      <w:r w:rsidRPr="009561FE">
        <w:rPr>
          <w:lang w:val="en-US"/>
        </w:rPr>
        <w:t xml:space="preserve"> for each </w:t>
      </w:r>
      <w:r>
        <w:rPr>
          <w:lang w:val="en-US"/>
        </w:rPr>
        <w:t>RPC</w:t>
      </w:r>
      <w:r w:rsidRPr="009561FE">
        <w:rPr>
          <w:lang w:val="en-US"/>
        </w:rPr>
        <w:t xml:space="preserve"> separately. The </w:t>
      </w:r>
      <w:r>
        <w:rPr>
          <w:lang w:val="en-US"/>
        </w:rPr>
        <w:t>left</w:t>
      </w:r>
      <w:r w:rsidRPr="009561FE">
        <w:rPr>
          <w:lang w:val="en-US"/>
        </w:rPr>
        <w:t xml:space="preserve"> column, “</w:t>
      </w:r>
      <w:r>
        <w:rPr>
          <w:lang w:val="en-US"/>
        </w:rPr>
        <w:t xml:space="preserve">quantity of </w:t>
      </w:r>
      <w:r w:rsidRPr="009561FE">
        <w:rPr>
          <w:lang w:val="en-US"/>
        </w:rPr>
        <w:t>food items</w:t>
      </w:r>
      <w:r>
        <w:rPr>
          <w:lang w:val="en-US"/>
        </w:rPr>
        <w:t xml:space="preserve"> in closest category (survey)</w:t>
      </w:r>
      <w:r w:rsidRPr="009561FE">
        <w:rPr>
          <w:lang w:val="en-US"/>
        </w:rPr>
        <w:t xml:space="preserve">”, depicts the </w:t>
      </w:r>
      <w:r>
        <w:rPr>
          <w:lang w:val="en-US"/>
        </w:rPr>
        <w:t>summed-up</w:t>
      </w:r>
      <w:r w:rsidRPr="009561FE">
        <w:rPr>
          <w:lang w:val="en-US"/>
        </w:rPr>
        <w:t xml:space="preserve"> intake</w:t>
      </w:r>
      <w:r>
        <w:rPr>
          <w:lang w:val="en-US"/>
        </w:rPr>
        <w:t xml:space="preserve"> quantities</w:t>
      </w:r>
      <w:r w:rsidRPr="009561FE">
        <w:rPr>
          <w:lang w:val="en-US"/>
        </w:rPr>
        <w:t xml:space="preserve"> of all food</w:t>
      </w:r>
      <w:r w:rsidRPr="006D6F70">
        <w:rPr>
          <w:lang w:val="en-US"/>
        </w:rPr>
        <w:t xml:space="preserve"> items in the FoodEx2-category that the DGE considers the closest match to the respective </w:t>
      </w:r>
      <w:r>
        <w:rPr>
          <w:lang w:val="en-US"/>
        </w:rPr>
        <w:t>RPC</w:t>
      </w:r>
      <w:r w:rsidRPr="006D6F70">
        <w:rPr>
          <w:lang w:val="en-US"/>
        </w:rPr>
        <w:t xml:space="preserve">, e.g., “egg and egg-products” for the analysis of egg intake. The DGE uses these quantities as the reference </w:t>
      </w:r>
      <w:r>
        <w:rPr>
          <w:lang w:val="en-US"/>
        </w:rPr>
        <w:t>when deriving the basis of its</w:t>
      </w:r>
      <w:r w:rsidRPr="009B2FA6">
        <w:rPr>
          <w:lang w:val="en-US"/>
        </w:rPr>
        <w:t xml:space="preserve"> recommendations</w:t>
      </w:r>
      <w:r w:rsidR="00554289">
        <w:rPr>
          <w:lang w:val="en-US"/>
        </w:rPr>
        <w:t xml:space="preserve"> </w:t>
      </w:r>
      <w:r w:rsidRPr="004575C4">
        <w:fldChar w:fldCharType="begin"/>
      </w:r>
      <w:r w:rsidR="00554289">
        <w:rPr>
          <w:lang w:val="en-US"/>
        </w:rPr>
        <w:instrText xml:space="preserve"> ADDIN ZOTERO_ITEM CSL_CITATION {"citationID":"ALjhymfv","properties":{"formattedCitation":"(Sch\\uc0\\u228{}fer et al., 2024)","plainCitation":"(Schäfer et al., 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Carolin"},{"family":"Boeing","given":"Heiner"},{"family":"Conrad","given":"Johanna"},{"family":"Watzl","given":"Bernhard"}],"issued":{"date-parts":[["2024"]]}},"label":"page"}],"schema":"https://github.com/citation-style-language/schema/raw/master/csl-citation.json"} </w:instrText>
      </w:r>
      <w:r w:rsidRPr="004575C4">
        <w:fldChar w:fldCharType="separate"/>
      </w:r>
      <w:r w:rsidR="00554289" w:rsidRPr="00554289">
        <w:rPr>
          <w:rFonts w:cs="Calibri"/>
          <w:szCs w:val="24"/>
          <w:lang w:val="en-US"/>
        </w:rPr>
        <w:t>(Schäfer et al., 2024)</w:t>
      </w:r>
      <w:r w:rsidRPr="004575C4">
        <w:fldChar w:fldCharType="end"/>
      </w:r>
      <w:r w:rsidR="00C457EE" w:rsidRPr="00C457EE">
        <w:rPr>
          <w:lang w:val="en-US"/>
        </w:rPr>
        <w:t>.</w:t>
      </w:r>
      <w:r w:rsidRPr="006D6F70">
        <w:rPr>
          <w:lang w:val="en-US"/>
        </w:rPr>
        <w:t xml:space="preserve"> For some </w:t>
      </w:r>
      <w:r>
        <w:rPr>
          <w:lang w:val="en-US"/>
        </w:rPr>
        <w:t>RPC</w:t>
      </w:r>
      <w:r w:rsidRPr="006D6F70">
        <w:rPr>
          <w:lang w:val="en-US"/>
        </w:rPr>
        <w:t xml:space="preserve">, we apply different calculation methods </w:t>
      </w:r>
      <w:r>
        <w:rPr>
          <w:lang w:val="en-US"/>
        </w:rPr>
        <w:t xml:space="preserve">than </w:t>
      </w:r>
      <w:r w:rsidRPr="006D6F70">
        <w:rPr>
          <w:lang w:val="en-US"/>
        </w:rPr>
        <w:t>Schäfer et al.</w:t>
      </w:r>
      <w:r w:rsidR="00554289">
        <w:rPr>
          <w:lang w:val="en-US"/>
        </w:rPr>
        <w:t xml:space="preserve"> </w:t>
      </w:r>
      <w:r>
        <w:fldChar w:fldCharType="begin"/>
      </w:r>
      <w:r w:rsidR="00554289">
        <w:rPr>
          <w:lang w:val="en-US"/>
        </w:rPr>
        <w:instrText xml:space="preserve"> ADDIN ZOTERO_ITEM CSL_CITATION {"citationID":"7Ilyfet9","properties":{"formattedCitation":"(2024)","plainCitation":"(2024)","noteIndex":0},"citationItems":[{"id":950,"uris":["http://zotero.org/users/10655811/items/3WH2N6UG"],"itemData":{"id":950,"type":"article-journal","container-title":"Ernährungs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F125B8">
        <w:rPr>
          <w:rFonts w:cs="Calibri"/>
          <w:lang w:val="en-US"/>
        </w:rPr>
        <w:t>(2024)</w:t>
      </w:r>
      <w:r>
        <w:fldChar w:fldCharType="end"/>
      </w:r>
      <w:r w:rsidR="00C457EE" w:rsidRPr="00990610">
        <w:rPr>
          <w:lang w:val="en-US"/>
        </w:rPr>
        <w:t>.</w:t>
      </w:r>
      <w:r w:rsidRPr="00EC15D8">
        <w:rPr>
          <w:lang w:val="en-US"/>
        </w:rPr>
        <w:t xml:space="preserve"> </w:t>
      </w:r>
      <w:r>
        <w:rPr>
          <w:lang w:val="en-US"/>
        </w:rPr>
        <w:t>W</w:t>
      </w:r>
      <w:r w:rsidRPr="006D6F70">
        <w:rPr>
          <w:lang w:val="en-US"/>
        </w:rPr>
        <w:t>e explicitly mention it</w:t>
      </w:r>
      <w:r>
        <w:rPr>
          <w:lang w:val="en-US"/>
        </w:rPr>
        <w:t xml:space="preserve"> when this results in intake quantities that</w:t>
      </w:r>
      <w:r w:rsidRPr="006D6F70">
        <w:rPr>
          <w:lang w:val="en-US"/>
        </w:rPr>
        <w:t xml:space="preserve"> </w:t>
      </w:r>
      <w:r>
        <w:rPr>
          <w:lang w:val="en-US"/>
        </w:rPr>
        <w:t xml:space="preserve">substantially differ </w:t>
      </w:r>
      <w:r w:rsidRPr="006D6F70">
        <w:rPr>
          <w:lang w:val="en-US"/>
        </w:rPr>
        <w:t>from the DGE reference</w:t>
      </w:r>
      <w:r>
        <w:rPr>
          <w:lang w:val="en-US"/>
        </w:rPr>
        <w:t xml:space="preserve">. </w:t>
      </w:r>
      <w:r w:rsidRPr="006D6F70">
        <w:rPr>
          <w:lang w:val="en-US"/>
        </w:rPr>
        <w:t xml:space="preserve">The </w:t>
      </w:r>
      <w:r>
        <w:rPr>
          <w:lang w:val="en-US"/>
        </w:rPr>
        <w:t>middle</w:t>
      </w:r>
      <w:r w:rsidRPr="006D6F70">
        <w:rPr>
          <w:lang w:val="en-US"/>
        </w:rPr>
        <w:t xml:space="preserve"> column, “</w:t>
      </w:r>
      <w:r>
        <w:rPr>
          <w:lang w:val="en-US"/>
        </w:rPr>
        <w:t xml:space="preserve">intake </w:t>
      </w:r>
      <w:r w:rsidR="00157C13">
        <w:rPr>
          <w:lang w:val="en-US"/>
        </w:rPr>
        <w:t>incl.</w:t>
      </w:r>
      <w:r>
        <w:rPr>
          <w:lang w:val="en-US"/>
        </w:rPr>
        <w:t xml:space="preserve"> ingredients (survey &amp; recipe data)</w:t>
      </w:r>
      <w:r w:rsidRPr="006D6F70">
        <w:rPr>
          <w:lang w:val="en-US"/>
        </w:rPr>
        <w:t xml:space="preserve">”, depicts the intake of </w:t>
      </w:r>
      <w:r>
        <w:rPr>
          <w:lang w:val="en-US"/>
        </w:rPr>
        <w:t>RPC</w:t>
      </w:r>
      <w:r w:rsidRPr="006D6F70">
        <w:rPr>
          <w:lang w:val="en-US"/>
        </w:rPr>
        <w:t xml:space="preserve"> through all food items, </w:t>
      </w:r>
      <w:r>
        <w:rPr>
          <w:lang w:val="en-US"/>
        </w:rPr>
        <w:t>e.g., we account for the eggs consumed through cakes and only consider the egg content of the egg products, meaning that we exclude the oils taken in through fried eggs. The</w:t>
      </w:r>
      <w:r w:rsidRPr="006D6F70">
        <w:rPr>
          <w:lang w:val="en-US"/>
        </w:rPr>
        <w:t xml:space="preserve"> first and the second </w:t>
      </w:r>
      <w:r>
        <w:rPr>
          <w:lang w:val="en-US"/>
        </w:rPr>
        <w:t>columns</w:t>
      </w:r>
      <w:r w:rsidRPr="006D6F70">
        <w:rPr>
          <w:lang w:val="en-US"/>
        </w:rPr>
        <w:t xml:space="preserve"> refer to the </w:t>
      </w:r>
      <w:r>
        <w:rPr>
          <w:lang w:val="en-US"/>
        </w:rPr>
        <w:t>prior</w:t>
      </w:r>
      <w:r w:rsidRPr="006D6F70">
        <w:rPr>
          <w:lang w:val="en-US"/>
        </w:rPr>
        <w:t xml:space="preserve"> intake survey data.</w:t>
      </w:r>
      <w:r>
        <w:rPr>
          <w:lang w:val="en-US"/>
        </w:rPr>
        <w:t xml:space="preserve"> </w:t>
      </w:r>
      <w:r w:rsidRPr="006D6F70">
        <w:rPr>
          <w:lang w:val="en-US"/>
        </w:rPr>
        <w:t xml:space="preserve">The </w:t>
      </w:r>
      <w:r>
        <w:rPr>
          <w:lang w:val="en-US"/>
        </w:rPr>
        <w:t>right</w:t>
      </w:r>
      <w:r w:rsidRPr="006D6F70">
        <w:rPr>
          <w:lang w:val="en-US"/>
        </w:rPr>
        <w:t xml:space="preserve"> column, “</w:t>
      </w:r>
      <w:r>
        <w:rPr>
          <w:lang w:val="en-US"/>
        </w:rPr>
        <w:t xml:space="preserve">intake </w:t>
      </w:r>
      <w:r w:rsidR="00157C13">
        <w:rPr>
          <w:lang w:val="en-US"/>
        </w:rPr>
        <w:t>incl.</w:t>
      </w:r>
      <w:r>
        <w:rPr>
          <w:lang w:val="en-US"/>
        </w:rPr>
        <w:t xml:space="preserve"> ingredient (consol. data)</w:t>
      </w:r>
      <w:r w:rsidRPr="006D6F70">
        <w:rPr>
          <w:lang w:val="en-US"/>
        </w:rPr>
        <w:t>”,</w:t>
      </w:r>
      <w:r>
        <w:rPr>
          <w:lang w:val="en-US"/>
        </w:rPr>
        <w:t xml:space="preserve"> like the middle column,</w:t>
      </w:r>
      <w:r w:rsidRPr="006D6F70">
        <w:rPr>
          <w:lang w:val="en-US"/>
        </w:rPr>
        <w:t xml:space="preserve"> depicts the intake of </w:t>
      </w:r>
      <w:r>
        <w:rPr>
          <w:lang w:val="en-US"/>
        </w:rPr>
        <w:t>RPC</w:t>
      </w:r>
      <w:r w:rsidRPr="006D6F70">
        <w:rPr>
          <w:lang w:val="en-US"/>
        </w:rPr>
        <w:t xml:space="preserve"> through all food items</w:t>
      </w:r>
      <w:r>
        <w:rPr>
          <w:lang w:val="en-US"/>
        </w:rPr>
        <w:t xml:space="preserve"> </w:t>
      </w:r>
      <w:r w:rsidRPr="006D6F70">
        <w:rPr>
          <w:lang w:val="en-US"/>
        </w:rPr>
        <w:t xml:space="preserve">but </w:t>
      </w:r>
      <w:r>
        <w:rPr>
          <w:lang w:val="en-US"/>
        </w:rPr>
        <w:t>uses</w:t>
      </w:r>
      <w:r w:rsidRPr="006D6F70">
        <w:rPr>
          <w:lang w:val="en-US"/>
        </w:rPr>
        <w:t xml:space="preserve"> the consolidated database</w:t>
      </w:r>
      <w:r>
        <w:rPr>
          <w:lang w:val="en-US"/>
        </w:rPr>
        <w:t xml:space="preserve"> instead of the prior intake survey data</w:t>
      </w:r>
      <w:r w:rsidRPr="006D6F70">
        <w:rPr>
          <w:lang w:val="en-US"/>
        </w:rPr>
        <w:t>.</w:t>
      </w:r>
    </w:p>
    <w:p w14:paraId="0F2EA3E2" w14:textId="028DF531" w:rsidR="00A45E44" w:rsidRDefault="00A45E44" w:rsidP="00A45E44">
      <w:pPr>
        <w:rPr>
          <w:lang w:val="en-US"/>
        </w:rPr>
      </w:pPr>
      <w:r>
        <w:rPr>
          <w:lang w:val="en-US"/>
        </w:rPr>
        <w:t xml:space="preserve">We separately </w:t>
      </w:r>
      <w:r w:rsidRPr="009B2FA6">
        <w:rPr>
          <w:lang w:val="en-US"/>
        </w:rPr>
        <w:t xml:space="preserve">explain the consolidation between market balance and intake quantities for each RPC. We analyze how the changes necessary to meet the </w:t>
      </w:r>
      <w:r w:rsidRPr="00FC40C1">
        <w:rPr>
          <w:lang w:val="en-US"/>
        </w:rPr>
        <w:t xml:space="preserve">optimal intake quantities determined by the DGE in </w:t>
      </w:r>
      <w:r w:rsidRPr="009B2FA6">
        <w:rPr>
          <w:lang w:val="en-US"/>
        </w:rPr>
        <w:t xml:space="preserve"> Schäfer et al.</w:t>
      </w:r>
      <w:r w:rsidR="00554289">
        <w:rPr>
          <w:lang w:val="en-US"/>
        </w:rPr>
        <w:t xml:space="preserve"> </w:t>
      </w:r>
      <w:r w:rsidRPr="004575C4">
        <w:fldChar w:fldCharType="begin"/>
      </w:r>
      <w:r w:rsidR="00554289">
        <w:rPr>
          <w:lang w:val="en-US"/>
        </w:rPr>
        <w:instrText xml:space="preserve"> ADDIN ZOTERO_ITEM CSL_CITATION {"citationID":"8VWIEpsY","properties":{"formattedCitation":"(2024)","plainCitation":"(2024)","noteIndex":0},"citationItems":[{"id":950,"uris":["http://zotero.org/users/10655811/items/3WH2N6UG"],"itemData":{"id":950,"type":"article-journal","container-title":"Ernährungs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4575C4">
        <w:fldChar w:fldCharType="separate"/>
      </w:r>
      <w:r w:rsidR="00554289" w:rsidRPr="00554289">
        <w:rPr>
          <w:rFonts w:cs="Calibri"/>
          <w:lang w:val="en-US"/>
        </w:rPr>
        <w:t>(2024)</w:t>
      </w:r>
      <w:r w:rsidRPr="004575C4">
        <w:fldChar w:fldCharType="end"/>
      </w:r>
      <w:r w:rsidRPr="009B2FA6">
        <w:rPr>
          <w:lang w:val="en-US"/>
        </w:rPr>
        <w:t xml:space="preserve"> (yellow</w:t>
      </w:r>
      <w:r>
        <w:rPr>
          <w:lang w:val="en-US"/>
        </w:rPr>
        <w:t xml:space="preserve"> line, “</w:t>
      </w:r>
      <w:proofErr w:type="spellStart"/>
      <w:r>
        <w:rPr>
          <w:lang w:val="en-US"/>
        </w:rPr>
        <w:t>DGEgoal</w:t>
      </w:r>
      <w:proofErr w:type="spellEnd"/>
      <w:r>
        <w:rPr>
          <w:lang w:val="en-US"/>
        </w:rPr>
        <w:t xml:space="preserve">”) differ when taking food item intake (left column, “quantity of </w:t>
      </w:r>
      <w:r w:rsidRPr="009561FE">
        <w:rPr>
          <w:lang w:val="en-US"/>
        </w:rPr>
        <w:t>food items</w:t>
      </w:r>
      <w:r>
        <w:rPr>
          <w:lang w:val="en-US"/>
        </w:rPr>
        <w:t xml:space="preserve"> in closest category (survey)”) as a reference and when using RPC intake, including intake as ingredients and based on the consolidated database instead (right column, “intake </w:t>
      </w:r>
      <w:r w:rsidR="00157C13">
        <w:rPr>
          <w:lang w:val="en-US"/>
        </w:rPr>
        <w:t>incl.</w:t>
      </w:r>
      <w:r>
        <w:rPr>
          <w:lang w:val="en-US"/>
        </w:rPr>
        <w:t xml:space="preserve"> ingredient (consol. data)”).</w:t>
      </w:r>
    </w:p>
    <w:p w14:paraId="0B51C1EA" w14:textId="77777777" w:rsidR="00A45E44" w:rsidRPr="003C7A57" w:rsidRDefault="00A45E44" w:rsidP="00FD060A">
      <w:pPr>
        <w:pStyle w:val="Heading2"/>
      </w:pPr>
      <w:bookmarkStart w:id="9" w:name="_Toc194608651"/>
      <w:bookmarkStart w:id="10" w:name="_Toc203763114"/>
      <w:r w:rsidRPr="003C7A57">
        <w:t>Intake of fruit</w:t>
      </w:r>
      <w:bookmarkEnd w:id="9"/>
      <w:bookmarkEnd w:id="10"/>
    </w:p>
    <w:p w14:paraId="5A88D2F2" w14:textId="77777777" w:rsidR="00A45E44" w:rsidRPr="006D6F70" w:rsidRDefault="00A45E44" w:rsidP="00A45E44">
      <w:pPr>
        <w:rPr>
          <w:lang w:val="en-US"/>
        </w:rPr>
      </w:pPr>
      <w:bookmarkStart w:id="11" w:name="_Hlk194666523"/>
      <w:r w:rsidRPr="006D6F70">
        <w:rPr>
          <w:lang w:val="en-US"/>
        </w:rPr>
        <w:t xml:space="preserve">The overarching category of food items that the DGE considers for </w:t>
      </w:r>
      <w:r>
        <w:rPr>
          <w:lang w:val="en-US"/>
        </w:rPr>
        <w:t>fruit intake</w:t>
      </w:r>
      <w:r w:rsidRPr="006D6F70">
        <w:rPr>
          <w:lang w:val="en-US"/>
        </w:rPr>
        <w:t xml:space="preserve"> is </w:t>
      </w:r>
      <w:r>
        <w:rPr>
          <w:lang w:val="en-US"/>
        </w:rPr>
        <w:t>“</w:t>
      </w:r>
      <w:r w:rsidRPr="006D6F70">
        <w:rPr>
          <w:lang w:val="en-US"/>
        </w:rPr>
        <w:t>fruit products</w:t>
      </w:r>
      <w:r>
        <w:rPr>
          <w:lang w:val="en-US"/>
        </w:rPr>
        <w:t>”.</w:t>
      </w:r>
      <w:r w:rsidRPr="006D6F70">
        <w:rPr>
          <w:lang w:val="en-US"/>
        </w:rPr>
        <w:t xml:space="preserve"> Apart from unprocessed food items (e.g., apples), there are also processed food items in this category that do not consist exclusively of fruit (e.g., 100 g of apple compote consist of 96 g of apples and 4 g of sugar). However, the associated difference is negligible</w:t>
      </w:r>
      <w:r>
        <w:rPr>
          <w:lang w:val="en-US"/>
        </w:rPr>
        <w:t>. T</w:t>
      </w:r>
      <w:r w:rsidRPr="006D6F70">
        <w:rPr>
          <w:lang w:val="en-US"/>
        </w:rPr>
        <w:t xml:space="preserve">he intake quantities of food items from the category </w:t>
      </w:r>
      <w:r>
        <w:rPr>
          <w:lang w:val="en-US"/>
        </w:rPr>
        <w:t>of fruit products (left column) are, therefore,</w:t>
      </w:r>
      <w:r w:rsidRPr="006D6F70">
        <w:rPr>
          <w:lang w:val="en-US"/>
        </w:rPr>
        <w:t xml:space="preserve"> almost equal to the fruit intake through </w:t>
      </w:r>
      <w:r>
        <w:rPr>
          <w:lang w:val="en-US"/>
        </w:rPr>
        <w:t xml:space="preserve">these </w:t>
      </w:r>
      <w:r w:rsidRPr="006D6F70">
        <w:rPr>
          <w:lang w:val="en-US"/>
        </w:rPr>
        <w:t>food items (red</w:t>
      </w:r>
      <w:r>
        <w:rPr>
          <w:lang w:val="en-US"/>
        </w:rPr>
        <w:t>, middle</w:t>
      </w:r>
      <w:r w:rsidRPr="006D6F70">
        <w:rPr>
          <w:lang w:val="en-US"/>
        </w:rPr>
        <w:t xml:space="preserve"> column). The fruit intake through other food items (e.g., fruit salad and jam, light gr</w:t>
      </w:r>
      <w:r>
        <w:rPr>
          <w:lang w:val="en-US"/>
        </w:rPr>
        <w:t>a</w:t>
      </w:r>
      <w:r w:rsidRPr="006D6F70">
        <w:rPr>
          <w:lang w:val="en-US"/>
        </w:rPr>
        <w:t xml:space="preserve">y, </w:t>
      </w:r>
      <w:r>
        <w:rPr>
          <w:lang w:val="en-US"/>
        </w:rPr>
        <w:t>middle</w:t>
      </w:r>
      <w:r w:rsidRPr="006D6F70">
        <w:rPr>
          <w:lang w:val="en-US"/>
        </w:rPr>
        <w:t xml:space="preserve"> column) only accounts for a small share of </w:t>
      </w:r>
      <w:r>
        <w:rPr>
          <w:lang w:val="en-US"/>
        </w:rPr>
        <w:t>the total</w:t>
      </w:r>
      <w:r w:rsidRPr="006D6F70">
        <w:rPr>
          <w:lang w:val="en-US"/>
        </w:rPr>
        <w:t xml:space="preserve"> fruit intake.</w:t>
      </w:r>
    </w:p>
    <w:p w14:paraId="4E117CCF" w14:textId="77777777" w:rsidR="00A45E44" w:rsidRPr="006D6F70" w:rsidRDefault="00A45E44" w:rsidP="00A45E44">
      <w:pPr>
        <w:rPr>
          <w:lang w:val="en-US"/>
        </w:rPr>
      </w:pPr>
      <w:r w:rsidRPr="006D6F70">
        <w:rPr>
          <w:lang w:val="en-US"/>
        </w:rPr>
        <w:t xml:space="preserve">The relevant categories of market balance quantities that need to be matched are apples and other fruit. </w:t>
      </w:r>
      <w:r>
        <w:rPr>
          <w:lang w:val="en-US"/>
        </w:rPr>
        <w:t xml:space="preserve">These </w:t>
      </w:r>
      <w:r w:rsidRPr="006D6F70">
        <w:rPr>
          <w:lang w:val="en-US"/>
        </w:rPr>
        <w:t xml:space="preserve">quantities are too low to match the </w:t>
      </w:r>
      <w:r>
        <w:rPr>
          <w:lang w:val="en-US"/>
        </w:rPr>
        <w:t xml:space="preserve">fruit intake </w:t>
      </w:r>
      <w:r w:rsidRPr="006D6F70">
        <w:rPr>
          <w:lang w:val="en-US"/>
        </w:rPr>
        <w:t xml:space="preserve">reported in the survey. The consolidation decreases the intake quantities of fruit through food items in the category </w:t>
      </w:r>
      <w:r>
        <w:rPr>
          <w:lang w:val="en-US"/>
        </w:rPr>
        <w:t xml:space="preserve">of </w:t>
      </w:r>
      <w:r w:rsidRPr="006D6F70">
        <w:rPr>
          <w:lang w:val="en-US"/>
        </w:rPr>
        <w:t>fruit products, suggesting an overreporting for these food items in the intake survey (</w:t>
      </w:r>
      <w:r>
        <w:rPr>
          <w:lang w:val="en-US"/>
        </w:rPr>
        <w:t>right column</w:t>
      </w:r>
      <w:r w:rsidRPr="006D6F70">
        <w:rPr>
          <w:lang w:val="en-US"/>
        </w:rPr>
        <w:t xml:space="preserve">). </w:t>
      </w:r>
    </w:p>
    <w:p w14:paraId="0FEDE473" w14:textId="3D809A76" w:rsidR="00AA534B" w:rsidRDefault="00A45E44" w:rsidP="00A45E44">
      <w:r w:rsidRPr="009B2FA6">
        <w:rPr>
          <w:lang w:val="en-US"/>
        </w:rPr>
        <w:t xml:space="preserve">Consequently, we assess the </w:t>
      </w:r>
      <w:r>
        <w:rPr>
          <w:lang w:val="en-US"/>
        </w:rPr>
        <w:t>status quo</w:t>
      </w:r>
      <w:r w:rsidRPr="009B2FA6">
        <w:rPr>
          <w:lang w:val="en-US"/>
        </w:rPr>
        <w:t xml:space="preserve"> intake of fruit (</w:t>
      </w:r>
      <w:r>
        <w:rPr>
          <w:lang w:val="en-US"/>
        </w:rPr>
        <w:t>right column</w:t>
      </w:r>
      <w:r w:rsidRPr="009B2FA6">
        <w:rPr>
          <w:lang w:val="en-US"/>
        </w:rPr>
        <w:t xml:space="preserve">) </w:t>
      </w:r>
      <w:r>
        <w:rPr>
          <w:lang w:val="en-US"/>
        </w:rPr>
        <w:t>as</w:t>
      </w:r>
      <w:r w:rsidRPr="009B2FA6">
        <w:rPr>
          <w:lang w:val="en-US"/>
        </w:rPr>
        <w:t xml:space="preserve"> lower than the food items intake (</w:t>
      </w:r>
      <w:r>
        <w:rPr>
          <w:lang w:val="en-US"/>
        </w:rPr>
        <w:t>left column</w:t>
      </w:r>
      <w:r w:rsidRPr="009B2FA6">
        <w:rPr>
          <w:lang w:val="en-US"/>
        </w:rPr>
        <w:t xml:space="preserve">) suggests. To meet the </w:t>
      </w:r>
      <w:r w:rsidRPr="00FC40C1">
        <w:rPr>
          <w:lang w:val="en-US"/>
        </w:rPr>
        <w:t xml:space="preserve">optimal </w:t>
      </w:r>
      <w:r w:rsidRPr="009B2FA6">
        <w:rPr>
          <w:lang w:val="en-US"/>
        </w:rPr>
        <w:t xml:space="preserve">DGE </w:t>
      </w:r>
      <w:r w:rsidRPr="00FC40C1">
        <w:rPr>
          <w:lang w:val="en-US"/>
        </w:rPr>
        <w:t>intake quantities</w:t>
      </w:r>
      <w:r w:rsidRPr="009B2FA6">
        <w:rPr>
          <w:lang w:val="en-US"/>
        </w:rPr>
        <w:t xml:space="preserve"> (yellow line, “DGE goal”), the intake has to increase more than suggested in Schäfer et al.</w:t>
      </w:r>
      <w:r w:rsidR="00554289">
        <w:rPr>
          <w:lang w:val="en-US"/>
        </w:rPr>
        <w:t xml:space="preserve"> </w:t>
      </w:r>
      <w:r w:rsidRPr="004575C4">
        <w:fldChar w:fldCharType="begin"/>
      </w:r>
      <w:r w:rsidR="00554289">
        <w:rPr>
          <w:lang w:val="en-US"/>
        </w:rPr>
        <w:instrText xml:space="preserve"> ADDIN ZOTERO_ITEM CSL_CITATION {"citationID":"FJevayOA","properties":{"formattedCitation":"(2024)","plainCitation":"(2024)","noteIndex":0},"citationItems":[{"id":950,"uris":["http://zotero.org/users/10655811/items/3WH2N6UG"],"itemData":{"id":950,"type":"article-journal","container-title":"Ernährungs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4575C4">
        <w:fldChar w:fldCharType="separate"/>
      </w:r>
      <w:r w:rsidR="00554289" w:rsidRPr="00554289">
        <w:rPr>
          <w:rFonts w:cs="Calibri"/>
        </w:rPr>
        <w:t>(2024)</w:t>
      </w:r>
      <w:r w:rsidRPr="004575C4">
        <w:fldChar w:fldCharType="end"/>
      </w:r>
      <w:r w:rsidR="00C457EE">
        <w:t>.</w:t>
      </w:r>
    </w:p>
    <w:p w14:paraId="09B268CD" w14:textId="77777777" w:rsidR="00AA534B" w:rsidRDefault="00AA534B">
      <w:pPr>
        <w:suppressAutoHyphens w:val="0"/>
        <w:spacing w:before="0" w:line="240" w:lineRule="auto"/>
        <w:jc w:val="left"/>
      </w:pPr>
      <w:r>
        <w:br w:type="page"/>
      </w:r>
    </w:p>
    <w:bookmarkEnd w:id="11"/>
    <w:p w14:paraId="3461BBB0" w14:textId="21D358AB" w:rsidR="00A45E44" w:rsidRDefault="000F3DF9" w:rsidP="00A45E44">
      <w:r>
        <w:rPr>
          <w:noProof/>
        </w:rPr>
        <w:lastRenderedPageBreak/>
        <w:drawing>
          <wp:inline distT="0" distB="0" distL="0" distR="0" wp14:anchorId="71F2A4D3" wp14:editId="2C6B0CB5">
            <wp:extent cx="6059805" cy="1816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59805" cy="1816735"/>
                    </a:xfrm>
                    <a:prstGeom prst="rect">
                      <a:avLst/>
                    </a:prstGeom>
                    <a:noFill/>
                  </pic:spPr>
                </pic:pic>
              </a:graphicData>
            </a:graphic>
          </wp:inline>
        </w:drawing>
      </w:r>
    </w:p>
    <w:p w14:paraId="246A1359" w14:textId="6B05A536"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w:t>
      </w:r>
      <w:r>
        <w:fldChar w:fldCharType="end"/>
      </w:r>
      <w:r w:rsidRPr="00FD3306">
        <w:rPr>
          <w:lang w:val="en-US"/>
        </w:rPr>
        <w:t xml:space="preserve">: </w:t>
      </w:r>
      <w:r w:rsidR="00A45E44" w:rsidRPr="0076459F">
        <w:rPr>
          <w:lang w:val="en-US"/>
        </w:rPr>
        <w:t xml:space="preserve">Intake of fruit per capita per day in grams. Excerpt of Figure </w:t>
      </w:r>
      <w:r w:rsidR="00A45E44">
        <w:rPr>
          <w:lang w:val="en-US"/>
        </w:rPr>
        <w:t>3</w:t>
      </w:r>
      <w:r w:rsidR="00A45E44" w:rsidRPr="0076459F">
        <w:rPr>
          <w:lang w:val="en-US"/>
        </w:rPr>
        <w:t>.</w:t>
      </w:r>
    </w:p>
    <w:p w14:paraId="147510F4" w14:textId="77777777" w:rsidR="00A45E44" w:rsidRPr="004D38A8" w:rsidRDefault="00A45E44" w:rsidP="00FD060A">
      <w:pPr>
        <w:pStyle w:val="Heading2"/>
      </w:pPr>
      <w:bookmarkStart w:id="12" w:name="_Toc194608652"/>
      <w:bookmarkStart w:id="13" w:name="_Toc203763115"/>
      <w:r w:rsidRPr="004D38A8">
        <w:t>Intake of vegetables</w:t>
      </w:r>
      <w:bookmarkEnd w:id="12"/>
      <w:bookmarkEnd w:id="13"/>
    </w:p>
    <w:p w14:paraId="6A182F63" w14:textId="77777777" w:rsidR="00A45E44" w:rsidRPr="006D6F70" w:rsidRDefault="00A45E44" w:rsidP="00A45E44">
      <w:pPr>
        <w:rPr>
          <w:lang w:val="en-US"/>
        </w:rPr>
      </w:pPr>
      <w:r w:rsidRPr="006D6F70">
        <w:rPr>
          <w:lang w:val="en-US"/>
        </w:rPr>
        <w:t>The overarching category</w:t>
      </w:r>
      <w:r>
        <w:rPr>
          <w:lang w:val="en-US"/>
        </w:rPr>
        <w:t xml:space="preserve"> of food items that the DGE considers for the vegetable intake is “vegeta</w:t>
      </w:r>
      <w:r w:rsidRPr="006D6F70">
        <w:rPr>
          <w:lang w:val="en-US"/>
        </w:rPr>
        <w:t>ble products</w:t>
      </w:r>
      <w:r>
        <w:rPr>
          <w:lang w:val="en-US"/>
        </w:rPr>
        <w:t>”</w:t>
      </w:r>
      <w:r w:rsidRPr="006D6F70">
        <w:rPr>
          <w:lang w:val="en-US"/>
        </w:rPr>
        <w:t>. Most food items</w:t>
      </w:r>
      <w:r>
        <w:rPr>
          <w:lang w:val="en-US"/>
        </w:rPr>
        <w:t xml:space="preserve"> in this category</w:t>
      </w:r>
      <w:r w:rsidRPr="006D6F70">
        <w:rPr>
          <w:lang w:val="en-US"/>
        </w:rPr>
        <w:t xml:space="preserve"> are unprocessed vegetables (e.g., tomatoes). Some processed food items in this category do not consist exclusively of vegetables (e.g., canned vegetables are </w:t>
      </w:r>
      <w:r>
        <w:rPr>
          <w:lang w:val="en-US"/>
        </w:rPr>
        <w:t>also considered to contain beans</w:t>
      </w:r>
      <w:r w:rsidRPr="006D6F70">
        <w:rPr>
          <w:lang w:val="en-US"/>
        </w:rPr>
        <w:t>). However, the associated difference is negligible</w:t>
      </w:r>
      <w:r>
        <w:rPr>
          <w:lang w:val="en-US"/>
        </w:rPr>
        <w:t>. T</w:t>
      </w:r>
      <w:r w:rsidRPr="006D6F70">
        <w:rPr>
          <w:lang w:val="en-US"/>
        </w:rPr>
        <w:t>he intake quantities of food items from the category vegetable products (</w:t>
      </w:r>
      <w:r>
        <w:rPr>
          <w:lang w:val="en-US"/>
        </w:rPr>
        <w:t>left column</w:t>
      </w:r>
      <w:r w:rsidRPr="006D6F70">
        <w:rPr>
          <w:lang w:val="en-US"/>
        </w:rPr>
        <w:t xml:space="preserve">) </w:t>
      </w:r>
      <w:r>
        <w:rPr>
          <w:lang w:val="en-US"/>
        </w:rPr>
        <w:t>are</w:t>
      </w:r>
      <w:r w:rsidRPr="006D6F70">
        <w:rPr>
          <w:lang w:val="en-US"/>
        </w:rPr>
        <w:t xml:space="preserve"> almost equal to the vegetable intake through </w:t>
      </w:r>
      <w:r>
        <w:rPr>
          <w:lang w:val="en-US"/>
        </w:rPr>
        <w:t xml:space="preserve">these </w:t>
      </w:r>
      <w:r w:rsidRPr="006D6F70">
        <w:rPr>
          <w:lang w:val="en-US"/>
        </w:rPr>
        <w:t>food items (</w:t>
      </w:r>
      <w:r>
        <w:rPr>
          <w:lang w:val="en-US"/>
        </w:rPr>
        <w:t>green, middle</w:t>
      </w:r>
      <w:r w:rsidRPr="006D6F70">
        <w:rPr>
          <w:lang w:val="en-US"/>
        </w:rPr>
        <w:t xml:space="preserve"> column). The vegetable intake through composite dishes (e.g., mixed boiled vegetables and mixed green salad, dark </w:t>
      </w:r>
      <w:r>
        <w:rPr>
          <w:lang w:val="en-US"/>
        </w:rPr>
        <w:t>gray, middle column</w:t>
      </w:r>
      <w:r w:rsidRPr="006D6F70">
        <w:rPr>
          <w:lang w:val="en-US"/>
        </w:rPr>
        <w:t xml:space="preserve">) </w:t>
      </w:r>
      <w:r>
        <w:rPr>
          <w:lang w:val="en-US"/>
        </w:rPr>
        <w:t>accounts for around one-fourth</w:t>
      </w:r>
      <w:r w:rsidRPr="006D6F70">
        <w:rPr>
          <w:lang w:val="en-US"/>
        </w:rPr>
        <w:t xml:space="preserve"> of the </w:t>
      </w:r>
      <w:r>
        <w:rPr>
          <w:lang w:val="en-US"/>
        </w:rPr>
        <w:t>total</w:t>
      </w:r>
      <w:r w:rsidRPr="006D6F70">
        <w:rPr>
          <w:lang w:val="en-US"/>
        </w:rPr>
        <w:t xml:space="preserve"> vegetable intake. The intake through other food items is negligible.</w:t>
      </w:r>
    </w:p>
    <w:p w14:paraId="3CDEE57F" w14:textId="77777777" w:rsidR="00A45E44" w:rsidRPr="006D6F70" w:rsidRDefault="00A45E44" w:rsidP="00A45E44">
      <w:pPr>
        <w:rPr>
          <w:lang w:val="en-US"/>
        </w:rPr>
      </w:pPr>
      <w:r w:rsidRPr="006D6F70">
        <w:rPr>
          <w:lang w:val="en-US"/>
        </w:rPr>
        <w:t xml:space="preserve">The relevant categories of market balance quantities that need to be matched are tomatoes and other vegetables. </w:t>
      </w:r>
      <w:r w:rsidRPr="00EB2145">
        <w:rPr>
          <w:lang w:val="en-US"/>
        </w:rPr>
        <w:t xml:space="preserve">These quantities are too </w:t>
      </w:r>
      <w:r>
        <w:rPr>
          <w:lang w:val="en-US"/>
        </w:rPr>
        <w:t>high</w:t>
      </w:r>
      <w:r w:rsidRPr="00EB2145">
        <w:rPr>
          <w:lang w:val="en-US"/>
        </w:rPr>
        <w:t xml:space="preserve"> to match the intake of </w:t>
      </w:r>
      <w:r>
        <w:rPr>
          <w:lang w:val="en-US"/>
        </w:rPr>
        <w:t>vegetables</w:t>
      </w:r>
      <w:r w:rsidRPr="00EB2145">
        <w:rPr>
          <w:lang w:val="en-US"/>
        </w:rPr>
        <w:t xml:space="preserve"> as reported in the survey.</w:t>
      </w:r>
      <w:r>
        <w:rPr>
          <w:lang w:val="en-US"/>
        </w:rPr>
        <w:t xml:space="preserve"> </w:t>
      </w:r>
      <w:r w:rsidRPr="006D6F70">
        <w:rPr>
          <w:lang w:val="en-US"/>
        </w:rPr>
        <w:t>The consolidation increases the intake quantities of vegetables through food items in the category vegetable products and composite dishes, suggesting an underreporting for these food items in the intake survey (</w:t>
      </w:r>
      <w:r>
        <w:rPr>
          <w:lang w:val="en-US"/>
        </w:rPr>
        <w:t>right column</w:t>
      </w:r>
      <w:r w:rsidRPr="006D6F70">
        <w:rPr>
          <w:lang w:val="en-US"/>
        </w:rPr>
        <w:t xml:space="preserve">). </w:t>
      </w:r>
    </w:p>
    <w:p w14:paraId="4E170EA1" w14:textId="6F9F2878" w:rsidR="00A45E44" w:rsidRPr="00EB2145" w:rsidRDefault="00A45E44" w:rsidP="00A45E44">
      <w:pPr>
        <w:rPr>
          <w:lang w:val="en-US"/>
        </w:rPr>
      </w:pPr>
      <w:r w:rsidRPr="006D6F70">
        <w:rPr>
          <w:lang w:val="en-US"/>
        </w:rPr>
        <w:t xml:space="preserve">Consequently,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intake of vegetables</w:t>
      </w:r>
      <w:r>
        <w:rPr>
          <w:lang w:val="en-US"/>
        </w:rPr>
        <w:t xml:space="preserve"> </w:t>
      </w:r>
      <w:r w:rsidRPr="006D6F70">
        <w:rPr>
          <w:lang w:val="en-US"/>
        </w:rPr>
        <w:t>(</w:t>
      </w:r>
      <w:r>
        <w:rPr>
          <w:lang w:val="en-US"/>
        </w:rPr>
        <w:t>right column</w:t>
      </w:r>
      <w:r w:rsidRPr="006D6F70">
        <w:rPr>
          <w:lang w:val="en-US"/>
        </w:rPr>
        <w:t>)</w:t>
      </w:r>
      <w:r>
        <w:rPr>
          <w:lang w:val="en-US"/>
        </w:rPr>
        <w:t xml:space="preserve"> to be</w:t>
      </w:r>
      <w:r w:rsidRPr="006D6F70">
        <w:rPr>
          <w:lang w:val="en-US"/>
        </w:rPr>
        <w:t xml:space="preserve"> higher than the </w:t>
      </w:r>
      <w:r>
        <w:rPr>
          <w:lang w:val="en-US"/>
        </w:rPr>
        <w:t>food items</w:t>
      </w:r>
      <w:r w:rsidRPr="006D6F70">
        <w:rPr>
          <w:lang w:val="en-US"/>
        </w:rPr>
        <w:t xml:space="preserve"> intake</w:t>
      </w:r>
      <w:r>
        <w:rPr>
          <w:lang w:val="en-US"/>
        </w:rPr>
        <w:t xml:space="preserve"> (left column)</w:t>
      </w:r>
      <w:r w:rsidRPr="006D6F70">
        <w:rPr>
          <w:lang w:val="en-US"/>
        </w:rPr>
        <w:t xml:space="preserve"> suggests</w:t>
      </w:r>
      <w:r w:rsidR="00C46E39">
        <w:rPr>
          <w:lang w:val="en-US"/>
        </w:rPr>
        <w:t xml:space="preserve"> and close to the optima</w:t>
      </w:r>
      <w:r w:rsidR="00FC180A">
        <w:rPr>
          <w:lang w:val="en-US"/>
        </w:rPr>
        <w:t>l</w:t>
      </w:r>
      <w:r w:rsidRPr="00FA5E7B">
        <w:rPr>
          <w:lang w:val="en-US"/>
        </w:rPr>
        <w:t xml:space="preserve"> DGE intake quantities </w:t>
      </w:r>
      <w:r>
        <w:rPr>
          <w:lang w:val="en-US"/>
        </w:rPr>
        <w:t>(yellow line, “DGE goal”)</w:t>
      </w:r>
      <w:r w:rsidR="00C46E39">
        <w:rPr>
          <w:lang w:val="en-US"/>
        </w:rPr>
        <w:t>. Consequently, the</w:t>
      </w:r>
      <w:r w:rsidRPr="006D6F70">
        <w:rPr>
          <w:lang w:val="en-US"/>
        </w:rPr>
        <w:t xml:space="preserve"> intake </w:t>
      </w:r>
      <w:r w:rsidR="00C46E39">
        <w:rPr>
          <w:lang w:val="en-US"/>
        </w:rPr>
        <w:t xml:space="preserve">does not have to </w:t>
      </w:r>
      <w:r w:rsidRPr="006D6F70">
        <w:rPr>
          <w:lang w:val="en-US"/>
        </w:rPr>
        <w:t xml:space="preserve">increase </w:t>
      </w:r>
      <w:r w:rsidR="00C46E39">
        <w:rPr>
          <w:lang w:val="en-US"/>
        </w:rPr>
        <w:t>as</w:t>
      </w:r>
      <w:r w:rsidRPr="006D6F70">
        <w:rPr>
          <w:lang w:val="en-US"/>
        </w:rPr>
        <w:t xml:space="preserve"> suggested in Schäfer et al.</w:t>
      </w:r>
      <w:r w:rsidR="00554289">
        <w:rPr>
          <w:lang w:val="en-US"/>
        </w:rPr>
        <w:t xml:space="preserve"> </w:t>
      </w:r>
      <w:r>
        <w:fldChar w:fldCharType="begin"/>
      </w:r>
      <w:r w:rsidR="00554289">
        <w:rPr>
          <w:lang w:val="en-US"/>
        </w:rPr>
        <w:instrText xml:space="preserve"> ADDIN ZOTERO_ITEM CSL_CITATION {"citationID":"IsG9ta7z","properties":{"formattedCitation":"(2024)","plainCitation":"(2024)","noteIndex":0},"citationItems":[{"id":950,"uris":["http://zotero.org/users/10655811/items/3WH2N6UG"],"itemData":{"id":950,"type":"article-journal","container-title":"Ernährungs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554289">
        <w:rPr>
          <w:rFonts w:cs="Calibri"/>
        </w:rPr>
        <w:t>(2024)</w:t>
      </w:r>
      <w:r>
        <w:fldChar w:fldCharType="end"/>
      </w:r>
      <w:r w:rsidR="00C46E39">
        <w:t xml:space="preserve"> to </w:t>
      </w:r>
      <w:proofErr w:type="spellStart"/>
      <w:r w:rsidR="00C46E39">
        <w:t>meet</w:t>
      </w:r>
      <w:proofErr w:type="spellEnd"/>
      <w:r w:rsidR="00C46E39">
        <w:t xml:space="preserve"> </w:t>
      </w:r>
      <w:r w:rsidR="00C46E39">
        <w:rPr>
          <w:lang w:val="en-US"/>
        </w:rPr>
        <w:t>the optimal</w:t>
      </w:r>
      <w:r w:rsidR="00C46E39" w:rsidRPr="00FA5E7B">
        <w:rPr>
          <w:lang w:val="en-US"/>
        </w:rPr>
        <w:t xml:space="preserve"> DGE intake quantities</w:t>
      </w:r>
      <w:r w:rsidR="00C457EE">
        <w:t>.</w:t>
      </w:r>
    </w:p>
    <w:p w14:paraId="659919FE" w14:textId="4FD0E6C0" w:rsidR="00A45E44" w:rsidRDefault="000F3DF9" w:rsidP="00A45E44">
      <w:pPr>
        <w:keepNext/>
        <w:suppressAutoHyphens w:val="0"/>
        <w:spacing w:before="0" w:line="240" w:lineRule="auto"/>
      </w:pPr>
      <w:r>
        <w:rPr>
          <w:noProof/>
        </w:rPr>
        <w:drawing>
          <wp:inline distT="0" distB="0" distL="0" distR="0" wp14:anchorId="635D8B44" wp14:editId="77FA13A7">
            <wp:extent cx="6059805" cy="18103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59805" cy="1810385"/>
                    </a:xfrm>
                    <a:prstGeom prst="rect">
                      <a:avLst/>
                    </a:prstGeom>
                    <a:noFill/>
                  </pic:spPr>
                </pic:pic>
              </a:graphicData>
            </a:graphic>
          </wp:inline>
        </w:drawing>
      </w:r>
    </w:p>
    <w:p w14:paraId="3D870781" w14:textId="4444886B" w:rsidR="00A45E44"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2</w:t>
      </w:r>
      <w:r>
        <w:fldChar w:fldCharType="end"/>
      </w:r>
      <w:r w:rsidRPr="00FD3306">
        <w:rPr>
          <w:lang w:val="en-US"/>
        </w:rPr>
        <w:t>:</w:t>
      </w:r>
      <w:r>
        <w:rPr>
          <w:lang w:val="en-US"/>
        </w:rPr>
        <w:t xml:space="preserve"> </w:t>
      </w:r>
      <w:r w:rsidR="00A45E44" w:rsidRPr="0076459F">
        <w:rPr>
          <w:lang w:val="en-US"/>
        </w:rPr>
        <w:t xml:space="preserve">Intake of vegetables per capita per day in grams. Excerpt of Figure </w:t>
      </w:r>
      <w:r w:rsidR="00A45E44">
        <w:rPr>
          <w:lang w:val="en-US"/>
        </w:rPr>
        <w:t>3</w:t>
      </w:r>
      <w:r w:rsidR="00A45E44" w:rsidRPr="0076459F">
        <w:rPr>
          <w:lang w:val="en-US"/>
        </w:rPr>
        <w:t>.</w:t>
      </w:r>
    </w:p>
    <w:p w14:paraId="55CC76A3" w14:textId="4B14349A" w:rsidR="00C46E39" w:rsidRPr="00C46E39" w:rsidRDefault="00AA534B" w:rsidP="00AA534B">
      <w:pPr>
        <w:suppressAutoHyphens w:val="0"/>
        <w:spacing w:before="0" w:line="240" w:lineRule="auto"/>
        <w:jc w:val="left"/>
        <w:rPr>
          <w:lang w:val="en-US"/>
        </w:rPr>
      </w:pPr>
      <w:r>
        <w:rPr>
          <w:lang w:val="en-US"/>
        </w:rPr>
        <w:br w:type="page"/>
      </w:r>
    </w:p>
    <w:p w14:paraId="0037BEBA" w14:textId="77777777" w:rsidR="00A45E44" w:rsidRPr="00EB2145" w:rsidRDefault="00A45E44" w:rsidP="00FD060A">
      <w:pPr>
        <w:pStyle w:val="Heading2"/>
      </w:pPr>
      <w:bookmarkStart w:id="14" w:name="_Toc194608653"/>
      <w:bookmarkStart w:id="15" w:name="_Toc203763116"/>
      <w:bookmarkStart w:id="16" w:name="_Hlk194397062"/>
      <w:r w:rsidRPr="00EB2145">
        <w:lastRenderedPageBreak/>
        <w:t xml:space="preserve">Intake of </w:t>
      </w:r>
      <w:r w:rsidRPr="00FD060A">
        <w:t>legumes</w:t>
      </w:r>
      <w:bookmarkEnd w:id="14"/>
      <w:bookmarkEnd w:id="15"/>
    </w:p>
    <w:bookmarkEnd w:id="16"/>
    <w:p w14:paraId="759C9765" w14:textId="7FAB482D" w:rsidR="00A45E44" w:rsidRPr="006D6F70" w:rsidRDefault="00A45E44" w:rsidP="00A45E44">
      <w:pPr>
        <w:rPr>
          <w:lang w:val="en-US"/>
        </w:rPr>
      </w:pPr>
      <w:r w:rsidRPr="006D6F70">
        <w:rPr>
          <w:lang w:val="en-US"/>
        </w:rPr>
        <w:t xml:space="preserve">The overarching category </w:t>
      </w:r>
      <w:r>
        <w:rPr>
          <w:lang w:val="en-US"/>
        </w:rPr>
        <w:t>of food items that the DGE considers for the legume intake is “</w:t>
      </w:r>
      <w:r w:rsidRPr="006D6F70">
        <w:rPr>
          <w:lang w:val="en-US"/>
        </w:rPr>
        <w:t>legumes</w:t>
      </w:r>
      <w:r>
        <w:rPr>
          <w:lang w:val="en-US"/>
        </w:rPr>
        <w:t>”</w:t>
      </w:r>
      <w:r w:rsidRPr="006D6F70">
        <w:rPr>
          <w:lang w:val="en-US"/>
        </w:rPr>
        <w:t xml:space="preserve">. The DGE calculates </w:t>
      </w:r>
      <w:r>
        <w:rPr>
          <w:lang w:val="en-US"/>
        </w:rPr>
        <w:t xml:space="preserve">the intake of </w:t>
      </w:r>
      <w:r w:rsidRPr="006D6F70">
        <w:rPr>
          <w:lang w:val="en-US"/>
        </w:rPr>
        <w:t>5 g per capita per day</w:t>
      </w:r>
      <w:r>
        <w:rPr>
          <w:lang w:val="en-US"/>
        </w:rPr>
        <w:t>,</w:t>
      </w:r>
      <w:r w:rsidR="00554289">
        <w:rPr>
          <w:lang w:val="en-US"/>
        </w:rPr>
        <w:t xml:space="preserve"> Schäfer et al. </w:t>
      </w:r>
      <w:r w:rsidRPr="00EC7443">
        <w:fldChar w:fldCharType="begin"/>
      </w:r>
      <w:r w:rsidR="00554289">
        <w:rPr>
          <w:lang w:val="en-US"/>
        </w:rPr>
        <w:instrText xml:space="preserve"> ADDIN ZOTERO_ITEM CSL_CITATION {"citationID":"A4gHI3YT","properties":{"formattedCitation":"(2024)","plainCitation":"(2024)","noteIndex":0},"citationItems":[{"id":950,"uris":["http://zotero.org/users/10655811/items/3WH2N6UG"],"itemData":{"id":950,"type":"article-journal","container-title":"Ernährungs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EC7443">
        <w:fldChar w:fldCharType="separate"/>
      </w:r>
      <w:r w:rsidR="00554289" w:rsidRPr="00554289">
        <w:rPr>
          <w:rFonts w:cs="Calibri"/>
          <w:lang w:val="en-US"/>
        </w:rPr>
        <w:t>(2024)</w:t>
      </w:r>
      <w:r w:rsidRPr="00EC7443">
        <w:fldChar w:fldCharType="end"/>
      </w:r>
      <w:r w:rsidRPr="006D6F70">
        <w:rPr>
          <w:lang w:val="en-US"/>
        </w:rPr>
        <w:t xml:space="preserve"> whereas we calculate 3.5 g</w:t>
      </w:r>
      <w:r>
        <w:rPr>
          <w:lang w:val="en-US"/>
        </w:rPr>
        <w:t xml:space="preserve"> (left column)</w:t>
      </w:r>
      <w:r w:rsidRPr="006D6F70">
        <w:rPr>
          <w:lang w:val="en-US"/>
        </w:rPr>
        <w:t>. This difference is explained by the calculation method. Schäfer et al.</w:t>
      </w:r>
      <w:r w:rsidR="00554289">
        <w:rPr>
          <w:lang w:val="en-US"/>
        </w:rPr>
        <w:t xml:space="preserve"> </w:t>
      </w:r>
      <w:r w:rsidRPr="00EC7443">
        <w:fldChar w:fldCharType="begin"/>
      </w:r>
      <w:r w:rsidR="00554289">
        <w:rPr>
          <w:lang w:val="en-US"/>
        </w:rPr>
        <w:instrText xml:space="preserve"> ADDIN ZOTERO_ITEM CSL_CITATION {"citationID":"BE7Wtz4g","properties":{"formattedCitation":"(2024)","plainCitation":"(2024)","noteIndex":0},"citationItems":[{"id":950,"uris":["http://zotero.org/users/10655811/items/3WH2N6UG"],"itemData":{"id":950,"type":"article-journal","container-title":"Ernährungs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EC7443">
        <w:fldChar w:fldCharType="separate"/>
      </w:r>
      <w:r w:rsidR="00554289" w:rsidRPr="00554289">
        <w:rPr>
          <w:rFonts w:cs="Calibri"/>
          <w:lang w:val="en-US"/>
        </w:rPr>
        <w:t>(2024)</w:t>
      </w:r>
      <w:r w:rsidRPr="00EC7443">
        <w:fldChar w:fldCharType="end"/>
      </w:r>
      <w:r w:rsidRPr="006D6F70">
        <w:rPr>
          <w:lang w:val="en-US"/>
        </w:rPr>
        <w:t xml:space="preserve"> convert dried pulses into ready-to-eat quantities with the factor 1.8</w:t>
      </w:r>
      <w:r w:rsidR="00554289">
        <w:rPr>
          <w:lang w:val="en-US"/>
        </w:rPr>
        <w:t xml:space="preserve"> </w:t>
      </w:r>
      <w:r w:rsidRPr="00EC7443">
        <w:fldChar w:fldCharType="begin"/>
      </w:r>
      <w:r w:rsidR="00554289">
        <w:rPr>
          <w:lang w:val="en-US"/>
        </w:rPr>
        <w:instrText xml:space="preserve"> ADDIN ZOTERO_ITEM CSL_CITATION {"citationID":"0YAuNEZI","properties":{"formattedCitation":"(DGE, 2024)","plainCitation":"(DGE, 2024)","noteIndex":0},"citationItems":[{"id":3519,"uris":["http://zotero.org/users/10655811/items/VG2AMWTI"],"itemData":{"id":3519,"type":"document","title":"Interpretationshilfe_DGE_FBDG_DEundENG.pdf","URL":"https://www.dge.de/fileadmin/dok/wissenschaft/publikationen/Interpretationshilfe_DGE_FBDG_DEundENG.pdf","editor":[{"family":"DGE","given":""}],"accessed":{"date-parts":[["2024",10,30]]},"issued":{"date-parts":[["2024"]]}}}],"schema":"https://github.com/citation-style-language/schema/raw/master/csl-citation.json"} </w:instrText>
      </w:r>
      <w:r w:rsidRPr="00EC7443">
        <w:fldChar w:fldCharType="separate"/>
      </w:r>
      <w:r w:rsidR="00554289" w:rsidRPr="00554289">
        <w:rPr>
          <w:rFonts w:cs="Calibri"/>
          <w:lang w:val="en-US"/>
        </w:rPr>
        <w:t>(DGE, 2024)</w:t>
      </w:r>
      <w:r w:rsidRPr="00EC7443">
        <w:fldChar w:fldCharType="end"/>
      </w:r>
      <w:r w:rsidR="00554289" w:rsidRPr="00554289">
        <w:rPr>
          <w:lang w:val="en-US"/>
        </w:rPr>
        <w:t>.</w:t>
      </w:r>
      <w:r w:rsidRPr="006D6F70">
        <w:rPr>
          <w:lang w:val="en-US"/>
        </w:rPr>
        <w:t xml:space="preserve"> Apart from dried pulses, this category includes fresh garden peas.  However, we consider fresh garden peas as vegetables, not pulses, leading to a smaller legume intake from this category (orange</w:t>
      </w:r>
      <w:r>
        <w:rPr>
          <w:lang w:val="en-US"/>
        </w:rPr>
        <w:t>, middle</w:t>
      </w:r>
      <w:r w:rsidRPr="006D6F70">
        <w:rPr>
          <w:lang w:val="en-US"/>
        </w:rPr>
        <w:t xml:space="preserve"> column). </w:t>
      </w:r>
      <w:r>
        <w:rPr>
          <w:lang w:val="en-US"/>
        </w:rPr>
        <w:t>Additional intake of legumes comes from food items in other categories, e.g., c</w:t>
      </w:r>
      <w:r w:rsidRPr="006D6F70">
        <w:rPr>
          <w:lang w:val="en-US"/>
        </w:rPr>
        <w:t>anned legumes (olive)</w:t>
      </w:r>
      <w:r>
        <w:rPr>
          <w:lang w:val="en-US"/>
        </w:rPr>
        <w:t xml:space="preserve"> and composite dishes</w:t>
      </w:r>
      <w:r w:rsidRPr="006D6F70">
        <w:rPr>
          <w:lang w:val="en-US"/>
        </w:rPr>
        <w:t xml:space="preserve"> like legume soup (light gr</w:t>
      </w:r>
      <w:r>
        <w:rPr>
          <w:lang w:val="en-US"/>
        </w:rPr>
        <w:t>a</w:t>
      </w:r>
      <w:r w:rsidRPr="006D6F70">
        <w:rPr>
          <w:lang w:val="en-US"/>
        </w:rPr>
        <w:t>y).</w:t>
      </w:r>
    </w:p>
    <w:p w14:paraId="1368F5E2" w14:textId="653AD343" w:rsidR="00A45E44" w:rsidRPr="006D6F70" w:rsidRDefault="00A45E44" w:rsidP="00A45E44">
      <w:pPr>
        <w:rPr>
          <w:lang w:val="en-US"/>
        </w:rPr>
      </w:pPr>
      <w:r w:rsidRPr="006D6F70">
        <w:rPr>
          <w:lang w:val="en-US"/>
        </w:rPr>
        <w:t xml:space="preserve">The relevant categories of market balance quantities that need to be matched are </w:t>
      </w:r>
      <w:r>
        <w:rPr>
          <w:lang w:val="en-US"/>
        </w:rPr>
        <w:t>soybeans</w:t>
      </w:r>
      <w:r w:rsidRPr="006D6F70">
        <w:rPr>
          <w:lang w:val="en-US"/>
        </w:rPr>
        <w:t xml:space="preserve"> and pulses. The quantit</w:t>
      </w:r>
      <w:r>
        <w:rPr>
          <w:lang w:val="en-US"/>
        </w:rPr>
        <w:t>y</w:t>
      </w:r>
      <w:r w:rsidRPr="006D6F70">
        <w:rPr>
          <w:lang w:val="en-US"/>
        </w:rPr>
        <w:t xml:space="preserve"> of pulses available </w:t>
      </w:r>
      <w:r>
        <w:rPr>
          <w:lang w:val="en-US"/>
        </w:rPr>
        <w:t>for</w:t>
      </w:r>
      <w:r w:rsidRPr="006D6F70">
        <w:rPr>
          <w:lang w:val="en-US"/>
        </w:rPr>
        <w:t xml:space="preserve"> human consumption on the market </w:t>
      </w:r>
      <w:r>
        <w:rPr>
          <w:lang w:val="en-US"/>
        </w:rPr>
        <w:t>is</w:t>
      </w:r>
      <w:r w:rsidRPr="006D6F70">
        <w:rPr>
          <w:lang w:val="en-US"/>
        </w:rPr>
        <w:t xml:space="preserve"> too low to match the intake of pulses reported in the survey. </w:t>
      </w:r>
      <w:r>
        <w:rPr>
          <w:lang w:val="en-US"/>
        </w:rPr>
        <w:t>To match the market balance and intake quantities, t</w:t>
      </w:r>
      <w:r w:rsidRPr="006D6F70">
        <w:rPr>
          <w:lang w:val="en-US"/>
        </w:rPr>
        <w:t xml:space="preserve">he intake of food items from </w:t>
      </w:r>
      <w:r>
        <w:rPr>
          <w:lang w:val="en-US"/>
        </w:rPr>
        <w:t>the legume</w:t>
      </w:r>
      <w:r w:rsidRPr="006D6F70">
        <w:rPr>
          <w:lang w:val="en-US"/>
        </w:rPr>
        <w:t xml:space="preserve"> category is substantially decreased in the consolidation (orange</w:t>
      </w:r>
      <w:r>
        <w:rPr>
          <w:lang w:val="en-US"/>
        </w:rPr>
        <w:t>, right</w:t>
      </w:r>
      <w:r w:rsidRPr="006D6F70">
        <w:rPr>
          <w:lang w:val="en-US"/>
        </w:rPr>
        <w:t xml:space="preserve"> column). Soybeans are not included in the</w:t>
      </w:r>
      <w:r w:rsidR="00F97246">
        <w:rPr>
          <w:lang w:val="en-US"/>
        </w:rPr>
        <w:t xml:space="preserve"> food item</w:t>
      </w:r>
      <w:r w:rsidRPr="006D6F70">
        <w:rPr>
          <w:lang w:val="en-US"/>
        </w:rPr>
        <w:t xml:space="preserve"> category </w:t>
      </w:r>
      <w:r>
        <w:rPr>
          <w:lang w:val="en-US"/>
        </w:rPr>
        <w:t>of legumes, but are consumed through soya drink, tofu,</w:t>
      </w:r>
      <w:r w:rsidRPr="006D6F70">
        <w:rPr>
          <w:lang w:val="en-US"/>
        </w:rPr>
        <w:t xml:space="preserve"> and similar</w:t>
      </w:r>
      <w:r>
        <w:rPr>
          <w:lang w:val="en-US"/>
        </w:rPr>
        <w:t xml:space="preserve"> products</w:t>
      </w:r>
      <w:r w:rsidRPr="006D6F70">
        <w:rPr>
          <w:lang w:val="en-US"/>
        </w:rPr>
        <w:t xml:space="preserve">. </w:t>
      </w:r>
      <w:r>
        <w:rPr>
          <w:lang w:val="en-US"/>
        </w:rPr>
        <w:t xml:space="preserve">The market balance quantity of soybeans is too high to match the intake of soy-containing food items. </w:t>
      </w:r>
      <w:r w:rsidRPr="006D6F70">
        <w:rPr>
          <w:lang w:val="en-US"/>
        </w:rPr>
        <w:t xml:space="preserve">To match the quantities of soybeans available </w:t>
      </w:r>
      <w:r>
        <w:rPr>
          <w:lang w:val="en-US"/>
        </w:rPr>
        <w:t>for</w:t>
      </w:r>
      <w:r w:rsidRPr="006D6F70">
        <w:rPr>
          <w:lang w:val="en-US"/>
        </w:rPr>
        <w:t xml:space="preserve"> human consumption on the market to the intake, the consolidation increases the intake of soya drink (</w:t>
      </w:r>
      <w:r w:rsidR="00214A6D">
        <w:rPr>
          <w:lang w:val="en-US"/>
        </w:rPr>
        <w:t>1.5 g of soya intake through soya drink</w:t>
      </w:r>
      <w:r w:rsidR="00F97246">
        <w:rPr>
          <w:lang w:val="en-US"/>
        </w:rPr>
        <w:t xml:space="preserve"> corresponds to 32</w:t>
      </w:r>
      <w:r w:rsidRPr="006D6F70">
        <w:rPr>
          <w:lang w:val="en-US"/>
        </w:rPr>
        <w:t xml:space="preserve"> g of soya drink</w:t>
      </w:r>
      <w:r>
        <w:rPr>
          <w:lang w:val="en-US"/>
        </w:rPr>
        <w:t xml:space="preserve"> per capita per day</w:t>
      </w:r>
      <w:r w:rsidRPr="006D6F70">
        <w:rPr>
          <w:lang w:val="en-US"/>
        </w:rPr>
        <w:t xml:space="preserve">). </w:t>
      </w:r>
    </w:p>
    <w:p w14:paraId="3CAD8816" w14:textId="4BD1F0F0" w:rsidR="00A45E44" w:rsidRPr="00527512" w:rsidRDefault="002F1E9A" w:rsidP="00A45E44">
      <w:pPr>
        <w:rPr>
          <w:lang w:val="en-US"/>
        </w:rPr>
      </w:pPr>
      <w:r>
        <w:rPr>
          <w:lang w:val="en-US"/>
        </w:rPr>
        <w:t xml:space="preserve">When calculating the status quo intake </w:t>
      </w:r>
      <w:r w:rsidRPr="006D6F70">
        <w:rPr>
          <w:lang w:val="en-US"/>
        </w:rPr>
        <w:t>by accounting for</w:t>
      </w:r>
      <w:r>
        <w:rPr>
          <w:lang w:val="en-US"/>
        </w:rPr>
        <w:t xml:space="preserve"> intake as ingredients in food items</w:t>
      </w:r>
      <w:r w:rsidRPr="006D6F70">
        <w:rPr>
          <w:lang w:val="en-US"/>
        </w:rPr>
        <w:t xml:space="preserve"> and using the consolidated database (2.</w:t>
      </w:r>
      <w:r>
        <w:rPr>
          <w:lang w:val="en-US"/>
        </w:rPr>
        <w:t>5</w:t>
      </w:r>
      <w:r w:rsidRPr="006D6F70">
        <w:rPr>
          <w:lang w:val="en-US"/>
        </w:rPr>
        <w:t xml:space="preserve"> g per capita per day</w:t>
      </w:r>
      <w:r>
        <w:rPr>
          <w:lang w:val="en-US"/>
        </w:rPr>
        <w:t>, right column</w:t>
      </w:r>
      <w:r w:rsidRPr="006D6F70">
        <w:rPr>
          <w:lang w:val="en-US"/>
        </w:rPr>
        <w:t>)</w:t>
      </w:r>
      <w:r>
        <w:rPr>
          <w:lang w:val="en-US"/>
        </w:rPr>
        <w:t>, we find it to be</w:t>
      </w:r>
      <w:r w:rsidRPr="006D6F70">
        <w:rPr>
          <w:lang w:val="en-US"/>
        </w:rPr>
        <w:t xml:space="preserve"> </w:t>
      </w:r>
      <w:r w:rsidR="00A45E44" w:rsidRPr="006D6F70">
        <w:rPr>
          <w:lang w:val="en-US"/>
        </w:rPr>
        <w:t xml:space="preserve">lower than the DGE reference (5 g). We assess the difference in converting dried pulses into edible equivalents </w:t>
      </w:r>
      <w:r w:rsidR="00A45E44">
        <w:rPr>
          <w:lang w:val="en-US"/>
        </w:rPr>
        <w:t>as</w:t>
      </w:r>
      <w:r w:rsidR="00A45E44" w:rsidRPr="006D6F70">
        <w:rPr>
          <w:lang w:val="en-US"/>
        </w:rPr>
        <w:t xml:space="preserve"> negligible because of the small share of dried pulses. Consequently, we find that the intake of legumes has to increase more to meet </w:t>
      </w:r>
      <w:r w:rsidR="00A45E44" w:rsidRPr="00FA5E7B">
        <w:rPr>
          <w:lang w:val="en-US"/>
        </w:rPr>
        <w:t xml:space="preserve">optimal DGE intake quantities </w:t>
      </w:r>
      <w:r w:rsidR="00A45E44">
        <w:rPr>
          <w:lang w:val="en-US"/>
        </w:rPr>
        <w:t>(yellow line, “DGE goal”)</w:t>
      </w:r>
      <w:r w:rsidR="00A45E44" w:rsidRPr="006D6F70">
        <w:rPr>
          <w:lang w:val="en-US"/>
        </w:rPr>
        <w:t xml:space="preserve"> than suggested in Schäfer et al.</w:t>
      </w:r>
      <w:r w:rsidR="00554289">
        <w:rPr>
          <w:lang w:val="en-US"/>
        </w:rPr>
        <w:t xml:space="preserve"> </w:t>
      </w:r>
      <w:r w:rsidR="00A45E44" w:rsidRPr="00674FB7">
        <w:fldChar w:fldCharType="begin"/>
      </w:r>
      <w:r w:rsidR="00554289">
        <w:rPr>
          <w:lang w:val="en-US"/>
        </w:rPr>
        <w:instrText xml:space="preserve"> ADDIN ZOTERO_ITEM CSL_CITATION {"citationID":"forac8fZ","properties":{"formattedCitation":"(2024)","plainCitation":"(2024)","noteIndex":0},"citationItems":[{"id":950,"uris":["http://zotero.org/users/10655811/items/3WH2N6UG"],"itemData":{"id":950,"type":"article-journal","container-title":"Ernährungs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00A45E44" w:rsidRPr="00674FB7">
        <w:fldChar w:fldCharType="separate"/>
      </w:r>
      <w:r w:rsidR="00554289" w:rsidRPr="00554289">
        <w:rPr>
          <w:rFonts w:cs="Calibri"/>
        </w:rPr>
        <w:t>(2024)</w:t>
      </w:r>
      <w:r w:rsidR="00A45E44" w:rsidRPr="00674FB7">
        <w:fldChar w:fldCharType="end"/>
      </w:r>
      <w:r w:rsidR="00C457EE">
        <w:t>.</w:t>
      </w:r>
    </w:p>
    <w:p w14:paraId="684A9B8A" w14:textId="6B1C210D" w:rsidR="00A45E44" w:rsidRDefault="000F3DF9" w:rsidP="00A45E44">
      <w:pPr>
        <w:keepNext/>
        <w:spacing w:before="0" w:line="240" w:lineRule="auto"/>
      </w:pPr>
      <w:r>
        <w:rPr>
          <w:noProof/>
        </w:rPr>
        <w:drawing>
          <wp:inline distT="0" distB="0" distL="0" distR="0" wp14:anchorId="17F14BE8" wp14:editId="65D658DE">
            <wp:extent cx="6059805" cy="18103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9805" cy="1810385"/>
                    </a:xfrm>
                    <a:prstGeom prst="rect">
                      <a:avLst/>
                    </a:prstGeom>
                    <a:noFill/>
                  </pic:spPr>
                </pic:pic>
              </a:graphicData>
            </a:graphic>
          </wp:inline>
        </w:drawing>
      </w:r>
    </w:p>
    <w:p w14:paraId="113DFE63" w14:textId="40B71EF5"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3</w:t>
      </w:r>
      <w:r>
        <w:fldChar w:fldCharType="end"/>
      </w:r>
      <w:r w:rsidR="00A45E44" w:rsidRPr="0076459F">
        <w:rPr>
          <w:lang w:val="en-US"/>
        </w:rPr>
        <w:t xml:space="preserve">: Intake of legumes per capita per day in grams. Excerpt of Figure </w:t>
      </w:r>
      <w:r w:rsidR="00A45E44">
        <w:rPr>
          <w:lang w:val="en-US"/>
        </w:rPr>
        <w:t>3</w:t>
      </w:r>
      <w:r w:rsidR="00A45E44" w:rsidRPr="0076459F">
        <w:rPr>
          <w:lang w:val="en-US"/>
        </w:rPr>
        <w:t>.</w:t>
      </w:r>
    </w:p>
    <w:p w14:paraId="1254DC1B" w14:textId="77777777" w:rsidR="00A45E44" w:rsidRPr="00FD3306" w:rsidRDefault="00A45E44" w:rsidP="00FD060A">
      <w:pPr>
        <w:pStyle w:val="Heading2"/>
      </w:pPr>
      <w:bookmarkStart w:id="17" w:name="_Toc194608654"/>
      <w:bookmarkStart w:id="18" w:name="_Toc203763117"/>
      <w:r w:rsidRPr="00FD3306">
        <w:t>Intake of nuts</w:t>
      </w:r>
      <w:bookmarkEnd w:id="17"/>
      <w:bookmarkEnd w:id="18"/>
    </w:p>
    <w:p w14:paraId="5C8CBDDD" w14:textId="77777777" w:rsidR="00A45E44" w:rsidRPr="006D6F70" w:rsidRDefault="00A45E44" w:rsidP="00A45E44">
      <w:pPr>
        <w:rPr>
          <w:lang w:val="en-US"/>
        </w:rPr>
      </w:pPr>
      <w:r w:rsidRPr="006D6F70">
        <w:rPr>
          <w:lang w:val="en-US"/>
        </w:rPr>
        <w:t xml:space="preserve">The overarching category </w:t>
      </w:r>
      <w:r>
        <w:rPr>
          <w:lang w:val="en-US"/>
        </w:rPr>
        <w:t xml:space="preserve">of food items that the DGE considers for the nut intake </w:t>
      </w:r>
      <w:r w:rsidRPr="006D6F70">
        <w:rPr>
          <w:lang w:val="en-US"/>
        </w:rPr>
        <w:t>is “nuts and oilseeds”. All food items are unprocessed nuts and oilseeds. Therefore</w:t>
      </w:r>
      <w:r>
        <w:rPr>
          <w:lang w:val="en-US"/>
        </w:rPr>
        <w:t>,</w:t>
      </w:r>
      <w:r w:rsidRPr="006D6F70">
        <w:rPr>
          <w:lang w:val="en-US"/>
        </w:rPr>
        <w:t xml:space="preserve"> the intake of food items from this category (</w:t>
      </w:r>
      <w:r>
        <w:rPr>
          <w:lang w:val="en-US"/>
        </w:rPr>
        <w:t>left column</w:t>
      </w:r>
      <w:r w:rsidRPr="006D6F70">
        <w:rPr>
          <w:lang w:val="en-US"/>
        </w:rPr>
        <w:t xml:space="preserve">) and the nut intake through </w:t>
      </w:r>
      <w:r>
        <w:rPr>
          <w:lang w:val="en-US"/>
        </w:rPr>
        <w:t>these food items</w:t>
      </w:r>
      <w:r w:rsidRPr="006D6F70">
        <w:rPr>
          <w:lang w:val="en-US"/>
        </w:rPr>
        <w:t xml:space="preserve"> (dark purple</w:t>
      </w:r>
      <w:r>
        <w:rPr>
          <w:lang w:val="en-US"/>
        </w:rPr>
        <w:t>, middle</w:t>
      </w:r>
      <w:r w:rsidRPr="006D6F70">
        <w:rPr>
          <w:lang w:val="en-US"/>
        </w:rPr>
        <w:t xml:space="preserve"> column) are equal.</w:t>
      </w:r>
      <w:r>
        <w:rPr>
          <w:lang w:val="en-US"/>
        </w:rPr>
        <w:t xml:space="preserve"> Additionally, t</w:t>
      </w:r>
      <w:r w:rsidRPr="006D6F70">
        <w:rPr>
          <w:lang w:val="en-US"/>
        </w:rPr>
        <w:t xml:space="preserve">here is </w:t>
      </w:r>
      <w:r>
        <w:rPr>
          <w:lang w:val="en-US"/>
        </w:rPr>
        <w:t xml:space="preserve">a </w:t>
      </w:r>
      <w:r w:rsidRPr="006D6F70">
        <w:rPr>
          <w:lang w:val="en-US"/>
        </w:rPr>
        <w:t>considerable intake of nuts and oilseeds through nut pastes, e.g., peanut butter (light purple</w:t>
      </w:r>
      <w:r>
        <w:rPr>
          <w:lang w:val="en-US"/>
        </w:rPr>
        <w:t>, middle</w:t>
      </w:r>
      <w:r w:rsidRPr="006D6F70">
        <w:rPr>
          <w:lang w:val="en-US"/>
        </w:rPr>
        <w:t xml:space="preserve"> column) and grain-based products, e.g., bread with sunflower seeds (brown</w:t>
      </w:r>
      <w:r>
        <w:rPr>
          <w:lang w:val="en-US"/>
        </w:rPr>
        <w:t>, middle</w:t>
      </w:r>
      <w:r w:rsidRPr="006D6F70">
        <w:rPr>
          <w:lang w:val="en-US"/>
        </w:rPr>
        <w:t xml:space="preserve"> column). Intake from </w:t>
      </w:r>
      <w:r>
        <w:rPr>
          <w:lang w:val="en-US"/>
        </w:rPr>
        <w:t xml:space="preserve">these </w:t>
      </w:r>
      <w:r w:rsidRPr="006D6F70">
        <w:rPr>
          <w:lang w:val="en-US"/>
        </w:rPr>
        <w:t xml:space="preserve">other sources accounts for half of the </w:t>
      </w:r>
      <w:r>
        <w:rPr>
          <w:lang w:val="en-US"/>
        </w:rPr>
        <w:t>total</w:t>
      </w:r>
      <w:r w:rsidRPr="006D6F70">
        <w:rPr>
          <w:lang w:val="en-US"/>
        </w:rPr>
        <w:t xml:space="preserve"> intake</w:t>
      </w:r>
      <w:r>
        <w:rPr>
          <w:lang w:val="en-US"/>
        </w:rPr>
        <w:t xml:space="preserve"> of nuts and oilseeds</w:t>
      </w:r>
      <w:r w:rsidRPr="006D6F70">
        <w:rPr>
          <w:lang w:val="en-US"/>
        </w:rPr>
        <w:t>.</w:t>
      </w:r>
    </w:p>
    <w:p w14:paraId="1E5CC11F" w14:textId="553D06AB" w:rsidR="00A45E44" w:rsidRPr="006D6F70" w:rsidRDefault="00A45E44" w:rsidP="00A45E44">
      <w:pPr>
        <w:rPr>
          <w:lang w:val="en-US"/>
        </w:rPr>
      </w:pPr>
      <w:r w:rsidRPr="006D6F70">
        <w:rPr>
          <w:lang w:val="en-US"/>
        </w:rPr>
        <w:t>The relevant categories of market balance quantities that need to be matched are sunflower seeds and other vegetables, which</w:t>
      </w:r>
      <w:r>
        <w:rPr>
          <w:lang w:val="en-US"/>
        </w:rPr>
        <w:t>, among others, capture</w:t>
      </w:r>
      <w:r w:rsidRPr="00B13F41">
        <w:rPr>
          <w:lang w:val="en-US"/>
        </w:rPr>
        <w:t xml:space="preserve"> nuts. These quantities are too </w:t>
      </w:r>
      <w:r>
        <w:rPr>
          <w:lang w:val="en-US"/>
        </w:rPr>
        <w:t>high</w:t>
      </w:r>
      <w:r w:rsidRPr="00B13F41">
        <w:rPr>
          <w:lang w:val="en-US"/>
        </w:rPr>
        <w:t xml:space="preserve"> to match the intake of </w:t>
      </w:r>
      <w:r w:rsidRPr="00B13F41">
        <w:rPr>
          <w:lang w:val="en-US"/>
        </w:rPr>
        <w:lastRenderedPageBreak/>
        <w:t>nuts reported in the survey (while simultaneously</w:t>
      </w:r>
      <w:r>
        <w:rPr>
          <w:lang w:val="en-US"/>
        </w:rPr>
        <w:t xml:space="preserve"> considering the intake of food items containing other vegetables). </w:t>
      </w:r>
      <w:r w:rsidRPr="006D6F70">
        <w:rPr>
          <w:lang w:val="en-US"/>
        </w:rPr>
        <w:t xml:space="preserve">The consolidation increases the intake of nuts and oilseeds </w:t>
      </w:r>
      <w:r w:rsidR="00F97246">
        <w:rPr>
          <w:lang w:val="en-US"/>
        </w:rPr>
        <w:t xml:space="preserve">mainly </w:t>
      </w:r>
      <w:r w:rsidRPr="006D6F70">
        <w:rPr>
          <w:lang w:val="en-US"/>
        </w:rPr>
        <w:t xml:space="preserve">through </w:t>
      </w:r>
      <w:r w:rsidR="00F97246">
        <w:rPr>
          <w:lang w:val="en-US"/>
        </w:rPr>
        <w:t>grain-based products</w:t>
      </w:r>
      <w:r w:rsidRPr="006D6F70">
        <w:rPr>
          <w:lang w:val="en-US"/>
        </w:rPr>
        <w:t xml:space="preserve">, suggesting an underreporting for </w:t>
      </w:r>
      <w:r w:rsidR="00F97246">
        <w:rPr>
          <w:lang w:val="en-US"/>
        </w:rPr>
        <w:t>bread and rolls containing nuts and seeds</w:t>
      </w:r>
      <w:r w:rsidRPr="006D6F70">
        <w:rPr>
          <w:lang w:val="en-US"/>
        </w:rPr>
        <w:t xml:space="preserve"> in the intake survey (</w:t>
      </w:r>
      <w:r>
        <w:rPr>
          <w:lang w:val="en-US"/>
        </w:rPr>
        <w:t>right column</w:t>
      </w:r>
      <w:r w:rsidRPr="006D6F70">
        <w:rPr>
          <w:lang w:val="en-US"/>
        </w:rPr>
        <w:t xml:space="preserve">). </w:t>
      </w:r>
    </w:p>
    <w:p w14:paraId="67698313" w14:textId="64BC6D56" w:rsidR="00A45E44" w:rsidRPr="00B13F41" w:rsidRDefault="00A45E44" w:rsidP="00A45E44">
      <w:pPr>
        <w:rPr>
          <w:lang w:val="en-US"/>
        </w:rPr>
      </w:pPr>
      <w:r w:rsidRPr="006D6F70">
        <w:rPr>
          <w:lang w:val="en-US"/>
        </w:rPr>
        <w:t xml:space="preserve">Consequently,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intake of nuts and oilseeds</w:t>
      </w:r>
      <w:r>
        <w:rPr>
          <w:lang w:val="en-US"/>
        </w:rPr>
        <w:t xml:space="preserve"> </w:t>
      </w:r>
      <w:r w:rsidRPr="006D6F70">
        <w:rPr>
          <w:lang w:val="en-US"/>
        </w:rPr>
        <w:t>(</w:t>
      </w:r>
      <w:r>
        <w:rPr>
          <w:lang w:val="en-US"/>
        </w:rPr>
        <w:t>right column</w:t>
      </w:r>
      <w:r w:rsidRPr="006D6F70">
        <w:rPr>
          <w:lang w:val="en-US"/>
        </w:rPr>
        <w:t>)</w:t>
      </w:r>
      <w:r>
        <w:rPr>
          <w:lang w:val="en-US"/>
        </w:rPr>
        <w:t xml:space="preserve"> to be</w:t>
      </w:r>
      <w:r w:rsidRPr="006D6F70">
        <w:rPr>
          <w:lang w:val="en-US"/>
        </w:rPr>
        <w:t xml:space="preserve"> higher than the </w:t>
      </w:r>
      <w:r>
        <w:rPr>
          <w:lang w:val="en-US"/>
        </w:rPr>
        <w:t>food items</w:t>
      </w:r>
      <w:r w:rsidRPr="006D6F70">
        <w:rPr>
          <w:lang w:val="en-US"/>
        </w:rPr>
        <w:t xml:space="preserve"> intake </w:t>
      </w:r>
      <w:r>
        <w:rPr>
          <w:lang w:val="en-US"/>
        </w:rPr>
        <w:t xml:space="preserve">(left column) </w:t>
      </w:r>
      <w:r w:rsidRPr="006D6F70">
        <w:rPr>
          <w:lang w:val="en-US"/>
        </w:rPr>
        <w:t>suggests</w:t>
      </w:r>
      <w:r>
        <w:rPr>
          <w:lang w:val="en-US"/>
        </w:rPr>
        <w:t xml:space="preserve">. </w:t>
      </w:r>
      <w:r w:rsidR="00CD4934">
        <w:rPr>
          <w:lang w:val="en-US"/>
        </w:rPr>
        <w:t>The</w:t>
      </w:r>
      <w:r>
        <w:rPr>
          <w:lang w:val="en-US"/>
        </w:rPr>
        <w:t xml:space="preserve"> </w:t>
      </w:r>
      <w:r w:rsidRPr="00FA5E7B">
        <w:rPr>
          <w:lang w:val="en-US"/>
        </w:rPr>
        <w:t xml:space="preserve">optimal DGE intake quantities </w:t>
      </w:r>
      <w:r>
        <w:rPr>
          <w:lang w:val="en-US"/>
        </w:rPr>
        <w:t>(yellow line, “DGE goal”)</w:t>
      </w:r>
      <w:r w:rsidR="00CD4934">
        <w:rPr>
          <w:lang w:val="en-US"/>
        </w:rPr>
        <w:t xml:space="preserve"> are already surpassed in the status quo and </w:t>
      </w:r>
      <w:r w:rsidRPr="006D6F70">
        <w:rPr>
          <w:lang w:val="en-US"/>
        </w:rPr>
        <w:t>the intake</w:t>
      </w:r>
      <w:r w:rsidR="00CD4934">
        <w:rPr>
          <w:lang w:val="en-US"/>
        </w:rPr>
        <w:t xml:space="preserve"> does not have</w:t>
      </w:r>
      <w:r w:rsidRPr="006D6F70">
        <w:rPr>
          <w:lang w:val="en-US"/>
        </w:rPr>
        <w:t xml:space="preserve">s to increase </w:t>
      </w:r>
      <w:r w:rsidR="00CD4934">
        <w:rPr>
          <w:lang w:val="en-US"/>
        </w:rPr>
        <w:t>as</w:t>
      </w:r>
      <w:r w:rsidRPr="006D6F70">
        <w:rPr>
          <w:lang w:val="en-US"/>
        </w:rPr>
        <w:t xml:space="preserve"> suggested in Schäfer et al.</w:t>
      </w:r>
      <w:r w:rsidR="00554289">
        <w:rPr>
          <w:lang w:val="en-US"/>
        </w:rPr>
        <w:t xml:space="preserve"> </w:t>
      </w:r>
      <w:r>
        <w:fldChar w:fldCharType="begin"/>
      </w:r>
      <w:r w:rsidR="00554289">
        <w:rPr>
          <w:lang w:val="en-US"/>
        </w:rPr>
        <w:instrText xml:space="preserve"> ADDIN ZOTERO_ITEM CSL_CITATION {"citationID":"E7K8nSaM","properties":{"formattedCitation":"(2024)","plainCitation":"(2024)","noteIndex":0},"citationItems":[{"id":950,"uris":["http://zotero.org/users/10655811/items/3WH2N6UG"],"itemData":{"id":950,"type":"article-journal","container-title":"Ernährungs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CD4934">
        <w:rPr>
          <w:rFonts w:cs="Calibri"/>
          <w:lang w:val="en-US"/>
        </w:rPr>
        <w:t>(2024)</w:t>
      </w:r>
      <w:r>
        <w:fldChar w:fldCharType="end"/>
      </w:r>
      <w:r w:rsidR="00C457EE" w:rsidRPr="00CD4934">
        <w:rPr>
          <w:lang w:val="en-US"/>
        </w:rPr>
        <w:t>.</w:t>
      </w:r>
    </w:p>
    <w:p w14:paraId="55D64E50" w14:textId="57009E37" w:rsidR="00A45E44" w:rsidRDefault="000F3DF9" w:rsidP="00A45E44">
      <w:pPr>
        <w:keepNext/>
        <w:spacing w:before="0" w:line="240" w:lineRule="auto"/>
      </w:pPr>
      <w:r>
        <w:rPr>
          <w:noProof/>
        </w:rPr>
        <w:drawing>
          <wp:inline distT="0" distB="0" distL="0" distR="0" wp14:anchorId="5BBF3E38" wp14:editId="03225417">
            <wp:extent cx="6066155" cy="18103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66155" cy="1810385"/>
                    </a:xfrm>
                    <a:prstGeom prst="rect">
                      <a:avLst/>
                    </a:prstGeom>
                    <a:noFill/>
                  </pic:spPr>
                </pic:pic>
              </a:graphicData>
            </a:graphic>
          </wp:inline>
        </w:drawing>
      </w:r>
    </w:p>
    <w:p w14:paraId="198727CF" w14:textId="31A77318"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4</w:t>
      </w:r>
      <w:r>
        <w:fldChar w:fldCharType="end"/>
      </w:r>
      <w:r w:rsidR="00A45E44" w:rsidRPr="0076459F">
        <w:rPr>
          <w:lang w:val="en-US"/>
        </w:rPr>
        <w:t xml:space="preserve">: Intake of nuts per capita per day in grams. Excerpt of Figure </w:t>
      </w:r>
      <w:r w:rsidR="00A45E44">
        <w:rPr>
          <w:lang w:val="en-US"/>
        </w:rPr>
        <w:t>3</w:t>
      </w:r>
      <w:r w:rsidR="00A45E44" w:rsidRPr="0076459F">
        <w:rPr>
          <w:lang w:val="en-US"/>
        </w:rPr>
        <w:t>.</w:t>
      </w:r>
    </w:p>
    <w:p w14:paraId="710EF462" w14:textId="77777777" w:rsidR="00A45E44" w:rsidRPr="00B13F41" w:rsidRDefault="00A45E44" w:rsidP="00FD060A">
      <w:pPr>
        <w:pStyle w:val="Heading2"/>
      </w:pPr>
      <w:bookmarkStart w:id="19" w:name="_Toc194608655"/>
      <w:bookmarkStart w:id="20" w:name="_Toc203763118"/>
      <w:r w:rsidRPr="00B13F41">
        <w:t>Intake of cereals</w:t>
      </w:r>
      <w:bookmarkEnd w:id="19"/>
      <w:bookmarkEnd w:id="20"/>
    </w:p>
    <w:p w14:paraId="65C238AE" w14:textId="2B32704F" w:rsidR="00A45E44" w:rsidRDefault="00A45E44" w:rsidP="00A45E44">
      <w:pPr>
        <w:rPr>
          <w:szCs w:val="18"/>
          <w:lang w:val="en-US"/>
        </w:rPr>
      </w:pPr>
      <w:r w:rsidRPr="006D6F70">
        <w:rPr>
          <w:lang w:val="en-US"/>
        </w:rPr>
        <w:t xml:space="preserve">The overarching category </w:t>
      </w:r>
      <w:r>
        <w:rPr>
          <w:lang w:val="en-US"/>
        </w:rPr>
        <w:t>of food items</w:t>
      </w:r>
      <w:r w:rsidRPr="006D6F70">
        <w:rPr>
          <w:lang w:val="en-US"/>
        </w:rPr>
        <w:t xml:space="preserve"> </w:t>
      </w:r>
      <w:r>
        <w:rPr>
          <w:lang w:val="en-US"/>
        </w:rPr>
        <w:t xml:space="preserve">that the DGE considers for the cereal intake </w:t>
      </w:r>
      <w:r w:rsidRPr="006D6F70">
        <w:rPr>
          <w:lang w:val="en-US"/>
        </w:rPr>
        <w:t xml:space="preserve">is </w:t>
      </w:r>
      <w:r>
        <w:rPr>
          <w:lang w:val="en-US"/>
        </w:rPr>
        <w:t>“</w:t>
      </w:r>
      <w:r w:rsidRPr="006D6F70">
        <w:rPr>
          <w:lang w:val="en-US"/>
        </w:rPr>
        <w:t>grain-based products</w:t>
      </w:r>
      <w:r>
        <w:rPr>
          <w:lang w:val="en-US"/>
        </w:rPr>
        <w:t>”.</w:t>
      </w:r>
      <w:r w:rsidRPr="006D6F70">
        <w:rPr>
          <w:lang w:val="en-US"/>
        </w:rPr>
        <w:t xml:space="preserve"> This </w:t>
      </w:r>
      <w:r>
        <w:rPr>
          <w:lang w:val="en-US"/>
        </w:rPr>
        <w:t>heterogeneous category contains bread, breakfast cereals, rice, fine bakery wares,</w:t>
      </w:r>
      <w:r w:rsidRPr="006D6F70">
        <w:rPr>
          <w:lang w:val="en-US"/>
        </w:rPr>
        <w:t xml:space="preserve"> and pasta. Adding up the intake quantities of </w:t>
      </w:r>
      <w:r>
        <w:rPr>
          <w:lang w:val="en-US"/>
        </w:rPr>
        <w:t>this category's food items</w:t>
      </w:r>
      <w:r w:rsidRPr="006D6F70">
        <w:rPr>
          <w:lang w:val="en-US"/>
        </w:rPr>
        <w:t xml:space="preserve"> (</w:t>
      </w:r>
      <w:r>
        <w:rPr>
          <w:lang w:val="en-US"/>
        </w:rPr>
        <w:t>left column</w:t>
      </w:r>
      <w:r w:rsidRPr="006D6F70">
        <w:rPr>
          <w:lang w:val="en-US"/>
        </w:rPr>
        <w:t>), therefore, also includes other non-cereal ingredients, e.g., eggs in cakes</w:t>
      </w:r>
      <w:r>
        <w:rPr>
          <w:lang w:val="en-US"/>
        </w:rPr>
        <w:t>.</w:t>
      </w:r>
      <w:r w:rsidRPr="006D6F70">
        <w:rPr>
          <w:lang w:val="en-US"/>
        </w:rPr>
        <w:t xml:space="preserve"> The DGE calculates 237 g per capita per day </w:t>
      </w:r>
      <w:r>
        <w:rPr>
          <w:lang w:val="en-US"/>
        </w:rPr>
        <w:t>of</w:t>
      </w:r>
      <w:r w:rsidRPr="006D6F70">
        <w:rPr>
          <w:lang w:val="en-US"/>
        </w:rPr>
        <w:t xml:space="preserve"> </w:t>
      </w:r>
      <w:r w:rsidRPr="006D6F70">
        <w:rPr>
          <w:szCs w:val="18"/>
          <w:lang w:val="en-US"/>
        </w:rPr>
        <w:t>intake</w:t>
      </w:r>
      <w:r>
        <w:rPr>
          <w:szCs w:val="18"/>
          <w:lang w:val="en-US"/>
        </w:rPr>
        <w:t>,</w:t>
      </w:r>
      <w:r w:rsidR="00554289">
        <w:rPr>
          <w:szCs w:val="18"/>
          <w:lang w:val="en-US"/>
        </w:rPr>
        <w:t xml:space="preserve"> Schäfer et al. </w:t>
      </w:r>
      <w:r w:rsidRPr="007C7DE5">
        <w:rPr>
          <w:szCs w:val="18"/>
        </w:rPr>
        <w:fldChar w:fldCharType="begin"/>
      </w:r>
      <w:r w:rsidR="00554289">
        <w:rPr>
          <w:szCs w:val="18"/>
          <w:lang w:val="en-US"/>
        </w:rPr>
        <w:instrText xml:space="preserve"> ADDIN ZOTERO_ITEM CSL_CITATION {"citationID":"0i4tUmns","properties":{"formattedCitation":"(2024)","plainCitation":"(2024)","noteIndex":0},"citationItems":[{"id":950,"uris":["http://zotero.org/users/10655811/items/3WH2N6UG"],"itemData":{"id":950,"type":"article-journal","container-title":"Ernährungs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7C7DE5">
        <w:rPr>
          <w:szCs w:val="18"/>
        </w:rPr>
        <w:fldChar w:fldCharType="separate"/>
      </w:r>
      <w:r w:rsidR="00554289" w:rsidRPr="00554289">
        <w:rPr>
          <w:rFonts w:cs="Calibri"/>
          <w:lang w:val="en-US"/>
        </w:rPr>
        <w:t>(2024)</w:t>
      </w:r>
      <w:r w:rsidRPr="007C7DE5">
        <w:rPr>
          <w:szCs w:val="18"/>
        </w:rPr>
        <w:fldChar w:fldCharType="end"/>
      </w:r>
      <w:r w:rsidRPr="006D6F70">
        <w:rPr>
          <w:szCs w:val="18"/>
          <w:lang w:val="en-US"/>
        </w:rPr>
        <w:t xml:space="preserve"> whereas we calculate 213 g. This difference is explained by the calculation method. Schäfer et al.</w:t>
      </w:r>
      <w:r w:rsidR="00554289">
        <w:rPr>
          <w:szCs w:val="18"/>
          <w:lang w:val="en-US"/>
        </w:rPr>
        <w:t xml:space="preserve"> </w:t>
      </w:r>
      <w:r w:rsidRPr="007C7DE5">
        <w:rPr>
          <w:szCs w:val="18"/>
        </w:rPr>
        <w:fldChar w:fldCharType="begin"/>
      </w:r>
      <w:r w:rsidR="00554289">
        <w:rPr>
          <w:szCs w:val="18"/>
          <w:lang w:val="en-US"/>
        </w:rPr>
        <w:instrText xml:space="preserve"> ADDIN ZOTERO_ITEM CSL_CITATION {"citationID":"fEiTZZQr","properties":{"formattedCitation":"(2024)","plainCitation":"(2024)","noteIndex":0},"citationItems":[{"id":950,"uris":["http://zotero.org/users/10655811/items/3WH2N6UG"],"itemData":{"id":950,"type":"article-journal","container-title":"Ernährungs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7C7DE5">
        <w:rPr>
          <w:szCs w:val="18"/>
        </w:rPr>
        <w:fldChar w:fldCharType="separate"/>
      </w:r>
      <w:r w:rsidR="00554289" w:rsidRPr="00554289">
        <w:rPr>
          <w:rFonts w:cs="Calibri"/>
          <w:lang w:val="en-US"/>
        </w:rPr>
        <w:t>(2024)</w:t>
      </w:r>
      <w:r w:rsidRPr="007C7DE5">
        <w:rPr>
          <w:szCs w:val="18"/>
        </w:rPr>
        <w:fldChar w:fldCharType="end"/>
      </w:r>
      <w:r w:rsidRPr="006D6F70">
        <w:rPr>
          <w:szCs w:val="18"/>
          <w:lang w:val="en-US"/>
        </w:rPr>
        <w:t xml:space="preserve"> weigh dry foods (pasta, rice, cereal flakes) and ready-to-eat gra</w:t>
      </w:r>
      <w:r>
        <w:rPr>
          <w:szCs w:val="18"/>
          <w:lang w:val="en-US"/>
        </w:rPr>
        <w:t>i</w:t>
      </w:r>
      <w:r w:rsidRPr="006D6F70">
        <w:rPr>
          <w:szCs w:val="18"/>
          <w:lang w:val="en-US"/>
        </w:rPr>
        <w:t>n-based products (bread and rolls) at 50:50 proportions</w:t>
      </w:r>
      <w:r w:rsidR="00554289">
        <w:rPr>
          <w:szCs w:val="18"/>
          <w:lang w:val="en-US"/>
        </w:rPr>
        <w:t xml:space="preserve"> </w:t>
      </w:r>
      <w:r>
        <w:rPr>
          <w:szCs w:val="18"/>
        </w:rPr>
        <w:fldChar w:fldCharType="begin"/>
      </w:r>
      <w:r w:rsidR="00554289">
        <w:rPr>
          <w:szCs w:val="18"/>
          <w:lang w:val="en-US"/>
        </w:rPr>
        <w:instrText xml:space="preserve"> ADDIN ZOTERO_ITEM CSL_CITATION {"citationID":"CuWyTVSt","properties":{"formattedCitation":"(DGE, 2024)","plainCitation":"(DGE, 2024)","noteIndex":0},"citationItems":[{"id":3519,"uris":["http://zotero.org/users/10655811/items/VG2AMWTI"],"itemData":{"id":3519,"type":"document","title":"Interpretationshilfe_DGE_FBDG_DEundENG.pdf","URL":"https://www.dge.de/fileadmin/dok/wissenschaft/publikationen/Interpretationshilfe_DGE_FBDG_DEundENG.pdf","editor":[{"family":"DGE","given":""}],"accessed":{"date-parts":[["2024",10,30]]},"issued":{"date-parts":[["2024"]]}}}],"schema":"https://github.com/citation-style-language/schema/raw/master/csl-citation.json"} </w:instrText>
      </w:r>
      <w:r>
        <w:rPr>
          <w:szCs w:val="18"/>
        </w:rPr>
        <w:fldChar w:fldCharType="separate"/>
      </w:r>
      <w:r w:rsidR="00554289" w:rsidRPr="00554289">
        <w:rPr>
          <w:rFonts w:cs="Calibri"/>
          <w:lang w:val="en-US"/>
        </w:rPr>
        <w:t>(DGE, 2024)</w:t>
      </w:r>
      <w:r>
        <w:rPr>
          <w:szCs w:val="18"/>
        </w:rPr>
        <w:fldChar w:fldCharType="end"/>
      </w:r>
      <w:r w:rsidR="00554289" w:rsidRPr="00554289">
        <w:rPr>
          <w:szCs w:val="18"/>
          <w:lang w:val="en-US"/>
        </w:rPr>
        <w:t>.</w:t>
      </w:r>
      <w:r w:rsidRPr="006D6F70">
        <w:rPr>
          <w:szCs w:val="18"/>
          <w:lang w:val="en-US"/>
        </w:rPr>
        <w:t xml:space="preserve"> We do not include any weighing. </w:t>
      </w:r>
    </w:p>
    <w:p w14:paraId="67054666" w14:textId="77777777" w:rsidR="00A45E44" w:rsidRPr="006D6F70" w:rsidRDefault="00A45E44" w:rsidP="00A45E44">
      <w:pPr>
        <w:rPr>
          <w:lang w:val="en-US"/>
        </w:rPr>
      </w:pPr>
      <w:r>
        <w:rPr>
          <w:lang w:val="en-US"/>
        </w:rPr>
        <w:t xml:space="preserve">Cereal intake is lower when accounting only for the cereal component in these food items (brown, middle column). We also consider cereal intake through other food items (gray, middle column), but they </w:t>
      </w:r>
      <w:r w:rsidRPr="006D6F70">
        <w:rPr>
          <w:lang w:val="en-US"/>
        </w:rPr>
        <w:t xml:space="preserve">account for a negligible share of </w:t>
      </w:r>
      <w:r>
        <w:rPr>
          <w:lang w:val="en-US"/>
        </w:rPr>
        <w:t>total</w:t>
      </w:r>
      <w:r w:rsidRPr="006D6F70">
        <w:rPr>
          <w:lang w:val="en-US"/>
        </w:rPr>
        <w:t xml:space="preserve"> cereal intake.</w:t>
      </w:r>
    </w:p>
    <w:p w14:paraId="506A9311" w14:textId="77777777" w:rsidR="00A45E44" w:rsidRPr="006D6F70" w:rsidRDefault="00A45E44" w:rsidP="00A45E44">
      <w:pPr>
        <w:rPr>
          <w:lang w:val="en-US"/>
        </w:rPr>
      </w:pPr>
      <w:r w:rsidRPr="006D6F70">
        <w:rPr>
          <w:lang w:val="en-US"/>
        </w:rPr>
        <w:t>The relevant categories of market balance quantities that need to be matched are wheat, rye, barley, oats, maize</w:t>
      </w:r>
      <w:r>
        <w:rPr>
          <w:lang w:val="en-US"/>
        </w:rPr>
        <w:t>,</w:t>
      </w:r>
      <w:r w:rsidRPr="006D6F70">
        <w:rPr>
          <w:lang w:val="en-US"/>
        </w:rPr>
        <w:t xml:space="preserve"> and rice. </w:t>
      </w:r>
      <w:r>
        <w:rPr>
          <w:lang w:val="en-US"/>
        </w:rPr>
        <w:t xml:space="preserve">These quantities are too high to match the intake of cereals as reported in the survey. </w:t>
      </w:r>
      <w:r w:rsidRPr="006D6F70">
        <w:rPr>
          <w:lang w:val="en-US"/>
        </w:rPr>
        <w:t xml:space="preserve">The consolidation increases the intake of cereals through food items in and outside the category of grain-based products, suggesting an underreporting </w:t>
      </w:r>
      <w:r>
        <w:rPr>
          <w:lang w:val="en-US"/>
        </w:rPr>
        <w:t>of</w:t>
      </w:r>
      <w:r w:rsidRPr="006D6F70">
        <w:rPr>
          <w:lang w:val="en-US"/>
        </w:rPr>
        <w:t xml:space="preserve"> these food items in the intake survey (</w:t>
      </w:r>
      <w:r>
        <w:rPr>
          <w:lang w:val="en-US"/>
        </w:rPr>
        <w:t>right column</w:t>
      </w:r>
      <w:r w:rsidRPr="006D6F70">
        <w:rPr>
          <w:lang w:val="en-US"/>
        </w:rPr>
        <w:t xml:space="preserve">). </w:t>
      </w:r>
    </w:p>
    <w:p w14:paraId="2398CF1D" w14:textId="556D3444" w:rsidR="00AA534B" w:rsidRDefault="00A45E44" w:rsidP="00A45E44">
      <w:pPr>
        <w:rPr>
          <w:lang w:val="en-US"/>
        </w:rPr>
      </w:pPr>
      <w:r w:rsidRPr="006D6F70">
        <w:rPr>
          <w:lang w:val="en-US"/>
        </w:rPr>
        <w:t xml:space="preserve">As a net effect,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intake of cereals (</w:t>
      </w:r>
      <w:r>
        <w:rPr>
          <w:lang w:val="en-US"/>
        </w:rPr>
        <w:t>right column</w:t>
      </w:r>
      <w:r w:rsidRPr="006D6F70">
        <w:rPr>
          <w:lang w:val="en-US"/>
        </w:rPr>
        <w:t>)</w:t>
      </w:r>
      <w:r>
        <w:rPr>
          <w:lang w:val="en-US"/>
        </w:rPr>
        <w:t xml:space="preserve"> to be</w:t>
      </w:r>
      <w:r w:rsidRPr="006D6F70">
        <w:rPr>
          <w:lang w:val="en-US"/>
        </w:rPr>
        <w:t xml:space="preserve"> </w:t>
      </w:r>
      <w:r w:rsidR="006E5919">
        <w:rPr>
          <w:lang w:val="en-US"/>
        </w:rPr>
        <w:t>almost exactly what the</w:t>
      </w:r>
      <w:r w:rsidRPr="006D6F70">
        <w:rPr>
          <w:lang w:val="en-US"/>
        </w:rPr>
        <w:t xml:space="preserve"> </w:t>
      </w:r>
      <w:r>
        <w:rPr>
          <w:lang w:val="en-US"/>
        </w:rPr>
        <w:t>food items</w:t>
      </w:r>
      <w:r w:rsidRPr="006D6F70">
        <w:rPr>
          <w:lang w:val="en-US"/>
        </w:rPr>
        <w:t xml:space="preserve"> intake</w:t>
      </w:r>
      <w:r>
        <w:rPr>
          <w:lang w:val="en-US"/>
        </w:rPr>
        <w:t xml:space="preserve"> (left column)</w:t>
      </w:r>
      <w:r w:rsidRPr="006D6F70">
        <w:rPr>
          <w:lang w:val="en-US"/>
        </w:rPr>
        <w:t xml:space="preserve"> suggests</w:t>
      </w:r>
      <w:r>
        <w:rPr>
          <w:lang w:val="en-US"/>
        </w:rPr>
        <w:t xml:space="preserve">. </w:t>
      </w:r>
      <w:r w:rsidR="000B1EBF">
        <w:rPr>
          <w:lang w:val="en-US"/>
        </w:rPr>
        <w:t xml:space="preserve">Therefore, our calculation method confirms the suggestion </w:t>
      </w:r>
      <w:r w:rsidR="000B1EBF" w:rsidRPr="006D6F70">
        <w:rPr>
          <w:lang w:val="en-US"/>
        </w:rPr>
        <w:t>in Schäfer et al.</w:t>
      </w:r>
      <w:r w:rsidR="000B1EBF">
        <w:rPr>
          <w:lang w:val="en-US"/>
        </w:rPr>
        <w:t xml:space="preserve"> </w:t>
      </w:r>
      <w:r w:rsidR="000B1EBF">
        <w:fldChar w:fldCharType="begin"/>
      </w:r>
      <w:r w:rsidR="000B1EBF">
        <w:rPr>
          <w:lang w:val="en-US"/>
        </w:rPr>
        <w:instrText xml:space="preserve"> ADDIN ZOTERO_ITEM CSL_CITATION {"citationID":"j5rf3M7z","properties":{"formattedCitation":"(2024)","plainCitation":"(2024)","noteIndex":0},"citationItems":[{"id":950,"uris":["http://zotero.org/users/10655811/items/3WH2N6UG"],"itemData":{"id":950,"type":"article-journal","container-title":"Ernährungs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000B1EBF">
        <w:fldChar w:fldCharType="separate"/>
      </w:r>
      <w:r w:rsidR="000B1EBF" w:rsidRPr="000B1EBF">
        <w:rPr>
          <w:rFonts w:cs="Calibri"/>
          <w:lang w:val="en-US"/>
        </w:rPr>
        <w:t>(2024)</w:t>
      </w:r>
      <w:r w:rsidR="000B1EBF">
        <w:fldChar w:fldCharType="end"/>
      </w:r>
      <w:r w:rsidR="000B1EBF" w:rsidRPr="000B1EBF">
        <w:rPr>
          <w:lang w:val="en-US"/>
        </w:rPr>
        <w:t>,</w:t>
      </w:r>
      <w:r w:rsidR="000B1EBF">
        <w:rPr>
          <w:lang w:val="en-US"/>
        </w:rPr>
        <w:t xml:space="preserve"> namely that the intake of grain-based products has to increase t</w:t>
      </w:r>
      <w:r>
        <w:rPr>
          <w:lang w:val="en-US"/>
        </w:rPr>
        <w:t xml:space="preserve">o meet </w:t>
      </w:r>
      <w:r w:rsidRPr="00FA5E7B">
        <w:rPr>
          <w:lang w:val="en-US"/>
        </w:rPr>
        <w:t xml:space="preserve">optimal DGE intake quantities </w:t>
      </w:r>
      <w:bookmarkStart w:id="21" w:name="_Hlk194667946"/>
      <w:r>
        <w:rPr>
          <w:lang w:val="en-US"/>
        </w:rPr>
        <w:t>(yellow line, “DGE goal”)</w:t>
      </w:r>
      <w:bookmarkEnd w:id="21"/>
      <w:r w:rsidR="00C457EE" w:rsidRPr="000B1EBF">
        <w:rPr>
          <w:lang w:val="en-US"/>
        </w:rPr>
        <w:t>.</w:t>
      </w:r>
    </w:p>
    <w:p w14:paraId="597B0AB7" w14:textId="77777777" w:rsidR="00AA534B" w:rsidRDefault="00AA534B">
      <w:pPr>
        <w:suppressAutoHyphens w:val="0"/>
        <w:spacing w:before="0" w:line="240" w:lineRule="auto"/>
        <w:jc w:val="left"/>
        <w:rPr>
          <w:lang w:val="en-US"/>
        </w:rPr>
      </w:pPr>
      <w:r>
        <w:rPr>
          <w:lang w:val="en-US"/>
        </w:rPr>
        <w:br w:type="page"/>
      </w:r>
    </w:p>
    <w:p w14:paraId="384E6081" w14:textId="4CCA54D6" w:rsidR="00A45E44" w:rsidRDefault="000F3DF9" w:rsidP="00A45E44">
      <w:pPr>
        <w:keepNext/>
        <w:spacing w:before="0" w:line="240" w:lineRule="auto"/>
      </w:pPr>
      <w:r>
        <w:rPr>
          <w:noProof/>
        </w:rPr>
        <w:lastRenderedPageBreak/>
        <w:drawing>
          <wp:inline distT="0" distB="0" distL="0" distR="0" wp14:anchorId="74F1CA46" wp14:editId="1E94C806">
            <wp:extent cx="6059805" cy="18103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59805" cy="1810385"/>
                    </a:xfrm>
                    <a:prstGeom prst="rect">
                      <a:avLst/>
                    </a:prstGeom>
                    <a:noFill/>
                  </pic:spPr>
                </pic:pic>
              </a:graphicData>
            </a:graphic>
          </wp:inline>
        </w:drawing>
      </w:r>
    </w:p>
    <w:p w14:paraId="31D90DF4" w14:textId="26C52521" w:rsidR="00A45E44" w:rsidRPr="0076459F" w:rsidRDefault="00FD3306" w:rsidP="00FD3306">
      <w:pPr>
        <w:pStyle w:val="Caption"/>
        <w:rPr>
          <w:lang w:val="en-US"/>
        </w:rPr>
      </w:pPr>
      <w:bookmarkStart w:id="22" w:name="_Ref203761962"/>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5</w:t>
      </w:r>
      <w:r>
        <w:fldChar w:fldCharType="end"/>
      </w:r>
      <w:bookmarkEnd w:id="22"/>
      <w:r w:rsidR="00A45E44" w:rsidRPr="0076459F">
        <w:rPr>
          <w:lang w:val="en-US"/>
        </w:rPr>
        <w:t>: Intake of cereals per capita per day in grams. Excerpt of Figure</w:t>
      </w:r>
      <w:r w:rsidR="00A45E44">
        <w:rPr>
          <w:lang w:val="en-US"/>
        </w:rPr>
        <w:t xml:space="preserve"> 3</w:t>
      </w:r>
      <w:r w:rsidR="00A45E44" w:rsidRPr="0076459F">
        <w:rPr>
          <w:lang w:val="en-US"/>
        </w:rPr>
        <w:t>.</w:t>
      </w:r>
    </w:p>
    <w:p w14:paraId="6EF9225A" w14:textId="77777777" w:rsidR="00A45E44" w:rsidRPr="00206361" w:rsidRDefault="00A45E44" w:rsidP="00FD060A">
      <w:pPr>
        <w:pStyle w:val="Heading2"/>
      </w:pPr>
      <w:bookmarkStart w:id="23" w:name="_Toc194608656"/>
      <w:bookmarkStart w:id="24" w:name="_Toc203763119"/>
      <w:r w:rsidRPr="00206361">
        <w:t>Intake of wholegrain</w:t>
      </w:r>
      <w:bookmarkEnd w:id="23"/>
      <w:bookmarkEnd w:id="24"/>
    </w:p>
    <w:p w14:paraId="66A7D94B" w14:textId="2F8FDCD7" w:rsidR="00A45E44" w:rsidRPr="006D6F70" w:rsidRDefault="00A45E44" w:rsidP="00A45E44">
      <w:pPr>
        <w:rPr>
          <w:lang w:val="en-US"/>
        </w:rPr>
      </w:pPr>
      <w:r w:rsidRPr="006D6F70">
        <w:rPr>
          <w:lang w:val="en-US"/>
        </w:rPr>
        <w:t xml:space="preserve">To calculate the intake of wholegrain </w:t>
      </w:r>
      <w:r>
        <w:rPr>
          <w:lang w:val="en-US"/>
        </w:rPr>
        <w:t>using an approach consistent with the cereal intake calculation, we summed up the intake of all food items that consist primarily</w:t>
      </w:r>
      <w:r w:rsidRPr="006D6F70">
        <w:rPr>
          <w:lang w:val="en-US"/>
        </w:rPr>
        <w:t xml:space="preserve"> of wholegrain</w:t>
      </w:r>
      <w:r>
        <w:rPr>
          <w:lang w:val="en-US"/>
        </w:rPr>
        <w:t>: ‘</w:t>
      </w:r>
      <w:r w:rsidRPr="006D6F70">
        <w:rPr>
          <w:lang w:val="en-US"/>
        </w:rPr>
        <w:t>Biscuits, sweet</w:t>
      </w:r>
      <w:r>
        <w:rPr>
          <w:lang w:val="en-US"/>
        </w:rPr>
        <w:t>’</w:t>
      </w:r>
      <w:r w:rsidRPr="006D6F70">
        <w:rPr>
          <w:lang w:val="en-US"/>
        </w:rPr>
        <w:t xml:space="preserve">, </w:t>
      </w:r>
      <w:r>
        <w:rPr>
          <w:lang w:val="en-US"/>
        </w:rPr>
        <w:t>‘</w:t>
      </w:r>
      <w:r w:rsidRPr="006D6F70">
        <w:rPr>
          <w:lang w:val="en-US"/>
        </w:rPr>
        <w:t xml:space="preserve">wheat </w:t>
      </w:r>
      <w:proofErr w:type="spellStart"/>
      <w:r w:rsidRPr="006D6F70">
        <w:rPr>
          <w:lang w:val="en-US"/>
        </w:rPr>
        <w:t>wholemeal</w:t>
      </w:r>
      <w:proofErr w:type="spellEnd"/>
      <w:r>
        <w:rPr>
          <w:lang w:val="en-US"/>
        </w:rPr>
        <w:t>’</w:t>
      </w:r>
      <w:r w:rsidRPr="006D6F70">
        <w:rPr>
          <w:lang w:val="en-US"/>
        </w:rPr>
        <w:t xml:space="preserve">, </w:t>
      </w:r>
      <w:r>
        <w:rPr>
          <w:lang w:val="en-US"/>
        </w:rPr>
        <w:t>‘r</w:t>
      </w:r>
      <w:r w:rsidRPr="006D6F70">
        <w:rPr>
          <w:lang w:val="en-US"/>
        </w:rPr>
        <w:t xml:space="preserve">ye flour, </w:t>
      </w:r>
      <w:proofErr w:type="spellStart"/>
      <w:r w:rsidRPr="006D6F70">
        <w:rPr>
          <w:lang w:val="en-US"/>
        </w:rPr>
        <w:t>wholemeal</w:t>
      </w:r>
      <w:proofErr w:type="spellEnd"/>
      <w:r>
        <w:rPr>
          <w:lang w:val="en-US"/>
        </w:rPr>
        <w:t>’</w:t>
      </w:r>
      <w:r w:rsidRPr="006D6F70">
        <w:rPr>
          <w:lang w:val="en-US"/>
        </w:rPr>
        <w:t xml:space="preserve">, </w:t>
      </w:r>
      <w:r>
        <w:rPr>
          <w:lang w:val="en-US"/>
        </w:rPr>
        <w:t>‘s</w:t>
      </w:r>
      <w:r w:rsidRPr="006D6F70">
        <w:rPr>
          <w:lang w:val="en-US"/>
        </w:rPr>
        <w:t xml:space="preserve">pelt flour, </w:t>
      </w:r>
      <w:proofErr w:type="spellStart"/>
      <w:r w:rsidRPr="006D6F70">
        <w:rPr>
          <w:lang w:val="en-US"/>
        </w:rPr>
        <w:t>wholemeal</w:t>
      </w:r>
      <w:proofErr w:type="spellEnd"/>
      <w:r>
        <w:rPr>
          <w:lang w:val="en-US"/>
        </w:rPr>
        <w:t>’</w:t>
      </w:r>
      <w:r w:rsidRPr="006D6F70">
        <w:rPr>
          <w:lang w:val="en-US"/>
        </w:rPr>
        <w:t xml:space="preserve">, </w:t>
      </w:r>
      <w:r>
        <w:rPr>
          <w:lang w:val="en-US"/>
        </w:rPr>
        <w:t>‘c</w:t>
      </w:r>
      <w:r w:rsidRPr="006D6F70">
        <w:rPr>
          <w:lang w:val="en-US"/>
        </w:rPr>
        <w:t xml:space="preserve">risp bread, wheat, </w:t>
      </w:r>
      <w:proofErr w:type="spellStart"/>
      <w:r w:rsidRPr="006D6F70">
        <w:rPr>
          <w:lang w:val="en-US"/>
        </w:rPr>
        <w:t>wholemeal</w:t>
      </w:r>
      <w:proofErr w:type="spellEnd"/>
      <w:r>
        <w:rPr>
          <w:lang w:val="en-US"/>
        </w:rPr>
        <w:t>’</w:t>
      </w:r>
      <w:r w:rsidRPr="006D6F70">
        <w:rPr>
          <w:lang w:val="en-US"/>
        </w:rPr>
        <w:t xml:space="preserve">, </w:t>
      </w:r>
      <w:r>
        <w:rPr>
          <w:lang w:val="en-US"/>
        </w:rPr>
        <w:t>‘r</w:t>
      </w:r>
      <w:r w:rsidRPr="006D6F70">
        <w:rPr>
          <w:lang w:val="en-US"/>
        </w:rPr>
        <w:t xml:space="preserve">ye-wheat bread and rolls, </w:t>
      </w:r>
      <w:proofErr w:type="spellStart"/>
      <w:r w:rsidRPr="006D6F70">
        <w:rPr>
          <w:lang w:val="en-US"/>
        </w:rPr>
        <w:t>wholemeal</w:t>
      </w:r>
      <w:proofErr w:type="spellEnd"/>
      <w:r>
        <w:rPr>
          <w:lang w:val="en-US"/>
        </w:rPr>
        <w:t>’</w:t>
      </w:r>
      <w:r w:rsidRPr="006D6F70">
        <w:rPr>
          <w:lang w:val="en-US"/>
        </w:rPr>
        <w:t xml:space="preserve">, </w:t>
      </w:r>
      <w:r>
        <w:rPr>
          <w:lang w:val="en-US"/>
        </w:rPr>
        <w:t>‘r</w:t>
      </w:r>
      <w:r w:rsidRPr="006D6F70">
        <w:rPr>
          <w:lang w:val="en-US"/>
        </w:rPr>
        <w:t xml:space="preserve">ye bread and rolls, </w:t>
      </w:r>
      <w:proofErr w:type="spellStart"/>
      <w:r w:rsidRPr="006D6F70">
        <w:rPr>
          <w:lang w:val="en-US"/>
        </w:rPr>
        <w:t>wholemeal</w:t>
      </w:r>
      <w:proofErr w:type="spellEnd"/>
      <w:r>
        <w:rPr>
          <w:lang w:val="en-US"/>
        </w:rPr>
        <w:t>’</w:t>
      </w:r>
      <w:r w:rsidRPr="006D6F70">
        <w:rPr>
          <w:lang w:val="en-US"/>
        </w:rPr>
        <w:t xml:space="preserve">, </w:t>
      </w:r>
      <w:r>
        <w:rPr>
          <w:lang w:val="en-US"/>
        </w:rPr>
        <w:t>‘r</w:t>
      </w:r>
      <w:r w:rsidRPr="006D6F70">
        <w:rPr>
          <w:lang w:val="en-US"/>
        </w:rPr>
        <w:t xml:space="preserve">usk, </w:t>
      </w:r>
      <w:proofErr w:type="spellStart"/>
      <w:r w:rsidRPr="006D6F70">
        <w:rPr>
          <w:lang w:val="en-US"/>
        </w:rPr>
        <w:t>wholemeal</w:t>
      </w:r>
      <w:proofErr w:type="spellEnd"/>
      <w:r>
        <w:rPr>
          <w:lang w:val="en-US"/>
        </w:rPr>
        <w:t>’</w:t>
      </w:r>
      <w:r w:rsidRPr="006D6F70">
        <w:rPr>
          <w:lang w:val="en-US"/>
        </w:rPr>
        <w:t xml:space="preserve">, </w:t>
      </w:r>
      <w:r>
        <w:rPr>
          <w:lang w:val="en-US"/>
        </w:rPr>
        <w:t>‘w</w:t>
      </w:r>
      <w:r w:rsidRPr="006D6F70">
        <w:rPr>
          <w:lang w:val="en-US"/>
        </w:rPr>
        <w:t xml:space="preserve">heat bread and rolls, brown or </w:t>
      </w:r>
      <w:proofErr w:type="spellStart"/>
      <w:r w:rsidRPr="006D6F70">
        <w:rPr>
          <w:lang w:val="en-US"/>
        </w:rPr>
        <w:t>wholemeal</w:t>
      </w:r>
      <w:proofErr w:type="spellEnd"/>
      <w:r>
        <w:rPr>
          <w:lang w:val="en-US"/>
        </w:rPr>
        <w:t>’</w:t>
      </w:r>
      <w:r w:rsidRPr="006D6F70">
        <w:rPr>
          <w:lang w:val="en-US"/>
        </w:rPr>
        <w:t xml:space="preserve">, </w:t>
      </w:r>
      <w:r>
        <w:rPr>
          <w:lang w:val="en-US"/>
        </w:rPr>
        <w:t>‘p</w:t>
      </w:r>
      <w:r w:rsidRPr="006D6F70">
        <w:rPr>
          <w:lang w:val="en-US"/>
        </w:rPr>
        <w:t xml:space="preserve">asta </w:t>
      </w:r>
      <w:proofErr w:type="spellStart"/>
      <w:r w:rsidRPr="006D6F70">
        <w:rPr>
          <w:lang w:val="en-US"/>
        </w:rPr>
        <w:t>wholemeal</w:t>
      </w:r>
      <w:proofErr w:type="spellEnd"/>
      <w:r>
        <w:rPr>
          <w:lang w:val="en-US"/>
        </w:rPr>
        <w:t>’</w:t>
      </w:r>
      <w:r w:rsidRPr="006D6F70">
        <w:rPr>
          <w:lang w:val="en-US"/>
        </w:rPr>
        <w:t xml:space="preserve">, </w:t>
      </w:r>
      <w:r>
        <w:rPr>
          <w:lang w:val="en-US"/>
        </w:rPr>
        <w:t>‘o</w:t>
      </w:r>
      <w:r w:rsidRPr="006D6F70">
        <w:rPr>
          <w:lang w:val="en-US"/>
        </w:rPr>
        <w:t>at flour</w:t>
      </w:r>
      <w:r>
        <w:rPr>
          <w:lang w:val="en-US"/>
        </w:rPr>
        <w:t>’</w:t>
      </w:r>
      <w:r w:rsidRPr="006D6F70">
        <w:rPr>
          <w:lang w:val="en-US"/>
        </w:rPr>
        <w:t xml:space="preserve">, </w:t>
      </w:r>
      <w:r>
        <w:rPr>
          <w:lang w:val="en-US"/>
        </w:rPr>
        <w:t>‘w</w:t>
      </w:r>
      <w:r w:rsidRPr="006D6F70">
        <w:rPr>
          <w:lang w:val="en-US"/>
        </w:rPr>
        <w:t>heat bran</w:t>
      </w:r>
      <w:r>
        <w:rPr>
          <w:lang w:val="en-US"/>
        </w:rPr>
        <w:t>’</w:t>
      </w:r>
      <w:r w:rsidRPr="006D6F70">
        <w:rPr>
          <w:lang w:val="en-US"/>
        </w:rPr>
        <w:t xml:space="preserve">, </w:t>
      </w:r>
      <w:r>
        <w:rPr>
          <w:lang w:val="en-US"/>
        </w:rPr>
        <w:t>‘o</w:t>
      </w:r>
      <w:r w:rsidRPr="006D6F70">
        <w:rPr>
          <w:lang w:val="en-US"/>
        </w:rPr>
        <w:t>at groats</w:t>
      </w:r>
      <w:r>
        <w:rPr>
          <w:lang w:val="en-US"/>
        </w:rPr>
        <w:t>’</w:t>
      </w:r>
      <w:r w:rsidRPr="006D6F70">
        <w:rPr>
          <w:lang w:val="en-US"/>
        </w:rPr>
        <w:t xml:space="preserve">, </w:t>
      </w:r>
      <w:r>
        <w:rPr>
          <w:lang w:val="en-US"/>
        </w:rPr>
        <w:t>‘o</w:t>
      </w:r>
      <w:r w:rsidRPr="006D6F70">
        <w:rPr>
          <w:lang w:val="en-US"/>
        </w:rPr>
        <w:t>at grain</w:t>
      </w:r>
      <w:r>
        <w:rPr>
          <w:lang w:val="en-US"/>
        </w:rPr>
        <w:t>’</w:t>
      </w:r>
      <w:r w:rsidRPr="006D6F70">
        <w:rPr>
          <w:lang w:val="en-US"/>
        </w:rPr>
        <w:t xml:space="preserve">, </w:t>
      </w:r>
      <w:r>
        <w:rPr>
          <w:lang w:val="en-US"/>
        </w:rPr>
        <w:t>‘o</w:t>
      </w:r>
      <w:r w:rsidRPr="006D6F70">
        <w:rPr>
          <w:lang w:val="en-US"/>
        </w:rPr>
        <w:t>at popped</w:t>
      </w:r>
      <w:r>
        <w:rPr>
          <w:lang w:val="en-US"/>
        </w:rPr>
        <w:t>’</w:t>
      </w:r>
      <w:r w:rsidRPr="006D6F70">
        <w:rPr>
          <w:lang w:val="en-US"/>
        </w:rPr>
        <w:t xml:space="preserve">, </w:t>
      </w:r>
      <w:r>
        <w:rPr>
          <w:lang w:val="en-US"/>
        </w:rPr>
        <w:t>‘r</w:t>
      </w:r>
      <w:r w:rsidRPr="006D6F70">
        <w:rPr>
          <w:lang w:val="en-US"/>
        </w:rPr>
        <w:t>ye only bread and rolls</w:t>
      </w:r>
      <w:r>
        <w:rPr>
          <w:lang w:val="en-US"/>
        </w:rPr>
        <w:t>’</w:t>
      </w:r>
      <w:r w:rsidRPr="006D6F70">
        <w:rPr>
          <w:lang w:val="en-US"/>
        </w:rPr>
        <w:t xml:space="preserve">, </w:t>
      </w:r>
      <w:r>
        <w:rPr>
          <w:lang w:val="en-US"/>
        </w:rPr>
        <w:t>‘o</w:t>
      </w:r>
      <w:r w:rsidRPr="006D6F70">
        <w:rPr>
          <w:lang w:val="en-US"/>
        </w:rPr>
        <w:t>at high-bran flakes</w:t>
      </w:r>
      <w:r>
        <w:rPr>
          <w:lang w:val="en-US"/>
        </w:rPr>
        <w:t>’</w:t>
      </w:r>
      <w:r w:rsidRPr="006D6F70">
        <w:rPr>
          <w:lang w:val="en-US"/>
        </w:rPr>
        <w:t xml:space="preserve">, </w:t>
      </w:r>
      <w:r>
        <w:rPr>
          <w:lang w:val="en-US"/>
        </w:rPr>
        <w:t>‘s</w:t>
      </w:r>
      <w:r w:rsidRPr="006D6F70">
        <w:rPr>
          <w:lang w:val="en-US"/>
        </w:rPr>
        <w:t>pelt flour</w:t>
      </w:r>
      <w:r>
        <w:rPr>
          <w:lang w:val="en-US"/>
        </w:rPr>
        <w:t>’</w:t>
      </w:r>
      <w:r w:rsidRPr="006D6F70">
        <w:rPr>
          <w:lang w:val="en-US"/>
        </w:rPr>
        <w:t xml:space="preserve">, </w:t>
      </w:r>
      <w:r>
        <w:rPr>
          <w:lang w:val="en-US"/>
        </w:rPr>
        <w:t>‘c</w:t>
      </w:r>
      <w:r w:rsidRPr="006D6F70">
        <w:rPr>
          <w:lang w:val="en-US"/>
        </w:rPr>
        <w:t>ereal bran</w:t>
      </w:r>
      <w:r>
        <w:rPr>
          <w:lang w:val="en-US"/>
        </w:rPr>
        <w:t>’</w:t>
      </w:r>
      <w:r w:rsidRPr="006D6F70">
        <w:rPr>
          <w:lang w:val="en-US"/>
        </w:rPr>
        <w:t>,</w:t>
      </w:r>
      <w:r>
        <w:rPr>
          <w:lang w:val="en-US"/>
        </w:rPr>
        <w:t xml:space="preserve"> and</w:t>
      </w:r>
      <w:r w:rsidRPr="006D6F70">
        <w:rPr>
          <w:lang w:val="en-US"/>
        </w:rPr>
        <w:t xml:space="preserve"> </w:t>
      </w:r>
      <w:r>
        <w:rPr>
          <w:lang w:val="en-US"/>
        </w:rPr>
        <w:t>‘g</w:t>
      </w:r>
      <w:r w:rsidRPr="006D6F70">
        <w:rPr>
          <w:lang w:val="en-US"/>
        </w:rPr>
        <w:t>roats</w:t>
      </w:r>
      <w:r>
        <w:rPr>
          <w:lang w:val="en-US"/>
        </w:rPr>
        <w:t>’.</w:t>
      </w:r>
      <w:r w:rsidRPr="006D6F70">
        <w:rPr>
          <w:lang w:val="en-US"/>
        </w:rPr>
        <w:t xml:space="preserve"> </w:t>
      </w:r>
      <w:r>
        <w:rPr>
          <w:lang w:val="en-US"/>
        </w:rPr>
        <w:t xml:space="preserve">All these food items are from </w:t>
      </w:r>
      <w:r w:rsidRPr="006D6F70">
        <w:rPr>
          <w:lang w:val="en-US"/>
        </w:rPr>
        <w:t xml:space="preserve">the category </w:t>
      </w:r>
      <w:r>
        <w:rPr>
          <w:lang w:val="en-US"/>
        </w:rPr>
        <w:t xml:space="preserve">of </w:t>
      </w:r>
      <w:r w:rsidRPr="006D6F70">
        <w:rPr>
          <w:lang w:val="en-US"/>
        </w:rPr>
        <w:t>grain-based products (</w:t>
      </w:r>
      <w:r>
        <w:rPr>
          <w:lang w:val="en-US"/>
        </w:rPr>
        <w:t>14 g, left column</w:t>
      </w:r>
      <w:r w:rsidRPr="006D6F70">
        <w:rPr>
          <w:lang w:val="en-US"/>
        </w:rPr>
        <w:t xml:space="preserve">). </w:t>
      </w:r>
      <w:r>
        <w:rPr>
          <w:lang w:val="en-US"/>
        </w:rPr>
        <w:t>The intake is lower when accounting only for the wholegrain component in these food items</w:t>
      </w:r>
      <w:r w:rsidRPr="006D6F70">
        <w:rPr>
          <w:lang w:val="en-US"/>
        </w:rPr>
        <w:t xml:space="preserve"> (</w:t>
      </w:r>
      <w:r>
        <w:rPr>
          <w:lang w:val="en-US"/>
        </w:rPr>
        <w:t xml:space="preserve">9 g, </w:t>
      </w:r>
      <w:r w:rsidRPr="006D6F70">
        <w:rPr>
          <w:lang w:val="en-US"/>
        </w:rPr>
        <w:t>brown</w:t>
      </w:r>
      <w:r>
        <w:rPr>
          <w:lang w:val="en-US"/>
        </w:rPr>
        <w:t>, middle</w:t>
      </w:r>
      <w:r w:rsidRPr="006D6F70">
        <w:rPr>
          <w:lang w:val="en-US"/>
        </w:rPr>
        <w:t xml:space="preserve"> colum</w:t>
      </w:r>
      <w:r>
        <w:rPr>
          <w:lang w:val="en-US"/>
        </w:rPr>
        <w:t>n</w:t>
      </w:r>
      <w:r w:rsidRPr="006D6F70">
        <w:rPr>
          <w:lang w:val="en-US"/>
        </w:rPr>
        <w:t>).</w:t>
      </w:r>
    </w:p>
    <w:p w14:paraId="5048032A" w14:textId="6DFB0568" w:rsidR="00A45E44" w:rsidRPr="006D6F70" w:rsidRDefault="00A45E44" w:rsidP="00A45E44">
      <w:pPr>
        <w:rPr>
          <w:lang w:val="en-US"/>
        </w:rPr>
      </w:pPr>
      <w:r w:rsidRPr="006D6F70">
        <w:rPr>
          <w:lang w:val="en-US"/>
        </w:rPr>
        <w:t>The consolidation shows that the i</w:t>
      </w:r>
      <w:r w:rsidRPr="000B2989">
        <w:rPr>
          <w:szCs w:val="22"/>
          <w:lang w:val="en-US"/>
        </w:rPr>
        <w:t xml:space="preserve">ntake of grain-based products was probably underreported in the intake survey (see </w:t>
      </w:r>
      <w:r w:rsidR="004E5F26">
        <w:rPr>
          <w:szCs w:val="22"/>
          <w:lang w:val="en-US"/>
        </w:rPr>
        <w:t>Figure 3</w:t>
      </w:r>
      <w:r w:rsidRPr="000B2989">
        <w:rPr>
          <w:szCs w:val="22"/>
          <w:lang w:val="en-US"/>
        </w:rPr>
        <w:t>.e</w:t>
      </w:r>
      <w:r w:rsidR="0094128E">
        <w:rPr>
          <w:szCs w:val="22"/>
          <w:lang w:val="en-US"/>
        </w:rPr>
        <w:t xml:space="preserve"> or </w:t>
      </w:r>
      <w:r w:rsidR="0094128E">
        <w:rPr>
          <w:szCs w:val="22"/>
          <w:lang w:val="en-US"/>
        </w:rPr>
        <w:fldChar w:fldCharType="begin"/>
      </w:r>
      <w:r w:rsidR="0094128E">
        <w:rPr>
          <w:szCs w:val="22"/>
          <w:lang w:val="en-US"/>
        </w:rPr>
        <w:instrText xml:space="preserve"> REF _Ref203761962 \h </w:instrText>
      </w:r>
      <w:r w:rsidR="0094128E">
        <w:rPr>
          <w:szCs w:val="22"/>
          <w:lang w:val="en-US"/>
        </w:rPr>
      </w:r>
      <w:r w:rsidR="0094128E">
        <w:rPr>
          <w:szCs w:val="22"/>
          <w:lang w:val="en-US"/>
        </w:rPr>
        <w:fldChar w:fldCharType="separate"/>
      </w:r>
      <w:r w:rsidR="0094128E" w:rsidRPr="00FD3306">
        <w:rPr>
          <w:lang w:val="en-US"/>
        </w:rPr>
        <w:t xml:space="preserve">Supplementary Figure </w:t>
      </w:r>
      <w:r w:rsidR="0094128E">
        <w:rPr>
          <w:noProof/>
          <w:lang w:val="en-US"/>
        </w:rPr>
        <w:t>5</w:t>
      </w:r>
      <w:r w:rsidR="0094128E">
        <w:rPr>
          <w:szCs w:val="22"/>
          <w:lang w:val="en-US"/>
        </w:rPr>
        <w:fldChar w:fldCharType="end"/>
      </w:r>
      <w:r w:rsidRPr="000B2989">
        <w:rPr>
          <w:szCs w:val="22"/>
          <w:lang w:val="en-US"/>
        </w:rPr>
        <w:t>)</w:t>
      </w:r>
      <w:r>
        <w:rPr>
          <w:szCs w:val="22"/>
          <w:lang w:val="en-US"/>
        </w:rPr>
        <w:t>,</w:t>
      </w:r>
      <w:r w:rsidRPr="000B2989">
        <w:rPr>
          <w:szCs w:val="22"/>
          <w:lang w:val="en-US"/>
        </w:rPr>
        <w:t xml:space="preserve"> and so</w:t>
      </w:r>
      <w:r w:rsidRPr="006D6F70">
        <w:rPr>
          <w:lang w:val="en-US"/>
        </w:rPr>
        <w:t xml:space="preserve"> was the intake of grain-based products containing wholegrain (</w:t>
      </w:r>
      <w:r>
        <w:rPr>
          <w:lang w:val="en-US"/>
        </w:rPr>
        <w:t>right column</w:t>
      </w:r>
      <w:r w:rsidRPr="006D6F70">
        <w:rPr>
          <w:lang w:val="en-US"/>
        </w:rPr>
        <w:t xml:space="preserve">). </w:t>
      </w:r>
    </w:p>
    <w:p w14:paraId="75AE31D4" w14:textId="10AAF15C" w:rsidR="00A45E44" w:rsidRPr="000B2989" w:rsidRDefault="00A45E44" w:rsidP="00A45E44">
      <w:pPr>
        <w:rPr>
          <w:lang w:val="en-US"/>
        </w:rPr>
      </w:pPr>
      <w:r w:rsidRPr="006D6F70">
        <w:rPr>
          <w:lang w:val="en-US"/>
        </w:rPr>
        <w:t xml:space="preserve">As a net effect,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 xml:space="preserve">intake of </w:t>
      </w:r>
      <w:r w:rsidR="000B1EBF">
        <w:rPr>
          <w:lang w:val="en-US"/>
        </w:rPr>
        <w:t>wholegrain</w:t>
      </w:r>
      <w:r>
        <w:rPr>
          <w:lang w:val="en-US"/>
        </w:rPr>
        <w:t xml:space="preserve"> </w:t>
      </w:r>
      <w:r w:rsidRPr="006D6F70">
        <w:rPr>
          <w:lang w:val="en-US"/>
        </w:rPr>
        <w:t>(</w:t>
      </w:r>
      <w:r>
        <w:rPr>
          <w:lang w:val="en-US"/>
        </w:rPr>
        <w:t>right column</w:t>
      </w:r>
      <w:r w:rsidRPr="006D6F70">
        <w:rPr>
          <w:lang w:val="en-US"/>
        </w:rPr>
        <w:t>)</w:t>
      </w:r>
      <w:r>
        <w:rPr>
          <w:lang w:val="en-US"/>
        </w:rPr>
        <w:t xml:space="preserve"> to be</w:t>
      </w:r>
      <w:r w:rsidRPr="006D6F70">
        <w:rPr>
          <w:lang w:val="en-US"/>
        </w:rPr>
        <w:t xml:space="preserve"> </w:t>
      </w:r>
      <w:r w:rsidR="000B1EBF">
        <w:rPr>
          <w:lang w:val="en-US"/>
        </w:rPr>
        <w:t>lower</w:t>
      </w:r>
      <w:r w:rsidRPr="006D6F70">
        <w:rPr>
          <w:lang w:val="en-US"/>
        </w:rPr>
        <w:t xml:space="preserve"> than the </w:t>
      </w:r>
      <w:r>
        <w:rPr>
          <w:lang w:val="en-US"/>
        </w:rPr>
        <w:t>food items</w:t>
      </w:r>
      <w:r w:rsidRPr="006D6F70">
        <w:rPr>
          <w:lang w:val="en-US"/>
        </w:rPr>
        <w:t xml:space="preserve"> intake </w:t>
      </w:r>
      <w:r>
        <w:rPr>
          <w:lang w:val="en-US"/>
        </w:rPr>
        <w:t xml:space="preserve">(left column) </w:t>
      </w:r>
      <w:r w:rsidRPr="006D6F70">
        <w:rPr>
          <w:lang w:val="en-US"/>
        </w:rPr>
        <w:t>suggests</w:t>
      </w:r>
      <w:r>
        <w:rPr>
          <w:lang w:val="en-US"/>
        </w:rPr>
        <w:t xml:space="preserve">. To meet </w:t>
      </w:r>
      <w:r w:rsidRPr="00FA5E7B">
        <w:rPr>
          <w:lang w:val="en-US"/>
        </w:rPr>
        <w:t xml:space="preserve">optimal DGE intake quantities </w:t>
      </w:r>
      <w:r>
        <w:rPr>
          <w:lang w:val="en-US"/>
        </w:rPr>
        <w:t xml:space="preserve">(yellow line, “DGE goal”), </w:t>
      </w:r>
      <w:r w:rsidRPr="006D6F70">
        <w:rPr>
          <w:lang w:val="en-US"/>
        </w:rPr>
        <w:t xml:space="preserve">the intake has to increase </w:t>
      </w:r>
      <w:r w:rsidR="00F97246">
        <w:rPr>
          <w:lang w:val="en-US"/>
        </w:rPr>
        <w:t xml:space="preserve">slightly </w:t>
      </w:r>
      <w:r w:rsidR="000F3DF9">
        <w:rPr>
          <w:lang w:val="en-US"/>
        </w:rPr>
        <w:t>more</w:t>
      </w:r>
      <w:r>
        <w:rPr>
          <w:lang w:val="en-US"/>
        </w:rPr>
        <w:t xml:space="preserve"> </w:t>
      </w:r>
      <w:r w:rsidRPr="006D6F70">
        <w:rPr>
          <w:lang w:val="en-US"/>
        </w:rPr>
        <w:t>than suggested in Schäfer et al.</w:t>
      </w:r>
      <w:r w:rsidR="0094128E">
        <w:rPr>
          <w:lang w:val="en-US"/>
        </w:rPr>
        <w:t xml:space="preserve"> </w:t>
      </w:r>
      <w:r w:rsidR="0094128E" w:rsidRPr="00822BFE">
        <w:fldChar w:fldCharType="begin"/>
      </w:r>
      <w:r w:rsidR="0094128E">
        <w:rPr>
          <w:lang w:val="en-US"/>
        </w:rPr>
        <w:instrText xml:space="preserve"> ADDIN ZOTERO_ITEM CSL_CITATION {"citationID":"GvWokzEV","properties":{"formattedCitation":"(2024)","plainCitation":"(2024)","noteIndex":0},"citationItems":[{"id":950,"uris":["http://zotero.org/users/10655811/items/3WH2N6UG"],"itemData":{"id":950,"type":"article-journal","container-title":"Ernährungs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0094128E" w:rsidRPr="00822BFE">
        <w:fldChar w:fldCharType="separate"/>
      </w:r>
      <w:r w:rsidR="0094128E" w:rsidRPr="00554289">
        <w:rPr>
          <w:rFonts w:cs="Calibri"/>
          <w:lang w:val="en-US"/>
        </w:rPr>
        <w:t>(2024)</w:t>
      </w:r>
      <w:r w:rsidR="0094128E" w:rsidRPr="00822BFE">
        <w:fldChar w:fldCharType="end"/>
      </w:r>
      <w:r w:rsidR="00C457EE" w:rsidRPr="00C457EE">
        <w:rPr>
          <w:lang w:val="en-US"/>
        </w:rPr>
        <w:t>.</w:t>
      </w:r>
    </w:p>
    <w:p w14:paraId="36BA8E79" w14:textId="4327C841" w:rsidR="00A45E44" w:rsidRDefault="000F3DF9" w:rsidP="00A45E44">
      <w:pPr>
        <w:keepNext/>
        <w:spacing w:before="0" w:line="240" w:lineRule="auto"/>
      </w:pPr>
      <w:r>
        <w:rPr>
          <w:noProof/>
        </w:rPr>
        <w:drawing>
          <wp:inline distT="0" distB="0" distL="0" distR="0" wp14:anchorId="7C3031E9" wp14:editId="5DD4AE18">
            <wp:extent cx="6066155" cy="18167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66155" cy="1816735"/>
                    </a:xfrm>
                    <a:prstGeom prst="rect">
                      <a:avLst/>
                    </a:prstGeom>
                    <a:noFill/>
                  </pic:spPr>
                </pic:pic>
              </a:graphicData>
            </a:graphic>
          </wp:inline>
        </w:drawing>
      </w:r>
    </w:p>
    <w:p w14:paraId="2DF8868F" w14:textId="24D84AD2"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6</w:t>
      </w:r>
      <w:r>
        <w:fldChar w:fldCharType="end"/>
      </w:r>
      <w:r w:rsidR="00A45E44" w:rsidRPr="0076459F">
        <w:rPr>
          <w:lang w:val="en-US"/>
        </w:rPr>
        <w:t xml:space="preserve">: Intake of wholegrain per capita per day in grams. Excerpt of Figure </w:t>
      </w:r>
      <w:r w:rsidR="00A45E44">
        <w:rPr>
          <w:lang w:val="en-US"/>
        </w:rPr>
        <w:t>3</w:t>
      </w:r>
      <w:r w:rsidR="00A45E44" w:rsidRPr="0076459F">
        <w:rPr>
          <w:lang w:val="en-US"/>
        </w:rPr>
        <w:t>.</w:t>
      </w:r>
    </w:p>
    <w:p w14:paraId="324EE42E" w14:textId="77777777" w:rsidR="00A45E44" w:rsidRPr="000B2989" w:rsidRDefault="00A45E44" w:rsidP="00FD060A">
      <w:pPr>
        <w:pStyle w:val="Heading2"/>
      </w:pPr>
      <w:bookmarkStart w:id="25" w:name="_Toc194608657"/>
      <w:bookmarkStart w:id="26" w:name="_Toc203763120"/>
      <w:r w:rsidRPr="000B2989">
        <w:t>Intake of plant oils</w:t>
      </w:r>
      <w:bookmarkEnd w:id="25"/>
      <w:bookmarkEnd w:id="26"/>
    </w:p>
    <w:p w14:paraId="17949673" w14:textId="77777777" w:rsidR="00A45E44" w:rsidRPr="006D6F70" w:rsidRDefault="00A45E44" w:rsidP="00A45E44">
      <w:pPr>
        <w:rPr>
          <w:lang w:val="en-US"/>
        </w:rPr>
      </w:pPr>
      <w:r w:rsidRPr="006D6F70">
        <w:rPr>
          <w:lang w:val="en-US"/>
        </w:rPr>
        <w:t>The overarching category</w:t>
      </w:r>
      <w:r>
        <w:rPr>
          <w:lang w:val="en-US"/>
        </w:rPr>
        <w:t xml:space="preserve"> of food items that the DGE considers</w:t>
      </w:r>
      <w:r w:rsidRPr="006D6F70">
        <w:rPr>
          <w:lang w:val="en-US"/>
        </w:rPr>
        <w:t xml:space="preserve"> for the intake</w:t>
      </w:r>
      <w:r>
        <w:rPr>
          <w:lang w:val="en-US"/>
        </w:rPr>
        <w:t xml:space="preserve"> of plant oils</w:t>
      </w:r>
      <w:r w:rsidRPr="006D6F70">
        <w:rPr>
          <w:lang w:val="en-US"/>
        </w:rPr>
        <w:t xml:space="preserve"> is </w:t>
      </w:r>
      <w:r>
        <w:rPr>
          <w:lang w:val="en-US"/>
        </w:rPr>
        <w:t>“</w:t>
      </w:r>
      <w:r w:rsidRPr="006D6F70">
        <w:rPr>
          <w:lang w:val="en-US"/>
        </w:rPr>
        <w:t>vegetable oils</w:t>
      </w:r>
      <w:r>
        <w:rPr>
          <w:lang w:val="en-US"/>
        </w:rPr>
        <w:t>”</w:t>
      </w:r>
      <w:r w:rsidRPr="006D6F70">
        <w:rPr>
          <w:lang w:val="en-US"/>
        </w:rPr>
        <w:t>. All food items in this category are not further processed oils (</w:t>
      </w:r>
      <w:r>
        <w:rPr>
          <w:lang w:val="en-US"/>
        </w:rPr>
        <w:t>left column</w:t>
      </w:r>
      <w:r w:rsidRPr="006D6F70">
        <w:rPr>
          <w:lang w:val="en-US"/>
        </w:rPr>
        <w:t xml:space="preserve">). </w:t>
      </w:r>
      <w:r>
        <w:rPr>
          <w:lang w:val="en-US"/>
        </w:rPr>
        <w:t>However, t</w:t>
      </w:r>
      <w:r w:rsidRPr="006D6F70">
        <w:rPr>
          <w:lang w:val="en-US"/>
        </w:rPr>
        <w:t xml:space="preserve">here is considerable intake of plant oils through sauces (e.g., salad dressing, </w:t>
      </w:r>
      <w:r>
        <w:rPr>
          <w:lang w:val="en-US"/>
        </w:rPr>
        <w:t xml:space="preserve">dark </w:t>
      </w:r>
      <w:r w:rsidRPr="006D6F70">
        <w:rPr>
          <w:lang w:val="en-US"/>
        </w:rPr>
        <w:t>red</w:t>
      </w:r>
      <w:r>
        <w:rPr>
          <w:lang w:val="en-US"/>
        </w:rPr>
        <w:t>, middle</w:t>
      </w:r>
      <w:r w:rsidRPr="006D6F70">
        <w:rPr>
          <w:lang w:val="en-US"/>
        </w:rPr>
        <w:t xml:space="preserve"> column), grain-based products (e.g., bread, brown</w:t>
      </w:r>
      <w:r>
        <w:rPr>
          <w:lang w:val="en-US"/>
        </w:rPr>
        <w:t>, middle</w:t>
      </w:r>
      <w:r w:rsidRPr="006D6F70">
        <w:rPr>
          <w:lang w:val="en-US"/>
        </w:rPr>
        <w:t xml:space="preserve"> column)</w:t>
      </w:r>
      <w:r>
        <w:rPr>
          <w:lang w:val="en-US"/>
        </w:rPr>
        <w:t>,</w:t>
      </w:r>
      <w:r w:rsidRPr="006D6F70">
        <w:rPr>
          <w:lang w:val="en-US"/>
        </w:rPr>
        <w:t xml:space="preserve"> and composite dishes (e.g., fried potatoes, dark gr</w:t>
      </w:r>
      <w:r>
        <w:rPr>
          <w:lang w:val="en-US"/>
        </w:rPr>
        <w:t>a</w:t>
      </w:r>
      <w:r w:rsidRPr="006D6F70">
        <w:rPr>
          <w:lang w:val="en-US"/>
        </w:rPr>
        <w:t>y</w:t>
      </w:r>
      <w:r>
        <w:rPr>
          <w:lang w:val="en-US"/>
        </w:rPr>
        <w:t>, middle</w:t>
      </w:r>
      <w:r w:rsidRPr="006D6F70">
        <w:rPr>
          <w:lang w:val="en-US"/>
        </w:rPr>
        <w:t xml:space="preserve"> column). </w:t>
      </w:r>
      <w:r w:rsidRPr="006D6F70">
        <w:rPr>
          <w:lang w:val="en-US"/>
        </w:rPr>
        <w:lastRenderedPageBreak/>
        <w:t xml:space="preserve">The </w:t>
      </w:r>
      <w:r>
        <w:rPr>
          <w:lang w:val="en-US"/>
        </w:rPr>
        <w:t xml:space="preserve">direct </w:t>
      </w:r>
      <w:r w:rsidRPr="006D6F70">
        <w:rPr>
          <w:lang w:val="en-US"/>
        </w:rPr>
        <w:t>intake of plant oils</w:t>
      </w:r>
      <w:r>
        <w:rPr>
          <w:lang w:val="en-US"/>
        </w:rPr>
        <w:t xml:space="preserve"> that does not come through ingredients in food items (green, middle column) </w:t>
      </w:r>
      <w:r w:rsidRPr="006D6F70">
        <w:rPr>
          <w:lang w:val="en-US"/>
        </w:rPr>
        <w:t xml:space="preserve">only accounts for a small share of the </w:t>
      </w:r>
      <w:r>
        <w:rPr>
          <w:lang w:val="en-US"/>
        </w:rPr>
        <w:t>total</w:t>
      </w:r>
      <w:r w:rsidRPr="006D6F70">
        <w:rPr>
          <w:lang w:val="en-US"/>
        </w:rPr>
        <w:t xml:space="preserve"> </w:t>
      </w:r>
      <w:r>
        <w:rPr>
          <w:lang w:val="en-US"/>
        </w:rPr>
        <w:t>plant oil</w:t>
      </w:r>
      <w:r w:rsidRPr="006D6F70">
        <w:rPr>
          <w:lang w:val="en-US"/>
        </w:rPr>
        <w:t xml:space="preserve"> intake.</w:t>
      </w:r>
    </w:p>
    <w:p w14:paraId="3A5C762C" w14:textId="55398729" w:rsidR="00A45E44" w:rsidRPr="006D6F70" w:rsidRDefault="00A45E44" w:rsidP="00A45E44">
      <w:pPr>
        <w:rPr>
          <w:lang w:val="en-US"/>
        </w:rPr>
      </w:pPr>
      <w:r w:rsidRPr="006D6F70">
        <w:rPr>
          <w:lang w:val="en-US"/>
        </w:rPr>
        <w:t>The relevant categories of market balance quantities that need to be matched are sunflower seed oil, rapeseed oil, soya oil, palm oil</w:t>
      </w:r>
      <w:r>
        <w:rPr>
          <w:lang w:val="en-US"/>
        </w:rPr>
        <w:t>,</w:t>
      </w:r>
      <w:r w:rsidRPr="006D6F70">
        <w:rPr>
          <w:lang w:val="en-US"/>
        </w:rPr>
        <w:t xml:space="preserve"> and olives for oil making. </w:t>
      </w:r>
      <w:r w:rsidR="000B1EBF">
        <w:rPr>
          <w:lang w:val="en-US"/>
        </w:rPr>
        <w:t>In the data consolidation, the proportions of the different oils in the recipes were adjusted to reflect the proportions at market level. However, t</w:t>
      </w:r>
      <w:r w:rsidRPr="006D6F70">
        <w:rPr>
          <w:lang w:val="en-US"/>
        </w:rPr>
        <w:t>he</w:t>
      </w:r>
      <w:r w:rsidR="000B1EBF">
        <w:rPr>
          <w:lang w:val="en-US"/>
        </w:rPr>
        <w:t xml:space="preserve"> combined </w:t>
      </w:r>
      <w:r w:rsidRPr="006D6F70">
        <w:rPr>
          <w:lang w:val="en-US"/>
        </w:rPr>
        <w:t>quantities</w:t>
      </w:r>
      <w:r w:rsidR="000B1EBF">
        <w:rPr>
          <w:lang w:val="en-US"/>
        </w:rPr>
        <w:t xml:space="preserve"> of all oils</w:t>
      </w:r>
      <w:r w:rsidRPr="006D6F70">
        <w:rPr>
          <w:lang w:val="en-US"/>
        </w:rPr>
        <w:t xml:space="preserve"> </w:t>
      </w:r>
      <w:r w:rsidR="000B1EBF">
        <w:rPr>
          <w:lang w:val="en-US"/>
        </w:rPr>
        <w:t>are</w:t>
      </w:r>
      <w:r w:rsidRPr="006D6F70">
        <w:rPr>
          <w:lang w:val="en-US"/>
        </w:rPr>
        <w:t xml:space="preserve"> too high to match the intake of oils</w:t>
      </w:r>
      <w:r>
        <w:rPr>
          <w:lang w:val="en-US"/>
        </w:rPr>
        <w:t xml:space="preserve"> as reported in the survey. </w:t>
      </w:r>
      <w:bookmarkStart w:id="27" w:name="_Hlk199083401"/>
      <w:r>
        <w:rPr>
          <w:lang w:val="en-US"/>
        </w:rPr>
        <w:t>T</w:t>
      </w:r>
      <w:r w:rsidRPr="006D6F70">
        <w:rPr>
          <w:lang w:val="en-US"/>
        </w:rPr>
        <w:t xml:space="preserve">he consolidation </w:t>
      </w:r>
      <w:r>
        <w:rPr>
          <w:lang w:val="en-US"/>
        </w:rPr>
        <w:t xml:space="preserve">finds the intake of plant oils as ingredients in </w:t>
      </w:r>
      <w:r w:rsidRPr="006D6F70">
        <w:rPr>
          <w:lang w:val="en-US"/>
        </w:rPr>
        <w:t>food items in the categories</w:t>
      </w:r>
      <w:r>
        <w:rPr>
          <w:lang w:val="en-US"/>
        </w:rPr>
        <w:t xml:space="preserve"> mentioned above to be higher (right column)</w:t>
      </w:r>
      <w:r w:rsidRPr="006D6F70">
        <w:rPr>
          <w:lang w:val="en-US"/>
        </w:rPr>
        <w:t xml:space="preserve">, suggesting an underreporting for these food items in the intake survey. </w:t>
      </w:r>
      <w:r w:rsidR="000B1EBF">
        <w:rPr>
          <w:lang w:val="en-US"/>
        </w:rPr>
        <w:t>Also, in the consolidated status quo consumption, the direct intake of oils only accounts for a small share of overall oil intake (green, right column).</w:t>
      </w:r>
    </w:p>
    <w:bookmarkEnd w:id="27"/>
    <w:p w14:paraId="082E38E6" w14:textId="3B8FADD9" w:rsidR="00A45E44" w:rsidRPr="008F7FC4" w:rsidRDefault="00A45E44" w:rsidP="00A45E44">
      <w:pPr>
        <w:rPr>
          <w:lang w:val="en-US"/>
        </w:rPr>
      </w:pPr>
      <w:r w:rsidRPr="006D6F70">
        <w:rPr>
          <w:lang w:val="en-US"/>
        </w:rPr>
        <w:t xml:space="preserve">Consequently,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intake of plant oils (</w:t>
      </w:r>
      <w:r>
        <w:rPr>
          <w:lang w:val="en-US"/>
        </w:rPr>
        <w:t>right column</w:t>
      </w:r>
      <w:r w:rsidRPr="006D6F70">
        <w:rPr>
          <w:lang w:val="en-US"/>
        </w:rPr>
        <w:t>)</w:t>
      </w:r>
      <w:r>
        <w:rPr>
          <w:lang w:val="en-US"/>
        </w:rPr>
        <w:t xml:space="preserve"> to be</w:t>
      </w:r>
      <w:r w:rsidRPr="006D6F70">
        <w:rPr>
          <w:lang w:val="en-US"/>
        </w:rPr>
        <w:t xml:space="preserve"> considerably higher than the </w:t>
      </w:r>
      <w:r>
        <w:rPr>
          <w:lang w:val="en-US"/>
        </w:rPr>
        <w:t>food items</w:t>
      </w:r>
      <w:r w:rsidRPr="006D6F70">
        <w:rPr>
          <w:lang w:val="en-US"/>
        </w:rPr>
        <w:t xml:space="preserve"> intake</w:t>
      </w:r>
      <w:r>
        <w:rPr>
          <w:lang w:val="en-US"/>
        </w:rPr>
        <w:t xml:space="preserve"> (left column)</w:t>
      </w:r>
      <w:r w:rsidRPr="006D6F70">
        <w:rPr>
          <w:lang w:val="en-US"/>
        </w:rPr>
        <w:t xml:space="preserve"> suggests</w:t>
      </w:r>
      <w:r>
        <w:rPr>
          <w:lang w:val="en-US"/>
        </w:rPr>
        <w:t xml:space="preserve">. </w:t>
      </w:r>
      <w:r w:rsidR="000B1EBF">
        <w:rPr>
          <w:lang w:val="en-US"/>
        </w:rPr>
        <w:t xml:space="preserve"> </w:t>
      </w:r>
      <w:r>
        <w:rPr>
          <w:lang w:val="en-US"/>
        </w:rPr>
        <w:t xml:space="preserve">To meet </w:t>
      </w:r>
      <w:r w:rsidRPr="00FA5E7B">
        <w:rPr>
          <w:lang w:val="en-US"/>
        </w:rPr>
        <w:t xml:space="preserve">optimal DGE intake quantities </w:t>
      </w:r>
      <w:r>
        <w:rPr>
          <w:lang w:val="en-US"/>
        </w:rPr>
        <w:t>(yellow line, “DGE goal”),</w:t>
      </w:r>
      <w:r w:rsidRPr="006D6F70">
        <w:rPr>
          <w:lang w:val="en-US"/>
        </w:rPr>
        <w:t xml:space="preserve"> the intake has to decrease strongly instead of increasing strongly</w:t>
      </w:r>
      <w:r>
        <w:rPr>
          <w:lang w:val="en-US"/>
        </w:rPr>
        <w:t>,</w:t>
      </w:r>
      <w:r w:rsidRPr="006D6F70">
        <w:rPr>
          <w:lang w:val="en-US"/>
        </w:rPr>
        <w:t xml:space="preserve"> </w:t>
      </w:r>
      <w:r>
        <w:rPr>
          <w:lang w:val="en-US"/>
        </w:rPr>
        <w:t>as</w:t>
      </w:r>
      <w:r w:rsidRPr="006D6F70">
        <w:rPr>
          <w:lang w:val="en-US"/>
        </w:rPr>
        <w:t xml:space="preserve"> suggested in Schäfer et al.</w:t>
      </w:r>
      <w:r w:rsidR="0094128E">
        <w:rPr>
          <w:lang w:val="en-US"/>
        </w:rPr>
        <w:t xml:space="preserve"> </w:t>
      </w:r>
      <w:r>
        <w:fldChar w:fldCharType="begin"/>
      </w:r>
      <w:r w:rsidR="00554289">
        <w:rPr>
          <w:lang w:val="en-US"/>
        </w:rPr>
        <w:instrText xml:space="preserve"> ADDIN ZOTERO_ITEM CSL_CITATION {"citationID":"80buwxpE","properties":{"formattedCitation":"(2024)","plainCitation":"(2024)","noteIndex":0},"citationItems":[{"id":950,"uris":["http://zotero.org/users/10655811/items/3WH2N6UG"],"itemData":{"id":950,"type":"article-journal","container-title":"Ernährungs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0B1EBF">
        <w:rPr>
          <w:rFonts w:cs="Calibri"/>
          <w:lang w:val="en-US"/>
        </w:rPr>
        <w:t>(2024)</w:t>
      </w:r>
      <w:r>
        <w:fldChar w:fldCharType="end"/>
      </w:r>
      <w:r w:rsidR="00C457EE" w:rsidRPr="000B1EBF">
        <w:rPr>
          <w:lang w:val="en-US"/>
        </w:rPr>
        <w:t>.</w:t>
      </w:r>
    </w:p>
    <w:p w14:paraId="70498AE5" w14:textId="2A8DB55D" w:rsidR="00A45E44" w:rsidRDefault="000F3DF9" w:rsidP="00A45E44">
      <w:pPr>
        <w:keepNext/>
        <w:spacing w:before="0" w:line="240" w:lineRule="auto"/>
      </w:pPr>
      <w:r>
        <w:rPr>
          <w:noProof/>
        </w:rPr>
        <w:drawing>
          <wp:inline distT="0" distB="0" distL="0" distR="0" wp14:anchorId="262652B3" wp14:editId="783BD600">
            <wp:extent cx="6059805" cy="18167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59805" cy="1816735"/>
                    </a:xfrm>
                    <a:prstGeom prst="rect">
                      <a:avLst/>
                    </a:prstGeom>
                    <a:noFill/>
                  </pic:spPr>
                </pic:pic>
              </a:graphicData>
            </a:graphic>
          </wp:inline>
        </w:drawing>
      </w:r>
    </w:p>
    <w:p w14:paraId="50626E00" w14:textId="5D3BB58D"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7</w:t>
      </w:r>
      <w:r>
        <w:fldChar w:fldCharType="end"/>
      </w:r>
      <w:r w:rsidR="00A45E44" w:rsidRPr="0076459F">
        <w:rPr>
          <w:lang w:val="en-US"/>
        </w:rPr>
        <w:t xml:space="preserve">: Intake of plant oils per capita per day in grams. Excerpt of Figure </w:t>
      </w:r>
      <w:r w:rsidR="00A45E44">
        <w:rPr>
          <w:lang w:val="en-US"/>
        </w:rPr>
        <w:t>3</w:t>
      </w:r>
      <w:r w:rsidR="00A45E44" w:rsidRPr="0076459F">
        <w:rPr>
          <w:lang w:val="en-US"/>
        </w:rPr>
        <w:t>.</w:t>
      </w:r>
    </w:p>
    <w:p w14:paraId="6B22C4BF" w14:textId="77777777" w:rsidR="00A45E44" w:rsidRPr="008F7FC4" w:rsidRDefault="00A45E44" w:rsidP="00FD060A">
      <w:pPr>
        <w:pStyle w:val="Heading2"/>
      </w:pPr>
      <w:bookmarkStart w:id="28" w:name="_Toc194608658"/>
      <w:bookmarkStart w:id="29" w:name="_Toc203763121"/>
      <w:r w:rsidRPr="008F7FC4">
        <w:t>Intake of spreadable fats</w:t>
      </w:r>
      <w:bookmarkEnd w:id="28"/>
      <w:bookmarkEnd w:id="29"/>
    </w:p>
    <w:p w14:paraId="2FE2CFEB" w14:textId="77777777" w:rsidR="00A45E44" w:rsidRPr="006D6F70" w:rsidRDefault="00A45E44" w:rsidP="00A45E44">
      <w:pPr>
        <w:rPr>
          <w:lang w:val="en-US"/>
        </w:rPr>
      </w:pPr>
      <w:r w:rsidRPr="006D6F70">
        <w:rPr>
          <w:lang w:val="en-US"/>
        </w:rPr>
        <w:t xml:space="preserve">The overarching category </w:t>
      </w:r>
      <w:r>
        <w:rPr>
          <w:lang w:val="en-US"/>
        </w:rPr>
        <w:t xml:space="preserve">of food items that the DGE considers for the intake of spreadable fats </w:t>
      </w:r>
      <w:r w:rsidRPr="006D6F70">
        <w:rPr>
          <w:lang w:val="en-US"/>
        </w:rPr>
        <w:t xml:space="preserve">is </w:t>
      </w:r>
      <w:r>
        <w:rPr>
          <w:lang w:val="en-US"/>
        </w:rPr>
        <w:t>“</w:t>
      </w:r>
      <w:r w:rsidRPr="006D6F70">
        <w:rPr>
          <w:lang w:val="en-US"/>
        </w:rPr>
        <w:t>fat emulsions and blended fats</w:t>
      </w:r>
      <w:r>
        <w:rPr>
          <w:lang w:val="en-US"/>
        </w:rPr>
        <w:t>”</w:t>
      </w:r>
      <w:r w:rsidRPr="006D6F70">
        <w:rPr>
          <w:lang w:val="en-US"/>
        </w:rPr>
        <w:t>.</w:t>
      </w:r>
      <w:r>
        <w:rPr>
          <w:lang w:val="en-US"/>
        </w:rPr>
        <w:t xml:space="preserve"> Within this category, b</w:t>
      </w:r>
      <w:r w:rsidRPr="006D6F70">
        <w:rPr>
          <w:lang w:val="en-US"/>
        </w:rPr>
        <w:t xml:space="preserve">utter is the food item </w:t>
      </w:r>
      <w:r>
        <w:rPr>
          <w:lang w:val="en-US"/>
        </w:rPr>
        <w:t>with</w:t>
      </w:r>
      <w:r w:rsidRPr="006D6F70">
        <w:rPr>
          <w:lang w:val="en-US"/>
        </w:rPr>
        <w:t xml:space="preserve"> the highest intake (light yellow, </w:t>
      </w:r>
      <w:r>
        <w:rPr>
          <w:lang w:val="en-US"/>
        </w:rPr>
        <w:t>left column</w:t>
      </w:r>
      <w:r w:rsidRPr="006D6F70">
        <w:rPr>
          <w:lang w:val="en-US"/>
        </w:rPr>
        <w:t>). Other fat emulsions are margarine or blends of butter, margarine</w:t>
      </w:r>
      <w:r>
        <w:rPr>
          <w:lang w:val="en-US"/>
        </w:rPr>
        <w:t>,</w:t>
      </w:r>
      <w:r w:rsidRPr="006D6F70">
        <w:rPr>
          <w:lang w:val="en-US"/>
        </w:rPr>
        <w:t xml:space="preserve"> and oils (orange, </w:t>
      </w:r>
      <w:r>
        <w:rPr>
          <w:lang w:val="en-US"/>
        </w:rPr>
        <w:t>left column</w:t>
      </w:r>
      <w:r w:rsidRPr="006D6F70">
        <w:rPr>
          <w:lang w:val="en-US"/>
        </w:rPr>
        <w:t>). Margarine also contains ingredients like water or buttermilk. When considering strictly only the intake of spreadable fats through other fat emulsions (</w:t>
      </w:r>
      <w:r>
        <w:rPr>
          <w:lang w:val="en-US"/>
        </w:rPr>
        <w:t>orange, middle</w:t>
      </w:r>
      <w:r w:rsidRPr="006D6F70">
        <w:rPr>
          <w:lang w:val="en-US"/>
        </w:rPr>
        <w:t xml:space="preserve"> column), the intake quantities are smaller than the </w:t>
      </w:r>
      <w:r>
        <w:rPr>
          <w:lang w:val="en-US"/>
        </w:rPr>
        <w:t>total</w:t>
      </w:r>
      <w:r w:rsidRPr="006D6F70">
        <w:rPr>
          <w:lang w:val="en-US"/>
        </w:rPr>
        <w:t xml:space="preserve"> intake from other fat emulsions</w:t>
      </w:r>
      <w:r>
        <w:rPr>
          <w:lang w:val="en-US"/>
        </w:rPr>
        <w:t xml:space="preserve"> (orange</w:t>
      </w:r>
      <w:r w:rsidRPr="006D6F70">
        <w:rPr>
          <w:lang w:val="en-US"/>
        </w:rPr>
        <w:t xml:space="preserve">, </w:t>
      </w:r>
      <w:r>
        <w:rPr>
          <w:lang w:val="en-US"/>
        </w:rPr>
        <w:t>left column)</w:t>
      </w:r>
      <w:r w:rsidRPr="006D6F70">
        <w:rPr>
          <w:lang w:val="en-US"/>
        </w:rPr>
        <w:t>. There is considerable intake of spreadable fats through grain-based products (e.g., cakes, brown</w:t>
      </w:r>
      <w:r>
        <w:rPr>
          <w:lang w:val="en-US"/>
        </w:rPr>
        <w:t>, middle</w:t>
      </w:r>
      <w:r w:rsidRPr="006D6F70">
        <w:rPr>
          <w:lang w:val="en-US"/>
        </w:rPr>
        <w:t xml:space="preserve"> column) and other food items (e.g., potato-based dishes, gr</w:t>
      </w:r>
      <w:r>
        <w:rPr>
          <w:lang w:val="en-US"/>
        </w:rPr>
        <w:t>a</w:t>
      </w:r>
      <w:r w:rsidRPr="006D6F70">
        <w:rPr>
          <w:lang w:val="en-US"/>
        </w:rPr>
        <w:t>y</w:t>
      </w:r>
      <w:r>
        <w:rPr>
          <w:lang w:val="en-US"/>
        </w:rPr>
        <w:t>, middle</w:t>
      </w:r>
      <w:r w:rsidRPr="006D6F70">
        <w:rPr>
          <w:lang w:val="en-US"/>
        </w:rPr>
        <w:t xml:space="preserve"> column). The intake of spreadable fats</w:t>
      </w:r>
      <w:r>
        <w:rPr>
          <w:lang w:val="en-US"/>
        </w:rPr>
        <w:t xml:space="preserve"> that does not come through ingredients in food items </w:t>
      </w:r>
      <w:r w:rsidRPr="006D6F70">
        <w:rPr>
          <w:lang w:val="en-US"/>
        </w:rPr>
        <w:t xml:space="preserve">accounts for less than half of the </w:t>
      </w:r>
      <w:r>
        <w:rPr>
          <w:lang w:val="en-US"/>
        </w:rPr>
        <w:t>total</w:t>
      </w:r>
      <w:r w:rsidRPr="006D6F70">
        <w:rPr>
          <w:lang w:val="en-US"/>
        </w:rPr>
        <w:t xml:space="preserve"> intake</w:t>
      </w:r>
      <w:r>
        <w:rPr>
          <w:lang w:val="en-US"/>
        </w:rPr>
        <w:t xml:space="preserve"> (butter, light yellow, middle column, and other fat emulsions, orange, middle column)</w:t>
      </w:r>
      <w:r w:rsidRPr="006D6F70">
        <w:rPr>
          <w:lang w:val="en-US"/>
        </w:rPr>
        <w:t xml:space="preserve">. </w:t>
      </w:r>
    </w:p>
    <w:p w14:paraId="2B4F4004" w14:textId="722F2814" w:rsidR="00A45E44" w:rsidRPr="006D6F70" w:rsidRDefault="00A45E44" w:rsidP="00A45E44">
      <w:pPr>
        <w:rPr>
          <w:lang w:val="en-US"/>
        </w:rPr>
      </w:pPr>
      <w:r w:rsidRPr="006D6F70">
        <w:rPr>
          <w:lang w:val="en-US"/>
        </w:rPr>
        <w:t xml:space="preserve">The relevant categories of market balance quantities that </w:t>
      </w:r>
      <w:r>
        <w:rPr>
          <w:lang w:val="en-US"/>
        </w:rPr>
        <w:t>must</w:t>
      </w:r>
      <w:r w:rsidRPr="006D6F70">
        <w:rPr>
          <w:lang w:val="en-US"/>
        </w:rPr>
        <w:t xml:space="preserve"> be matched are butter and sunflower seed oil, rapeseed oil, soya oil, palm oil</w:t>
      </w:r>
      <w:r>
        <w:rPr>
          <w:lang w:val="en-US"/>
        </w:rPr>
        <w:t>,</w:t>
      </w:r>
      <w:r w:rsidRPr="006D6F70">
        <w:rPr>
          <w:lang w:val="en-US"/>
        </w:rPr>
        <w:t xml:space="preserve"> and olives for oil making. The market balance quantities for the plant oils are too high to match the </w:t>
      </w:r>
      <w:r>
        <w:rPr>
          <w:lang w:val="en-US"/>
        </w:rPr>
        <w:t>margarine intake. T</w:t>
      </w:r>
      <w:r w:rsidRPr="006D6F70">
        <w:rPr>
          <w:lang w:val="en-US"/>
        </w:rPr>
        <w:t xml:space="preserve">he consolidation </w:t>
      </w:r>
      <w:r>
        <w:rPr>
          <w:lang w:val="en-US"/>
        </w:rPr>
        <w:t xml:space="preserve">finds the intake </w:t>
      </w:r>
      <w:r w:rsidRPr="006D6F70">
        <w:rPr>
          <w:lang w:val="en-US"/>
        </w:rPr>
        <w:t xml:space="preserve">of spreadable fats </w:t>
      </w:r>
      <w:r>
        <w:rPr>
          <w:lang w:val="en-US"/>
        </w:rPr>
        <w:t>as ingredients in</w:t>
      </w:r>
      <w:r w:rsidRPr="006D6F70">
        <w:rPr>
          <w:lang w:val="en-US"/>
        </w:rPr>
        <w:t xml:space="preserve"> food items in the categories</w:t>
      </w:r>
      <w:r>
        <w:rPr>
          <w:lang w:val="en-US"/>
        </w:rPr>
        <w:t xml:space="preserve"> mentioned above to be higher (right column)</w:t>
      </w:r>
      <w:r w:rsidRPr="006D6F70">
        <w:rPr>
          <w:lang w:val="en-US"/>
        </w:rPr>
        <w:t>, suggesting an underreporting for these food items in the intake survey. However, the market balance quantit</w:t>
      </w:r>
      <w:r>
        <w:rPr>
          <w:lang w:val="en-US"/>
        </w:rPr>
        <w:t>y</w:t>
      </w:r>
      <w:r w:rsidRPr="006D6F70">
        <w:rPr>
          <w:lang w:val="en-US"/>
        </w:rPr>
        <w:t xml:space="preserve"> of butter </w:t>
      </w:r>
      <w:r>
        <w:rPr>
          <w:lang w:val="en-US"/>
        </w:rPr>
        <w:t>is</w:t>
      </w:r>
      <w:r w:rsidRPr="006D6F70">
        <w:rPr>
          <w:lang w:val="en-US"/>
        </w:rPr>
        <w:t xml:space="preserve"> too low to match the intake of food items containing butter.</w:t>
      </w:r>
      <w:r>
        <w:rPr>
          <w:lang w:val="en-US"/>
        </w:rPr>
        <w:t xml:space="preserve"> The consolidation decreases the butter intake </w:t>
      </w:r>
      <w:r>
        <w:rPr>
          <w:lang w:val="en-US"/>
        </w:rPr>
        <w:lastRenderedPageBreak/>
        <w:t>(light yellow, right column).</w:t>
      </w:r>
      <w:r w:rsidRPr="006D6F70">
        <w:rPr>
          <w:lang w:val="en-US"/>
        </w:rPr>
        <w:t xml:space="preserve"> This also points </w:t>
      </w:r>
      <w:r>
        <w:rPr>
          <w:lang w:val="en-US"/>
        </w:rPr>
        <w:t>to</w:t>
      </w:r>
      <w:r w:rsidRPr="006D6F70">
        <w:rPr>
          <w:lang w:val="en-US"/>
        </w:rPr>
        <w:t xml:space="preserve"> a bias in the recipe data. The more traditional</w:t>
      </w:r>
      <w:r>
        <w:rPr>
          <w:lang w:val="en-US"/>
        </w:rPr>
        <w:t xml:space="preserve"> and</w:t>
      </w:r>
      <w:r w:rsidRPr="006D6F70">
        <w:rPr>
          <w:lang w:val="en-US"/>
        </w:rPr>
        <w:t xml:space="preserve"> more expensive butter </w:t>
      </w:r>
      <w:r w:rsidR="00F97246">
        <w:rPr>
          <w:lang w:val="en-US"/>
        </w:rPr>
        <w:t>is</w:t>
      </w:r>
      <w:r w:rsidRPr="006D6F70">
        <w:rPr>
          <w:lang w:val="en-US"/>
        </w:rPr>
        <w:t xml:space="preserve"> overrepresented as an ingredient, </w:t>
      </w:r>
      <w:r w:rsidR="00F97246">
        <w:rPr>
          <w:lang w:val="en-US"/>
        </w:rPr>
        <w:t>especially in fine bakery wares. I</w:t>
      </w:r>
      <w:r w:rsidRPr="006D6F70">
        <w:rPr>
          <w:lang w:val="en-US"/>
        </w:rPr>
        <w:t>n reality</w:t>
      </w:r>
      <w:r>
        <w:rPr>
          <w:lang w:val="en-US"/>
        </w:rPr>
        <w:t xml:space="preserve">, plant oil-based margarine may often </w:t>
      </w:r>
      <w:r w:rsidRPr="006D6F70">
        <w:rPr>
          <w:lang w:val="en-US"/>
        </w:rPr>
        <w:t>be used as a butter substitute.</w:t>
      </w:r>
      <w:r w:rsidR="00F97246">
        <w:rPr>
          <w:lang w:val="en-US"/>
        </w:rPr>
        <w:t xml:space="preserve"> The data consolidation does not account for this bias. Consequently, the intake of spreadable fats through grain-based products may be even higher than presented here.</w:t>
      </w:r>
    </w:p>
    <w:p w14:paraId="1A57A489" w14:textId="4D762A50" w:rsidR="00A45E44" w:rsidRPr="00B10611" w:rsidRDefault="00A45E44" w:rsidP="00A45E44">
      <w:pPr>
        <w:rPr>
          <w:lang w:val="en-US"/>
        </w:rPr>
      </w:pPr>
      <w:r w:rsidRPr="006D6F70">
        <w:rPr>
          <w:lang w:val="en-US"/>
        </w:rPr>
        <w:t xml:space="preserve">As a net effect,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 xml:space="preserve">intake of spreadable fats </w:t>
      </w:r>
      <w:r>
        <w:rPr>
          <w:lang w:val="en-US"/>
        </w:rPr>
        <w:t>(right column) as</w:t>
      </w:r>
      <w:r w:rsidRPr="006D6F70">
        <w:rPr>
          <w:lang w:val="en-US"/>
        </w:rPr>
        <w:t xml:space="preserve"> considerably higher than the intake</w:t>
      </w:r>
      <w:r>
        <w:rPr>
          <w:lang w:val="en-US"/>
        </w:rPr>
        <w:t xml:space="preserve"> of the food items (left column)</w:t>
      </w:r>
      <w:r w:rsidRPr="006D6F70">
        <w:rPr>
          <w:lang w:val="en-US"/>
        </w:rPr>
        <w:t xml:space="preserve"> suggests</w:t>
      </w:r>
      <w:r>
        <w:rPr>
          <w:lang w:val="en-US"/>
        </w:rPr>
        <w:t xml:space="preserve">. </w:t>
      </w:r>
      <w:r w:rsidRPr="006D6F70">
        <w:rPr>
          <w:lang w:val="en-US"/>
        </w:rPr>
        <w:t xml:space="preserve"> </w:t>
      </w:r>
      <w:r>
        <w:rPr>
          <w:lang w:val="en-US"/>
        </w:rPr>
        <w:t>T</w:t>
      </w:r>
      <w:r w:rsidRPr="006D6F70">
        <w:rPr>
          <w:lang w:val="en-US"/>
        </w:rPr>
        <w:t xml:space="preserve">o meet </w:t>
      </w:r>
      <w:r w:rsidRPr="00FA5E7B">
        <w:rPr>
          <w:lang w:val="en-US"/>
        </w:rPr>
        <w:t xml:space="preserve">optimal DGE intake quantities </w:t>
      </w:r>
      <w:r>
        <w:rPr>
          <w:lang w:val="en-US"/>
        </w:rPr>
        <w:t xml:space="preserve">(yellow line, “DGE goal”), </w:t>
      </w:r>
      <w:r w:rsidRPr="006D6F70">
        <w:rPr>
          <w:lang w:val="en-US"/>
        </w:rPr>
        <w:t>the intake has to decrease more strongly than suggested in Schäfer et al.</w:t>
      </w:r>
      <w:r w:rsidR="0094128E">
        <w:rPr>
          <w:lang w:val="en-US"/>
        </w:rPr>
        <w:t xml:space="preserve"> </w:t>
      </w:r>
      <w:r>
        <w:fldChar w:fldCharType="begin"/>
      </w:r>
      <w:r w:rsidR="00554289">
        <w:rPr>
          <w:lang w:val="en-US"/>
        </w:rPr>
        <w:instrText xml:space="preserve"> ADDIN ZOTERO_ITEM CSL_CITATION {"citationID":"zJ4IG3w9","properties":{"formattedCitation":"(2024)","plainCitation":"(2024)","noteIndex":0},"citationItems":[{"id":950,"uris":["http://zotero.org/users/10655811/items/3WH2N6UG"],"itemData":{"id":950,"type":"article-journal","container-title":"Ernährungs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554289">
        <w:rPr>
          <w:rFonts w:cs="Calibri"/>
        </w:rPr>
        <w:t>(2024)</w:t>
      </w:r>
      <w:r>
        <w:fldChar w:fldCharType="end"/>
      </w:r>
      <w:r w:rsidR="00C457EE">
        <w:t>.</w:t>
      </w:r>
    </w:p>
    <w:p w14:paraId="2F4FCF65" w14:textId="0373373D" w:rsidR="00A45E44" w:rsidRDefault="000F3DF9" w:rsidP="00A45E44">
      <w:pPr>
        <w:keepNext/>
        <w:spacing w:before="0" w:line="240" w:lineRule="auto"/>
      </w:pPr>
      <w:r>
        <w:rPr>
          <w:noProof/>
        </w:rPr>
        <w:drawing>
          <wp:inline distT="0" distB="0" distL="0" distR="0" wp14:anchorId="3A19FB7E" wp14:editId="1A60824B">
            <wp:extent cx="6066155" cy="18103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66155" cy="1810385"/>
                    </a:xfrm>
                    <a:prstGeom prst="rect">
                      <a:avLst/>
                    </a:prstGeom>
                    <a:noFill/>
                  </pic:spPr>
                </pic:pic>
              </a:graphicData>
            </a:graphic>
          </wp:inline>
        </w:drawing>
      </w:r>
    </w:p>
    <w:p w14:paraId="23D4354D" w14:textId="3292C457"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8</w:t>
      </w:r>
      <w:r>
        <w:fldChar w:fldCharType="end"/>
      </w:r>
      <w:r w:rsidR="00A45E44" w:rsidRPr="0076459F">
        <w:rPr>
          <w:lang w:val="en-US"/>
        </w:rPr>
        <w:t xml:space="preserve">: Intake of spreadable fats per capita per day in grams. Excerpt of Figure </w:t>
      </w:r>
      <w:r w:rsidR="00A45E44">
        <w:rPr>
          <w:lang w:val="en-US"/>
        </w:rPr>
        <w:t>3</w:t>
      </w:r>
      <w:r w:rsidR="00A45E44" w:rsidRPr="0076459F">
        <w:rPr>
          <w:lang w:val="en-US"/>
        </w:rPr>
        <w:t>.</w:t>
      </w:r>
    </w:p>
    <w:p w14:paraId="1F0D9C1F" w14:textId="77777777" w:rsidR="00A45E44" w:rsidRPr="00B10611" w:rsidRDefault="00A45E44" w:rsidP="00FD060A">
      <w:pPr>
        <w:pStyle w:val="Heading2"/>
      </w:pPr>
      <w:bookmarkStart w:id="30" w:name="_Toc194608659"/>
      <w:bookmarkStart w:id="31" w:name="_Toc203763122"/>
      <w:r w:rsidRPr="00B10611">
        <w:t>Intake of milk equivalents</w:t>
      </w:r>
      <w:bookmarkEnd w:id="30"/>
      <w:bookmarkEnd w:id="31"/>
    </w:p>
    <w:p w14:paraId="682B203C" w14:textId="6FAD94AC" w:rsidR="00A45E44" w:rsidRPr="006D6F70" w:rsidRDefault="00A45E44" w:rsidP="00A45E44">
      <w:pPr>
        <w:rPr>
          <w:lang w:val="en-US"/>
        </w:rPr>
      </w:pPr>
      <w:r>
        <w:rPr>
          <w:lang w:val="en-US"/>
        </w:rPr>
        <w:t xml:space="preserve">The overarching category of food items that the DGE considers for the milk intake is “milk and dairy products”. Within this category, </w:t>
      </w:r>
      <w:r w:rsidRPr="006D6F70">
        <w:rPr>
          <w:lang w:val="en-US"/>
        </w:rPr>
        <w:t xml:space="preserve">the most milk equivalents are consumed through cheese (yellow, </w:t>
      </w:r>
      <w:r>
        <w:rPr>
          <w:lang w:val="en-US"/>
        </w:rPr>
        <w:t>left column</w:t>
      </w:r>
      <w:r w:rsidRPr="006D6F70">
        <w:rPr>
          <w:lang w:val="en-US"/>
        </w:rPr>
        <w:t>)</w:t>
      </w:r>
      <w:r>
        <w:rPr>
          <w:lang w:val="en-US"/>
        </w:rPr>
        <w:t xml:space="preserve">. </w:t>
      </w:r>
      <w:r w:rsidRPr="006D6F70">
        <w:rPr>
          <w:lang w:val="en-US"/>
        </w:rPr>
        <w:t xml:space="preserve">The DGE calculates 451 g per capita per day of </w:t>
      </w:r>
      <w:r w:rsidRPr="006D6F70">
        <w:rPr>
          <w:szCs w:val="18"/>
          <w:lang w:val="en-US"/>
        </w:rPr>
        <w:t>intake</w:t>
      </w:r>
      <w:r>
        <w:rPr>
          <w:szCs w:val="18"/>
          <w:lang w:val="en-US"/>
        </w:rPr>
        <w:t>,</w:t>
      </w:r>
      <w:r w:rsidR="0094128E">
        <w:rPr>
          <w:szCs w:val="18"/>
          <w:lang w:val="en-US"/>
        </w:rPr>
        <w:t xml:space="preserve"> Schäfer et al. </w:t>
      </w:r>
      <w:r w:rsidRPr="007C7DE5">
        <w:rPr>
          <w:szCs w:val="18"/>
        </w:rPr>
        <w:fldChar w:fldCharType="begin"/>
      </w:r>
      <w:r w:rsidR="0094128E">
        <w:rPr>
          <w:szCs w:val="18"/>
          <w:lang w:val="en-US"/>
        </w:rPr>
        <w:instrText xml:space="preserve"> ADDIN ZOTERO_ITEM CSL_CITATION {"citationID":"EVvuNyIe","properties":{"formattedCitation":"(2024)","plainCitation":"(2024)","noteIndex":0},"citationItems":[{"id":950,"uris":["http://zotero.org/users/10655811/items/3WH2N6UG"],"itemData":{"id":950,"type":"article-journal","container-title":"Ernährungs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7C7DE5">
        <w:rPr>
          <w:szCs w:val="18"/>
        </w:rPr>
        <w:fldChar w:fldCharType="separate"/>
      </w:r>
      <w:r w:rsidR="0094128E" w:rsidRPr="0094128E">
        <w:rPr>
          <w:rFonts w:cs="Calibri"/>
          <w:lang w:val="en-US"/>
        </w:rPr>
        <w:t>(2024)</w:t>
      </w:r>
      <w:r w:rsidRPr="007C7DE5">
        <w:rPr>
          <w:szCs w:val="18"/>
        </w:rPr>
        <w:fldChar w:fldCharType="end"/>
      </w:r>
      <w:r w:rsidRPr="006D6F70">
        <w:rPr>
          <w:szCs w:val="18"/>
          <w:lang w:val="en-US"/>
        </w:rPr>
        <w:t xml:space="preserve"> whereas we calculate 3</w:t>
      </w:r>
      <w:r w:rsidR="00BD3761">
        <w:rPr>
          <w:szCs w:val="18"/>
          <w:lang w:val="en-US"/>
        </w:rPr>
        <w:t>12</w:t>
      </w:r>
      <w:r w:rsidRPr="006D6F70">
        <w:rPr>
          <w:szCs w:val="18"/>
          <w:lang w:val="en-US"/>
        </w:rPr>
        <w:t xml:space="preserve"> g. This difference is explained by the calculation method. Schäfer et al.</w:t>
      </w:r>
      <w:r w:rsidR="0094128E">
        <w:rPr>
          <w:szCs w:val="18"/>
          <w:lang w:val="en-US"/>
        </w:rPr>
        <w:t xml:space="preserve"> </w:t>
      </w:r>
      <w:r w:rsidRPr="007C7DE5">
        <w:rPr>
          <w:szCs w:val="18"/>
        </w:rPr>
        <w:fldChar w:fldCharType="begin"/>
      </w:r>
      <w:r w:rsidR="00554289">
        <w:rPr>
          <w:szCs w:val="18"/>
          <w:lang w:val="en-US"/>
        </w:rPr>
        <w:instrText xml:space="preserve"> ADDIN ZOTERO_ITEM CSL_CITATION {"citationID":"Sx7isT38","properties":{"formattedCitation":"(2024)","plainCitation":"(2024)","noteIndex":0},"citationItems":[{"id":950,"uris":["http://zotero.org/users/10655811/items/3WH2N6UG"],"itemData":{"id":950,"type":"article-journal","container-title":"Ernährungs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rsidRPr="007C7DE5">
        <w:rPr>
          <w:szCs w:val="18"/>
        </w:rPr>
        <w:fldChar w:fldCharType="separate"/>
      </w:r>
      <w:r w:rsidR="00554289" w:rsidRPr="00554289">
        <w:rPr>
          <w:rFonts w:cs="Calibri"/>
          <w:lang w:val="en-US"/>
        </w:rPr>
        <w:t>(2024)</w:t>
      </w:r>
      <w:r w:rsidRPr="007C7DE5">
        <w:rPr>
          <w:szCs w:val="18"/>
        </w:rPr>
        <w:fldChar w:fldCharType="end"/>
      </w:r>
      <w:r w:rsidRPr="006D6F70">
        <w:rPr>
          <w:szCs w:val="18"/>
          <w:lang w:val="en-US"/>
        </w:rPr>
        <w:t xml:space="preserve"> use milk equivalent coefficients that differentiate between milk, cheese</w:t>
      </w:r>
      <w:r>
        <w:rPr>
          <w:szCs w:val="18"/>
          <w:lang w:val="en-US"/>
        </w:rPr>
        <w:t>,</w:t>
      </w:r>
      <w:r w:rsidRPr="006D6F70">
        <w:rPr>
          <w:szCs w:val="18"/>
          <w:lang w:val="en-US"/>
        </w:rPr>
        <w:t xml:space="preserve"> and other milk products. We use coefficients that differentiate</w:t>
      </w:r>
      <w:r w:rsidRPr="006D6F70">
        <w:rPr>
          <w:lang w:val="en-US"/>
        </w:rPr>
        <w:t xml:space="preserve"> further</w:t>
      </w:r>
      <w:r>
        <w:rPr>
          <w:lang w:val="en-US"/>
        </w:rPr>
        <w:t>: milk</w:t>
      </w:r>
      <w:r w:rsidRPr="007B0773">
        <w:rPr>
          <w:lang w:val="en-US"/>
        </w:rPr>
        <w:t>, cheese, skimmed milk powder, whole milk powder, whey powder, cream, and concentrated milk. Intake as ingredients in food items (e.g., through coffee and cocoa beverages, in “others”, gray,</w:t>
      </w:r>
      <w:r w:rsidR="00C523B1">
        <w:rPr>
          <w:lang w:val="en-US"/>
        </w:rPr>
        <w:t xml:space="preserve"> or through fine bakery wares, in “grain-based products”, brown, both</w:t>
      </w:r>
      <w:r w:rsidRPr="007B0773">
        <w:rPr>
          <w:lang w:val="en-US"/>
        </w:rPr>
        <w:t xml:space="preserve"> middle column) accounts</w:t>
      </w:r>
      <w:r w:rsidRPr="006D6F70">
        <w:rPr>
          <w:lang w:val="en-US"/>
        </w:rPr>
        <w:t xml:space="preserve"> for </w:t>
      </w:r>
      <w:r w:rsidR="00C523B1">
        <w:rPr>
          <w:lang w:val="en-US"/>
        </w:rPr>
        <w:t xml:space="preserve">more than one-fourth </w:t>
      </w:r>
      <w:r w:rsidRPr="006D6F70">
        <w:rPr>
          <w:lang w:val="en-US"/>
        </w:rPr>
        <w:t xml:space="preserve">of </w:t>
      </w:r>
      <w:r>
        <w:rPr>
          <w:lang w:val="en-US"/>
        </w:rPr>
        <w:t>total</w:t>
      </w:r>
      <w:r w:rsidRPr="006D6F70">
        <w:rPr>
          <w:lang w:val="en-US"/>
        </w:rPr>
        <w:t xml:space="preserve"> intake.  </w:t>
      </w:r>
    </w:p>
    <w:p w14:paraId="598088DE" w14:textId="77777777" w:rsidR="00A45E44" w:rsidRPr="006D6F70" w:rsidRDefault="00A45E44" w:rsidP="00A45E44">
      <w:pPr>
        <w:rPr>
          <w:lang w:val="en-US"/>
        </w:rPr>
      </w:pPr>
      <w:r w:rsidRPr="006D6F70">
        <w:rPr>
          <w:lang w:val="en-US"/>
        </w:rPr>
        <w:t xml:space="preserve">The relevant categories of market balance quantities that </w:t>
      </w:r>
      <w:r>
        <w:rPr>
          <w:lang w:val="en-US"/>
        </w:rPr>
        <w:t>must</w:t>
      </w:r>
      <w:r w:rsidRPr="006D6F70">
        <w:rPr>
          <w:lang w:val="en-US"/>
        </w:rPr>
        <w:t xml:space="preserve"> be matched are milk, cheese, skimmed milk powder, whole milk powder, whey powder, cream, and concentrated milk. The</w:t>
      </w:r>
      <w:r>
        <w:rPr>
          <w:lang w:val="en-US"/>
        </w:rPr>
        <w:t>se</w:t>
      </w:r>
      <w:r w:rsidRPr="006D6F70">
        <w:rPr>
          <w:lang w:val="en-US"/>
        </w:rPr>
        <w:t xml:space="preserve"> market balance quantities are too high to match the intake of dairy products</w:t>
      </w:r>
      <w:r>
        <w:rPr>
          <w:lang w:val="en-US"/>
        </w:rPr>
        <w:t xml:space="preserve">. Hence, the consolidation increases the milk intake through food items in the </w:t>
      </w:r>
      <w:r w:rsidRPr="006D6F70">
        <w:rPr>
          <w:lang w:val="en-US"/>
        </w:rPr>
        <w:t>categories</w:t>
      </w:r>
      <w:r>
        <w:rPr>
          <w:lang w:val="en-US"/>
        </w:rPr>
        <w:t xml:space="preserve"> mentioned above, suggesting an underreporting of</w:t>
      </w:r>
      <w:r w:rsidRPr="006D6F70">
        <w:rPr>
          <w:lang w:val="en-US"/>
        </w:rPr>
        <w:t xml:space="preserve"> these food items in the intake survey (</w:t>
      </w:r>
      <w:r>
        <w:rPr>
          <w:lang w:val="en-US"/>
        </w:rPr>
        <w:t>right column</w:t>
      </w:r>
      <w:r w:rsidRPr="006D6F70">
        <w:rPr>
          <w:lang w:val="en-US"/>
        </w:rPr>
        <w:t xml:space="preserve">). </w:t>
      </w:r>
    </w:p>
    <w:p w14:paraId="5F6E9DC3" w14:textId="2DD49126" w:rsidR="00A45E44" w:rsidRPr="006D6F70" w:rsidRDefault="00A45E44" w:rsidP="00A45E44">
      <w:pPr>
        <w:rPr>
          <w:lang w:val="en-US"/>
        </w:rPr>
      </w:pPr>
      <w:r w:rsidRPr="006D6F70">
        <w:rPr>
          <w:lang w:val="en-US"/>
        </w:rPr>
        <w:t xml:space="preserve">Consequently, </w:t>
      </w:r>
      <w:r>
        <w:rPr>
          <w:lang w:val="en-US"/>
        </w:rPr>
        <w:t xml:space="preserve">we assess </w:t>
      </w:r>
      <w:r w:rsidRPr="006D6F70">
        <w:rPr>
          <w:lang w:val="en-US"/>
        </w:rPr>
        <w:t xml:space="preserve">the </w:t>
      </w:r>
      <w:r>
        <w:rPr>
          <w:lang w:val="en-US"/>
        </w:rPr>
        <w:t>status quo</w:t>
      </w:r>
      <w:r w:rsidRPr="009B2FA6">
        <w:rPr>
          <w:lang w:val="en-US"/>
        </w:rPr>
        <w:t xml:space="preserve"> </w:t>
      </w:r>
      <w:r w:rsidRPr="006D6F70">
        <w:rPr>
          <w:lang w:val="en-US"/>
        </w:rPr>
        <w:t>intake of milk and dairy products</w:t>
      </w:r>
      <w:r>
        <w:rPr>
          <w:lang w:val="en-US"/>
        </w:rPr>
        <w:t xml:space="preserve"> (right column) to be</w:t>
      </w:r>
      <w:r w:rsidRPr="006D6F70">
        <w:rPr>
          <w:lang w:val="en-US"/>
        </w:rPr>
        <w:t xml:space="preserve"> considerably higher than the </w:t>
      </w:r>
      <w:r>
        <w:rPr>
          <w:lang w:val="en-US"/>
        </w:rPr>
        <w:t>food items</w:t>
      </w:r>
      <w:r w:rsidRPr="006D6F70">
        <w:rPr>
          <w:lang w:val="en-US"/>
        </w:rPr>
        <w:t xml:space="preserve"> intake</w:t>
      </w:r>
      <w:r>
        <w:rPr>
          <w:lang w:val="en-US"/>
        </w:rPr>
        <w:t xml:space="preserve"> (left column)</w:t>
      </w:r>
      <w:r w:rsidRPr="006D6F70">
        <w:rPr>
          <w:lang w:val="en-US"/>
        </w:rPr>
        <w:t xml:space="preserve"> suggests</w:t>
      </w:r>
      <w:r>
        <w:rPr>
          <w:lang w:val="en-US"/>
        </w:rPr>
        <w:t xml:space="preserve">. To meet </w:t>
      </w:r>
      <w:r w:rsidRPr="00FA5E7B">
        <w:rPr>
          <w:lang w:val="en-US"/>
        </w:rPr>
        <w:t xml:space="preserve">optimal DGE intake quantities </w:t>
      </w:r>
      <w:r>
        <w:rPr>
          <w:lang w:val="en-US"/>
        </w:rPr>
        <w:t xml:space="preserve">(yellow line, “DGE goal”), the </w:t>
      </w:r>
      <w:r w:rsidRPr="006D6F70">
        <w:rPr>
          <w:lang w:val="en-US"/>
        </w:rPr>
        <w:t xml:space="preserve">intake has to be cut by </w:t>
      </w:r>
      <w:r w:rsidR="00F97246">
        <w:rPr>
          <w:lang w:val="en-US"/>
        </w:rPr>
        <w:t>almost</w:t>
      </w:r>
      <w:r w:rsidRPr="006D6F70">
        <w:rPr>
          <w:lang w:val="en-US"/>
        </w:rPr>
        <w:t xml:space="preserve"> 50% </w:t>
      </w:r>
      <w:r>
        <w:rPr>
          <w:lang w:val="en-US"/>
        </w:rPr>
        <w:t xml:space="preserve">rather than </w:t>
      </w:r>
      <w:r w:rsidR="00F97246">
        <w:rPr>
          <w:lang w:val="en-US"/>
        </w:rPr>
        <w:t>in</w:t>
      </w:r>
      <w:r>
        <w:rPr>
          <w:lang w:val="en-US"/>
        </w:rPr>
        <w:t>crease slightly as suggested in Schäfer et al.</w:t>
      </w:r>
      <w:r w:rsidR="0094128E">
        <w:rPr>
          <w:lang w:val="en-US"/>
        </w:rPr>
        <w:t xml:space="preserve"> </w:t>
      </w:r>
      <w:r>
        <w:fldChar w:fldCharType="begin"/>
      </w:r>
      <w:r w:rsidR="00554289">
        <w:rPr>
          <w:lang w:val="en-US"/>
        </w:rPr>
        <w:instrText xml:space="preserve"> ADDIN ZOTERO_ITEM CSL_CITATION {"citationID":"4WHgdDYF","properties":{"formattedCitation":"(2024)","plainCitation":"(2024)","noteIndex":0},"citationItems":[{"id":950,"uris":["http://zotero.org/users/10655811/items/3WH2N6UG"],"itemData":{"id":950,"type":"article-journal","container-title":"Ernährungs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F97246">
        <w:rPr>
          <w:rFonts w:cs="Calibri"/>
          <w:lang w:val="en-US"/>
        </w:rPr>
        <w:t>(2024)</w:t>
      </w:r>
      <w:r>
        <w:fldChar w:fldCharType="end"/>
      </w:r>
      <w:r w:rsidR="00C457EE" w:rsidRPr="00F97246">
        <w:rPr>
          <w:lang w:val="en-US"/>
        </w:rPr>
        <w:t>.</w:t>
      </w:r>
    </w:p>
    <w:p w14:paraId="78E5F5B4" w14:textId="79F3160C" w:rsidR="00A45E44" w:rsidRDefault="00802C7F" w:rsidP="00A45E44">
      <w:pPr>
        <w:keepNext/>
        <w:spacing w:before="0" w:line="240" w:lineRule="auto"/>
      </w:pPr>
      <w:r>
        <w:rPr>
          <w:noProof/>
        </w:rPr>
        <w:lastRenderedPageBreak/>
        <w:drawing>
          <wp:inline distT="0" distB="0" distL="0" distR="0" wp14:anchorId="3DD5701F" wp14:editId="5BE84D87">
            <wp:extent cx="6059805" cy="18103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59805" cy="1810385"/>
                    </a:xfrm>
                    <a:prstGeom prst="rect">
                      <a:avLst/>
                    </a:prstGeom>
                    <a:noFill/>
                  </pic:spPr>
                </pic:pic>
              </a:graphicData>
            </a:graphic>
          </wp:inline>
        </w:drawing>
      </w:r>
    </w:p>
    <w:p w14:paraId="290FF86C" w14:textId="78B7D5CD"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9</w:t>
      </w:r>
      <w:r>
        <w:fldChar w:fldCharType="end"/>
      </w:r>
      <w:r w:rsidR="00A45E44" w:rsidRPr="0076459F">
        <w:rPr>
          <w:lang w:val="en-US"/>
        </w:rPr>
        <w:t xml:space="preserve">: Intake of milk equivalents per capita per day in grams. Excerpt of Figure </w:t>
      </w:r>
      <w:r w:rsidR="00A45E44">
        <w:rPr>
          <w:lang w:val="en-US"/>
        </w:rPr>
        <w:t>3</w:t>
      </w:r>
      <w:r w:rsidR="00A45E44" w:rsidRPr="0076459F">
        <w:rPr>
          <w:lang w:val="en-US"/>
        </w:rPr>
        <w:t>.</w:t>
      </w:r>
    </w:p>
    <w:p w14:paraId="64BA0ECA" w14:textId="77777777" w:rsidR="00A45E44" w:rsidRPr="002872B9" w:rsidRDefault="00A45E44" w:rsidP="00FD060A">
      <w:pPr>
        <w:pStyle w:val="Heading2"/>
      </w:pPr>
      <w:bookmarkStart w:id="32" w:name="_Toc194608660"/>
      <w:bookmarkStart w:id="33" w:name="_Toc203763123"/>
      <w:r w:rsidRPr="002872B9">
        <w:t>Intake of potatoe</w:t>
      </w:r>
      <w:bookmarkEnd w:id="32"/>
      <w:r>
        <w:t>s</w:t>
      </w:r>
      <w:bookmarkEnd w:id="33"/>
    </w:p>
    <w:p w14:paraId="50D64721" w14:textId="3677A657" w:rsidR="00A45E44" w:rsidRPr="006D6F70" w:rsidRDefault="00A45E44" w:rsidP="00A45E44">
      <w:pPr>
        <w:rPr>
          <w:lang w:val="en-US"/>
        </w:rPr>
      </w:pPr>
      <w:r w:rsidRPr="006D6F70">
        <w:rPr>
          <w:lang w:val="en-US"/>
        </w:rPr>
        <w:t>The overarching category</w:t>
      </w:r>
      <w:r>
        <w:rPr>
          <w:lang w:val="en-US"/>
        </w:rPr>
        <w:t xml:space="preserve"> of food items that the DGE considers</w:t>
      </w:r>
      <w:r w:rsidRPr="006D6F70">
        <w:rPr>
          <w:lang w:val="en-US"/>
        </w:rPr>
        <w:t xml:space="preserve"> for the intake</w:t>
      </w:r>
      <w:r>
        <w:rPr>
          <w:lang w:val="en-US"/>
        </w:rPr>
        <w:t xml:space="preserve"> of potatoes </w:t>
      </w:r>
      <w:r w:rsidRPr="006D6F70">
        <w:rPr>
          <w:lang w:val="en-US"/>
        </w:rPr>
        <w:t xml:space="preserve">is </w:t>
      </w:r>
      <w:r>
        <w:rPr>
          <w:lang w:val="en-US"/>
        </w:rPr>
        <w:t>“</w:t>
      </w:r>
      <w:r w:rsidRPr="006D6F70">
        <w:rPr>
          <w:lang w:val="en-US"/>
        </w:rPr>
        <w:t>potatoes and similar</w:t>
      </w:r>
      <w:r>
        <w:rPr>
          <w:lang w:val="en-US"/>
        </w:rPr>
        <w:t>” (left column</w:t>
      </w:r>
      <w:r w:rsidRPr="006D6F70">
        <w:rPr>
          <w:lang w:val="en-US"/>
        </w:rPr>
        <w:t>). While this category includes ready-to-eat food items like boiled or baked potatoes, it does not cover potato-based dishes like pan-fried potatoes, potato puree</w:t>
      </w:r>
      <w:r>
        <w:rPr>
          <w:lang w:val="en-US"/>
        </w:rPr>
        <w:t xml:space="preserve">, or </w:t>
      </w:r>
      <w:r w:rsidR="00FC4E07">
        <w:rPr>
          <w:lang w:val="en-US"/>
        </w:rPr>
        <w:t>F</w:t>
      </w:r>
      <w:r>
        <w:rPr>
          <w:lang w:val="en-US"/>
        </w:rPr>
        <w:t>rench fries, which are captured in the category of composite dishes (dark gray, middle column). Potatoes from these food items account for around one-fourth</w:t>
      </w:r>
      <w:r w:rsidRPr="006D6F70">
        <w:rPr>
          <w:lang w:val="en-US"/>
        </w:rPr>
        <w:t xml:space="preserve"> of </w:t>
      </w:r>
      <w:r>
        <w:rPr>
          <w:lang w:val="en-US"/>
        </w:rPr>
        <w:t>the total</w:t>
      </w:r>
      <w:r w:rsidRPr="006D6F70">
        <w:rPr>
          <w:lang w:val="en-US"/>
        </w:rPr>
        <w:t xml:space="preserve"> potato intake.   </w:t>
      </w:r>
    </w:p>
    <w:p w14:paraId="47739E78" w14:textId="77777777" w:rsidR="00A45E44" w:rsidRPr="006D6F70" w:rsidRDefault="00A45E44" w:rsidP="00A45E44">
      <w:pPr>
        <w:rPr>
          <w:lang w:val="en-US"/>
        </w:rPr>
      </w:pPr>
      <w:r w:rsidRPr="006D6F70">
        <w:rPr>
          <w:lang w:val="en-US"/>
        </w:rPr>
        <w:t>The relevant categor</w:t>
      </w:r>
      <w:r>
        <w:rPr>
          <w:lang w:val="en-US"/>
        </w:rPr>
        <w:t>y</w:t>
      </w:r>
      <w:r w:rsidRPr="006D6F70">
        <w:rPr>
          <w:lang w:val="en-US"/>
        </w:rPr>
        <w:t xml:space="preserve"> of market balance quantities that </w:t>
      </w:r>
      <w:r>
        <w:rPr>
          <w:lang w:val="en-US"/>
        </w:rPr>
        <w:t>must</w:t>
      </w:r>
      <w:r w:rsidRPr="006D6F70">
        <w:rPr>
          <w:lang w:val="en-US"/>
        </w:rPr>
        <w:t xml:space="preserve"> be matched is potatoes</w:t>
      </w:r>
      <w:r>
        <w:rPr>
          <w:lang w:val="en-US"/>
        </w:rPr>
        <w:t xml:space="preserve">. This quantity is </w:t>
      </w:r>
      <w:r w:rsidRPr="006D6F70">
        <w:rPr>
          <w:lang w:val="en-US"/>
        </w:rPr>
        <w:t>too high to match the potato intake. Hence, the consolidation increases</w:t>
      </w:r>
      <w:r>
        <w:rPr>
          <w:lang w:val="en-US"/>
        </w:rPr>
        <w:t xml:space="preserve"> the intake </w:t>
      </w:r>
      <w:r w:rsidRPr="006D6F70">
        <w:rPr>
          <w:lang w:val="en-US"/>
        </w:rPr>
        <w:t>of potatoes, suggesting an underreporting for food items containing potatoes in the intake survey (</w:t>
      </w:r>
      <w:r>
        <w:rPr>
          <w:lang w:val="en-US"/>
        </w:rPr>
        <w:t>right column</w:t>
      </w:r>
      <w:r w:rsidRPr="006D6F70">
        <w:rPr>
          <w:lang w:val="en-US"/>
        </w:rPr>
        <w:t xml:space="preserve">). </w:t>
      </w:r>
    </w:p>
    <w:p w14:paraId="3993477F" w14:textId="76F42AAF" w:rsidR="00A45E44" w:rsidRPr="00BF1BAF" w:rsidRDefault="00A45E44" w:rsidP="00A45E44">
      <w:pPr>
        <w:rPr>
          <w:lang w:val="en-US"/>
        </w:rPr>
      </w:pPr>
      <w:r>
        <w:rPr>
          <w:lang w:val="en-US"/>
        </w:rPr>
        <w:t>Consequently, we assess the status quo</w:t>
      </w:r>
      <w:r w:rsidRPr="009B2FA6">
        <w:rPr>
          <w:lang w:val="en-US"/>
        </w:rPr>
        <w:t xml:space="preserve"> </w:t>
      </w:r>
      <w:r w:rsidRPr="006D6F70">
        <w:rPr>
          <w:lang w:val="en-US"/>
        </w:rPr>
        <w:t>intake of potatoes</w:t>
      </w:r>
      <w:r>
        <w:rPr>
          <w:lang w:val="en-US"/>
        </w:rPr>
        <w:t xml:space="preserve"> (right column) to be</w:t>
      </w:r>
      <w:r w:rsidRPr="006D6F70">
        <w:rPr>
          <w:lang w:val="en-US"/>
        </w:rPr>
        <w:t xml:space="preserve"> considerably higher than the </w:t>
      </w:r>
      <w:r>
        <w:rPr>
          <w:lang w:val="en-US"/>
        </w:rPr>
        <w:t>food items</w:t>
      </w:r>
      <w:r w:rsidRPr="006D6F70">
        <w:rPr>
          <w:lang w:val="en-US"/>
        </w:rPr>
        <w:t xml:space="preserve"> intake </w:t>
      </w:r>
      <w:r>
        <w:rPr>
          <w:lang w:val="en-US"/>
        </w:rPr>
        <w:t xml:space="preserve">(left column) </w:t>
      </w:r>
      <w:r w:rsidRPr="006D6F70">
        <w:rPr>
          <w:lang w:val="en-US"/>
        </w:rPr>
        <w:t>suggests</w:t>
      </w:r>
      <w:r>
        <w:rPr>
          <w:lang w:val="en-US"/>
        </w:rPr>
        <w:t xml:space="preserve">. To meet </w:t>
      </w:r>
      <w:r w:rsidRPr="00FA5E7B">
        <w:rPr>
          <w:lang w:val="en-US"/>
        </w:rPr>
        <w:t xml:space="preserve">optimal DGE intake quantities </w:t>
      </w:r>
      <w:r>
        <w:rPr>
          <w:lang w:val="en-US"/>
        </w:rPr>
        <w:t>(yellow line, “DGE goal”),</w:t>
      </w:r>
      <w:r w:rsidRPr="006D6F70">
        <w:rPr>
          <w:lang w:val="en-US"/>
        </w:rPr>
        <w:t xml:space="preserve"> the intake has to be cut by </w:t>
      </w:r>
      <w:r w:rsidR="00FC4E07">
        <w:rPr>
          <w:lang w:val="en-US"/>
        </w:rPr>
        <w:t>almost</w:t>
      </w:r>
      <w:r w:rsidRPr="006D6F70">
        <w:rPr>
          <w:lang w:val="en-US"/>
        </w:rPr>
        <w:t xml:space="preserve"> </w:t>
      </w:r>
      <w:r w:rsidR="00C523B1">
        <w:rPr>
          <w:lang w:val="en-US"/>
        </w:rPr>
        <w:t xml:space="preserve">two-thirds </w:t>
      </w:r>
      <w:r w:rsidRPr="006D6F70">
        <w:rPr>
          <w:lang w:val="en-US"/>
        </w:rPr>
        <w:t>instead of staying constant as suggested in Schäfer et al.</w:t>
      </w:r>
      <w:r w:rsidR="0094128E">
        <w:rPr>
          <w:lang w:val="en-US"/>
        </w:rPr>
        <w:t xml:space="preserve"> </w:t>
      </w:r>
      <w:r>
        <w:fldChar w:fldCharType="begin"/>
      </w:r>
      <w:r w:rsidR="00554289">
        <w:rPr>
          <w:lang w:val="en-US"/>
        </w:rPr>
        <w:instrText xml:space="preserve"> ADDIN ZOTERO_ITEM CSL_CITATION {"citationID":"YDoIb4Ah","properties":{"formattedCitation":"(2024)","plainCitation":"(2024)","noteIndex":0},"citationItems":[{"id":950,"uris":["http://zotero.org/users/10655811/items/3WH2N6UG"],"itemData":{"id":950,"type":"article-journal","container-title":"Ernährungs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FC4E07">
        <w:rPr>
          <w:rFonts w:cs="Calibri"/>
          <w:lang w:val="en-US"/>
        </w:rPr>
        <w:t>(2024)</w:t>
      </w:r>
      <w:r>
        <w:fldChar w:fldCharType="end"/>
      </w:r>
      <w:r w:rsidR="00C457EE" w:rsidRPr="00FC4E07">
        <w:rPr>
          <w:lang w:val="en-US"/>
        </w:rPr>
        <w:t>.</w:t>
      </w:r>
    </w:p>
    <w:p w14:paraId="622AAE2C" w14:textId="7DA8E8CB" w:rsidR="00A45E44" w:rsidRDefault="00F97246" w:rsidP="00A45E44">
      <w:pPr>
        <w:keepNext/>
        <w:spacing w:before="0" w:line="240" w:lineRule="auto"/>
      </w:pPr>
      <w:r>
        <w:rPr>
          <w:noProof/>
        </w:rPr>
        <w:drawing>
          <wp:inline distT="0" distB="0" distL="0" distR="0" wp14:anchorId="1BBF8B64" wp14:editId="6673A5B4">
            <wp:extent cx="6059805" cy="181673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59805" cy="1816735"/>
                    </a:xfrm>
                    <a:prstGeom prst="rect">
                      <a:avLst/>
                    </a:prstGeom>
                    <a:noFill/>
                  </pic:spPr>
                </pic:pic>
              </a:graphicData>
            </a:graphic>
          </wp:inline>
        </w:drawing>
      </w:r>
    </w:p>
    <w:p w14:paraId="1A68C26D" w14:textId="4B246481"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10</w:t>
      </w:r>
      <w:r>
        <w:fldChar w:fldCharType="end"/>
      </w:r>
      <w:r w:rsidR="00A45E44" w:rsidRPr="0076459F">
        <w:rPr>
          <w:lang w:val="en-US"/>
        </w:rPr>
        <w:t xml:space="preserve">: Intake of potatoes per capita per day in grams. Excerpt of Figure </w:t>
      </w:r>
      <w:r w:rsidR="00A45E44">
        <w:rPr>
          <w:lang w:val="en-US"/>
        </w:rPr>
        <w:t>3</w:t>
      </w:r>
      <w:r w:rsidR="00A45E44" w:rsidRPr="0076459F">
        <w:rPr>
          <w:lang w:val="en-US"/>
        </w:rPr>
        <w:t>.</w:t>
      </w:r>
    </w:p>
    <w:p w14:paraId="3FF78D6A" w14:textId="77777777" w:rsidR="00A45E44" w:rsidRPr="00BF1BAF" w:rsidRDefault="00A45E44" w:rsidP="00FD060A">
      <w:pPr>
        <w:pStyle w:val="Heading2"/>
      </w:pPr>
      <w:bookmarkStart w:id="34" w:name="_Toc194608661"/>
      <w:bookmarkStart w:id="35" w:name="_Toc203763124"/>
      <w:r w:rsidRPr="00BF1BAF">
        <w:t>Intake of eggs</w:t>
      </w:r>
      <w:bookmarkEnd w:id="34"/>
      <w:bookmarkEnd w:id="35"/>
    </w:p>
    <w:p w14:paraId="16F8EFBB" w14:textId="27A2CD04" w:rsidR="00A45E44" w:rsidRPr="006D6F70" w:rsidRDefault="00A45E44" w:rsidP="00A45E44">
      <w:pPr>
        <w:rPr>
          <w:lang w:val="en-US"/>
        </w:rPr>
      </w:pPr>
      <w:r w:rsidRPr="006D6F70">
        <w:rPr>
          <w:lang w:val="en-US"/>
        </w:rPr>
        <w:t>The overarching category</w:t>
      </w:r>
      <w:r>
        <w:rPr>
          <w:lang w:val="en-US"/>
        </w:rPr>
        <w:t xml:space="preserve"> of food items that the DGE considers</w:t>
      </w:r>
      <w:r w:rsidRPr="006D6F70">
        <w:rPr>
          <w:lang w:val="en-US"/>
        </w:rPr>
        <w:t xml:space="preserve"> for </w:t>
      </w:r>
      <w:r>
        <w:rPr>
          <w:lang w:val="en-US"/>
        </w:rPr>
        <w:t>egg intake</w:t>
      </w:r>
      <w:r w:rsidRPr="006D6F70">
        <w:rPr>
          <w:lang w:val="en-US"/>
        </w:rPr>
        <w:t xml:space="preserve"> is </w:t>
      </w:r>
      <w:r>
        <w:rPr>
          <w:lang w:val="en-US"/>
        </w:rPr>
        <w:t>“</w:t>
      </w:r>
      <w:r w:rsidRPr="006D6F70">
        <w:rPr>
          <w:lang w:val="en-US"/>
        </w:rPr>
        <w:t>eggs and egg</w:t>
      </w:r>
      <w:r>
        <w:rPr>
          <w:lang w:val="en-US"/>
        </w:rPr>
        <w:t xml:space="preserve"> </w:t>
      </w:r>
      <w:r w:rsidRPr="006D6F70">
        <w:rPr>
          <w:lang w:val="en-US"/>
        </w:rPr>
        <w:t>products</w:t>
      </w:r>
      <w:r>
        <w:rPr>
          <w:lang w:val="en-US"/>
        </w:rPr>
        <w:t>”</w:t>
      </w:r>
      <w:r w:rsidRPr="006D6F70">
        <w:rPr>
          <w:lang w:val="en-US"/>
        </w:rPr>
        <w:t xml:space="preserve"> (</w:t>
      </w:r>
      <w:r>
        <w:rPr>
          <w:lang w:val="en-US"/>
        </w:rPr>
        <w:t>left column</w:t>
      </w:r>
      <w:r w:rsidRPr="006D6F70">
        <w:rPr>
          <w:lang w:val="en-US"/>
        </w:rPr>
        <w:t xml:space="preserve">). While this category includes ready-to-eat food items like boiled or fried eggs, it does not cover egg-containing food items like cake or cookies. </w:t>
      </w:r>
      <w:r>
        <w:rPr>
          <w:lang w:val="en-US"/>
        </w:rPr>
        <w:t xml:space="preserve">According to the intake survey, egg intake from grain-based products (brown, middle column) accounts for </w:t>
      </w:r>
      <w:r w:rsidR="00766863">
        <w:rPr>
          <w:lang w:val="en-US"/>
        </w:rPr>
        <w:t>more than</w:t>
      </w:r>
      <w:r>
        <w:rPr>
          <w:lang w:val="en-US"/>
        </w:rPr>
        <w:t xml:space="preserve"> one-third of total egg intake</w:t>
      </w:r>
      <w:r w:rsidRPr="006D6F70">
        <w:rPr>
          <w:lang w:val="en-US"/>
        </w:rPr>
        <w:t>.</w:t>
      </w:r>
    </w:p>
    <w:p w14:paraId="671192B4" w14:textId="77777777" w:rsidR="00A45E44" w:rsidRPr="006D6F70" w:rsidRDefault="00A45E44" w:rsidP="00A45E44">
      <w:pPr>
        <w:rPr>
          <w:lang w:val="en-US"/>
        </w:rPr>
      </w:pPr>
      <w:r w:rsidRPr="006D6F70">
        <w:rPr>
          <w:lang w:val="en-US"/>
        </w:rPr>
        <w:lastRenderedPageBreak/>
        <w:t>The market balance q</w:t>
      </w:r>
      <w:r w:rsidRPr="007B0773">
        <w:rPr>
          <w:lang w:val="en-US"/>
        </w:rPr>
        <w:t>uantit</w:t>
      </w:r>
      <w:r>
        <w:rPr>
          <w:lang w:val="en-US"/>
        </w:rPr>
        <w:t>y</w:t>
      </w:r>
      <w:r w:rsidRPr="007B0773">
        <w:rPr>
          <w:lang w:val="en-US"/>
        </w:rPr>
        <w:t xml:space="preserve"> of eggs </w:t>
      </w:r>
      <w:r>
        <w:rPr>
          <w:lang w:val="en-US"/>
        </w:rPr>
        <w:t>is</w:t>
      </w:r>
      <w:r w:rsidRPr="007B0773">
        <w:rPr>
          <w:lang w:val="en-US"/>
        </w:rPr>
        <w:t xml:space="preserve"> too high to match the egg intake. Hence, the consolidation increases the intake of</w:t>
      </w:r>
      <w:r w:rsidRPr="006D6F70">
        <w:rPr>
          <w:lang w:val="en-US"/>
        </w:rPr>
        <w:t xml:space="preserve"> eggs, suggesting an underreporting for food items containing eggs in the intake survey (</w:t>
      </w:r>
      <w:r>
        <w:rPr>
          <w:lang w:val="en-US"/>
        </w:rPr>
        <w:t>right column</w:t>
      </w:r>
      <w:r w:rsidRPr="006D6F70">
        <w:rPr>
          <w:lang w:val="en-US"/>
        </w:rPr>
        <w:t xml:space="preserve">). </w:t>
      </w:r>
    </w:p>
    <w:p w14:paraId="2835DEF4" w14:textId="2D220141" w:rsidR="00A45E44" w:rsidRPr="00A86286" w:rsidRDefault="00A45E44" w:rsidP="00A45E44">
      <w:pPr>
        <w:rPr>
          <w:lang w:val="en-US"/>
        </w:rPr>
      </w:pPr>
      <w:r>
        <w:rPr>
          <w:lang w:val="en-US"/>
        </w:rPr>
        <w:t>Consequently, we assess t</w:t>
      </w:r>
      <w:r w:rsidRPr="006D6F70">
        <w:rPr>
          <w:lang w:val="en-US"/>
        </w:rPr>
        <w:t xml:space="preserve">he </w:t>
      </w:r>
      <w:r>
        <w:rPr>
          <w:lang w:val="en-US"/>
        </w:rPr>
        <w:t>status quo</w:t>
      </w:r>
      <w:r w:rsidRPr="009B2FA6">
        <w:rPr>
          <w:lang w:val="en-US"/>
        </w:rPr>
        <w:t xml:space="preserve"> </w:t>
      </w:r>
      <w:r w:rsidRPr="006D6F70">
        <w:rPr>
          <w:lang w:val="en-US"/>
        </w:rPr>
        <w:t>intake (</w:t>
      </w:r>
      <w:r>
        <w:rPr>
          <w:lang w:val="en-US"/>
        </w:rPr>
        <w:t>right column</w:t>
      </w:r>
      <w:r w:rsidRPr="006D6F70">
        <w:rPr>
          <w:lang w:val="en-US"/>
        </w:rPr>
        <w:t>)</w:t>
      </w:r>
      <w:r>
        <w:rPr>
          <w:lang w:val="en-US"/>
        </w:rPr>
        <w:t xml:space="preserve"> to be</w:t>
      </w:r>
      <w:r w:rsidRPr="006D6F70">
        <w:rPr>
          <w:lang w:val="en-US"/>
        </w:rPr>
        <w:t xml:space="preserve"> </w:t>
      </w:r>
      <w:r w:rsidR="00766863">
        <w:rPr>
          <w:lang w:val="en-US"/>
        </w:rPr>
        <w:t>almost 3</w:t>
      </w:r>
      <w:r w:rsidRPr="006D6F70">
        <w:rPr>
          <w:lang w:val="en-US"/>
        </w:rPr>
        <w:t xml:space="preserve"> times </w:t>
      </w:r>
      <w:r w:rsidR="00C523B1">
        <w:rPr>
          <w:lang w:val="en-US"/>
        </w:rPr>
        <w:t>higher than</w:t>
      </w:r>
      <w:r w:rsidRPr="006D6F70">
        <w:rPr>
          <w:lang w:val="en-US"/>
        </w:rPr>
        <w:t xml:space="preserve"> the </w:t>
      </w:r>
      <w:r>
        <w:rPr>
          <w:lang w:val="en-US"/>
        </w:rPr>
        <w:t>food items</w:t>
      </w:r>
      <w:r w:rsidRPr="006D6F70">
        <w:rPr>
          <w:lang w:val="en-US"/>
        </w:rPr>
        <w:t xml:space="preserve"> intake</w:t>
      </w:r>
      <w:r>
        <w:rPr>
          <w:lang w:val="en-US"/>
        </w:rPr>
        <w:t xml:space="preserve"> (left column)</w:t>
      </w:r>
      <w:r w:rsidRPr="006D6F70">
        <w:rPr>
          <w:lang w:val="en-US"/>
        </w:rPr>
        <w:t xml:space="preserve"> suggested by the intake survey. </w:t>
      </w:r>
      <w:r>
        <w:rPr>
          <w:lang w:val="en-US"/>
        </w:rPr>
        <w:t xml:space="preserve">To meet </w:t>
      </w:r>
      <w:r w:rsidRPr="00FA5E7B">
        <w:rPr>
          <w:lang w:val="en-US"/>
        </w:rPr>
        <w:t xml:space="preserve">optimal DGE intake quantities </w:t>
      </w:r>
      <w:r>
        <w:rPr>
          <w:lang w:val="en-US"/>
        </w:rPr>
        <w:t>(yellow line, “DGE goal”)</w:t>
      </w:r>
      <w:r w:rsidRPr="006D6F70">
        <w:rPr>
          <w:lang w:val="en-US"/>
        </w:rPr>
        <w:t xml:space="preserve">, the intake has to be cut by </w:t>
      </w:r>
      <w:r w:rsidR="00C523B1">
        <w:rPr>
          <w:lang w:val="en-US"/>
        </w:rPr>
        <w:t>almost two-thirds</w:t>
      </w:r>
      <w:r w:rsidRPr="006D6F70">
        <w:rPr>
          <w:lang w:val="en-US"/>
        </w:rPr>
        <w:t xml:space="preserve"> instead of staying constant as suggested in Schäfer et al.</w:t>
      </w:r>
      <w:r w:rsidR="0094128E">
        <w:rPr>
          <w:lang w:val="en-US"/>
        </w:rPr>
        <w:t xml:space="preserve"> </w:t>
      </w:r>
      <w:r>
        <w:fldChar w:fldCharType="begin"/>
      </w:r>
      <w:r w:rsidR="00554289">
        <w:rPr>
          <w:lang w:val="en-US"/>
        </w:rPr>
        <w:instrText xml:space="preserve"> ADDIN ZOTERO_ITEM CSL_CITATION {"citationID":"wIPTSjEc","properties":{"formattedCitation":"(2024)","plainCitation":"(2024)","noteIndex":0},"citationItems":[{"id":950,"uris":["http://zotero.org/users/10655811/items/3WH2N6UG"],"itemData":{"id":950,"type":"article-journal","container-title":"Ernährungs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554289">
        <w:rPr>
          <w:rFonts w:cs="Calibri"/>
        </w:rPr>
        <w:t>(2024)</w:t>
      </w:r>
      <w:r>
        <w:fldChar w:fldCharType="end"/>
      </w:r>
      <w:r w:rsidR="00C457EE">
        <w:t>.</w:t>
      </w:r>
    </w:p>
    <w:p w14:paraId="35B70F22" w14:textId="522ACC56" w:rsidR="00A45E44" w:rsidRDefault="000F3DF9" w:rsidP="00A45E44">
      <w:pPr>
        <w:keepNext/>
        <w:spacing w:before="0" w:line="240" w:lineRule="auto"/>
      </w:pPr>
      <w:r>
        <w:rPr>
          <w:noProof/>
        </w:rPr>
        <w:drawing>
          <wp:inline distT="0" distB="0" distL="0" distR="0" wp14:anchorId="35BDAF63" wp14:editId="7BF71D45">
            <wp:extent cx="6059805" cy="18167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59805" cy="1816735"/>
                    </a:xfrm>
                    <a:prstGeom prst="rect">
                      <a:avLst/>
                    </a:prstGeom>
                    <a:noFill/>
                  </pic:spPr>
                </pic:pic>
              </a:graphicData>
            </a:graphic>
          </wp:inline>
        </w:drawing>
      </w:r>
    </w:p>
    <w:p w14:paraId="4ACC52AF" w14:textId="5CEF9F70"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11</w:t>
      </w:r>
      <w:r>
        <w:fldChar w:fldCharType="end"/>
      </w:r>
      <w:r w:rsidR="00A45E44" w:rsidRPr="0076459F">
        <w:rPr>
          <w:lang w:val="en-US"/>
        </w:rPr>
        <w:t xml:space="preserve">: Intake of eggs per capita per day in grams. Excerpt of Figure </w:t>
      </w:r>
      <w:r w:rsidR="00A45E44">
        <w:rPr>
          <w:lang w:val="en-US"/>
        </w:rPr>
        <w:t>3</w:t>
      </w:r>
      <w:r w:rsidR="00A45E44" w:rsidRPr="0076459F">
        <w:rPr>
          <w:lang w:val="en-US"/>
        </w:rPr>
        <w:t>.</w:t>
      </w:r>
    </w:p>
    <w:p w14:paraId="1B8CDA6B" w14:textId="77777777" w:rsidR="00A45E44" w:rsidRPr="00A86286" w:rsidRDefault="00A45E44" w:rsidP="00A45E44">
      <w:pPr>
        <w:suppressAutoHyphens w:val="0"/>
        <w:spacing w:before="0" w:line="240" w:lineRule="auto"/>
        <w:rPr>
          <w:lang w:val="en-US"/>
        </w:rPr>
      </w:pPr>
    </w:p>
    <w:p w14:paraId="05A4025B" w14:textId="77777777" w:rsidR="00A45E44" w:rsidRPr="00A86286" w:rsidRDefault="00A45E44" w:rsidP="00FD060A">
      <w:pPr>
        <w:pStyle w:val="Heading2"/>
      </w:pPr>
      <w:bookmarkStart w:id="36" w:name="_Toc194608662"/>
      <w:bookmarkStart w:id="37" w:name="_Toc203763125"/>
      <w:r w:rsidRPr="00A86286">
        <w:t>Intake of fish</w:t>
      </w:r>
      <w:bookmarkEnd w:id="36"/>
      <w:bookmarkEnd w:id="37"/>
    </w:p>
    <w:p w14:paraId="7FFB1B78" w14:textId="77777777" w:rsidR="00A45E44" w:rsidRPr="006D6F70" w:rsidRDefault="00A45E44" w:rsidP="00A45E44">
      <w:pPr>
        <w:rPr>
          <w:lang w:val="en-US"/>
        </w:rPr>
      </w:pPr>
      <w:r w:rsidRPr="006D6F70">
        <w:rPr>
          <w:lang w:val="en-US"/>
        </w:rPr>
        <w:t>The overarching category</w:t>
      </w:r>
      <w:r>
        <w:rPr>
          <w:lang w:val="en-US"/>
        </w:rPr>
        <w:t xml:space="preserve"> of food items that the DGE considers</w:t>
      </w:r>
      <w:r w:rsidRPr="006D6F70">
        <w:rPr>
          <w:lang w:val="en-US"/>
        </w:rPr>
        <w:t xml:space="preserve"> for </w:t>
      </w:r>
      <w:r>
        <w:rPr>
          <w:lang w:val="en-US"/>
        </w:rPr>
        <w:t>fish intake</w:t>
      </w:r>
      <w:r w:rsidRPr="006D6F70">
        <w:rPr>
          <w:lang w:val="en-US"/>
        </w:rPr>
        <w:t xml:space="preserve"> is </w:t>
      </w:r>
      <w:r>
        <w:rPr>
          <w:lang w:val="en-US"/>
        </w:rPr>
        <w:t xml:space="preserve">“fish </w:t>
      </w:r>
      <w:r w:rsidRPr="006D6F70">
        <w:rPr>
          <w:lang w:val="en-US"/>
        </w:rPr>
        <w:t xml:space="preserve">and </w:t>
      </w:r>
      <w:r>
        <w:rPr>
          <w:lang w:val="en-US"/>
        </w:rPr>
        <w:t>fish products”</w:t>
      </w:r>
      <w:r w:rsidRPr="006D6F70">
        <w:rPr>
          <w:lang w:val="en-US"/>
        </w:rPr>
        <w:t xml:space="preserve"> (</w:t>
      </w:r>
      <w:r>
        <w:rPr>
          <w:lang w:val="en-US"/>
        </w:rPr>
        <w:t>left column</w:t>
      </w:r>
      <w:r w:rsidRPr="006D6F70">
        <w:rPr>
          <w:lang w:val="en-US"/>
        </w:rPr>
        <w:t>). Th</w:t>
      </w:r>
      <w:r>
        <w:rPr>
          <w:lang w:val="en-US"/>
        </w:rPr>
        <w:t>is</w:t>
      </w:r>
      <w:r w:rsidRPr="006D6F70">
        <w:rPr>
          <w:lang w:val="en-US"/>
        </w:rPr>
        <w:t xml:space="preserve"> category contains mostly ready-to-eat fish and some processed, fish-based food items (e.g., breaded fish fingers). The non-fish ingredients </w:t>
      </w:r>
      <w:r>
        <w:rPr>
          <w:lang w:val="en-US"/>
        </w:rPr>
        <w:t xml:space="preserve">in the latter </w:t>
      </w:r>
      <w:r w:rsidRPr="006D6F70">
        <w:rPr>
          <w:lang w:val="en-US"/>
        </w:rPr>
        <w:t>only account for a small fraction of the intake quantities of these food items</w:t>
      </w:r>
      <w:r>
        <w:rPr>
          <w:lang w:val="en-US"/>
        </w:rPr>
        <w:t>. T</w:t>
      </w:r>
      <w:r w:rsidRPr="006D6F70">
        <w:rPr>
          <w:lang w:val="en-US"/>
        </w:rPr>
        <w:t>herefore, the fish intake via these food items (blue</w:t>
      </w:r>
      <w:r>
        <w:rPr>
          <w:lang w:val="en-US"/>
        </w:rPr>
        <w:t>, middle</w:t>
      </w:r>
      <w:r w:rsidRPr="006D6F70">
        <w:rPr>
          <w:lang w:val="en-US"/>
        </w:rPr>
        <w:t xml:space="preserve"> </w:t>
      </w:r>
      <w:r>
        <w:rPr>
          <w:lang w:val="en-US"/>
        </w:rPr>
        <w:t>column</w:t>
      </w:r>
      <w:r w:rsidRPr="006D6F70">
        <w:rPr>
          <w:lang w:val="en-US"/>
        </w:rPr>
        <w:t xml:space="preserve">) is only slightly lower than the </w:t>
      </w:r>
      <w:r>
        <w:rPr>
          <w:lang w:val="en-US"/>
        </w:rPr>
        <w:t xml:space="preserve">summed-up </w:t>
      </w:r>
      <w:r w:rsidRPr="006D6F70">
        <w:rPr>
          <w:lang w:val="en-US"/>
        </w:rPr>
        <w:t xml:space="preserve">intake </w:t>
      </w:r>
      <w:r>
        <w:rPr>
          <w:lang w:val="en-US"/>
        </w:rPr>
        <w:t xml:space="preserve">quantities </w:t>
      </w:r>
      <w:r w:rsidRPr="006D6F70">
        <w:rPr>
          <w:lang w:val="en-US"/>
        </w:rPr>
        <w:t xml:space="preserve">of </w:t>
      </w:r>
      <w:r>
        <w:rPr>
          <w:lang w:val="en-US"/>
        </w:rPr>
        <w:t xml:space="preserve">these </w:t>
      </w:r>
      <w:r w:rsidRPr="006D6F70">
        <w:rPr>
          <w:lang w:val="en-US"/>
        </w:rPr>
        <w:t>food items (</w:t>
      </w:r>
      <w:r>
        <w:rPr>
          <w:lang w:val="en-US"/>
        </w:rPr>
        <w:t>left column</w:t>
      </w:r>
      <w:r w:rsidRPr="006D6F70">
        <w:rPr>
          <w:lang w:val="en-US"/>
        </w:rPr>
        <w:t xml:space="preserve">). The fish intake through food items from other categories is </w:t>
      </w:r>
      <w:r>
        <w:rPr>
          <w:lang w:val="en-US"/>
        </w:rPr>
        <w:t>negligible</w:t>
      </w:r>
      <w:r w:rsidRPr="006D6F70">
        <w:rPr>
          <w:lang w:val="en-US"/>
        </w:rPr>
        <w:t xml:space="preserve"> (gr</w:t>
      </w:r>
      <w:r>
        <w:rPr>
          <w:lang w:val="en-US"/>
        </w:rPr>
        <w:t>a</w:t>
      </w:r>
      <w:r w:rsidRPr="006D6F70">
        <w:rPr>
          <w:lang w:val="en-US"/>
        </w:rPr>
        <w:t>y</w:t>
      </w:r>
      <w:r>
        <w:rPr>
          <w:lang w:val="en-US"/>
        </w:rPr>
        <w:t>, middle</w:t>
      </w:r>
      <w:r w:rsidRPr="006D6F70">
        <w:rPr>
          <w:lang w:val="en-US"/>
        </w:rPr>
        <w:t xml:space="preserve"> column, e.g., fish gratin).</w:t>
      </w:r>
    </w:p>
    <w:p w14:paraId="5F59D68F" w14:textId="77777777" w:rsidR="00A45E44" w:rsidRPr="006D6F70" w:rsidRDefault="00A45E44" w:rsidP="00A45E44">
      <w:pPr>
        <w:rPr>
          <w:lang w:val="en-US"/>
        </w:rPr>
      </w:pPr>
      <w:r w:rsidRPr="006D6F70">
        <w:rPr>
          <w:lang w:val="en-US"/>
        </w:rPr>
        <w:t>The market balance quantities of fish differentiate between freshwater fish, saltwater fish</w:t>
      </w:r>
      <w:r>
        <w:rPr>
          <w:lang w:val="en-US"/>
        </w:rPr>
        <w:t>,</w:t>
      </w:r>
      <w:r w:rsidRPr="006D6F70">
        <w:rPr>
          <w:lang w:val="en-US"/>
        </w:rPr>
        <w:t xml:space="preserve"> and other aquatic products. </w:t>
      </w:r>
      <w:r>
        <w:rPr>
          <w:lang w:val="en-US"/>
        </w:rPr>
        <w:t xml:space="preserve">These quantities are too high to match the fish intake reported in </w:t>
      </w:r>
      <w:r w:rsidRPr="006D6F70">
        <w:rPr>
          <w:lang w:val="en-US"/>
        </w:rPr>
        <w:t xml:space="preserve">the intake survey. Hence, the consolidation increases </w:t>
      </w:r>
      <w:r>
        <w:rPr>
          <w:lang w:val="en-US"/>
        </w:rPr>
        <w:t>fish intake</w:t>
      </w:r>
      <w:r w:rsidRPr="006D6F70">
        <w:rPr>
          <w:lang w:val="en-US"/>
        </w:rPr>
        <w:t>, suggesting an underreporting in the intake survey (</w:t>
      </w:r>
      <w:r>
        <w:rPr>
          <w:lang w:val="en-US"/>
        </w:rPr>
        <w:t>right column</w:t>
      </w:r>
      <w:r w:rsidRPr="006D6F70">
        <w:rPr>
          <w:lang w:val="en-US"/>
        </w:rPr>
        <w:t xml:space="preserve">). </w:t>
      </w:r>
    </w:p>
    <w:p w14:paraId="4F1275B3" w14:textId="3C71B90F" w:rsidR="00A45E44" w:rsidRPr="005010EF" w:rsidRDefault="00A45E44" w:rsidP="00A45E44">
      <w:pPr>
        <w:rPr>
          <w:lang w:val="en-US"/>
        </w:rPr>
      </w:pPr>
      <w:r>
        <w:rPr>
          <w:lang w:val="en-US"/>
        </w:rPr>
        <w:t>Consequently, we assess t</w:t>
      </w:r>
      <w:r w:rsidRPr="006D6F70">
        <w:rPr>
          <w:lang w:val="en-US"/>
        </w:rPr>
        <w:t xml:space="preserve">he </w:t>
      </w:r>
      <w:r>
        <w:rPr>
          <w:lang w:val="en-US"/>
        </w:rPr>
        <w:t>status quo</w:t>
      </w:r>
      <w:r w:rsidRPr="009B2FA6">
        <w:rPr>
          <w:lang w:val="en-US"/>
        </w:rPr>
        <w:t xml:space="preserve"> </w:t>
      </w:r>
      <w:r w:rsidRPr="006D6F70">
        <w:rPr>
          <w:lang w:val="en-US"/>
        </w:rPr>
        <w:t xml:space="preserve">intake of fish </w:t>
      </w:r>
      <w:r>
        <w:rPr>
          <w:lang w:val="en-US"/>
        </w:rPr>
        <w:t>(right column) as</w:t>
      </w:r>
      <w:r w:rsidRPr="006D6F70">
        <w:rPr>
          <w:lang w:val="en-US"/>
        </w:rPr>
        <w:t xml:space="preserve"> more than twice as high as the </w:t>
      </w:r>
      <w:r>
        <w:rPr>
          <w:lang w:val="en-US"/>
        </w:rPr>
        <w:t>food items</w:t>
      </w:r>
      <w:r w:rsidRPr="006D6F70">
        <w:rPr>
          <w:lang w:val="en-US"/>
        </w:rPr>
        <w:t xml:space="preserve"> intake</w:t>
      </w:r>
      <w:r>
        <w:rPr>
          <w:lang w:val="en-US"/>
        </w:rPr>
        <w:t xml:space="preserve"> (left column)</w:t>
      </w:r>
      <w:r w:rsidRPr="006D6F70">
        <w:rPr>
          <w:lang w:val="en-US"/>
        </w:rPr>
        <w:t xml:space="preserve"> suggested by the intake survey. </w:t>
      </w:r>
      <w:r>
        <w:rPr>
          <w:lang w:val="en-US"/>
        </w:rPr>
        <w:t xml:space="preserve">To meet </w:t>
      </w:r>
      <w:r w:rsidRPr="00FA5E7B">
        <w:rPr>
          <w:lang w:val="en-US"/>
        </w:rPr>
        <w:t xml:space="preserve">optimal DGE intake quantities </w:t>
      </w:r>
      <w:r>
        <w:rPr>
          <w:lang w:val="en-US"/>
        </w:rPr>
        <w:t>(yellow line, “DGE goal”)</w:t>
      </w:r>
      <w:r w:rsidRPr="006D6F70">
        <w:rPr>
          <w:lang w:val="en-US"/>
        </w:rPr>
        <w:t>, the intake has to decrease</w:t>
      </w:r>
      <w:r w:rsidR="00C523B1">
        <w:rPr>
          <w:lang w:val="en-US"/>
        </w:rPr>
        <w:t xml:space="preserve"> strongly</w:t>
      </w:r>
      <w:r w:rsidRPr="006D6F70">
        <w:rPr>
          <w:lang w:val="en-US"/>
        </w:rPr>
        <w:t xml:space="preserve"> rather than increase</w:t>
      </w:r>
      <w:r w:rsidR="00C523B1">
        <w:rPr>
          <w:lang w:val="en-US"/>
        </w:rPr>
        <w:t xml:space="preserve"> lightly</w:t>
      </w:r>
      <w:r>
        <w:rPr>
          <w:lang w:val="en-US"/>
        </w:rPr>
        <w:t>,</w:t>
      </w:r>
      <w:r w:rsidRPr="006D6F70">
        <w:rPr>
          <w:lang w:val="en-US"/>
        </w:rPr>
        <w:t xml:space="preserve"> as suggested in Schäfer et al.</w:t>
      </w:r>
      <w:r w:rsidR="0094128E">
        <w:rPr>
          <w:lang w:val="en-US"/>
        </w:rPr>
        <w:t xml:space="preserve"> </w:t>
      </w:r>
      <w:r>
        <w:fldChar w:fldCharType="begin"/>
      </w:r>
      <w:r w:rsidR="00554289">
        <w:rPr>
          <w:lang w:val="en-US"/>
        </w:rPr>
        <w:instrText xml:space="preserve"> ADDIN ZOTERO_ITEM CSL_CITATION {"citationID":"PxteOyFj","properties":{"formattedCitation":"(2024)","plainCitation":"(2024)","noteIndex":0},"citationItems":[{"id":950,"uris":["http://zotero.org/users/10655811/items/3WH2N6UG"],"itemData":{"id":950,"type":"article-journal","container-title":"Ernährungs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554289">
        <w:rPr>
          <w:rFonts w:cs="Calibri"/>
        </w:rPr>
        <w:t>(2024)</w:t>
      </w:r>
      <w:r>
        <w:fldChar w:fldCharType="end"/>
      </w:r>
      <w:r w:rsidR="00C457EE">
        <w:t>.</w:t>
      </w:r>
    </w:p>
    <w:p w14:paraId="697053E1" w14:textId="6CBF6304" w:rsidR="00A45E44" w:rsidRDefault="000F3DF9" w:rsidP="00A45E44">
      <w:pPr>
        <w:keepNext/>
        <w:spacing w:before="0" w:line="240" w:lineRule="auto"/>
      </w:pPr>
      <w:r>
        <w:rPr>
          <w:noProof/>
        </w:rPr>
        <w:lastRenderedPageBreak/>
        <w:drawing>
          <wp:inline distT="0" distB="0" distL="0" distR="0" wp14:anchorId="047A5AD8" wp14:editId="79026A92">
            <wp:extent cx="6066155" cy="18167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66155" cy="1816735"/>
                    </a:xfrm>
                    <a:prstGeom prst="rect">
                      <a:avLst/>
                    </a:prstGeom>
                    <a:noFill/>
                  </pic:spPr>
                </pic:pic>
              </a:graphicData>
            </a:graphic>
          </wp:inline>
        </w:drawing>
      </w:r>
    </w:p>
    <w:p w14:paraId="154EC16C" w14:textId="581F6CD7"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12</w:t>
      </w:r>
      <w:r>
        <w:fldChar w:fldCharType="end"/>
      </w:r>
      <w:r w:rsidR="00A45E44" w:rsidRPr="0076459F">
        <w:rPr>
          <w:lang w:val="en-US"/>
        </w:rPr>
        <w:t xml:space="preserve">: Intake of fish per capita per day in grams. Excerpt of Figure </w:t>
      </w:r>
      <w:r w:rsidR="00A45E44">
        <w:rPr>
          <w:lang w:val="en-US"/>
        </w:rPr>
        <w:t>3</w:t>
      </w:r>
      <w:r w:rsidR="00A45E44" w:rsidRPr="0076459F">
        <w:rPr>
          <w:lang w:val="en-US"/>
        </w:rPr>
        <w:t>.</w:t>
      </w:r>
    </w:p>
    <w:p w14:paraId="095F082E" w14:textId="77777777" w:rsidR="00A45E44" w:rsidRPr="005010EF" w:rsidRDefault="00A45E44" w:rsidP="00FD060A">
      <w:pPr>
        <w:pStyle w:val="Heading2"/>
      </w:pPr>
      <w:bookmarkStart w:id="38" w:name="_Toc194608663"/>
      <w:bookmarkStart w:id="39" w:name="_Toc203763126"/>
      <w:r w:rsidRPr="005010EF">
        <w:t>Intake of poultry</w:t>
      </w:r>
      <w:bookmarkEnd w:id="38"/>
      <w:bookmarkEnd w:id="39"/>
    </w:p>
    <w:p w14:paraId="1DC98C2D" w14:textId="43EC2C9D" w:rsidR="00A45E44" w:rsidRPr="006D6F70" w:rsidRDefault="00A45E44" w:rsidP="00A45E44">
      <w:pPr>
        <w:rPr>
          <w:lang w:val="en-US"/>
        </w:rPr>
      </w:pPr>
      <w:r>
        <w:rPr>
          <w:lang w:val="en-US"/>
        </w:rPr>
        <w:t>The overarching category of food items that the DGE considers for the intake of poult</w:t>
      </w:r>
      <w:r w:rsidR="00F97246">
        <w:rPr>
          <w:lang w:val="en-US"/>
        </w:rPr>
        <w:t>r</w:t>
      </w:r>
      <w:r>
        <w:rPr>
          <w:lang w:val="en-US"/>
        </w:rPr>
        <w:t>y is “</w:t>
      </w:r>
      <w:proofErr w:type="gramStart"/>
      <w:r>
        <w:rPr>
          <w:lang w:val="en-US"/>
        </w:rPr>
        <w:t>birds</w:t>
      </w:r>
      <w:proofErr w:type="gramEnd"/>
      <w:r>
        <w:rPr>
          <w:lang w:val="en-US"/>
        </w:rPr>
        <w:t xml:space="preserve"> meat”. This category </w:t>
      </w:r>
      <w:r w:rsidRPr="006D6F70">
        <w:rPr>
          <w:lang w:val="en-US"/>
        </w:rPr>
        <w:t>(</w:t>
      </w:r>
      <w:r>
        <w:rPr>
          <w:lang w:val="en-US"/>
        </w:rPr>
        <w:t>left column</w:t>
      </w:r>
      <w:r w:rsidRPr="006D6F70">
        <w:rPr>
          <w:lang w:val="en-US"/>
        </w:rPr>
        <w:t>) contains only fresh poultry meat. As there are no other components in these food items, the intake quantities of these food items (</w:t>
      </w:r>
      <w:r>
        <w:rPr>
          <w:lang w:val="en-US"/>
        </w:rPr>
        <w:t>left column</w:t>
      </w:r>
      <w:r w:rsidRPr="006D6F70">
        <w:rPr>
          <w:lang w:val="en-US"/>
        </w:rPr>
        <w:t xml:space="preserve">) </w:t>
      </w:r>
      <w:r>
        <w:rPr>
          <w:lang w:val="en-US"/>
        </w:rPr>
        <w:t>are</w:t>
      </w:r>
      <w:r w:rsidRPr="006D6F70">
        <w:rPr>
          <w:lang w:val="en-US"/>
        </w:rPr>
        <w:t xml:space="preserve"> the same as the poultry intake through these food items (purple</w:t>
      </w:r>
      <w:r>
        <w:rPr>
          <w:lang w:val="en-US"/>
        </w:rPr>
        <w:t>, middle</w:t>
      </w:r>
      <w:r w:rsidRPr="006D6F70">
        <w:rPr>
          <w:lang w:val="en-US"/>
        </w:rPr>
        <w:t xml:space="preserve"> column). The poultry intake through food items from other categories is comparatively small (e.g., sausages in processed meats, dark red</w:t>
      </w:r>
      <w:r>
        <w:rPr>
          <w:lang w:val="en-US"/>
        </w:rPr>
        <w:t>, middle</w:t>
      </w:r>
      <w:r w:rsidRPr="006D6F70">
        <w:rPr>
          <w:lang w:val="en-US"/>
        </w:rPr>
        <w:t xml:space="preserve"> column) or the composite dish </w:t>
      </w:r>
      <w:r>
        <w:rPr>
          <w:lang w:val="en-US"/>
        </w:rPr>
        <w:t>‘</w:t>
      </w:r>
      <w:r w:rsidRPr="006D6F70">
        <w:rPr>
          <w:lang w:val="en-US"/>
        </w:rPr>
        <w:t>meat soup</w:t>
      </w:r>
      <w:r>
        <w:rPr>
          <w:lang w:val="en-US"/>
        </w:rPr>
        <w:t>’ (</w:t>
      </w:r>
      <w:r w:rsidRPr="006D6F70">
        <w:rPr>
          <w:lang w:val="en-US"/>
        </w:rPr>
        <w:t>gr</w:t>
      </w:r>
      <w:r>
        <w:rPr>
          <w:lang w:val="en-US"/>
        </w:rPr>
        <w:t>a</w:t>
      </w:r>
      <w:r w:rsidRPr="006D6F70">
        <w:rPr>
          <w:lang w:val="en-US"/>
        </w:rPr>
        <w:t>y</w:t>
      </w:r>
      <w:r>
        <w:rPr>
          <w:lang w:val="en-US"/>
        </w:rPr>
        <w:t>, middle</w:t>
      </w:r>
      <w:r w:rsidRPr="006D6F70">
        <w:rPr>
          <w:lang w:val="en-US"/>
        </w:rPr>
        <w:t xml:space="preserve"> column). </w:t>
      </w:r>
      <w:r>
        <w:rPr>
          <w:lang w:val="en-US"/>
        </w:rPr>
        <w:t>Some poultry meat parts are</w:t>
      </w:r>
      <w:r w:rsidRPr="006D6F70">
        <w:rPr>
          <w:lang w:val="en-US"/>
        </w:rPr>
        <w:t xml:space="preserve"> not captured in the poultry category (e.g., poultry liver is in the category </w:t>
      </w:r>
      <w:r>
        <w:rPr>
          <w:lang w:val="en-US"/>
        </w:rPr>
        <w:t>“</w:t>
      </w:r>
      <w:r w:rsidRPr="006D6F70">
        <w:rPr>
          <w:lang w:val="en-US"/>
        </w:rPr>
        <w:t>animal liver</w:t>
      </w:r>
      <w:r>
        <w:rPr>
          <w:lang w:val="en-US"/>
        </w:rPr>
        <w:t>”</w:t>
      </w:r>
      <w:r w:rsidRPr="006D6F70">
        <w:rPr>
          <w:lang w:val="en-US"/>
        </w:rPr>
        <w:t>), but the intake quantities are negligible.</w:t>
      </w:r>
    </w:p>
    <w:p w14:paraId="58136E6B" w14:textId="77777777" w:rsidR="00A45E44" w:rsidRPr="006D6F70" w:rsidRDefault="00A45E44" w:rsidP="00A45E44">
      <w:pPr>
        <w:rPr>
          <w:lang w:val="en-US"/>
        </w:rPr>
      </w:pPr>
      <w:r>
        <w:rPr>
          <w:lang w:val="en-US"/>
        </w:rPr>
        <w:t>According to the intake survey, the market balance quantity of poultry available for human consumption is too high to match the poultry intake. Hence, the consolidation increases poultry intake, suggesting an underreporting of</w:t>
      </w:r>
      <w:r w:rsidRPr="006D6F70">
        <w:rPr>
          <w:lang w:val="en-US"/>
        </w:rPr>
        <w:t xml:space="preserve"> food items from this category in the intake survey (</w:t>
      </w:r>
      <w:r>
        <w:rPr>
          <w:lang w:val="en-US"/>
        </w:rPr>
        <w:t>right column</w:t>
      </w:r>
      <w:r w:rsidRPr="006D6F70">
        <w:rPr>
          <w:lang w:val="en-US"/>
        </w:rPr>
        <w:t xml:space="preserve">). </w:t>
      </w:r>
    </w:p>
    <w:p w14:paraId="7C7FD110" w14:textId="591D39E2" w:rsidR="00A45E44" w:rsidRPr="0041623C" w:rsidRDefault="00A45E44" w:rsidP="00A45E44">
      <w:pPr>
        <w:rPr>
          <w:lang w:val="en-US"/>
        </w:rPr>
      </w:pPr>
      <w:r>
        <w:rPr>
          <w:lang w:val="en-US"/>
        </w:rPr>
        <w:t>Consequently, we assess t</w:t>
      </w:r>
      <w:r w:rsidRPr="006D6F70">
        <w:rPr>
          <w:lang w:val="en-US"/>
        </w:rPr>
        <w:t xml:space="preserve">he </w:t>
      </w:r>
      <w:r>
        <w:rPr>
          <w:lang w:val="en-US"/>
        </w:rPr>
        <w:t>status quo</w:t>
      </w:r>
      <w:r w:rsidRPr="009B2FA6">
        <w:rPr>
          <w:lang w:val="en-US"/>
        </w:rPr>
        <w:t xml:space="preserve"> </w:t>
      </w:r>
      <w:r w:rsidRPr="006D6F70">
        <w:rPr>
          <w:lang w:val="en-US"/>
        </w:rPr>
        <w:t xml:space="preserve">intake of poultry </w:t>
      </w:r>
      <w:r>
        <w:rPr>
          <w:lang w:val="en-US"/>
        </w:rPr>
        <w:t>(right column) to be</w:t>
      </w:r>
      <w:r w:rsidRPr="006D6F70">
        <w:rPr>
          <w:lang w:val="en-US"/>
        </w:rPr>
        <w:t xml:space="preserve"> around 40% higher than the </w:t>
      </w:r>
      <w:r>
        <w:rPr>
          <w:lang w:val="en-US"/>
        </w:rPr>
        <w:t>food items</w:t>
      </w:r>
      <w:r w:rsidRPr="006D6F70">
        <w:rPr>
          <w:lang w:val="en-US"/>
        </w:rPr>
        <w:t xml:space="preserve"> intake </w:t>
      </w:r>
      <w:r>
        <w:rPr>
          <w:lang w:val="en-US"/>
        </w:rPr>
        <w:t xml:space="preserve">(left column) </w:t>
      </w:r>
      <w:r w:rsidRPr="006D6F70">
        <w:rPr>
          <w:lang w:val="en-US"/>
        </w:rPr>
        <w:t xml:space="preserve">suggested by the intake survey. </w:t>
      </w:r>
      <w:r>
        <w:rPr>
          <w:lang w:val="en-US"/>
        </w:rPr>
        <w:t xml:space="preserve">To meet </w:t>
      </w:r>
      <w:r w:rsidRPr="00FA5E7B">
        <w:rPr>
          <w:lang w:val="en-US"/>
        </w:rPr>
        <w:t>optimal DGE intake quantities</w:t>
      </w:r>
      <w:r>
        <w:rPr>
          <w:lang w:val="en-US"/>
        </w:rPr>
        <w:t xml:space="preserve"> (yellow line, “DGE goal”)</w:t>
      </w:r>
      <w:r w:rsidRPr="006D6F70">
        <w:rPr>
          <w:lang w:val="en-US"/>
        </w:rPr>
        <w:t>, the intake</w:t>
      </w:r>
      <w:r>
        <w:rPr>
          <w:lang w:val="en-US"/>
        </w:rPr>
        <w:t xml:space="preserve"> has to stay constant instead of increasing as </w:t>
      </w:r>
      <w:r w:rsidRPr="006D6F70">
        <w:rPr>
          <w:lang w:val="en-US"/>
        </w:rPr>
        <w:t>implied in Schäfer et al.</w:t>
      </w:r>
      <w:r w:rsidR="0094128E">
        <w:rPr>
          <w:lang w:val="en-US"/>
        </w:rPr>
        <w:t xml:space="preserve"> </w:t>
      </w:r>
      <w:r>
        <w:fldChar w:fldCharType="begin"/>
      </w:r>
      <w:r w:rsidR="00554289">
        <w:rPr>
          <w:lang w:val="en-US"/>
        </w:rPr>
        <w:instrText xml:space="preserve"> ADDIN ZOTERO_ITEM CSL_CITATION {"citationID":"1JejfhpT","properties":{"formattedCitation":"(2024)","plainCitation":"(2024)","noteIndex":0},"citationItems":[{"id":950,"uris":["http://zotero.org/users/10655811/items/3WH2N6UG"],"itemData":{"id":950,"type":"article-journal","container-title":"Ernährungs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554289">
        <w:rPr>
          <w:rFonts w:cs="Calibri"/>
        </w:rPr>
        <w:t>(2024)</w:t>
      </w:r>
      <w:r>
        <w:fldChar w:fldCharType="end"/>
      </w:r>
      <w:r w:rsidR="00C457EE">
        <w:t>.</w:t>
      </w:r>
    </w:p>
    <w:p w14:paraId="4E845CFB" w14:textId="64DA8A51" w:rsidR="00A45E44" w:rsidRDefault="000F3DF9" w:rsidP="00A45E44">
      <w:pPr>
        <w:keepNext/>
        <w:spacing w:before="0" w:line="240" w:lineRule="auto"/>
      </w:pPr>
      <w:r>
        <w:rPr>
          <w:noProof/>
        </w:rPr>
        <w:drawing>
          <wp:inline distT="0" distB="0" distL="0" distR="0" wp14:anchorId="0C9B262C" wp14:editId="3D5444A7">
            <wp:extent cx="6059805" cy="18103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59805" cy="1810385"/>
                    </a:xfrm>
                    <a:prstGeom prst="rect">
                      <a:avLst/>
                    </a:prstGeom>
                    <a:noFill/>
                  </pic:spPr>
                </pic:pic>
              </a:graphicData>
            </a:graphic>
          </wp:inline>
        </w:drawing>
      </w:r>
    </w:p>
    <w:p w14:paraId="46EFE0ED" w14:textId="3F55DF4B" w:rsidR="00AA534B"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13</w:t>
      </w:r>
      <w:r>
        <w:fldChar w:fldCharType="end"/>
      </w:r>
      <w:r w:rsidR="00A45E44" w:rsidRPr="0076459F">
        <w:rPr>
          <w:lang w:val="en-US"/>
        </w:rPr>
        <w:t xml:space="preserve">: Intake of poultry per capita per day in grams. Excerpt of Figure </w:t>
      </w:r>
      <w:r w:rsidR="00A45E44">
        <w:rPr>
          <w:lang w:val="en-US"/>
        </w:rPr>
        <w:t>3</w:t>
      </w:r>
      <w:r w:rsidR="00A45E44" w:rsidRPr="0076459F">
        <w:rPr>
          <w:lang w:val="en-US"/>
        </w:rPr>
        <w:t>.</w:t>
      </w:r>
    </w:p>
    <w:p w14:paraId="5C640DA5" w14:textId="24810508" w:rsidR="00AA534B" w:rsidRDefault="00AA534B">
      <w:pPr>
        <w:suppressAutoHyphens w:val="0"/>
        <w:spacing w:before="0" w:line="240" w:lineRule="auto"/>
        <w:jc w:val="left"/>
        <w:rPr>
          <w:b/>
          <w:i/>
          <w:sz w:val="20"/>
          <w:lang w:val="en-US"/>
        </w:rPr>
      </w:pPr>
    </w:p>
    <w:p w14:paraId="7B94B278" w14:textId="77777777" w:rsidR="00A45E44" w:rsidRPr="0041623C" w:rsidRDefault="00A45E44" w:rsidP="00FD060A">
      <w:pPr>
        <w:pStyle w:val="Heading2"/>
      </w:pPr>
      <w:bookmarkStart w:id="40" w:name="_Toc194608664"/>
      <w:bookmarkStart w:id="41" w:name="_Toc203763127"/>
      <w:r w:rsidRPr="0041623C">
        <w:t>Intake of red meat</w:t>
      </w:r>
      <w:bookmarkEnd w:id="40"/>
      <w:bookmarkEnd w:id="41"/>
    </w:p>
    <w:p w14:paraId="128FA5A6" w14:textId="089C78AF" w:rsidR="00A45E44" w:rsidRPr="006D6F70" w:rsidRDefault="00A45E44" w:rsidP="00A45E44">
      <w:pPr>
        <w:rPr>
          <w:lang w:val="en-US"/>
        </w:rPr>
      </w:pPr>
      <w:r w:rsidRPr="006D6F70">
        <w:rPr>
          <w:lang w:val="en-US"/>
        </w:rPr>
        <w:t xml:space="preserve">The overarching </w:t>
      </w:r>
      <w:r w:rsidRPr="0041623C">
        <w:rPr>
          <w:lang w:val="en-US"/>
        </w:rPr>
        <w:t xml:space="preserve">category of food items that the DGE considers for the intake of </w:t>
      </w:r>
      <w:r>
        <w:rPr>
          <w:lang w:val="en-US"/>
        </w:rPr>
        <w:t xml:space="preserve">red meat </w:t>
      </w:r>
      <w:r w:rsidRPr="0041623C">
        <w:rPr>
          <w:lang w:val="en-US"/>
        </w:rPr>
        <w:t xml:space="preserve">is </w:t>
      </w:r>
      <w:r>
        <w:rPr>
          <w:lang w:val="en-US"/>
        </w:rPr>
        <w:t>“</w:t>
      </w:r>
      <w:proofErr w:type="gramStart"/>
      <w:r>
        <w:rPr>
          <w:lang w:val="en-US"/>
        </w:rPr>
        <w:t>mammals</w:t>
      </w:r>
      <w:proofErr w:type="gramEnd"/>
      <w:r>
        <w:rPr>
          <w:lang w:val="en-US"/>
        </w:rPr>
        <w:t xml:space="preserve"> meat”. </w:t>
      </w:r>
      <w:r w:rsidRPr="006D6F70">
        <w:rPr>
          <w:lang w:val="en-US"/>
        </w:rPr>
        <w:t>Th</w:t>
      </w:r>
      <w:r>
        <w:rPr>
          <w:lang w:val="en-US"/>
        </w:rPr>
        <w:t>is</w:t>
      </w:r>
      <w:r w:rsidRPr="006D6F70">
        <w:rPr>
          <w:lang w:val="en-US"/>
        </w:rPr>
        <w:t xml:space="preserve"> category (</w:t>
      </w:r>
      <w:r>
        <w:rPr>
          <w:lang w:val="en-US"/>
        </w:rPr>
        <w:t>left column</w:t>
      </w:r>
      <w:r w:rsidRPr="006D6F70">
        <w:rPr>
          <w:lang w:val="en-US"/>
        </w:rPr>
        <w:t>) contains only fresh and minced meat from beef, pork</w:t>
      </w:r>
      <w:r>
        <w:rPr>
          <w:lang w:val="en-US"/>
        </w:rPr>
        <w:t>,</w:t>
      </w:r>
      <w:r w:rsidRPr="006D6F70">
        <w:rPr>
          <w:lang w:val="en-US"/>
        </w:rPr>
        <w:t xml:space="preserve"> and game, like deer or hare. As there are no other components in these food items, the intake quantities of these food </w:t>
      </w:r>
      <w:r w:rsidRPr="006D6F70">
        <w:rPr>
          <w:lang w:val="en-US"/>
        </w:rPr>
        <w:lastRenderedPageBreak/>
        <w:t>items (</w:t>
      </w:r>
      <w:r>
        <w:rPr>
          <w:lang w:val="en-US"/>
        </w:rPr>
        <w:t>left column</w:t>
      </w:r>
      <w:r w:rsidRPr="006D6F70">
        <w:rPr>
          <w:lang w:val="en-US"/>
        </w:rPr>
        <w:t xml:space="preserve">) </w:t>
      </w:r>
      <w:r>
        <w:rPr>
          <w:lang w:val="en-US"/>
        </w:rPr>
        <w:t>are</w:t>
      </w:r>
      <w:r w:rsidRPr="006D6F70">
        <w:rPr>
          <w:lang w:val="en-US"/>
        </w:rPr>
        <w:t xml:space="preserve"> the same as the meat intake through these food items (light red</w:t>
      </w:r>
      <w:r>
        <w:rPr>
          <w:lang w:val="en-US"/>
        </w:rPr>
        <w:t>, middle</w:t>
      </w:r>
      <w:r w:rsidRPr="006D6F70">
        <w:rPr>
          <w:lang w:val="en-US"/>
        </w:rPr>
        <w:t xml:space="preserve"> column). There is considerable intake of red meat as processed meats (e.g., salami, dark red</w:t>
      </w:r>
      <w:r>
        <w:rPr>
          <w:lang w:val="en-US"/>
        </w:rPr>
        <w:t>, middle</w:t>
      </w:r>
      <w:r w:rsidRPr="006D6F70">
        <w:rPr>
          <w:lang w:val="en-US"/>
        </w:rPr>
        <w:t xml:space="preserve"> column)</w:t>
      </w:r>
      <w:r w:rsidR="00766863">
        <w:rPr>
          <w:lang w:val="en-US"/>
        </w:rPr>
        <w:t>, accounting for almost half of overall intake of red meat</w:t>
      </w:r>
      <w:r w:rsidRPr="006D6F70">
        <w:rPr>
          <w:lang w:val="en-US"/>
        </w:rPr>
        <w:t>. Other sources of red meat intake include meat soup (in composite dishes, dark gr</w:t>
      </w:r>
      <w:r>
        <w:rPr>
          <w:lang w:val="en-US"/>
        </w:rPr>
        <w:t>a</w:t>
      </w:r>
      <w:r w:rsidRPr="006D6F70">
        <w:rPr>
          <w:lang w:val="en-US"/>
        </w:rPr>
        <w:t xml:space="preserve">y, </w:t>
      </w:r>
      <w:r>
        <w:rPr>
          <w:lang w:val="en-US"/>
        </w:rPr>
        <w:t>middle column</w:t>
      </w:r>
      <w:r w:rsidRPr="006D6F70">
        <w:rPr>
          <w:lang w:val="en-US"/>
        </w:rPr>
        <w:t xml:space="preserve">) or gravy </w:t>
      </w:r>
      <w:r>
        <w:rPr>
          <w:lang w:val="en-US"/>
        </w:rPr>
        <w:t>(</w:t>
      </w:r>
      <w:r w:rsidRPr="006D6F70">
        <w:rPr>
          <w:lang w:val="en-US"/>
        </w:rPr>
        <w:t>in others, light gr</w:t>
      </w:r>
      <w:r>
        <w:rPr>
          <w:lang w:val="en-US"/>
        </w:rPr>
        <w:t>a</w:t>
      </w:r>
      <w:r w:rsidRPr="006D6F70">
        <w:rPr>
          <w:lang w:val="en-US"/>
        </w:rPr>
        <w:t>y,</w:t>
      </w:r>
      <w:r>
        <w:rPr>
          <w:lang w:val="en-US"/>
        </w:rPr>
        <w:t xml:space="preserve"> middle column</w:t>
      </w:r>
      <w:r w:rsidRPr="006D6F70">
        <w:rPr>
          <w:lang w:val="en-US"/>
        </w:rPr>
        <w:t xml:space="preserve">). However, they account </w:t>
      </w:r>
      <w:r>
        <w:rPr>
          <w:lang w:val="en-US"/>
        </w:rPr>
        <w:t>for only</w:t>
      </w:r>
      <w:r w:rsidRPr="006D6F70">
        <w:rPr>
          <w:lang w:val="en-US"/>
        </w:rPr>
        <w:t xml:space="preserve"> a small share of the </w:t>
      </w:r>
      <w:r>
        <w:rPr>
          <w:lang w:val="en-US"/>
        </w:rPr>
        <w:t>total</w:t>
      </w:r>
      <w:r w:rsidRPr="006D6F70">
        <w:rPr>
          <w:lang w:val="en-US"/>
        </w:rPr>
        <w:t xml:space="preserve"> red meat intake.</w:t>
      </w:r>
    </w:p>
    <w:p w14:paraId="2BD2951E" w14:textId="523CD14E" w:rsidR="00A45E44" w:rsidRPr="006D6F70" w:rsidRDefault="00A45E44" w:rsidP="00A45E44">
      <w:pPr>
        <w:rPr>
          <w:lang w:val="en-US"/>
        </w:rPr>
      </w:pPr>
      <w:r w:rsidRPr="006D6F70">
        <w:rPr>
          <w:lang w:val="en-US"/>
        </w:rPr>
        <w:t xml:space="preserve">The relevant categories of market balance quantities that need to be matched are </w:t>
      </w:r>
      <w:r>
        <w:rPr>
          <w:lang w:val="en-US"/>
        </w:rPr>
        <w:t>pork and beef</w:t>
      </w:r>
      <w:r w:rsidRPr="006D6F70">
        <w:rPr>
          <w:lang w:val="en-US"/>
        </w:rPr>
        <w:t>. The</w:t>
      </w:r>
      <w:r>
        <w:rPr>
          <w:lang w:val="en-US"/>
        </w:rPr>
        <w:t>se quantities</w:t>
      </w:r>
      <w:r w:rsidRPr="006D6F70">
        <w:rPr>
          <w:lang w:val="en-US"/>
        </w:rPr>
        <w:t xml:space="preserve"> are slightly too </w:t>
      </w:r>
      <w:r w:rsidR="00766863">
        <w:rPr>
          <w:lang w:val="en-US"/>
        </w:rPr>
        <w:t>high</w:t>
      </w:r>
      <w:r w:rsidRPr="006D6F70">
        <w:rPr>
          <w:lang w:val="en-US"/>
        </w:rPr>
        <w:t xml:space="preserve"> to match the red meat intake </w:t>
      </w:r>
      <w:r>
        <w:rPr>
          <w:lang w:val="en-US"/>
        </w:rPr>
        <w:t xml:space="preserve">reported in </w:t>
      </w:r>
      <w:r w:rsidRPr="006D6F70">
        <w:rPr>
          <w:lang w:val="en-US"/>
        </w:rPr>
        <w:t xml:space="preserve">the intake survey. Hence, the consolidation </w:t>
      </w:r>
      <w:r w:rsidR="00766863">
        <w:rPr>
          <w:lang w:val="en-US"/>
        </w:rPr>
        <w:t>in</w:t>
      </w:r>
      <w:r w:rsidRPr="006D6F70">
        <w:rPr>
          <w:lang w:val="en-US"/>
        </w:rPr>
        <w:t xml:space="preserve">creases the </w:t>
      </w:r>
      <w:r w:rsidRPr="00826C2A">
        <w:rPr>
          <w:lang w:val="en-US"/>
        </w:rPr>
        <w:t>intake</w:t>
      </w:r>
      <w:r w:rsidRPr="006D6F70">
        <w:rPr>
          <w:lang w:val="en-US"/>
        </w:rPr>
        <w:t xml:space="preserve"> of red meat, suggesting a slight underreporting for food items from the respective categories in the intake survey (</w:t>
      </w:r>
      <w:r>
        <w:rPr>
          <w:lang w:val="en-US"/>
        </w:rPr>
        <w:t>right column</w:t>
      </w:r>
      <w:r w:rsidRPr="006D6F70">
        <w:rPr>
          <w:lang w:val="en-US"/>
        </w:rPr>
        <w:t>). Game meat is not included in the market balance</w:t>
      </w:r>
      <w:r>
        <w:rPr>
          <w:lang w:val="en-US"/>
        </w:rPr>
        <w:t>. Hence</w:t>
      </w:r>
      <w:r w:rsidRPr="006D6F70">
        <w:rPr>
          <w:lang w:val="en-US"/>
        </w:rPr>
        <w:t xml:space="preserve">, the intake quantities of game meat are not adjusted during consolidation. However, they only contribute a small share of red meat consumption. </w:t>
      </w:r>
    </w:p>
    <w:p w14:paraId="48AF6223" w14:textId="5142806C" w:rsidR="00A45E44" w:rsidRDefault="00A45E44" w:rsidP="00A45E44">
      <w:pPr>
        <w:rPr>
          <w:lang w:val="en-US"/>
        </w:rPr>
      </w:pPr>
      <w:r>
        <w:rPr>
          <w:lang w:val="en-US"/>
        </w:rPr>
        <w:t xml:space="preserve">Consequently, we assess </w:t>
      </w:r>
      <w:r w:rsidRPr="006D6F70">
        <w:rPr>
          <w:lang w:val="en-US"/>
        </w:rPr>
        <w:t xml:space="preserve">the </w:t>
      </w:r>
      <w:r>
        <w:rPr>
          <w:lang w:val="en-US"/>
        </w:rPr>
        <w:t>status quo</w:t>
      </w:r>
      <w:r w:rsidRPr="009B2FA6">
        <w:rPr>
          <w:lang w:val="en-US"/>
        </w:rPr>
        <w:t xml:space="preserve"> </w:t>
      </w:r>
      <w:r w:rsidRPr="006D6F70">
        <w:rPr>
          <w:lang w:val="en-US"/>
        </w:rPr>
        <w:t xml:space="preserve">intake of red meat </w:t>
      </w:r>
      <w:r>
        <w:rPr>
          <w:lang w:val="en-US"/>
        </w:rPr>
        <w:t>(right column) to be</w:t>
      </w:r>
      <w:r w:rsidRPr="006D6F70">
        <w:rPr>
          <w:lang w:val="en-US"/>
        </w:rPr>
        <w:t xml:space="preserve"> </w:t>
      </w:r>
      <w:r w:rsidR="00C523B1">
        <w:rPr>
          <w:lang w:val="en-US"/>
        </w:rPr>
        <w:t>almost three times</w:t>
      </w:r>
      <w:r w:rsidRPr="006D6F70">
        <w:rPr>
          <w:lang w:val="en-US"/>
        </w:rPr>
        <w:t xml:space="preserve"> as high as the </w:t>
      </w:r>
      <w:r>
        <w:rPr>
          <w:lang w:val="en-US"/>
        </w:rPr>
        <w:t>food items</w:t>
      </w:r>
      <w:r w:rsidRPr="006D6F70">
        <w:rPr>
          <w:lang w:val="en-US"/>
        </w:rPr>
        <w:t xml:space="preserve"> intake</w:t>
      </w:r>
      <w:r>
        <w:rPr>
          <w:lang w:val="en-US"/>
        </w:rPr>
        <w:t xml:space="preserve"> (left column)</w:t>
      </w:r>
      <w:r w:rsidRPr="006D6F70">
        <w:rPr>
          <w:lang w:val="en-US"/>
        </w:rPr>
        <w:t xml:space="preserve"> suggested by the intake survey. </w:t>
      </w:r>
      <w:r>
        <w:rPr>
          <w:lang w:val="en-US"/>
        </w:rPr>
        <w:t xml:space="preserve">To meet </w:t>
      </w:r>
      <w:r w:rsidRPr="00FA5E7B">
        <w:rPr>
          <w:lang w:val="en-US"/>
        </w:rPr>
        <w:t xml:space="preserve">optimal DGE intake quantities </w:t>
      </w:r>
      <w:r>
        <w:rPr>
          <w:lang w:val="en-US"/>
        </w:rPr>
        <w:t>(yellow line, “DGE goal”)</w:t>
      </w:r>
      <w:r w:rsidRPr="006D6F70">
        <w:rPr>
          <w:lang w:val="en-US"/>
        </w:rPr>
        <w:t>, the intake has to decrease even more drastically than implied in Schäfer et al.</w:t>
      </w:r>
      <w:r w:rsidR="0094128E">
        <w:rPr>
          <w:lang w:val="en-US"/>
        </w:rPr>
        <w:t xml:space="preserve"> </w:t>
      </w:r>
      <w:r>
        <w:fldChar w:fldCharType="begin"/>
      </w:r>
      <w:r w:rsidR="00554289">
        <w:rPr>
          <w:lang w:val="en-US"/>
        </w:rPr>
        <w:instrText xml:space="preserve"> ADDIN ZOTERO_ITEM CSL_CITATION {"citationID":"4SOgFR8o","properties":{"formattedCitation":"(2024)","plainCitation":"(2024)","noteIndex":0},"citationItems":[{"id":950,"uris":["http://zotero.org/users/10655811/items/3WH2N6UG"],"itemData":{"id":950,"type":"article-journal","container-title":"Ernährungs Umschau","DOI":"10.4455/eu.2024.009","issue":"3","page":"158-166","title":"Wissenschaftliche Grundlagen der lebensmittelbezogenen Ernährungsempfehlungen für Deutschland. Methodik und Ableitungskonzepte","volume":"71","author":[{"family":"Schäfer","given":"Anne Carolin"},{"family":"Boeing","given":"Heiner"},{"family":"Conrad","given":"Johanna"},{"family":"Watzl","given":"Bernhard"}],"issued":{"date-parts":[["2024"]]}},"label":"page","suppress-author":true}],"schema":"https://github.com/citation-style-language/schema/raw/master/csl-citation.json"} </w:instrText>
      </w:r>
      <w:r>
        <w:fldChar w:fldCharType="separate"/>
      </w:r>
      <w:r w:rsidR="00554289" w:rsidRPr="00554289">
        <w:rPr>
          <w:rFonts w:cs="Calibri"/>
        </w:rPr>
        <w:t>(2024)</w:t>
      </w:r>
      <w:r>
        <w:fldChar w:fldCharType="end"/>
      </w:r>
      <w:r w:rsidR="00C457EE">
        <w:t>.</w:t>
      </w:r>
    </w:p>
    <w:p w14:paraId="0B54A213" w14:textId="5DC51FD0" w:rsidR="00A45E44" w:rsidRDefault="000F3DF9" w:rsidP="00A45E44">
      <w:pPr>
        <w:keepNext/>
        <w:suppressAutoHyphens w:val="0"/>
        <w:spacing w:before="0" w:line="240" w:lineRule="auto"/>
      </w:pPr>
      <w:r>
        <w:rPr>
          <w:noProof/>
        </w:rPr>
        <w:drawing>
          <wp:inline distT="0" distB="0" distL="0" distR="0" wp14:anchorId="4D5FCADD" wp14:editId="4161BE0F">
            <wp:extent cx="6066155" cy="181038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66155" cy="1810385"/>
                    </a:xfrm>
                    <a:prstGeom prst="rect">
                      <a:avLst/>
                    </a:prstGeom>
                    <a:noFill/>
                  </pic:spPr>
                </pic:pic>
              </a:graphicData>
            </a:graphic>
          </wp:inline>
        </w:drawing>
      </w:r>
    </w:p>
    <w:p w14:paraId="48DA5FB6" w14:textId="4C48F52F" w:rsidR="00A45E44" w:rsidRPr="0076459F" w:rsidRDefault="00FD3306" w:rsidP="00FD3306">
      <w:pPr>
        <w:pStyle w:val="Caption"/>
        <w:rPr>
          <w:lang w:val="en-US"/>
        </w:rPr>
      </w:pPr>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14</w:t>
      </w:r>
      <w:r>
        <w:fldChar w:fldCharType="end"/>
      </w:r>
      <w:r w:rsidR="00A45E44" w:rsidRPr="0076459F">
        <w:rPr>
          <w:lang w:val="en-US"/>
        </w:rPr>
        <w:t xml:space="preserve">: Intake of red meat per capita per day in grams. Excerpt of Figure </w:t>
      </w:r>
      <w:r w:rsidR="00A45E44">
        <w:rPr>
          <w:lang w:val="en-US"/>
        </w:rPr>
        <w:t>3</w:t>
      </w:r>
      <w:r w:rsidR="00A45E44" w:rsidRPr="0076459F">
        <w:rPr>
          <w:lang w:val="en-US"/>
        </w:rPr>
        <w:t>.</w:t>
      </w:r>
    </w:p>
    <w:p w14:paraId="7C96946B" w14:textId="77777777" w:rsidR="00A45E44" w:rsidRDefault="00A45E44" w:rsidP="00A45E44">
      <w:pPr>
        <w:suppressAutoHyphens w:val="0"/>
        <w:spacing w:before="0" w:line="240" w:lineRule="auto"/>
        <w:jc w:val="left"/>
        <w:rPr>
          <w:lang w:val="en-US"/>
        </w:rPr>
      </w:pPr>
      <w:r>
        <w:rPr>
          <w:lang w:val="en-US"/>
        </w:rPr>
        <w:br w:type="page"/>
      </w:r>
    </w:p>
    <w:p w14:paraId="37C8BBC4" w14:textId="5F9C29AC" w:rsidR="00A45E44" w:rsidRDefault="00A45E44" w:rsidP="00FD3306">
      <w:pPr>
        <w:pStyle w:val="Heading1"/>
        <w:numPr>
          <w:ilvl w:val="0"/>
          <w:numId w:val="1"/>
        </w:numPr>
        <w:rPr>
          <w:lang w:val="en-US" w:eastAsia="en-US"/>
        </w:rPr>
      </w:pPr>
      <w:bookmarkStart w:id="42" w:name="_Toc194608649"/>
      <w:bookmarkStart w:id="43" w:name="_Toc203763128"/>
      <w:r w:rsidRPr="000D5343">
        <w:rPr>
          <w:lang w:val="en-US"/>
        </w:rPr>
        <w:lastRenderedPageBreak/>
        <w:t>Goodness</w:t>
      </w:r>
      <w:r w:rsidRPr="001570D6">
        <w:rPr>
          <w:lang w:val="en-US" w:eastAsia="en-US"/>
        </w:rPr>
        <w:t xml:space="preserve"> of fit of the consolidation</w:t>
      </w:r>
      <w:bookmarkEnd w:id="42"/>
      <w:bookmarkEnd w:id="43"/>
      <w:r w:rsidRPr="001570D6">
        <w:rPr>
          <w:lang w:val="en-US" w:eastAsia="en-US"/>
        </w:rPr>
        <w:tab/>
      </w:r>
    </w:p>
    <w:p w14:paraId="04F7949D" w14:textId="76E9880E" w:rsidR="00FD3306" w:rsidRPr="00FD3306" w:rsidRDefault="00FD3306" w:rsidP="00FD060A">
      <w:pPr>
        <w:pStyle w:val="Heading2"/>
        <w:rPr>
          <w:rFonts w:eastAsia="Calibri"/>
          <w:lang w:eastAsia="en-US"/>
        </w:rPr>
      </w:pPr>
      <w:bookmarkStart w:id="44" w:name="_Toc203763129"/>
      <w:r>
        <w:rPr>
          <w:rFonts w:eastAsia="Calibri"/>
          <w:lang w:eastAsia="en-US"/>
        </w:rPr>
        <w:t>Correlation coefficient</w:t>
      </w:r>
      <w:bookmarkEnd w:id="44"/>
    </w:p>
    <w:p w14:paraId="40880B0D" w14:textId="66EEA97A" w:rsidR="00A45E44" w:rsidRDefault="00FD3306" w:rsidP="00FD3306">
      <w:pPr>
        <w:pStyle w:val="Caption"/>
        <w:rPr>
          <w:rFonts w:eastAsia="Calibri" w:cs="Calibri"/>
          <w:b w:val="0"/>
          <w:i w:val="0"/>
          <w:color w:val="000000"/>
          <w:szCs w:val="22"/>
          <w:lang w:val="en-US" w:eastAsia="en-US"/>
        </w:rPr>
      </w:pPr>
      <w:bookmarkStart w:id="45" w:name="_Toc183993383"/>
      <w:bookmarkStart w:id="46" w:name="_Toc184904198"/>
      <w:bookmarkStart w:id="47" w:name="_Toc191290131"/>
      <w:bookmarkStart w:id="48" w:name="_Toc191672467"/>
      <w:r w:rsidRPr="00FD3306">
        <w:rPr>
          <w:lang w:val="en-US"/>
        </w:rPr>
        <w:t xml:space="preserve">Supplementary Table </w:t>
      </w:r>
      <w:r>
        <w:fldChar w:fldCharType="begin"/>
      </w:r>
      <w:r w:rsidRPr="00FD3306">
        <w:rPr>
          <w:lang w:val="en-US"/>
        </w:rPr>
        <w:instrText xml:space="preserve"> SEQ Supplementary_Table \* ARABIC </w:instrText>
      </w:r>
      <w:r>
        <w:fldChar w:fldCharType="separate"/>
      </w:r>
      <w:r w:rsidR="000D5343">
        <w:rPr>
          <w:noProof/>
          <w:lang w:val="en-US"/>
        </w:rPr>
        <w:t>2</w:t>
      </w:r>
      <w:r>
        <w:fldChar w:fldCharType="end"/>
      </w:r>
      <w:r w:rsidRPr="00FD3306">
        <w:rPr>
          <w:lang w:val="en-US"/>
        </w:rPr>
        <w:t xml:space="preserve">: </w:t>
      </w:r>
      <w:r w:rsidR="00A45E44" w:rsidRPr="008632EB">
        <w:rPr>
          <w:rFonts w:eastAsia="Calibri" w:cs="Calibri"/>
          <w:color w:val="000000"/>
          <w:szCs w:val="22"/>
          <w:lang w:val="en-US" w:eastAsia="en-US"/>
        </w:rPr>
        <w:t>Spearman correlation coefficient for all datasets, for the entire dataset, and separated for parts of the datasets. Number of observations in italics.</w:t>
      </w:r>
      <w:bookmarkEnd w:id="45"/>
      <w:bookmarkEnd w:id="46"/>
      <w:bookmarkEnd w:id="47"/>
      <w:bookmarkEnd w:id="48"/>
      <w:r w:rsidR="00A45E44" w:rsidRPr="008632EB">
        <w:rPr>
          <w:rFonts w:eastAsia="Calibri" w:cs="Calibri"/>
          <w:color w:val="000000"/>
          <w:szCs w:val="22"/>
          <w:lang w:val="en-US" w:eastAsia="en-US"/>
        </w:rPr>
        <w:t xml:space="preserve"> </w:t>
      </w:r>
    </w:p>
    <w:tbl>
      <w:tblPr>
        <w:tblW w:w="9537" w:type="dxa"/>
        <w:tblLayout w:type="fixed"/>
        <w:tblCellMar>
          <w:left w:w="57" w:type="dxa"/>
          <w:right w:w="28" w:type="dxa"/>
        </w:tblCellMar>
        <w:tblLook w:val="04A0" w:firstRow="1" w:lastRow="0" w:firstColumn="1" w:lastColumn="0" w:noHBand="0" w:noVBand="1"/>
      </w:tblPr>
      <w:tblGrid>
        <w:gridCol w:w="2127"/>
        <w:gridCol w:w="708"/>
        <w:gridCol w:w="567"/>
        <w:gridCol w:w="851"/>
        <w:gridCol w:w="142"/>
        <w:gridCol w:w="850"/>
        <w:gridCol w:w="709"/>
        <w:gridCol w:w="850"/>
        <w:gridCol w:w="851"/>
        <w:gridCol w:w="126"/>
        <w:gridCol w:w="866"/>
        <w:gridCol w:w="890"/>
      </w:tblGrid>
      <w:tr w:rsidR="00990610" w:rsidRPr="00A836DB" w14:paraId="54D98394" w14:textId="77777777" w:rsidTr="001E220A">
        <w:trPr>
          <w:trHeight w:val="20"/>
        </w:trPr>
        <w:tc>
          <w:tcPr>
            <w:tcW w:w="2127" w:type="dxa"/>
            <w:tcBorders>
              <w:top w:val="nil"/>
              <w:left w:val="nil"/>
              <w:bottom w:val="single" w:sz="4" w:space="0" w:color="auto"/>
              <w:right w:val="nil"/>
            </w:tcBorders>
            <w:shd w:val="clear" w:color="000000" w:fill="E7E6E6"/>
            <w:hideMark/>
          </w:tcPr>
          <w:p w14:paraId="3E1CB622" w14:textId="6D5669A4" w:rsidR="00990610" w:rsidRPr="00772CF7" w:rsidRDefault="00990610" w:rsidP="00990610">
            <w:pPr>
              <w:suppressAutoHyphens w:val="0"/>
              <w:spacing w:before="0" w:line="240" w:lineRule="auto"/>
              <w:jc w:val="left"/>
              <w:rPr>
                <w:rFonts w:cs="Calibri"/>
                <w:b/>
                <w:bCs/>
                <w:sz w:val="17"/>
                <w:szCs w:val="17"/>
                <w:lang w:val="en-US" w:eastAsia="en-US"/>
              </w:rPr>
            </w:pPr>
            <w:r>
              <w:rPr>
                <w:rFonts w:cs="Calibri"/>
                <w:b/>
                <w:bCs/>
                <w:sz w:val="16"/>
                <w:szCs w:val="16"/>
              </w:rPr>
              <w:t> </w:t>
            </w:r>
          </w:p>
        </w:tc>
        <w:tc>
          <w:tcPr>
            <w:tcW w:w="708" w:type="dxa"/>
            <w:tcBorders>
              <w:top w:val="nil"/>
              <w:left w:val="nil"/>
              <w:bottom w:val="single" w:sz="4" w:space="0" w:color="auto"/>
              <w:right w:val="nil"/>
            </w:tcBorders>
            <w:shd w:val="clear" w:color="000000" w:fill="E7E6E6"/>
            <w:vAlign w:val="bottom"/>
            <w:hideMark/>
          </w:tcPr>
          <w:p w14:paraId="6E8409F8" w14:textId="072600A7" w:rsidR="00990610" w:rsidRPr="00772CF7" w:rsidRDefault="00990610" w:rsidP="00990610">
            <w:pPr>
              <w:suppressAutoHyphens w:val="0"/>
              <w:spacing w:before="0" w:line="240" w:lineRule="auto"/>
              <w:jc w:val="left"/>
              <w:rPr>
                <w:rFonts w:cs="Calibri"/>
                <w:b/>
                <w:bCs/>
                <w:sz w:val="17"/>
                <w:szCs w:val="17"/>
                <w:lang w:val="en-US" w:eastAsia="en-US"/>
              </w:rPr>
            </w:pPr>
            <w:proofErr w:type="spellStart"/>
            <w:r>
              <w:rPr>
                <w:rFonts w:cs="Calibri"/>
                <w:b/>
                <w:bCs/>
                <w:sz w:val="16"/>
                <w:szCs w:val="16"/>
              </w:rPr>
              <w:t>recipes</w:t>
            </w:r>
            <w:proofErr w:type="spellEnd"/>
          </w:p>
        </w:tc>
        <w:tc>
          <w:tcPr>
            <w:tcW w:w="567" w:type="dxa"/>
            <w:tcBorders>
              <w:top w:val="nil"/>
              <w:left w:val="nil"/>
              <w:bottom w:val="single" w:sz="4" w:space="0" w:color="auto"/>
              <w:right w:val="nil"/>
            </w:tcBorders>
            <w:shd w:val="clear" w:color="000000" w:fill="E7E6E6"/>
            <w:vAlign w:val="bottom"/>
            <w:hideMark/>
          </w:tcPr>
          <w:p w14:paraId="5A7F6435" w14:textId="39E02A25" w:rsidR="00990610" w:rsidRPr="00772CF7" w:rsidRDefault="00990610" w:rsidP="00990610">
            <w:pPr>
              <w:suppressAutoHyphens w:val="0"/>
              <w:spacing w:before="0" w:line="240" w:lineRule="auto"/>
              <w:jc w:val="left"/>
              <w:rPr>
                <w:rFonts w:cs="Calibri"/>
                <w:b/>
                <w:bCs/>
                <w:sz w:val="17"/>
                <w:szCs w:val="17"/>
                <w:lang w:val="en-US" w:eastAsia="en-US"/>
              </w:rPr>
            </w:pPr>
            <w:proofErr w:type="spellStart"/>
            <w:r>
              <w:rPr>
                <w:rFonts w:cs="Calibri"/>
                <w:b/>
                <w:bCs/>
                <w:sz w:val="16"/>
                <w:szCs w:val="16"/>
              </w:rPr>
              <w:t>food</w:t>
            </w:r>
            <w:proofErr w:type="spellEnd"/>
            <w:r>
              <w:rPr>
                <w:rFonts w:cs="Calibri"/>
                <w:b/>
                <w:bCs/>
                <w:sz w:val="16"/>
                <w:szCs w:val="16"/>
              </w:rPr>
              <w:t xml:space="preserve"> </w:t>
            </w:r>
            <w:proofErr w:type="spellStart"/>
            <w:r>
              <w:rPr>
                <w:rFonts w:cs="Calibri"/>
                <w:b/>
                <w:bCs/>
                <w:sz w:val="16"/>
                <w:szCs w:val="16"/>
              </w:rPr>
              <w:t>intake</w:t>
            </w:r>
            <w:proofErr w:type="spellEnd"/>
          </w:p>
        </w:tc>
        <w:tc>
          <w:tcPr>
            <w:tcW w:w="851" w:type="dxa"/>
            <w:tcBorders>
              <w:top w:val="nil"/>
              <w:left w:val="nil"/>
              <w:bottom w:val="single" w:sz="4" w:space="0" w:color="auto"/>
              <w:right w:val="nil"/>
            </w:tcBorders>
            <w:shd w:val="clear" w:color="000000" w:fill="E7E6E6"/>
            <w:vAlign w:val="bottom"/>
            <w:hideMark/>
          </w:tcPr>
          <w:p w14:paraId="64341B7F" w14:textId="6E8E4BF1" w:rsidR="00990610" w:rsidRPr="00772CF7" w:rsidRDefault="00990610" w:rsidP="00990610">
            <w:pPr>
              <w:suppressAutoHyphens w:val="0"/>
              <w:spacing w:before="0" w:line="240" w:lineRule="auto"/>
              <w:jc w:val="left"/>
              <w:rPr>
                <w:rFonts w:cs="Calibri"/>
                <w:b/>
                <w:bCs/>
                <w:sz w:val="17"/>
                <w:szCs w:val="17"/>
                <w:lang w:val="en-US" w:eastAsia="en-US"/>
              </w:rPr>
            </w:pPr>
            <w:proofErr w:type="spellStart"/>
            <w:r>
              <w:rPr>
                <w:rFonts w:cs="Calibri"/>
                <w:b/>
                <w:bCs/>
                <w:sz w:val="16"/>
                <w:szCs w:val="16"/>
              </w:rPr>
              <w:t>avoidable</w:t>
            </w:r>
            <w:proofErr w:type="spellEnd"/>
            <w:r>
              <w:rPr>
                <w:rFonts w:cs="Calibri"/>
                <w:b/>
                <w:bCs/>
                <w:sz w:val="16"/>
                <w:szCs w:val="16"/>
              </w:rPr>
              <w:t xml:space="preserve"> waste</w:t>
            </w:r>
            <w:r>
              <w:rPr>
                <w:rFonts w:cs="Calibri"/>
                <w:b/>
                <w:bCs/>
                <w:sz w:val="16"/>
                <w:szCs w:val="16"/>
                <w:vertAlign w:val="superscript"/>
              </w:rPr>
              <w:t>1</w:t>
            </w:r>
          </w:p>
        </w:tc>
        <w:tc>
          <w:tcPr>
            <w:tcW w:w="142" w:type="dxa"/>
            <w:tcBorders>
              <w:top w:val="nil"/>
              <w:left w:val="nil"/>
              <w:bottom w:val="nil"/>
              <w:right w:val="nil"/>
            </w:tcBorders>
            <w:shd w:val="clear" w:color="auto" w:fill="auto"/>
            <w:vAlign w:val="bottom"/>
            <w:hideMark/>
          </w:tcPr>
          <w:p w14:paraId="3E0FB399" w14:textId="77777777" w:rsidR="00990610" w:rsidRPr="00772CF7" w:rsidRDefault="00990610" w:rsidP="00990610">
            <w:pPr>
              <w:suppressAutoHyphens w:val="0"/>
              <w:spacing w:before="0" w:line="240" w:lineRule="auto"/>
              <w:jc w:val="left"/>
              <w:rPr>
                <w:rFonts w:cs="Calibri"/>
                <w:b/>
                <w:bCs/>
                <w:sz w:val="17"/>
                <w:szCs w:val="17"/>
                <w:lang w:val="en-US" w:eastAsia="en-US"/>
              </w:rPr>
            </w:pPr>
          </w:p>
        </w:tc>
        <w:tc>
          <w:tcPr>
            <w:tcW w:w="850" w:type="dxa"/>
            <w:tcBorders>
              <w:top w:val="nil"/>
              <w:left w:val="nil"/>
              <w:bottom w:val="single" w:sz="4" w:space="0" w:color="auto"/>
              <w:right w:val="nil"/>
            </w:tcBorders>
            <w:shd w:val="clear" w:color="000000" w:fill="E7E6E6"/>
            <w:hideMark/>
          </w:tcPr>
          <w:p w14:paraId="7B69D3F6" w14:textId="46AE27C8" w:rsidR="00990610" w:rsidRPr="00772CF7" w:rsidRDefault="00990610" w:rsidP="00990610">
            <w:pPr>
              <w:suppressAutoHyphens w:val="0"/>
              <w:spacing w:before="0" w:line="240" w:lineRule="auto"/>
              <w:jc w:val="left"/>
              <w:rPr>
                <w:rFonts w:cs="Calibri"/>
                <w:b/>
                <w:bCs/>
                <w:sz w:val="17"/>
                <w:szCs w:val="17"/>
                <w:lang w:val="en-US" w:eastAsia="en-US"/>
              </w:rPr>
            </w:pPr>
            <w:r>
              <w:rPr>
                <w:rFonts w:cs="Calibri"/>
                <w:b/>
                <w:bCs/>
                <w:sz w:val="16"/>
                <w:szCs w:val="16"/>
              </w:rPr>
              <w:t> </w:t>
            </w:r>
          </w:p>
        </w:tc>
        <w:tc>
          <w:tcPr>
            <w:tcW w:w="709" w:type="dxa"/>
            <w:tcBorders>
              <w:top w:val="nil"/>
              <w:left w:val="nil"/>
              <w:bottom w:val="single" w:sz="4" w:space="0" w:color="auto"/>
              <w:right w:val="nil"/>
            </w:tcBorders>
            <w:shd w:val="clear" w:color="000000" w:fill="E7E6E6"/>
            <w:vAlign w:val="bottom"/>
            <w:hideMark/>
          </w:tcPr>
          <w:p w14:paraId="25F58D57" w14:textId="7FEBBC99" w:rsidR="00990610" w:rsidRPr="00772CF7" w:rsidRDefault="00990610" w:rsidP="00990610">
            <w:pPr>
              <w:suppressAutoHyphens w:val="0"/>
              <w:spacing w:before="0" w:line="240" w:lineRule="auto"/>
              <w:jc w:val="left"/>
              <w:rPr>
                <w:rFonts w:cs="Calibri"/>
                <w:b/>
                <w:bCs/>
                <w:sz w:val="17"/>
                <w:szCs w:val="17"/>
                <w:lang w:val="en-US" w:eastAsia="en-US"/>
              </w:rPr>
            </w:pPr>
            <w:proofErr w:type="spellStart"/>
            <w:r>
              <w:rPr>
                <w:rFonts w:cs="Calibri"/>
                <w:b/>
                <w:bCs/>
                <w:sz w:val="16"/>
                <w:szCs w:val="16"/>
              </w:rPr>
              <w:t>market</w:t>
            </w:r>
            <w:proofErr w:type="spellEnd"/>
            <w:r>
              <w:rPr>
                <w:rFonts w:cs="Calibri"/>
                <w:b/>
                <w:bCs/>
                <w:sz w:val="16"/>
                <w:szCs w:val="16"/>
              </w:rPr>
              <w:t xml:space="preserve"> </w:t>
            </w:r>
            <w:proofErr w:type="spellStart"/>
            <w:r>
              <w:rPr>
                <w:rFonts w:cs="Calibri"/>
                <w:b/>
                <w:bCs/>
                <w:sz w:val="16"/>
                <w:szCs w:val="16"/>
              </w:rPr>
              <w:t>balance</w:t>
            </w:r>
            <w:proofErr w:type="spellEnd"/>
          </w:p>
        </w:tc>
        <w:tc>
          <w:tcPr>
            <w:tcW w:w="850" w:type="dxa"/>
            <w:tcBorders>
              <w:top w:val="nil"/>
              <w:left w:val="nil"/>
              <w:bottom w:val="single" w:sz="4" w:space="0" w:color="auto"/>
              <w:right w:val="nil"/>
            </w:tcBorders>
            <w:shd w:val="clear" w:color="000000" w:fill="E7E6E6"/>
            <w:vAlign w:val="bottom"/>
            <w:hideMark/>
          </w:tcPr>
          <w:p w14:paraId="583BF794" w14:textId="095170E4" w:rsidR="00990610" w:rsidRPr="00772CF7" w:rsidRDefault="00990610" w:rsidP="00990610">
            <w:pPr>
              <w:suppressAutoHyphens w:val="0"/>
              <w:spacing w:before="0" w:line="240" w:lineRule="auto"/>
              <w:jc w:val="left"/>
              <w:rPr>
                <w:rFonts w:cs="Calibri"/>
                <w:b/>
                <w:bCs/>
                <w:sz w:val="17"/>
                <w:szCs w:val="17"/>
                <w:lang w:val="en-US" w:eastAsia="en-US"/>
              </w:rPr>
            </w:pPr>
            <w:proofErr w:type="spellStart"/>
            <w:r>
              <w:rPr>
                <w:rFonts w:cs="Calibri"/>
                <w:b/>
                <w:bCs/>
                <w:sz w:val="16"/>
                <w:szCs w:val="16"/>
              </w:rPr>
              <w:t>processing</w:t>
            </w:r>
            <w:proofErr w:type="spellEnd"/>
          </w:p>
        </w:tc>
        <w:tc>
          <w:tcPr>
            <w:tcW w:w="851" w:type="dxa"/>
            <w:tcBorders>
              <w:top w:val="nil"/>
              <w:left w:val="nil"/>
              <w:bottom w:val="single" w:sz="4" w:space="0" w:color="auto"/>
              <w:right w:val="nil"/>
            </w:tcBorders>
            <w:shd w:val="clear" w:color="000000" w:fill="E7E6E6"/>
            <w:vAlign w:val="bottom"/>
            <w:hideMark/>
          </w:tcPr>
          <w:p w14:paraId="0F95D2B8" w14:textId="730CDCFA" w:rsidR="00990610" w:rsidRPr="00772CF7" w:rsidRDefault="00990610" w:rsidP="00990610">
            <w:pPr>
              <w:suppressAutoHyphens w:val="0"/>
              <w:spacing w:before="0" w:line="240" w:lineRule="auto"/>
              <w:jc w:val="left"/>
              <w:rPr>
                <w:rFonts w:cs="Calibri"/>
                <w:b/>
                <w:bCs/>
                <w:sz w:val="17"/>
                <w:szCs w:val="17"/>
                <w:lang w:val="en-US" w:eastAsia="en-US"/>
              </w:rPr>
            </w:pPr>
            <w:r>
              <w:rPr>
                <w:rFonts w:cs="Calibri"/>
                <w:b/>
                <w:bCs/>
                <w:sz w:val="16"/>
                <w:szCs w:val="16"/>
              </w:rPr>
              <w:t>non-</w:t>
            </w:r>
            <w:proofErr w:type="spellStart"/>
            <w:r>
              <w:rPr>
                <w:rFonts w:cs="Calibri"/>
                <w:b/>
                <w:bCs/>
                <w:sz w:val="16"/>
                <w:szCs w:val="16"/>
              </w:rPr>
              <w:t>avoidable</w:t>
            </w:r>
            <w:proofErr w:type="spellEnd"/>
            <w:r>
              <w:rPr>
                <w:rFonts w:cs="Calibri"/>
                <w:b/>
                <w:bCs/>
                <w:sz w:val="16"/>
                <w:szCs w:val="16"/>
              </w:rPr>
              <w:t xml:space="preserve"> waste</w:t>
            </w:r>
            <w:r>
              <w:rPr>
                <w:rFonts w:cs="Calibri"/>
                <w:b/>
                <w:bCs/>
                <w:sz w:val="16"/>
                <w:szCs w:val="16"/>
                <w:vertAlign w:val="superscript"/>
              </w:rPr>
              <w:t>1</w:t>
            </w:r>
          </w:p>
        </w:tc>
        <w:tc>
          <w:tcPr>
            <w:tcW w:w="126" w:type="dxa"/>
            <w:tcBorders>
              <w:top w:val="nil"/>
              <w:left w:val="nil"/>
              <w:bottom w:val="nil"/>
              <w:right w:val="nil"/>
            </w:tcBorders>
            <w:shd w:val="clear" w:color="auto" w:fill="auto"/>
            <w:vAlign w:val="bottom"/>
            <w:hideMark/>
          </w:tcPr>
          <w:p w14:paraId="01C18A2E" w14:textId="77777777" w:rsidR="00990610" w:rsidRPr="00772CF7" w:rsidRDefault="00990610" w:rsidP="00990610">
            <w:pPr>
              <w:suppressAutoHyphens w:val="0"/>
              <w:spacing w:before="0" w:line="240" w:lineRule="auto"/>
              <w:jc w:val="left"/>
              <w:rPr>
                <w:rFonts w:cs="Calibri"/>
                <w:b/>
                <w:bCs/>
                <w:sz w:val="17"/>
                <w:szCs w:val="17"/>
                <w:lang w:val="en-US" w:eastAsia="en-US"/>
              </w:rPr>
            </w:pPr>
          </w:p>
        </w:tc>
        <w:tc>
          <w:tcPr>
            <w:tcW w:w="866" w:type="dxa"/>
            <w:tcBorders>
              <w:top w:val="nil"/>
              <w:left w:val="nil"/>
              <w:bottom w:val="single" w:sz="4" w:space="0" w:color="auto"/>
              <w:right w:val="nil"/>
            </w:tcBorders>
            <w:shd w:val="clear" w:color="000000" w:fill="E7E6E6"/>
            <w:vAlign w:val="bottom"/>
            <w:hideMark/>
          </w:tcPr>
          <w:p w14:paraId="78DEB610" w14:textId="251C04BB" w:rsidR="00990610" w:rsidRPr="00772CF7" w:rsidRDefault="00990610" w:rsidP="00990610">
            <w:pPr>
              <w:suppressAutoHyphens w:val="0"/>
              <w:spacing w:before="0" w:line="240" w:lineRule="auto"/>
              <w:jc w:val="left"/>
              <w:rPr>
                <w:rFonts w:cs="Calibri"/>
                <w:b/>
                <w:bCs/>
                <w:sz w:val="17"/>
                <w:szCs w:val="17"/>
                <w:lang w:val="en-US" w:eastAsia="en-US"/>
              </w:rPr>
            </w:pPr>
            <w:r>
              <w:rPr>
                <w:rFonts w:cs="Calibri"/>
                <w:b/>
                <w:bCs/>
                <w:sz w:val="16"/>
                <w:szCs w:val="16"/>
              </w:rPr>
              <w:t> </w:t>
            </w:r>
          </w:p>
        </w:tc>
        <w:tc>
          <w:tcPr>
            <w:tcW w:w="890" w:type="dxa"/>
            <w:tcBorders>
              <w:top w:val="nil"/>
              <w:left w:val="nil"/>
              <w:bottom w:val="single" w:sz="4" w:space="0" w:color="auto"/>
              <w:right w:val="nil"/>
            </w:tcBorders>
            <w:shd w:val="clear" w:color="000000" w:fill="E7E6E6"/>
            <w:vAlign w:val="bottom"/>
            <w:hideMark/>
          </w:tcPr>
          <w:p w14:paraId="12FB7C3A" w14:textId="52C101C6" w:rsidR="00990610" w:rsidRPr="00772CF7" w:rsidRDefault="00990610" w:rsidP="00990610">
            <w:pPr>
              <w:suppressAutoHyphens w:val="0"/>
              <w:spacing w:before="0" w:line="240" w:lineRule="auto"/>
              <w:jc w:val="left"/>
              <w:rPr>
                <w:rFonts w:cs="Calibri"/>
                <w:b/>
                <w:bCs/>
                <w:sz w:val="17"/>
                <w:szCs w:val="17"/>
                <w:lang w:val="en-US" w:eastAsia="en-US"/>
              </w:rPr>
            </w:pPr>
            <w:proofErr w:type="spellStart"/>
            <w:r>
              <w:rPr>
                <w:rFonts w:cs="Calibri"/>
                <w:b/>
                <w:bCs/>
                <w:sz w:val="16"/>
                <w:szCs w:val="16"/>
              </w:rPr>
              <w:t>meat</w:t>
            </w:r>
            <w:proofErr w:type="spellEnd"/>
            <w:r>
              <w:rPr>
                <w:rFonts w:cs="Calibri"/>
                <w:b/>
                <w:bCs/>
                <w:sz w:val="16"/>
                <w:szCs w:val="16"/>
              </w:rPr>
              <w:t xml:space="preserve"> </w:t>
            </w:r>
            <w:proofErr w:type="spellStart"/>
            <w:r>
              <w:rPr>
                <w:rFonts w:cs="Calibri"/>
                <w:b/>
                <w:bCs/>
                <w:sz w:val="16"/>
                <w:szCs w:val="16"/>
              </w:rPr>
              <w:t>partitioning</w:t>
            </w:r>
            <w:proofErr w:type="spellEnd"/>
          </w:p>
        </w:tc>
      </w:tr>
      <w:tr w:rsidR="00F359A5" w:rsidRPr="00772CF7" w14:paraId="3031A587" w14:textId="77777777" w:rsidTr="005B0BB6">
        <w:trPr>
          <w:trHeight w:val="20"/>
        </w:trPr>
        <w:tc>
          <w:tcPr>
            <w:tcW w:w="2127" w:type="dxa"/>
            <w:vMerge w:val="restart"/>
            <w:tcBorders>
              <w:top w:val="nil"/>
              <w:left w:val="nil"/>
              <w:right w:val="nil"/>
            </w:tcBorders>
            <w:shd w:val="clear" w:color="auto" w:fill="auto"/>
            <w:hideMark/>
          </w:tcPr>
          <w:p w14:paraId="5D1F255C" w14:textId="77777777" w:rsidR="00F359A5" w:rsidRPr="00772CF7" w:rsidRDefault="00F359A5" w:rsidP="00F359A5">
            <w:pPr>
              <w:suppressAutoHyphens w:val="0"/>
              <w:spacing w:before="0" w:line="240" w:lineRule="auto"/>
              <w:jc w:val="left"/>
              <w:rPr>
                <w:rFonts w:cs="Calibri"/>
                <w:b/>
                <w:bCs/>
                <w:sz w:val="17"/>
                <w:szCs w:val="17"/>
                <w:lang w:val="en-US" w:eastAsia="en-US"/>
              </w:rPr>
            </w:pPr>
            <w:proofErr w:type="spellStart"/>
            <w:r>
              <w:rPr>
                <w:rFonts w:cs="Calibri"/>
                <w:b/>
                <w:bCs/>
                <w:sz w:val="16"/>
                <w:szCs w:val="16"/>
              </w:rPr>
              <w:t>full</w:t>
            </w:r>
            <w:proofErr w:type="spellEnd"/>
            <w:r>
              <w:rPr>
                <w:rFonts w:cs="Calibri"/>
                <w:b/>
                <w:bCs/>
                <w:sz w:val="16"/>
                <w:szCs w:val="16"/>
              </w:rPr>
              <w:t xml:space="preserve"> </w:t>
            </w:r>
            <w:proofErr w:type="spellStart"/>
            <w:r>
              <w:rPr>
                <w:rFonts w:cs="Calibri"/>
                <w:b/>
                <w:bCs/>
                <w:sz w:val="16"/>
                <w:szCs w:val="16"/>
              </w:rPr>
              <w:t>dataset</w:t>
            </w:r>
            <w:proofErr w:type="spellEnd"/>
          </w:p>
          <w:p w14:paraId="37999BAF" w14:textId="0EE922E0" w:rsidR="00F359A5" w:rsidRPr="00772CF7" w:rsidRDefault="00F359A5" w:rsidP="00F359A5">
            <w:pPr>
              <w:suppressAutoHyphens w:val="0"/>
              <w:spacing w:before="0" w:line="240" w:lineRule="auto"/>
              <w:jc w:val="left"/>
              <w:rPr>
                <w:rFonts w:cs="Calibri"/>
                <w:b/>
                <w:bCs/>
                <w:sz w:val="17"/>
                <w:szCs w:val="17"/>
                <w:lang w:val="en-US" w:eastAsia="en-US"/>
              </w:rPr>
            </w:pPr>
            <w:r>
              <w:rPr>
                <w:rFonts w:cs="Calibri"/>
                <w:i/>
                <w:iCs/>
                <w:sz w:val="16"/>
                <w:szCs w:val="16"/>
              </w:rPr>
              <w:t> </w:t>
            </w:r>
          </w:p>
        </w:tc>
        <w:tc>
          <w:tcPr>
            <w:tcW w:w="708" w:type="dxa"/>
            <w:tcBorders>
              <w:top w:val="nil"/>
              <w:left w:val="nil"/>
              <w:bottom w:val="nil"/>
              <w:right w:val="nil"/>
            </w:tcBorders>
            <w:shd w:val="clear" w:color="auto" w:fill="auto"/>
            <w:noWrap/>
            <w:vAlign w:val="bottom"/>
            <w:hideMark/>
          </w:tcPr>
          <w:p w14:paraId="1AF65707" w14:textId="4A7FC276" w:rsidR="00F359A5" w:rsidRPr="00772CF7" w:rsidRDefault="00F359A5" w:rsidP="00F359A5">
            <w:pPr>
              <w:suppressAutoHyphens w:val="0"/>
              <w:spacing w:before="0" w:line="240" w:lineRule="auto"/>
              <w:jc w:val="right"/>
              <w:rPr>
                <w:rFonts w:cs="Calibri"/>
                <w:b/>
                <w:bCs/>
                <w:sz w:val="17"/>
                <w:szCs w:val="17"/>
                <w:lang w:val="en-US" w:eastAsia="en-US"/>
              </w:rPr>
            </w:pPr>
            <w:r>
              <w:rPr>
                <w:rFonts w:cs="Calibri"/>
                <w:b/>
                <w:bCs/>
                <w:sz w:val="16"/>
                <w:szCs w:val="16"/>
              </w:rPr>
              <w:t>0.9877</w:t>
            </w:r>
          </w:p>
        </w:tc>
        <w:tc>
          <w:tcPr>
            <w:tcW w:w="567" w:type="dxa"/>
            <w:tcBorders>
              <w:top w:val="nil"/>
              <w:left w:val="nil"/>
              <w:bottom w:val="nil"/>
              <w:right w:val="nil"/>
            </w:tcBorders>
            <w:shd w:val="clear" w:color="auto" w:fill="auto"/>
            <w:noWrap/>
            <w:vAlign w:val="bottom"/>
            <w:hideMark/>
          </w:tcPr>
          <w:p w14:paraId="777561D6" w14:textId="0C7A059C" w:rsidR="00F359A5" w:rsidRPr="00772CF7" w:rsidRDefault="00F359A5" w:rsidP="00F359A5">
            <w:pPr>
              <w:suppressAutoHyphens w:val="0"/>
              <w:spacing w:before="0" w:line="240" w:lineRule="auto"/>
              <w:jc w:val="right"/>
              <w:rPr>
                <w:rFonts w:cs="Calibri"/>
                <w:b/>
                <w:bCs/>
                <w:sz w:val="17"/>
                <w:szCs w:val="17"/>
                <w:lang w:val="en-US" w:eastAsia="en-US"/>
              </w:rPr>
            </w:pPr>
            <w:r>
              <w:rPr>
                <w:rFonts w:cs="Calibri"/>
                <w:b/>
                <w:bCs/>
                <w:sz w:val="16"/>
                <w:szCs w:val="16"/>
              </w:rPr>
              <w:t>0.8758</w:t>
            </w:r>
          </w:p>
        </w:tc>
        <w:tc>
          <w:tcPr>
            <w:tcW w:w="851" w:type="dxa"/>
            <w:tcBorders>
              <w:top w:val="nil"/>
              <w:left w:val="nil"/>
              <w:bottom w:val="nil"/>
              <w:right w:val="nil"/>
            </w:tcBorders>
            <w:shd w:val="clear" w:color="auto" w:fill="auto"/>
            <w:noWrap/>
            <w:vAlign w:val="bottom"/>
            <w:hideMark/>
          </w:tcPr>
          <w:p w14:paraId="6D3734B8" w14:textId="6F87CA42" w:rsidR="00F359A5" w:rsidRPr="00772CF7" w:rsidRDefault="00F359A5" w:rsidP="00F359A5">
            <w:pPr>
              <w:suppressAutoHyphens w:val="0"/>
              <w:spacing w:before="0" w:line="240" w:lineRule="auto"/>
              <w:jc w:val="right"/>
              <w:rPr>
                <w:rFonts w:cs="Calibri"/>
                <w:b/>
                <w:bCs/>
                <w:sz w:val="17"/>
                <w:szCs w:val="17"/>
                <w:lang w:val="en-US" w:eastAsia="en-US"/>
              </w:rPr>
            </w:pPr>
            <w:r>
              <w:rPr>
                <w:rFonts w:cs="Calibri"/>
                <w:b/>
                <w:bCs/>
                <w:sz w:val="16"/>
                <w:szCs w:val="16"/>
              </w:rPr>
              <w:t>0.9814</w:t>
            </w:r>
          </w:p>
        </w:tc>
        <w:tc>
          <w:tcPr>
            <w:tcW w:w="142" w:type="dxa"/>
            <w:tcBorders>
              <w:top w:val="nil"/>
              <w:left w:val="nil"/>
              <w:bottom w:val="nil"/>
              <w:right w:val="nil"/>
            </w:tcBorders>
            <w:shd w:val="clear" w:color="auto" w:fill="auto"/>
            <w:noWrap/>
            <w:vAlign w:val="bottom"/>
            <w:hideMark/>
          </w:tcPr>
          <w:p w14:paraId="79EE58EC" w14:textId="77777777" w:rsidR="00F359A5" w:rsidRPr="00772CF7" w:rsidRDefault="00F359A5" w:rsidP="00F359A5">
            <w:pPr>
              <w:suppressAutoHyphens w:val="0"/>
              <w:spacing w:before="0" w:line="240" w:lineRule="auto"/>
              <w:jc w:val="right"/>
              <w:rPr>
                <w:rFonts w:cs="Calibri"/>
                <w:b/>
                <w:bCs/>
                <w:sz w:val="17"/>
                <w:szCs w:val="17"/>
                <w:lang w:val="en-US" w:eastAsia="en-US"/>
              </w:rPr>
            </w:pPr>
          </w:p>
        </w:tc>
        <w:tc>
          <w:tcPr>
            <w:tcW w:w="850" w:type="dxa"/>
            <w:vMerge w:val="restart"/>
            <w:tcBorders>
              <w:top w:val="nil"/>
              <w:left w:val="nil"/>
              <w:right w:val="nil"/>
            </w:tcBorders>
            <w:shd w:val="clear" w:color="auto" w:fill="auto"/>
            <w:hideMark/>
          </w:tcPr>
          <w:p w14:paraId="224EC0E9" w14:textId="77777777" w:rsidR="00F359A5" w:rsidRPr="00772CF7" w:rsidRDefault="00F359A5" w:rsidP="00F359A5">
            <w:pPr>
              <w:suppressAutoHyphens w:val="0"/>
              <w:spacing w:before="0" w:line="240" w:lineRule="auto"/>
              <w:jc w:val="left"/>
              <w:rPr>
                <w:rFonts w:cs="Calibri"/>
                <w:b/>
                <w:bCs/>
                <w:color w:val="000000"/>
                <w:sz w:val="17"/>
                <w:szCs w:val="17"/>
                <w:lang w:val="en-US" w:eastAsia="en-US"/>
              </w:rPr>
            </w:pPr>
            <w:proofErr w:type="spellStart"/>
            <w:r>
              <w:rPr>
                <w:rFonts w:cs="Calibri"/>
                <w:b/>
                <w:bCs/>
                <w:color w:val="000000"/>
                <w:sz w:val="16"/>
                <w:szCs w:val="16"/>
              </w:rPr>
              <w:t>full</w:t>
            </w:r>
            <w:proofErr w:type="spellEnd"/>
            <w:r>
              <w:rPr>
                <w:rFonts w:cs="Calibri"/>
                <w:b/>
                <w:bCs/>
                <w:color w:val="000000"/>
                <w:sz w:val="16"/>
                <w:szCs w:val="16"/>
              </w:rPr>
              <w:t xml:space="preserve"> </w:t>
            </w:r>
            <w:proofErr w:type="spellStart"/>
            <w:r>
              <w:rPr>
                <w:rFonts w:cs="Calibri"/>
                <w:b/>
                <w:bCs/>
                <w:color w:val="000000"/>
                <w:sz w:val="16"/>
                <w:szCs w:val="16"/>
              </w:rPr>
              <w:t>dataset</w:t>
            </w:r>
            <w:proofErr w:type="spellEnd"/>
          </w:p>
          <w:p w14:paraId="47D64D18" w14:textId="424B6E4E" w:rsidR="00F359A5" w:rsidRPr="00772CF7" w:rsidRDefault="00F359A5" w:rsidP="00F359A5">
            <w:pPr>
              <w:suppressAutoHyphens w:val="0"/>
              <w:spacing w:before="0" w:line="240" w:lineRule="auto"/>
              <w:jc w:val="left"/>
              <w:rPr>
                <w:rFonts w:cs="Calibri"/>
                <w:b/>
                <w:bCs/>
                <w:color w:val="000000"/>
                <w:sz w:val="17"/>
                <w:szCs w:val="17"/>
                <w:lang w:val="en-US" w:eastAsia="en-US"/>
              </w:rPr>
            </w:pPr>
            <w:r>
              <w:rPr>
                <w:rFonts w:cs="Calibri"/>
                <w:b/>
                <w:bCs/>
                <w:i/>
                <w:iCs/>
                <w:color w:val="000000"/>
                <w:sz w:val="16"/>
                <w:szCs w:val="16"/>
              </w:rPr>
              <w:t> </w:t>
            </w:r>
          </w:p>
        </w:tc>
        <w:tc>
          <w:tcPr>
            <w:tcW w:w="709" w:type="dxa"/>
            <w:tcBorders>
              <w:top w:val="nil"/>
              <w:left w:val="nil"/>
              <w:bottom w:val="nil"/>
              <w:right w:val="nil"/>
            </w:tcBorders>
            <w:shd w:val="clear" w:color="auto" w:fill="auto"/>
            <w:noWrap/>
            <w:hideMark/>
          </w:tcPr>
          <w:p w14:paraId="03587933" w14:textId="7F264E2B" w:rsidR="00F359A5" w:rsidRPr="00772CF7" w:rsidRDefault="00F359A5" w:rsidP="00F359A5">
            <w:pPr>
              <w:suppressAutoHyphens w:val="0"/>
              <w:spacing w:before="0" w:line="240" w:lineRule="auto"/>
              <w:jc w:val="right"/>
              <w:rPr>
                <w:rFonts w:cs="Calibri"/>
                <w:b/>
                <w:bCs/>
                <w:color w:val="000000"/>
                <w:sz w:val="17"/>
                <w:szCs w:val="17"/>
                <w:lang w:val="en-US" w:eastAsia="en-US"/>
              </w:rPr>
            </w:pPr>
            <w:r>
              <w:rPr>
                <w:rFonts w:cs="Calibri"/>
                <w:b/>
                <w:bCs/>
                <w:color w:val="000000"/>
                <w:sz w:val="16"/>
                <w:szCs w:val="16"/>
              </w:rPr>
              <w:t>1.0000</w:t>
            </w:r>
          </w:p>
        </w:tc>
        <w:tc>
          <w:tcPr>
            <w:tcW w:w="850" w:type="dxa"/>
            <w:tcBorders>
              <w:top w:val="nil"/>
              <w:left w:val="nil"/>
              <w:bottom w:val="nil"/>
              <w:right w:val="nil"/>
            </w:tcBorders>
            <w:shd w:val="clear" w:color="auto" w:fill="auto"/>
            <w:noWrap/>
            <w:hideMark/>
          </w:tcPr>
          <w:p w14:paraId="742E4715" w14:textId="1FFCBA3C" w:rsidR="00F359A5" w:rsidRPr="00772CF7" w:rsidRDefault="00F359A5" w:rsidP="00F359A5">
            <w:pPr>
              <w:suppressAutoHyphens w:val="0"/>
              <w:spacing w:before="0" w:line="240" w:lineRule="auto"/>
              <w:jc w:val="right"/>
              <w:rPr>
                <w:rFonts w:cs="Calibri"/>
                <w:b/>
                <w:bCs/>
                <w:color w:val="000000"/>
                <w:sz w:val="17"/>
                <w:szCs w:val="17"/>
                <w:lang w:val="en-US" w:eastAsia="en-US"/>
              </w:rPr>
            </w:pPr>
            <w:r>
              <w:rPr>
                <w:rFonts w:cs="Calibri"/>
                <w:b/>
                <w:bCs/>
                <w:color w:val="000000"/>
                <w:sz w:val="16"/>
                <w:szCs w:val="16"/>
              </w:rPr>
              <w:t>0.9877</w:t>
            </w:r>
          </w:p>
        </w:tc>
        <w:tc>
          <w:tcPr>
            <w:tcW w:w="851" w:type="dxa"/>
            <w:tcBorders>
              <w:top w:val="nil"/>
              <w:left w:val="nil"/>
              <w:bottom w:val="nil"/>
              <w:right w:val="nil"/>
            </w:tcBorders>
            <w:shd w:val="clear" w:color="auto" w:fill="auto"/>
            <w:noWrap/>
            <w:hideMark/>
          </w:tcPr>
          <w:p w14:paraId="2E69DB41" w14:textId="26CFFA22" w:rsidR="00F359A5" w:rsidRPr="00772CF7" w:rsidRDefault="00F359A5" w:rsidP="00F359A5">
            <w:pPr>
              <w:suppressAutoHyphens w:val="0"/>
              <w:spacing w:before="0" w:line="240" w:lineRule="auto"/>
              <w:jc w:val="right"/>
              <w:rPr>
                <w:rFonts w:cs="Calibri"/>
                <w:b/>
                <w:bCs/>
                <w:color w:val="000000"/>
                <w:sz w:val="17"/>
                <w:szCs w:val="17"/>
                <w:lang w:val="en-US" w:eastAsia="en-US"/>
              </w:rPr>
            </w:pPr>
            <w:r>
              <w:rPr>
                <w:rFonts w:cs="Calibri"/>
                <w:b/>
                <w:bCs/>
                <w:color w:val="000000"/>
                <w:sz w:val="16"/>
                <w:szCs w:val="16"/>
              </w:rPr>
              <w:t>0.9700</w:t>
            </w:r>
          </w:p>
        </w:tc>
        <w:tc>
          <w:tcPr>
            <w:tcW w:w="126" w:type="dxa"/>
            <w:tcBorders>
              <w:top w:val="nil"/>
              <w:left w:val="nil"/>
              <w:bottom w:val="nil"/>
              <w:right w:val="nil"/>
            </w:tcBorders>
            <w:shd w:val="clear" w:color="auto" w:fill="auto"/>
            <w:noWrap/>
            <w:vAlign w:val="bottom"/>
            <w:hideMark/>
          </w:tcPr>
          <w:p w14:paraId="2E0D125F" w14:textId="77777777" w:rsidR="00F359A5" w:rsidRPr="00772CF7" w:rsidRDefault="00F359A5" w:rsidP="00F359A5">
            <w:pPr>
              <w:suppressAutoHyphens w:val="0"/>
              <w:spacing w:before="0" w:line="240" w:lineRule="auto"/>
              <w:jc w:val="right"/>
              <w:rPr>
                <w:rFonts w:cs="Calibri"/>
                <w:b/>
                <w:bCs/>
                <w:color w:val="000000"/>
                <w:sz w:val="17"/>
                <w:szCs w:val="17"/>
                <w:lang w:val="en-US" w:eastAsia="en-US"/>
              </w:rPr>
            </w:pPr>
          </w:p>
        </w:tc>
        <w:tc>
          <w:tcPr>
            <w:tcW w:w="866" w:type="dxa"/>
            <w:vMerge w:val="restart"/>
            <w:tcBorders>
              <w:top w:val="nil"/>
              <w:left w:val="nil"/>
              <w:right w:val="nil"/>
            </w:tcBorders>
            <w:shd w:val="clear" w:color="auto" w:fill="auto"/>
            <w:noWrap/>
            <w:vAlign w:val="bottom"/>
            <w:hideMark/>
          </w:tcPr>
          <w:p w14:paraId="5CFA4AE8" w14:textId="77777777" w:rsidR="00F359A5" w:rsidRPr="00772CF7" w:rsidRDefault="00F359A5" w:rsidP="00F359A5">
            <w:pPr>
              <w:suppressAutoHyphens w:val="0"/>
              <w:spacing w:before="0" w:line="240" w:lineRule="auto"/>
              <w:jc w:val="left"/>
              <w:rPr>
                <w:rFonts w:cs="Calibri"/>
                <w:b/>
                <w:bCs/>
                <w:color w:val="000000"/>
                <w:sz w:val="17"/>
                <w:szCs w:val="17"/>
                <w:lang w:val="en-US" w:eastAsia="en-US"/>
              </w:rPr>
            </w:pPr>
            <w:proofErr w:type="spellStart"/>
            <w:r>
              <w:rPr>
                <w:rFonts w:cs="Calibri"/>
                <w:b/>
                <w:bCs/>
                <w:color w:val="000000"/>
                <w:sz w:val="16"/>
                <w:szCs w:val="16"/>
              </w:rPr>
              <w:t>full</w:t>
            </w:r>
            <w:proofErr w:type="spellEnd"/>
            <w:r>
              <w:rPr>
                <w:rFonts w:cs="Calibri"/>
                <w:b/>
                <w:bCs/>
                <w:color w:val="000000"/>
                <w:sz w:val="16"/>
                <w:szCs w:val="16"/>
              </w:rPr>
              <w:t xml:space="preserve"> </w:t>
            </w:r>
            <w:proofErr w:type="spellStart"/>
            <w:r>
              <w:rPr>
                <w:rFonts w:cs="Calibri"/>
                <w:b/>
                <w:bCs/>
                <w:color w:val="000000"/>
                <w:sz w:val="16"/>
                <w:szCs w:val="16"/>
              </w:rPr>
              <w:t>dataset</w:t>
            </w:r>
            <w:proofErr w:type="spellEnd"/>
          </w:p>
          <w:p w14:paraId="4686A479" w14:textId="09188572" w:rsidR="00F359A5" w:rsidRPr="00772CF7" w:rsidRDefault="00F359A5" w:rsidP="00F359A5">
            <w:pPr>
              <w:suppressAutoHyphens w:val="0"/>
              <w:spacing w:before="0" w:line="240" w:lineRule="auto"/>
              <w:jc w:val="left"/>
              <w:rPr>
                <w:rFonts w:cs="Calibri"/>
                <w:b/>
                <w:bCs/>
                <w:color w:val="000000"/>
                <w:sz w:val="17"/>
                <w:szCs w:val="17"/>
                <w:lang w:val="en-US" w:eastAsia="en-US"/>
              </w:rPr>
            </w:pPr>
            <w:r>
              <w:rPr>
                <w:rFonts w:cs="Calibri"/>
                <w:b/>
                <w:bCs/>
                <w:i/>
                <w:iCs/>
                <w:color w:val="000000"/>
                <w:sz w:val="16"/>
                <w:szCs w:val="16"/>
              </w:rPr>
              <w:t> </w:t>
            </w:r>
          </w:p>
        </w:tc>
        <w:tc>
          <w:tcPr>
            <w:tcW w:w="890" w:type="dxa"/>
            <w:tcBorders>
              <w:top w:val="nil"/>
              <w:left w:val="nil"/>
              <w:bottom w:val="nil"/>
              <w:right w:val="nil"/>
            </w:tcBorders>
            <w:shd w:val="clear" w:color="auto" w:fill="auto"/>
            <w:noWrap/>
            <w:hideMark/>
          </w:tcPr>
          <w:p w14:paraId="36608741" w14:textId="38B91429" w:rsidR="00F359A5" w:rsidRPr="00772CF7" w:rsidRDefault="00F359A5" w:rsidP="00F359A5">
            <w:pPr>
              <w:suppressAutoHyphens w:val="0"/>
              <w:spacing w:before="0" w:line="240" w:lineRule="auto"/>
              <w:jc w:val="right"/>
              <w:rPr>
                <w:rFonts w:cs="Calibri"/>
                <w:b/>
                <w:bCs/>
                <w:color w:val="000000"/>
                <w:sz w:val="17"/>
                <w:szCs w:val="17"/>
                <w:lang w:val="en-US" w:eastAsia="en-US"/>
              </w:rPr>
            </w:pPr>
            <w:r>
              <w:rPr>
                <w:rFonts w:cs="Calibri"/>
                <w:b/>
                <w:bCs/>
                <w:color w:val="000000"/>
                <w:sz w:val="16"/>
                <w:szCs w:val="16"/>
              </w:rPr>
              <w:t>0.9923</w:t>
            </w:r>
          </w:p>
        </w:tc>
      </w:tr>
      <w:tr w:rsidR="00F359A5" w:rsidRPr="00772CF7" w14:paraId="5F4DD7F4" w14:textId="77777777" w:rsidTr="005B0BB6">
        <w:trPr>
          <w:trHeight w:val="301"/>
        </w:trPr>
        <w:tc>
          <w:tcPr>
            <w:tcW w:w="2127" w:type="dxa"/>
            <w:vMerge/>
            <w:tcBorders>
              <w:left w:val="nil"/>
              <w:bottom w:val="single" w:sz="4" w:space="0" w:color="auto"/>
              <w:right w:val="nil"/>
            </w:tcBorders>
            <w:shd w:val="clear" w:color="auto" w:fill="auto"/>
            <w:hideMark/>
          </w:tcPr>
          <w:p w14:paraId="7BA7E882" w14:textId="34B8162D" w:rsidR="00F359A5" w:rsidRPr="00772CF7" w:rsidRDefault="00F359A5" w:rsidP="00F359A5">
            <w:pPr>
              <w:suppressAutoHyphens w:val="0"/>
              <w:spacing w:before="0" w:line="240" w:lineRule="auto"/>
              <w:jc w:val="left"/>
              <w:rPr>
                <w:rFonts w:cs="Calibri"/>
                <w:i/>
                <w:iCs/>
                <w:sz w:val="17"/>
                <w:szCs w:val="17"/>
                <w:lang w:val="en-US" w:eastAsia="en-US"/>
              </w:rPr>
            </w:pPr>
          </w:p>
        </w:tc>
        <w:tc>
          <w:tcPr>
            <w:tcW w:w="708" w:type="dxa"/>
            <w:tcBorders>
              <w:top w:val="nil"/>
              <w:left w:val="nil"/>
              <w:bottom w:val="single" w:sz="4" w:space="0" w:color="auto"/>
              <w:right w:val="nil"/>
            </w:tcBorders>
            <w:shd w:val="clear" w:color="auto" w:fill="auto"/>
            <w:noWrap/>
            <w:vAlign w:val="bottom"/>
            <w:hideMark/>
          </w:tcPr>
          <w:p w14:paraId="738FB377" w14:textId="0B6A952A" w:rsidR="00F359A5" w:rsidRPr="00772CF7" w:rsidRDefault="00F359A5" w:rsidP="00F359A5">
            <w:pPr>
              <w:suppressAutoHyphens w:val="0"/>
              <w:spacing w:before="0" w:line="240" w:lineRule="auto"/>
              <w:jc w:val="right"/>
              <w:rPr>
                <w:rFonts w:cs="Calibri"/>
                <w:b/>
                <w:bCs/>
                <w:i/>
                <w:iCs/>
                <w:sz w:val="17"/>
                <w:szCs w:val="17"/>
                <w:lang w:val="en-US" w:eastAsia="en-US"/>
              </w:rPr>
            </w:pPr>
            <w:r>
              <w:rPr>
                <w:rFonts w:cs="Calibri"/>
                <w:b/>
                <w:bCs/>
                <w:i/>
                <w:iCs/>
                <w:sz w:val="16"/>
                <w:szCs w:val="16"/>
              </w:rPr>
              <w:t>4141</w:t>
            </w:r>
          </w:p>
        </w:tc>
        <w:tc>
          <w:tcPr>
            <w:tcW w:w="567" w:type="dxa"/>
            <w:tcBorders>
              <w:top w:val="nil"/>
              <w:left w:val="nil"/>
              <w:bottom w:val="single" w:sz="4" w:space="0" w:color="auto"/>
              <w:right w:val="nil"/>
            </w:tcBorders>
            <w:shd w:val="clear" w:color="auto" w:fill="auto"/>
            <w:noWrap/>
            <w:vAlign w:val="bottom"/>
            <w:hideMark/>
          </w:tcPr>
          <w:p w14:paraId="6AE4E054" w14:textId="1228DB5B" w:rsidR="00F359A5" w:rsidRPr="00772CF7" w:rsidRDefault="00F359A5" w:rsidP="00F359A5">
            <w:pPr>
              <w:suppressAutoHyphens w:val="0"/>
              <w:spacing w:before="0" w:line="240" w:lineRule="auto"/>
              <w:jc w:val="right"/>
              <w:rPr>
                <w:rFonts w:cs="Calibri"/>
                <w:b/>
                <w:bCs/>
                <w:i/>
                <w:iCs/>
                <w:sz w:val="17"/>
                <w:szCs w:val="17"/>
                <w:lang w:val="en-US" w:eastAsia="en-US"/>
              </w:rPr>
            </w:pPr>
            <w:r>
              <w:rPr>
                <w:rFonts w:cs="Calibri"/>
                <w:b/>
                <w:bCs/>
                <w:i/>
                <w:iCs/>
                <w:sz w:val="16"/>
                <w:szCs w:val="16"/>
              </w:rPr>
              <w:t>906</w:t>
            </w:r>
          </w:p>
        </w:tc>
        <w:tc>
          <w:tcPr>
            <w:tcW w:w="851" w:type="dxa"/>
            <w:tcBorders>
              <w:top w:val="nil"/>
              <w:left w:val="nil"/>
              <w:bottom w:val="single" w:sz="4" w:space="0" w:color="auto"/>
              <w:right w:val="nil"/>
            </w:tcBorders>
            <w:shd w:val="clear" w:color="auto" w:fill="auto"/>
            <w:noWrap/>
            <w:vAlign w:val="bottom"/>
            <w:hideMark/>
          </w:tcPr>
          <w:p w14:paraId="697ED958" w14:textId="2CA9D0E9" w:rsidR="00F359A5" w:rsidRPr="00772CF7" w:rsidRDefault="00F359A5" w:rsidP="00F359A5">
            <w:pPr>
              <w:suppressAutoHyphens w:val="0"/>
              <w:spacing w:before="0" w:line="240" w:lineRule="auto"/>
              <w:jc w:val="right"/>
              <w:rPr>
                <w:rFonts w:cs="Calibri"/>
                <w:b/>
                <w:bCs/>
                <w:i/>
                <w:iCs/>
                <w:sz w:val="17"/>
                <w:szCs w:val="17"/>
                <w:lang w:val="en-US" w:eastAsia="en-US"/>
              </w:rPr>
            </w:pPr>
            <w:r>
              <w:rPr>
                <w:rFonts w:cs="Calibri"/>
                <w:b/>
                <w:bCs/>
                <w:i/>
                <w:iCs/>
                <w:sz w:val="16"/>
                <w:szCs w:val="16"/>
              </w:rPr>
              <w:t>896</w:t>
            </w:r>
          </w:p>
        </w:tc>
        <w:tc>
          <w:tcPr>
            <w:tcW w:w="142" w:type="dxa"/>
            <w:tcBorders>
              <w:top w:val="nil"/>
              <w:left w:val="nil"/>
              <w:bottom w:val="nil"/>
              <w:right w:val="nil"/>
            </w:tcBorders>
            <w:shd w:val="clear" w:color="auto" w:fill="auto"/>
            <w:noWrap/>
            <w:vAlign w:val="bottom"/>
            <w:hideMark/>
          </w:tcPr>
          <w:p w14:paraId="4264F549" w14:textId="77777777" w:rsidR="00F359A5" w:rsidRPr="00772CF7" w:rsidRDefault="00F359A5" w:rsidP="00F359A5">
            <w:pPr>
              <w:suppressAutoHyphens w:val="0"/>
              <w:spacing w:before="0" w:line="240" w:lineRule="auto"/>
              <w:jc w:val="right"/>
              <w:rPr>
                <w:rFonts w:cs="Calibri"/>
                <w:b/>
                <w:bCs/>
                <w:i/>
                <w:iCs/>
                <w:sz w:val="17"/>
                <w:szCs w:val="17"/>
                <w:lang w:val="en-US" w:eastAsia="en-US"/>
              </w:rPr>
            </w:pPr>
          </w:p>
        </w:tc>
        <w:tc>
          <w:tcPr>
            <w:tcW w:w="850" w:type="dxa"/>
            <w:vMerge/>
            <w:tcBorders>
              <w:left w:val="nil"/>
              <w:bottom w:val="single" w:sz="4" w:space="0" w:color="auto"/>
              <w:right w:val="nil"/>
            </w:tcBorders>
            <w:shd w:val="clear" w:color="auto" w:fill="auto"/>
            <w:hideMark/>
          </w:tcPr>
          <w:p w14:paraId="3622D613" w14:textId="77777777" w:rsidR="00F359A5" w:rsidRPr="00772CF7" w:rsidRDefault="00F359A5" w:rsidP="00F359A5">
            <w:pPr>
              <w:suppressAutoHyphens w:val="0"/>
              <w:spacing w:before="0" w:line="240" w:lineRule="auto"/>
              <w:jc w:val="left"/>
              <w:rPr>
                <w:rFonts w:cs="Calibri"/>
                <w:b/>
                <w:bCs/>
                <w:i/>
                <w:iCs/>
                <w:color w:val="000000"/>
                <w:sz w:val="17"/>
                <w:szCs w:val="17"/>
                <w:lang w:val="en-US" w:eastAsia="en-US"/>
              </w:rPr>
            </w:pPr>
          </w:p>
        </w:tc>
        <w:tc>
          <w:tcPr>
            <w:tcW w:w="709" w:type="dxa"/>
            <w:tcBorders>
              <w:top w:val="nil"/>
              <w:left w:val="nil"/>
              <w:bottom w:val="single" w:sz="4" w:space="0" w:color="auto"/>
              <w:right w:val="nil"/>
            </w:tcBorders>
            <w:shd w:val="clear" w:color="auto" w:fill="auto"/>
            <w:noWrap/>
            <w:hideMark/>
          </w:tcPr>
          <w:p w14:paraId="717B6799" w14:textId="6708AE98" w:rsidR="00F359A5" w:rsidRPr="00772CF7" w:rsidRDefault="00F359A5" w:rsidP="00F359A5">
            <w:pPr>
              <w:suppressAutoHyphens w:val="0"/>
              <w:spacing w:before="0" w:line="240" w:lineRule="auto"/>
              <w:jc w:val="right"/>
              <w:rPr>
                <w:rFonts w:cs="Calibri"/>
                <w:b/>
                <w:bCs/>
                <w:i/>
                <w:iCs/>
                <w:color w:val="000000"/>
                <w:sz w:val="17"/>
                <w:szCs w:val="17"/>
                <w:lang w:val="en-US" w:eastAsia="en-US"/>
              </w:rPr>
            </w:pPr>
            <w:r>
              <w:rPr>
                <w:rFonts w:cs="Calibri"/>
                <w:b/>
                <w:bCs/>
                <w:i/>
                <w:iCs/>
                <w:color w:val="000000"/>
                <w:sz w:val="16"/>
                <w:szCs w:val="16"/>
              </w:rPr>
              <w:t>44</w:t>
            </w:r>
          </w:p>
        </w:tc>
        <w:tc>
          <w:tcPr>
            <w:tcW w:w="850" w:type="dxa"/>
            <w:tcBorders>
              <w:top w:val="nil"/>
              <w:left w:val="nil"/>
              <w:bottom w:val="single" w:sz="4" w:space="0" w:color="auto"/>
              <w:right w:val="nil"/>
            </w:tcBorders>
            <w:shd w:val="clear" w:color="auto" w:fill="auto"/>
            <w:noWrap/>
            <w:hideMark/>
          </w:tcPr>
          <w:p w14:paraId="26424A7A" w14:textId="65D056B5" w:rsidR="00F359A5" w:rsidRPr="00772CF7" w:rsidRDefault="00F359A5" w:rsidP="00F359A5">
            <w:pPr>
              <w:suppressAutoHyphens w:val="0"/>
              <w:spacing w:before="0" w:line="240" w:lineRule="auto"/>
              <w:jc w:val="right"/>
              <w:rPr>
                <w:rFonts w:cs="Calibri"/>
                <w:b/>
                <w:bCs/>
                <w:i/>
                <w:iCs/>
                <w:sz w:val="17"/>
                <w:szCs w:val="17"/>
                <w:lang w:val="en-US" w:eastAsia="en-US"/>
              </w:rPr>
            </w:pPr>
            <w:r>
              <w:rPr>
                <w:rFonts w:cs="Calibri"/>
                <w:b/>
                <w:bCs/>
                <w:i/>
                <w:iCs/>
                <w:sz w:val="16"/>
                <w:szCs w:val="16"/>
              </w:rPr>
              <w:t>749</w:t>
            </w:r>
          </w:p>
        </w:tc>
        <w:tc>
          <w:tcPr>
            <w:tcW w:w="851" w:type="dxa"/>
            <w:tcBorders>
              <w:top w:val="nil"/>
              <w:left w:val="nil"/>
              <w:bottom w:val="single" w:sz="4" w:space="0" w:color="auto"/>
              <w:right w:val="nil"/>
            </w:tcBorders>
            <w:shd w:val="clear" w:color="auto" w:fill="auto"/>
            <w:noWrap/>
            <w:hideMark/>
          </w:tcPr>
          <w:p w14:paraId="582FE164" w14:textId="55458AA2" w:rsidR="00F359A5" w:rsidRPr="00772CF7" w:rsidRDefault="00F359A5" w:rsidP="00F359A5">
            <w:pPr>
              <w:suppressAutoHyphens w:val="0"/>
              <w:spacing w:before="0" w:line="240" w:lineRule="auto"/>
              <w:jc w:val="right"/>
              <w:rPr>
                <w:rFonts w:cs="Calibri"/>
                <w:b/>
                <w:bCs/>
                <w:i/>
                <w:iCs/>
                <w:sz w:val="17"/>
                <w:szCs w:val="17"/>
                <w:lang w:val="en-US" w:eastAsia="en-US"/>
              </w:rPr>
            </w:pPr>
            <w:r>
              <w:rPr>
                <w:rFonts w:cs="Calibri"/>
                <w:b/>
                <w:bCs/>
                <w:i/>
                <w:iCs/>
                <w:sz w:val="16"/>
                <w:szCs w:val="16"/>
              </w:rPr>
              <w:t>278</w:t>
            </w:r>
          </w:p>
        </w:tc>
        <w:tc>
          <w:tcPr>
            <w:tcW w:w="126" w:type="dxa"/>
            <w:tcBorders>
              <w:top w:val="nil"/>
              <w:left w:val="nil"/>
              <w:bottom w:val="nil"/>
              <w:right w:val="nil"/>
            </w:tcBorders>
            <w:shd w:val="clear" w:color="auto" w:fill="auto"/>
            <w:noWrap/>
            <w:vAlign w:val="bottom"/>
            <w:hideMark/>
          </w:tcPr>
          <w:p w14:paraId="3FE6A693" w14:textId="77777777" w:rsidR="00F359A5" w:rsidRPr="00772CF7" w:rsidRDefault="00F359A5" w:rsidP="00F359A5">
            <w:pPr>
              <w:suppressAutoHyphens w:val="0"/>
              <w:spacing w:before="0" w:line="240" w:lineRule="auto"/>
              <w:jc w:val="right"/>
              <w:rPr>
                <w:rFonts w:cs="Calibri"/>
                <w:b/>
                <w:bCs/>
                <w:i/>
                <w:iCs/>
                <w:sz w:val="17"/>
                <w:szCs w:val="17"/>
                <w:lang w:val="en-US" w:eastAsia="en-US"/>
              </w:rPr>
            </w:pPr>
          </w:p>
        </w:tc>
        <w:tc>
          <w:tcPr>
            <w:tcW w:w="866" w:type="dxa"/>
            <w:vMerge/>
            <w:tcBorders>
              <w:left w:val="nil"/>
              <w:bottom w:val="single" w:sz="4" w:space="0" w:color="auto"/>
              <w:right w:val="nil"/>
            </w:tcBorders>
            <w:shd w:val="clear" w:color="auto" w:fill="auto"/>
            <w:noWrap/>
            <w:vAlign w:val="bottom"/>
            <w:hideMark/>
          </w:tcPr>
          <w:p w14:paraId="0E9128CD" w14:textId="77777777" w:rsidR="00F359A5" w:rsidRPr="00772CF7" w:rsidRDefault="00F359A5" w:rsidP="00F359A5">
            <w:pPr>
              <w:suppressAutoHyphens w:val="0"/>
              <w:spacing w:before="0" w:line="240" w:lineRule="auto"/>
              <w:jc w:val="left"/>
              <w:rPr>
                <w:rFonts w:cs="Calibri"/>
                <w:b/>
                <w:bCs/>
                <w:i/>
                <w:iCs/>
                <w:color w:val="000000"/>
                <w:sz w:val="17"/>
                <w:szCs w:val="17"/>
                <w:lang w:val="en-US" w:eastAsia="en-US"/>
              </w:rPr>
            </w:pPr>
          </w:p>
        </w:tc>
        <w:tc>
          <w:tcPr>
            <w:tcW w:w="890" w:type="dxa"/>
            <w:tcBorders>
              <w:top w:val="nil"/>
              <w:left w:val="nil"/>
              <w:bottom w:val="single" w:sz="4" w:space="0" w:color="auto"/>
              <w:right w:val="nil"/>
            </w:tcBorders>
            <w:shd w:val="clear" w:color="auto" w:fill="auto"/>
            <w:noWrap/>
            <w:hideMark/>
          </w:tcPr>
          <w:p w14:paraId="71D6FA51" w14:textId="58506673" w:rsidR="00F359A5" w:rsidRPr="00772CF7" w:rsidRDefault="00F359A5" w:rsidP="00F359A5">
            <w:pPr>
              <w:suppressAutoHyphens w:val="0"/>
              <w:spacing w:before="0" w:line="240" w:lineRule="auto"/>
              <w:jc w:val="right"/>
              <w:rPr>
                <w:rFonts w:cs="Calibri"/>
                <w:b/>
                <w:bCs/>
                <w:i/>
                <w:iCs/>
                <w:sz w:val="17"/>
                <w:szCs w:val="17"/>
                <w:lang w:val="en-US" w:eastAsia="en-US"/>
              </w:rPr>
            </w:pPr>
            <w:r>
              <w:rPr>
                <w:rFonts w:cs="Calibri"/>
                <w:b/>
                <w:bCs/>
                <w:i/>
                <w:iCs/>
                <w:sz w:val="16"/>
                <w:szCs w:val="16"/>
              </w:rPr>
              <w:t>57</w:t>
            </w:r>
          </w:p>
        </w:tc>
      </w:tr>
      <w:tr w:rsidR="00F359A5" w:rsidRPr="00A836DB" w14:paraId="20927EEA" w14:textId="77777777" w:rsidTr="005B0BB6">
        <w:trPr>
          <w:trHeight w:val="20"/>
        </w:trPr>
        <w:tc>
          <w:tcPr>
            <w:tcW w:w="2127" w:type="dxa"/>
            <w:vMerge w:val="restart"/>
            <w:tcBorders>
              <w:top w:val="nil"/>
              <w:left w:val="nil"/>
              <w:bottom w:val="nil"/>
              <w:right w:val="nil"/>
            </w:tcBorders>
            <w:shd w:val="clear" w:color="000000" w:fill="F2F2F2"/>
            <w:hideMark/>
          </w:tcPr>
          <w:p w14:paraId="4862A673" w14:textId="2EC71524" w:rsidR="00F359A5" w:rsidRPr="00772CF7" w:rsidRDefault="00F359A5" w:rsidP="00F359A5">
            <w:pPr>
              <w:suppressAutoHyphens w:val="0"/>
              <w:spacing w:before="0" w:line="240" w:lineRule="auto"/>
              <w:jc w:val="left"/>
              <w:rPr>
                <w:rFonts w:cs="Calibri"/>
                <w:sz w:val="17"/>
                <w:szCs w:val="17"/>
                <w:lang w:val="en-US" w:eastAsia="en-US"/>
              </w:rPr>
            </w:pPr>
            <w:r>
              <w:rPr>
                <w:rFonts w:cs="Calibri"/>
                <w:color w:val="000000"/>
                <w:sz w:val="17"/>
                <w:szCs w:val="17"/>
              </w:rPr>
              <w:t xml:space="preserve">Fruit and </w:t>
            </w:r>
            <w:proofErr w:type="spellStart"/>
            <w:r>
              <w:rPr>
                <w:rFonts w:cs="Calibri"/>
                <w:color w:val="000000"/>
                <w:sz w:val="17"/>
                <w:szCs w:val="17"/>
              </w:rPr>
              <w:t>fruit</w:t>
            </w:r>
            <w:proofErr w:type="spellEnd"/>
            <w:r>
              <w:rPr>
                <w:rFonts w:cs="Calibri"/>
                <w:color w:val="000000"/>
                <w:sz w:val="17"/>
                <w:szCs w:val="17"/>
              </w:rPr>
              <w:t xml:space="preserve"> </w:t>
            </w:r>
            <w:proofErr w:type="spellStart"/>
            <w:r>
              <w:rPr>
                <w:rFonts w:cs="Calibri"/>
                <w:color w:val="000000"/>
                <w:sz w:val="17"/>
                <w:szCs w:val="17"/>
              </w:rPr>
              <w:t>products</w:t>
            </w:r>
            <w:proofErr w:type="spellEnd"/>
          </w:p>
        </w:tc>
        <w:tc>
          <w:tcPr>
            <w:tcW w:w="708" w:type="dxa"/>
            <w:tcBorders>
              <w:top w:val="nil"/>
              <w:left w:val="nil"/>
              <w:bottom w:val="nil"/>
              <w:right w:val="nil"/>
            </w:tcBorders>
            <w:shd w:val="clear" w:color="000000" w:fill="F2F2F2"/>
            <w:noWrap/>
            <w:hideMark/>
          </w:tcPr>
          <w:p w14:paraId="0B985875" w14:textId="015CFF85"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0.9995</w:t>
            </w:r>
          </w:p>
        </w:tc>
        <w:tc>
          <w:tcPr>
            <w:tcW w:w="567" w:type="dxa"/>
            <w:tcBorders>
              <w:top w:val="nil"/>
              <w:left w:val="nil"/>
              <w:bottom w:val="nil"/>
              <w:right w:val="nil"/>
            </w:tcBorders>
            <w:shd w:val="clear" w:color="000000" w:fill="F2F2F2"/>
            <w:noWrap/>
            <w:hideMark/>
          </w:tcPr>
          <w:p w14:paraId="6E862956" w14:textId="47B7827D"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0.6912</w:t>
            </w:r>
          </w:p>
        </w:tc>
        <w:tc>
          <w:tcPr>
            <w:tcW w:w="851" w:type="dxa"/>
            <w:tcBorders>
              <w:top w:val="nil"/>
              <w:left w:val="nil"/>
              <w:bottom w:val="nil"/>
              <w:right w:val="nil"/>
            </w:tcBorders>
            <w:shd w:val="clear" w:color="000000" w:fill="F2F2F2"/>
            <w:noWrap/>
            <w:hideMark/>
          </w:tcPr>
          <w:p w14:paraId="2BECC839" w14:textId="706B9D03"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35C9EF7A"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top w:val="nil"/>
              <w:left w:val="nil"/>
              <w:bottom w:val="nil"/>
              <w:right w:val="nil"/>
            </w:tcBorders>
            <w:shd w:val="clear" w:color="000000" w:fill="F2F2F2"/>
            <w:hideMark/>
          </w:tcPr>
          <w:p w14:paraId="1EF4DAB6" w14:textId="3F040240"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Oilseed</w:t>
            </w:r>
            <w:proofErr w:type="spellEnd"/>
          </w:p>
        </w:tc>
        <w:tc>
          <w:tcPr>
            <w:tcW w:w="709" w:type="dxa"/>
            <w:tcBorders>
              <w:top w:val="nil"/>
              <w:left w:val="nil"/>
              <w:bottom w:val="nil"/>
              <w:right w:val="nil"/>
            </w:tcBorders>
            <w:shd w:val="clear" w:color="000000" w:fill="F2F2F2"/>
            <w:noWrap/>
            <w:hideMark/>
          </w:tcPr>
          <w:p w14:paraId="32774538" w14:textId="369F6BE1"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000000" w:fill="F2F2F2"/>
            <w:noWrap/>
            <w:hideMark/>
          </w:tcPr>
          <w:p w14:paraId="24A74BAA" w14:textId="4D5C1F58"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w:t>
            </w:r>
          </w:p>
        </w:tc>
        <w:tc>
          <w:tcPr>
            <w:tcW w:w="851" w:type="dxa"/>
            <w:tcBorders>
              <w:top w:val="nil"/>
              <w:left w:val="nil"/>
              <w:bottom w:val="nil"/>
              <w:right w:val="nil"/>
            </w:tcBorders>
            <w:shd w:val="clear" w:color="000000" w:fill="F2F2F2"/>
            <w:noWrap/>
            <w:hideMark/>
          </w:tcPr>
          <w:p w14:paraId="410E75D3" w14:textId="3356858D"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1</w:t>
            </w:r>
          </w:p>
        </w:tc>
        <w:tc>
          <w:tcPr>
            <w:tcW w:w="126" w:type="dxa"/>
            <w:tcBorders>
              <w:top w:val="nil"/>
              <w:left w:val="nil"/>
              <w:bottom w:val="nil"/>
              <w:right w:val="nil"/>
            </w:tcBorders>
            <w:shd w:val="clear" w:color="auto" w:fill="auto"/>
            <w:noWrap/>
            <w:vAlign w:val="bottom"/>
            <w:hideMark/>
          </w:tcPr>
          <w:p w14:paraId="62CAFAEA"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000000" w:fill="F2F2F2"/>
            <w:noWrap/>
            <w:vAlign w:val="bottom"/>
            <w:hideMark/>
          </w:tcPr>
          <w:p w14:paraId="2008C5FE" w14:textId="3ADD1C35"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color w:val="000000"/>
                <w:sz w:val="16"/>
                <w:szCs w:val="16"/>
              </w:rPr>
              <w:t>Beef</w:t>
            </w:r>
          </w:p>
        </w:tc>
        <w:tc>
          <w:tcPr>
            <w:tcW w:w="890" w:type="dxa"/>
            <w:tcBorders>
              <w:top w:val="nil"/>
              <w:left w:val="nil"/>
              <w:bottom w:val="nil"/>
              <w:right w:val="nil"/>
            </w:tcBorders>
            <w:shd w:val="clear" w:color="000000" w:fill="F2F2F2"/>
            <w:noWrap/>
            <w:hideMark/>
          </w:tcPr>
          <w:p w14:paraId="0BA052BB" w14:textId="5E2D063D"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0.9853</w:t>
            </w:r>
          </w:p>
        </w:tc>
      </w:tr>
      <w:tr w:rsidR="00F359A5" w:rsidRPr="00772CF7" w14:paraId="53780BBF" w14:textId="77777777" w:rsidTr="005B0BB6">
        <w:trPr>
          <w:trHeight w:val="20"/>
        </w:trPr>
        <w:tc>
          <w:tcPr>
            <w:tcW w:w="2127" w:type="dxa"/>
            <w:vMerge/>
            <w:tcBorders>
              <w:top w:val="nil"/>
              <w:left w:val="nil"/>
              <w:bottom w:val="nil"/>
              <w:right w:val="nil"/>
            </w:tcBorders>
            <w:vAlign w:val="center"/>
            <w:hideMark/>
          </w:tcPr>
          <w:p w14:paraId="2F1BAC94"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53B86DE0" w14:textId="4483285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124</w:t>
            </w:r>
          </w:p>
        </w:tc>
        <w:tc>
          <w:tcPr>
            <w:tcW w:w="567" w:type="dxa"/>
            <w:tcBorders>
              <w:top w:val="nil"/>
              <w:left w:val="nil"/>
              <w:bottom w:val="nil"/>
              <w:right w:val="nil"/>
            </w:tcBorders>
            <w:shd w:val="clear" w:color="000000" w:fill="F2F2F2"/>
            <w:noWrap/>
            <w:hideMark/>
          </w:tcPr>
          <w:p w14:paraId="655C087C" w14:textId="18BB29C4"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73</w:t>
            </w:r>
          </w:p>
        </w:tc>
        <w:tc>
          <w:tcPr>
            <w:tcW w:w="851" w:type="dxa"/>
            <w:tcBorders>
              <w:top w:val="nil"/>
              <w:left w:val="nil"/>
              <w:bottom w:val="nil"/>
              <w:right w:val="nil"/>
            </w:tcBorders>
            <w:shd w:val="clear" w:color="000000" w:fill="F2F2F2"/>
            <w:noWrap/>
            <w:hideMark/>
          </w:tcPr>
          <w:p w14:paraId="16BE5C49" w14:textId="6BA36E3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73</w:t>
            </w:r>
          </w:p>
        </w:tc>
        <w:tc>
          <w:tcPr>
            <w:tcW w:w="142" w:type="dxa"/>
            <w:tcBorders>
              <w:top w:val="nil"/>
              <w:left w:val="nil"/>
              <w:bottom w:val="nil"/>
              <w:right w:val="nil"/>
            </w:tcBorders>
            <w:shd w:val="clear" w:color="auto" w:fill="auto"/>
            <w:noWrap/>
            <w:vAlign w:val="bottom"/>
            <w:hideMark/>
          </w:tcPr>
          <w:p w14:paraId="1FE70AD4"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top w:val="nil"/>
              <w:left w:val="nil"/>
              <w:bottom w:val="nil"/>
              <w:right w:val="nil"/>
            </w:tcBorders>
            <w:shd w:val="clear" w:color="000000" w:fill="F2F2F2"/>
            <w:hideMark/>
          </w:tcPr>
          <w:p w14:paraId="7D97243B" w14:textId="6B58B887" w:rsidR="00F359A5" w:rsidRPr="00772CF7" w:rsidRDefault="00F359A5" w:rsidP="00F359A5">
            <w:pPr>
              <w:suppressAutoHyphens w:val="0"/>
              <w:spacing w:before="0" w:line="240" w:lineRule="auto"/>
              <w:jc w:val="left"/>
              <w:rPr>
                <w:rFonts w:cs="Calibri"/>
                <w:i/>
                <w:iCs/>
                <w:color w:val="000000"/>
                <w:sz w:val="17"/>
                <w:szCs w:val="17"/>
                <w:lang w:val="en-US" w:eastAsia="en-US"/>
              </w:rPr>
            </w:pPr>
            <w:r>
              <w:rPr>
                <w:rFonts w:cs="Calibri"/>
                <w:i/>
                <w:iCs/>
                <w:color w:val="000000"/>
                <w:sz w:val="16"/>
                <w:szCs w:val="16"/>
              </w:rPr>
              <w:t> </w:t>
            </w:r>
          </w:p>
        </w:tc>
        <w:tc>
          <w:tcPr>
            <w:tcW w:w="709" w:type="dxa"/>
            <w:tcBorders>
              <w:top w:val="nil"/>
              <w:left w:val="nil"/>
              <w:bottom w:val="nil"/>
              <w:right w:val="nil"/>
            </w:tcBorders>
            <w:shd w:val="clear" w:color="000000" w:fill="F2F2F2"/>
            <w:noWrap/>
            <w:hideMark/>
          </w:tcPr>
          <w:p w14:paraId="2A55D4A2" w14:textId="70B10027"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2</w:t>
            </w:r>
          </w:p>
        </w:tc>
        <w:tc>
          <w:tcPr>
            <w:tcW w:w="850" w:type="dxa"/>
            <w:tcBorders>
              <w:top w:val="nil"/>
              <w:left w:val="nil"/>
              <w:bottom w:val="nil"/>
              <w:right w:val="nil"/>
            </w:tcBorders>
            <w:shd w:val="clear" w:color="000000" w:fill="F2F2F2"/>
            <w:noWrap/>
            <w:hideMark/>
          </w:tcPr>
          <w:p w14:paraId="39CB2597" w14:textId="628CC265"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w:t>
            </w:r>
          </w:p>
        </w:tc>
        <w:tc>
          <w:tcPr>
            <w:tcW w:w="851" w:type="dxa"/>
            <w:tcBorders>
              <w:top w:val="nil"/>
              <w:left w:val="nil"/>
              <w:bottom w:val="nil"/>
              <w:right w:val="nil"/>
            </w:tcBorders>
            <w:shd w:val="clear" w:color="000000" w:fill="F2F2F2"/>
            <w:noWrap/>
            <w:hideMark/>
          </w:tcPr>
          <w:p w14:paraId="416DEA6C" w14:textId="2940853D"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w:t>
            </w:r>
          </w:p>
        </w:tc>
        <w:tc>
          <w:tcPr>
            <w:tcW w:w="126" w:type="dxa"/>
            <w:tcBorders>
              <w:top w:val="nil"/>
              <w:left w:val="nil"/>
              <w:bottom w:val="nil"/>
              <w:right w:val="nil"/>
            </w:tcBorders>
            <w:shd w:val="clear" w:color="auto" w:fill="auto"/>
            <w:noWrap/>
            <w:vAlign w:val="bottom"/>
            <w:hideMark/>
          </w:tcPr>
          <w:p w14:paraId="30C6FF89"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bottom w:val="nil"/>
              <w:right w:val="nil"/>
            </w:tcBorders>
            <w:shd w:val="clear" w:color="000000" w:fill="F2F2F2"/>
            <w:noWrap/>
            <w:vAlign w:val="bottom"/>
            <w:hideMark/>
          </w:tcPr>
          <w:p w14:paraId="5D45FD7D" w14:textId="60183B91" w:rsidR="00F359A5" w:rsidRPr="00772CF7" w:rsidRDefault="00F359A5" w:rsidP="00F359A5">
            <w:pPr>
              <w:suppressAutoHyphens w:val="0"/>
              <w:spacing w:before="0" w:line="240" w:lineRule="auto"/>
              <w:jc w:val="left"/>
              <w:rPr>
                <w:rFonts w:cs="Calibri"/>
                <w:i/>
                <w:iCs/>
                <w:color w:val="000000"/>
                <w:sz w:val="17"/>
                <w:szCs w:val="17"/>
                <w:lang w:val="en-US" w:eastAsia="en-US"/>
              </w:rPr>
            </w:pPr>
            <w:r>
              <w:rPr>
                <w:rFonts w:cs="Calibri"/>
                <w:i/>
                <w:iCs/>
                <w:color w:val="000000"/>
                <w:sz w:val="16"/>
                <w:szCs w:val="16"/>
              </w:rPr>
              <w:t> </w:t>
            </w:r>
          </w:p>
        </w:tc>
        <w:tc>
          <w:tcPr>
            <w:tcW w:w="890" w:type="dxa"/>
            <w:tcBorders>
              <w:top w:val="nil"/>
              <w:left w:val="nil"/>
              <w:bottom w:val="nil"/>
              <w:right w:val="nil"/>
            </w:tcBorders>
            <w:shd w:val="clear" w:color="000000" w:fill="F2F2F2"/>
            <w:noWrap/>
            <w:hideMark/>
          </w:tcPr>
          <w:p w14:paraId="611A92A1" w14:textId="73F3025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20</w:t>
            </w:r>
          </w:p>
        </w:tc>
      </w:tr>
      <w:tr w:rsidR="00F359A5" w:rsidRPr="00772CF7" w14:paraId="52D9ED20" w14:textId="77777777" w:rsidTr="006D6BAE">
        <w:trPr>
          <w:trHeight w:val="20"/>
        </w:trPr>
        <w:tc>
          <w:tcPr>
            <w:tcW w:w="2127" w:type="dxa"/>
            <w:vMerge w:val="restart"/>
            <w:tcBorders>
              <w:top w:val="nil"/>
              <w:left w:val="nil"/>
              <w:bottom w:val="nil"/>
              <w:right w:val="nil"/>
            </w:tcBorders>
            <w:shd w:val="clear" w:color="auto" w:fill="auto"/>
            <w:hideMark/>
          </w:tcPr>
          <w:p w14:paraId="3F676F62" w14:textId="5AC54FEF" w:rsidR="00F359A5" w:rsidRPr="00772CF7" w:rsidRDefault="00F359A5" w:rsidP="00F359A5">
            <w:pPr>
              <w:suppressAutoHyphens w:val="0"/>
              <w:spacing w:before="0" w:line="240" w:lineRule="auto"/>
              <w:jc w:val="left"/>
              <w:rPr>
                <w:rFonts w:cs="Calibri"/>
                <w:sz w:val="17"/>
                <w:szCs w:val="17"/>
                <w:lang w:val="en-US" w:eastAsia="en-US"/>
              </w:rPr>
            </w:pPr>
            <w:r>
              <w:rPr>
                <w:rFonts w:cs="Calibri"/>
                <w:color w:val="000000"/>
                <w:sz w:val="17"/>
                <w:szCs w:val="17"/>
              </w:rPr>
              <w:t xml:space="preserve">Milk and </w:t>
            </w:r>
            <w:proofErr w:type="spellStart"/>
            <w:r>
              <w:rPr>
                <w:rFonts w:cs="Calibri"/>
                <w:color w:val="000000"/>
                <w:sz w:val="17"/>
                <w:szCs w:val="17"/>
              </w:rPr>
              <w:t>dairy</w:t>
            </w:r>
            <w:proofErr w:type="spellEnd"/>
            <w:r>
              <w:rPr>
                <w:rFonts w:cs="Calibri"/>
                <w:color w:val="000000"/>
                <w:sz w:val="17"/>
                <w:szCs w:val="17"/>
              </w:rPr>
              <w:t xml:space="preserve"> </w:t>
            </w:r>
            <w:proofErr w:type="spellStart"/>
            <w:r>
              <w:rPr>
                <w:rFonts w:cs="Calibri"/>
                <w:color w:val="000000"/>
                <w:sz w:val="17"/>
                <w:szCs w:val="17"/>
              </w:rPr>
              <w:t>products</w:t>
            </w:r>
            <w:proofErr w:type="spellEnd"/>
          </w:p>
        </w:tc>
        <w:tc>
          <w:tcPr>
            <w:tcW w:w="708" w:type="dxa"/>
            <w:tcBorders>
              <w:top w:val="nil"/>
              <w:left w:val="nil"/>
              <w:bottom w:val="nil"/>
              <w:right w:val="nil"/>
            </w:tcBorders>
            <w:shd w:val="clear" w:color="auto" w:fill="auto"/>
            <w:noWrap/>
            <w:hideMark/>
          </w:tcPr>
          <w:p w14:paraId="7E28EA00" w14:textId="198FAEEE"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0.9995</w:t>
            </w:r>
          </w:p>
        </w:tc>
        <w:tc>
          <w:tcPr>
            <w:tcW w:w="567" w:type="dxa"/>
            <w:tcBorders>
              <w:top w:val="nil"/>
              <w:left w:val="nil"/>
              <w:bottom w:val="nil"/>
              <w:right w:val="nil"/>
            </w:tcBorders>
            <w:shd w:val="clear" w:color="auto" w:fill="auto"/>
            <w:noWrap/>
            <w:hideMark/>
          </w:tcPr>
          <w:p w14:paraId="02A5F552" w14:textId="1FE4BABA"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0.9108</w:t>
            </w:r>
          </w:p>
        </w:tc>
        <w:tc>
          <w:tcPr>
            <w:tcW w:w="851" w:type="dxa"/>
            <w:tcBorders>
              <w:top w:val="nil"/>
              <w:left w:val="nil"/>
              <w:bottom w:val="nil"/>
              <w:right w:val="nil"/>
            </w:tcBorders>
            <w:shd w:val="clear" w:color="auto" w:fill="auto"/>
            <w:noWrap/>
            <w:hideMark/>
          </w:tcPr>
          <w:p w14:paraId="33C0ECE2" w14:textId="2C974E42"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0.7644</w:t>
            </w:r>
          </w:p>
        </w:tc>
        <w:tc>
          <w:tcPr>
            <w:tcW w:w="142" w:type="dxa"/>
            <w:tcBorders>
              <w:top w:val="nil"/>
              <w:left w:val="nil"/>
              <w:bottom w:val="nil"/>
              <w:right w:val="nil"/>
            </w:tcBorders>
            <w:shd w:val="clear" w:color="auto" w:fill="auto"/>
            <w:noWrap/>
            <w:vAlign w:val="bottom"/>
            <w:hideMark/>
          </w:tcPr>
          <w:p w14:paraId="0B4C6662"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bottom w:val="nil"/>
              <w:right w:val="nil"/>
            </w:tcBorders>
            <w:shd w:val="clear" w:color="auto" w:fill="auto"/>
            <w:hideMark/>
          </w:tcPr>
          <w:p w14:paraId="0D0084A3" w14:textId="742200FE"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Cereals</w:t>
            </w:r>
            <w:proofErr w:type="spellEnd"/>
          </w:p>
        </w:tc>
        <w:tc>
          <w:tcPr>
            <w:tcW w:w="709" w:type="dxa"/>
            <w:tcBorders>
              <w:top w:val="nil"/>
              <w:left w:val="nil"/>
              <w:bottom w:val="nil"/>
              <w:right w:val="nil"/>
            </w:tcBorders>
            <w:shd w:val="clear" w:color="auto" w:fill="auto"/>
            <w:noWrap/>
            <w:hideMark/>
          </w:tcPr>
          <w:p w14:paraId="67ED1C2E" w14:textId="56F22A58"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auto" w:fill="auto"/>
            <w:noWrap/>
            <w:hideMark/>
          </w:tcPr>
          <w:p w14:paraId="0E5F0F0B" w14:textId="34AEAF47"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0.9719</w:t>
            </w:r>
          </w:p>
        </w:tc>
        <w:tc>
          <w:tcPr>
            <w:tcW w:w="851" w:type="dxa"/>
            <w:tcBorders>
              <w:top w:val="nil"/>
              <w:left w:val="nil"/>
              <w:bottom w:val="nil"/>
              <w:right w:val="nil"/>
            </w:tcBorders>
            <w:shd w:val="clear" w:color="auto" w:fill="auto"/>
            <w:noWrap/>
            <w:hideMark/>
          </w:tcPr>
          <w:p w14:paraId="6FD0D5E9" w14:textId="51C468FC"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3</w:t>
            </w:r>
          </w:p>
        </w:tc>
        <w:tc>
          <w:tcPr>
            <w:tcW w:w="126" w:type="dxa"/>
            <w:tcBorders>
              <w:top w:val="nil"/>
              <w:left w:val="nil"/>
              <w:bottom w:val="nil"/>
              <w:right w:val="nil"/>
            </w:tcBorders>
            <w:shd w:val="clear" w:color="auto" w:fill="auto"/>
            <w:noWrap/>
            <w:vAlign w:val="bottom"/>
            <w:hideMark/>
          </w:tcPr>
          <w:p w14:paraId="39AB3F56"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vMerge w:val="restart"/>
            <w:tcBorders>
              <w:top w:val="nil"/>
              <w:left w:val="nil"/>
              <w:bottom w:val="nil"/>
              <w:right w:val="nil"/>
            </w:tcBorders>
            <w:shd w:val="clear" w:color="auto" w:fill="auto"/>
            <w:noWrap/>
            <w:hideMark/>
          </w:tcPr>
          <w:p w14:paraId="79A98B19" w14:textId="6D41B2FC"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Sheep</w:t>
            </w:r>
            <w:proofErr w:type="spellEnd"/>
            <w:r>
              <w:rPr>
                <w:rFonts w:cs="Calibri"/>
                <w:color w:val="000000"/>
                <w:sz w:val="16"/>
                <w:szCs w:val="16"/>
              </w:rPr>
              <w:t xml:space="preserve"> and </w:t>
            </w:r>
            <w:proofErr w:type="spellStart"/>
            <w:r>
              <w:rPr>
                <w:rFonts w:cs="Calibri"/>
                <w:color w:val="000000"/>
                <w:sz w:val="16"/>
                <w:szCs w:val="16"/>
              </w:rPr>
              <w:t>goat</w:t>
            </w:r>
            <w:proofErr w:type="spellEnd"/>
          </w:p>
        </w:tc>
        <w:tc>
          <w:tcPr>
            <w:tcW w:w="890" w:type="dxa"/>
            <w:tcBorders>
              <w:top w:val="nil"/>
              <w:left w:val="nil"/>
              <w:bottom w:val="nil"/>
              <w:right w:val="nil"/>
            </w:tcBorders>
            <w:shd w:val="clear" w:color="auto" w:fill="auto"/>
            <w:noWrap/>
            <w:hideMark/>
          </w:tcPr>
          <w:p w14:paraId="784A3B82" w14:textId="1CFB4B88"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1.0000</w:t>
            </w:r>
          </w:p>
        </w:tc>
      </w:tr>
      <w:tr w:rsidR="00F359A5" w:rsidRPr="00772CF7" w14:paraId="6530FB8A" w14:textId="77777777" w:rsidTr="005B0BB6">
        <w:trPr>
          <w:trHeight w:val="20"/>
        </w:trPr>
        <w:tc>
          <w:tcPr>
            <w:tcW w:w="2127" w:type="dxa"/>
            <w:vMerge/>
            <w:tcBorders>
              <w:top w:val="nil"/>
              <w:left w:val="nil"/>
              <w:bottom w:val="nil"/>
              <w:right w:val="nil"/>
            </w:tcBorders>
            <w:vAlign w:val="center"/>
            <w:hideMark/>
          </w:tcPr>
          <w:p w14:paraId="0D6ACB0E"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54FC972D" w14:textId="3819360D"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162</w:t>
            </w:r>
          </w:p>
        </w:tc>
        <w:tc>
          <w:tcPr>
            <w:tcW w:w="567" w:type="dxa"/>
            <w:tcBorders>
              <w:top w:val="nil"/>
              <w:left w:val="nil"/>
              <w:bottom w:val="nil"/>
              <w:right w:val="nil"/>
            </w:tcBorders>
            <w:shd w:val="clear" w:color="auto" w:fill="auto"/>
            <w:noWrap/>
            <w:hideMark/>
          </w:tcPr>
          <w:p w14:paraId="794070F0" w14:textId="14ECA28E"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73</w:t>
            </w:r>
          </w:p>
        </w:tc>
        <w:tc>
          <w:tcPr>
            <w:tcW w:w="851" w:type="dxa"/>
            <w:tcBorders>
              <w:top w:val="nil"/>
              <w:left w:val="nil"/>
              <w:bottom w:val="nil"/>
              <w:right w:val="nil"/>
            </w:tcBorders>
            <w:shd w:val="clear" w:color="auto" w:fill="auto"/>
            <w:noWrap/>
            <w:hideMark/>
          </w:tcPr>
          <w:p w14:paraId="38398DFD" w14:textId="03CBF8E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73</w:t>
            </w:r>
          </w:p>
        </w:tc>
        <w:tc>
          <w:tcPr>
            <w:tcW w:w="142" w:type="dxa"/>
            <w:tcBorders>
              <w:top w:val="nil"/>
              <w:left w:val="nil"/>
              <w:bottom w:val="nil"/>
              <w:right w:val="nil"/>
            </w:tcBorders>
            <w:shd w:val="clear" w:color="auto" w:fill="auto"/>
            <w:noWrap/>
            <w:vAlign w:val="bottom"/>
            <w:hideMark/>
          </w:tcPr>
          <w:p w14:paraId="130904D8"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top w:val="nil"/>
              <w:left w:val="nil"/>
              <w:bottom w:val="nil"/>
              <w:right w:val="nil"/>
            </w:tcBorders>
            <w:vAlign w:val="center"/>
            <w:hideMark/>
          </w:tcPr>
          <w:p w14:paraId="5C0B9574"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tcBorders>
              <w:top w:val="nil"/>
              <w:left w:val="nil"/>
              <w:bottom w:val="nil"/>
              <w:right w:val="nil"/>
            </w:tcBorders>
            <w:shd w:val="clear" w:color="auto" w:fill="auto"/>
            <w:noWrap/>
            <w:hideMark/>
          </w:tcPr>
          <w:p w14:paraId="43716BD1" w14:textId="4B827BDF"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6</w:t>
            </w:r>
          </w:p>
        </w:tc>
        <w:tc>
          <w:tcPr>
            <w:tcW w:w="850" w:type="dxa"/>
            <w:tcBorders>
              <w:top w:val="nil"/>
              <w:left w:val="nil"/>
              <w:bottom w:val="nil"/>
              <w:right w:val="nil"/>
            </w:tcBorders>
            <w:shd w:val="clear" w:color="auto" w:fill="auto"/>
            <w:noWrap/>
            <w:hideMark/>
          </w:tcPr>
          <w:p w14:paraId="7142013F" w14:textId="3A78995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72</w:t>
            </w:r>
          </w:p>
        </w:tc>
        <w:tc>
          <w:tcPr>
            <w:tcW w:w="851" w:type="dxa"/>
            <w:tcBorders>
              <w:top w:val="nil"/>
              <w:left w:val="nil"/>
              <w:bottom w:val="nil"/>
              <w:right w:val="nil"/>
            </w:tcBorders>
            <w:shd w:val="clear" w:color="auto" w:fill="auto"/>
            <w:noWrap/>
            <w:hideMark/>
          </w:tcPr>
          <w:p w14:paraId="0C36C34E" w14:textId="5D144D33"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0</w:t>
            </w:r>
          </w:p>
        </w:tc>
        <w:tc>
          <w:tcPr>
            <w:tcW w:w="126" w:type="dxa"/>
            <w:tcBorders>
              <w:top w:val="nil"/>
              <w:left w:val="nil"/>
              <w:bottom w:val="nil"/>
              <w:right w:val="nil"/>
            </w:tcBorders>
            <w:shd w:val="clear" w:color="auto" w:fill="auto"/>
            <w:noWrap/>
            <w:vAlign w:val="bottom"/>
            <w:hideMark/>
          </w:tcPr>
          <w:p w14:paraId="2BEF2CBA"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vMerge/>
            <w:tcBorders>
              <w:top w:val="nil"/>
              <w:left w:val="nil"/>
              <w:bottom w:val="nil"/>
              <w:right w:val="nil"/>
            </w:tcBorders>
            <w:vAlign w:val="center"/>
            <w:hideMark/>
          </w:tcPr>
          <w:p w14:paraId="1193A78D"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890" w:type="dxa"/>
            <w:tcBorders>
              <w:top w:val="nil"/>
              <w:left w:val="nil"/>
              <w:bottom w:val="nil"/>
              <w:right w:val="nil"/>
            </w:tcBorders>
            <w:shd w:val="clear" w:color="auto" w:fill="auto"/>
            <w:noWrap/>
            <w:hideMark/>
          </w:tcPr>
          <w:p w14:paraId="688F86BD" w14:textId="1CC66C0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w:t>
            </w:r>
          </w:p>
        </w:tc>
      </w:tr>
      <w:tr w:rsidR="00F359A5" w:rsidRPr="00A836DB" w14:paraId="09BFAD52" w14:textId="77777777" w:rsidTr="005B0BB6">
        <w:trPr>
          <w:trHeight w:val="20"/>
        </w:trPr>
        <w:tc>
          <w:tcPr>
            <w:tcW w:w="2127" w:type="dxa"/>
            <w:vMerge w:val="restart"/>
            <w:tcBorders>
              <w:top w:val="nil"/>
              <w:left w:val="nil"/>
              <w:bottom w:val="nil"/>
              <w:right w:val="nil"/>
            </w:tcBorders>
            <w:shd w:val="clear" w:color="000000" w:fill="F2F2F2"/>
            <w:hideMark/>
          </w:tcPr>
          <w:p w14:paraId="232ED924" w14:textId="47465663" w:rsidR="00F359A5" w:rsidRPr="00772CF7" w:rsidRDefault="00F359A5" w:rsidP="00F359A5">
            <w:pPr>
              <w:suppressAutoHyphens w:val="0"/>
              <w:spacing w:before="0" w:line="240" w:lineRule="auto"/>
              <w:jc w:val="left"/>
              <w:rPr>
                <w:rFonts w:cs="Calibri"/>
                <w:sz w:val="17"/>
                <w:szCs w:val="17"/>
                <w:lang w:val="en-US" w:eastAsia="en-US"/>
              </w:rPr>
            </w:pPr>
            <w:r>
              <w:rPr>
                <w:rFonts w:cs="Calibri"/>
                <w:color w:val="000000"/>
                <w:sz w:val="17"/>
                <w:szCs w:val="17"/>
              </w:rPr>
              <w:t xml:space="preserve">Eggs and egg </w:t>
            </w:r>
            <w:proofErr w:type="spellStart"/>
            <w:r>
              <w:rPr>
                <w:rFonts w:cs="Calibri"/>
                <w:color w:val="000000"/>
                <w:sz w:val="17"/>
                <w:szCs w:val="17"/>
              </w:rPr>
              <w:t>products</w:t>
            </w:r>
            <w:proofErr w:type="spellEnd"/>
          </w:p>
        </w:tc>
        <w:tc>
          <w:tcPr>
            <w:tcW w:w="708" w:type="dxa"/>
            <w:tcBorders>
              <w:top w:val="nil"/>
              <w:left w:val="nil"/>
              <w:bottom w:val="nil"/>
              <w:right w:val="nil"/>
            </w:tcBorders>
            <w:shd w:val="clear" w:color="000000" w:fill="F2F2F2"/>
            <w:noWrap/>
            <w:hideMark/>
          </w:tcPr>
          <w:p w14:paraId="574D0528" w14:textId="1F44B9FE"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0.9394</w:t>
            </w:r>
          </w:p>
        </w:tc>
        <w:tc>
          <w:tcPr>
            <w:tcW w:w="567" w:type="dxa"/>
            <w:tcBorders>
              <w:top w:val="nil"/>
              <w:left w:val="nil"/>
              <w:bottom w:val="nil"/>
              <w:right w:val="nil"/>
            </w:tcBorders>
            <w:shd w:val="clear" w:color="000000" w:fill="F2F2F2"/>
            <w:noWrap/>
            <w:hideMark/>
          </w:tcPr>
          <w:p w14:paraId="40CBA985" w14:textId="56AC28B2"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0.3333</w:t>
            </w:r>
          </w:p>
        </w:tc>
        <w:tc>
          <w:tcPr>
            <w:tcW w:w="851" w:type="dxa"/>
            <w:tcBorders>
              <w:top w:val="nil"/>
              <w:left w:val="nil"/>
              <w:bottom w:val="nil"/>
              <w:right w:val="nil"/>
            </w:tcBorders>
            <w:shd w:val="clear" w:color="000000" w:fill="F2F2F2"/>
            <w:noWrap/>
            <w:hideMark/>
          </w:tcPr>
          <w:p w14:paraId="603332EC" w14:textId="576361E5"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27357F3F"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right w:val="nil"/>
            </w:tcBorders>
            <w:shd w:val="clear" w:color="000000" w:fill="F2F2F2"/>
            <w:hideMark/>
          </w:tcPr>
          <w:p w14:paraId="5FFED98D"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color w:val="000000"/>
                <w:sz w:val="16"/>
                <w:szCs w:val="16"/>
              </w:rPr>
              <w:t xml:space="preserve">Other </w:t>
            </w:r>
            <w:proofErr w:type="spellStart"/>
            <w:r>
              <w:rPr>
                <w:rFonts w:cs="Calibri"/>
                <w:color w:val="000000"/>
                <w:sz w:val="16"/>
                <w:szCs w:val="16"/>
              </w:rPr>
              <w:t>crops</w:t>
            </w:r>
            <w:proofErr w:type="spellEnd"/>
          </w:p>
          <w:p w14:paraId="4A5F62DC" w14:textId="4EECDDB3"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i/>
                <w:iCs/>
                <w:color w:val="000000"/>
                <w:sz w:val="16"/>
                <w:szCs w:val="16"/>
              </w:rPr>
              <w:t> </w:t>
            </w:r>
          </w:p>
        </w:tc>
        <w:tc>
          <w:tcPr>
            <w:tcW w:w="709" w:type="dxa"/>
            <w:tcBorders>
              <w:top w:val="nil"/>
              <w:left w:val="nil"/>
              <w:bottom w:val="nil"/>
              <w:right w:val="nil"/>
            </w:tcBorders>
            <w:shd w:val="clear" w:color="000000" w:fill="F2F2F2"/>
            <w:noWrap/>
            <w:hideMark/>
          </w:tcPr>
          <w:p w14:paraId="48607CFF" w14:textId="5EA8530E"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000000" w:fill="F2F2F2"/>
            <w:noWrap/>
            <w:hideMark/>
          </w:tcPr>
          <w:p w14:paraId="38A80BC4" w14:textId="2C5B6E6D"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0.9976</w:t>
            </w:r>
          </w:p>
        </w:tc>
        <w:tc>
          <w:tcPr>
            <w:tcW w:w="851" w:type="dxa"/>
            <w:tcBorders>
              <w:top w:val="nil"/>
              <w:left w:val="nil"/>
              <w:bottom w:val="nil"/>
              <w:right w:val="nil"/>
            </w:tcBorders>
            <w:shd w:val="clear" w:color="000000" w:fill="F2F2F2"/>
            <w:noWrap/>
            <w:hideMark/>
          </w:tcPr>
          <w:p w14:paraId="21D842D6" w14:textId="2C4CF26B"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1</w:t>
            </w:r>
          </w:p>
        </w:tc>
        <w:tc>
          <w:tcPr>
            <w:tcW w:w="126" w:type="dxa"/>
            <w:tcBorders>
              <w:top w:val="nil"/>
              <w:left w:val="nil"/>
              <w:bottom w:val="nil"/>
              <w:right w:val="nil"/>
            </w:tcBorders>
            <w:shd w:val="clear" w:color="auto" w:fill="auto"/>
            <w:noWrap/>
            <w:vAlign w:val="bottom"/>
            <w:hideMark/>
          </w:tcPr>
          <w:p w14:paraId="0088BD0D"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000000" w:fill="F2F2F2"/>
            <w:noWrap/>
            <w:vAlign w:val="bottom"/>
            <w:hideMark/>
          </w:tcPr>
          <w:p w14:paraId="18C93CC5" w14:textId="3A7F4FB7"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Pork</w:t>
            </w:r>
            <w:proofErr w:type="spellEnd"/>
          </w:p>
        </w:tc>
        <w:tc>
          <w:tcPr>
            <w:tcW w:w="890" w:type="dxa"/>
            <w:tcBorders>
              <w:top w:val="nil"/>
              <w:left w:val="nil"/>
              <w:bottom w:val="nil"/>
              <w:right w:val="nil"/>
            </w:tcBorders>
            <w:shd w:val="clear" w:color="000000" w:fill="F2F2F2"/>
            <w:noWrap/>
            <w:hideMark/>
          </w:tcPr>
          <w:p w14:paraId="7B2D0903" w14:textId="4EDCADAC"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0.9989</w:t>
            </w:r>
          </w:p>
        </w:tc>
      </w:tr>
      <w:tr w:rsidR="00F359A5" w:rsidRPr="00772CF7" w14:paraId="2856723E" w14:textId="77777777" w:rsidTr="005B0BB6">
        <w:trPr>
          <w:trHeight w:val="20"/>
        </w:trPr>
        <w:tc>
          <w:tcPr>
            <w:tcW w:w="2127" w:type="dxa"/>
            <w:vMerge/>
            <w:tcBorders>
              <w:top w:val="nil"/>
              <w:left w:val="nil"/>
              <w:bottom w:val="nil"/>
              <w:right w:val="nil"/>
            </w:tcBorders>
            <w:vAlign w:val="center"/>
            <w:hideMark/>
          </w:tcPr>
          <w:p w14:paraId="1968C9FB"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64195595" w14:textId="5567D5E3"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18</w:t>
            </w:r>
          </w:p>
        </w:tc>
        <w:tc>
          <w:tcPr>
            <w:tcW w:w="567" w:type="dxa"/>
            <w:tcBorders>
              <w:top w:val="nil"/>
              <w:left w:val="nil"/>
              <w:bottom w:val="nil"/>
              <w:right w:val="nil"/>
            </w:tcBorders>
            <w:shd w:val="clear" w:color="000000" w:fill="F2F2F2"/>
            <w:noWrap/>
            <w:hideMark/>
          </w:tcPr>
          <w:p w14:paraId="3AF52632" w14:textId="1601F529"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851" w:type="dxa"/>
            <w:tcBorders>
              <w:top w:val="nil"/>
              <w:left w:val="nil"/>
              <w:bottom w:val="nil"/>
              <w:right w:val="nil"/>
            </w:tcBorders>
            <w:shd w:val="clear" w:color="000000" w:fill="F2F2F2"/>
            <w:noWrap/>
            <w:hideMark/>
          </w:tcPr>
          <w:p w14:paraId="69C729AC" w14:textId="42D2532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142" w:type="dxa"/>
            <w:tcBorders>
              <w:top w:val="nil"/>
              <w:left w:val="nil"/>
              <w:bottom w:val="nil"/>
              <w:right w:val="nil"/>
            </w:tcBorders>
            <w:shd w:val="clear" w:color="auto" w:fill="auto"/>
            <w:noWrap/>
            <w:vAlign w:val="bottom"/>
            <w:hideMark/>
          </w:tcPr>
          <w:p w14:paraId="18969FB3"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left w:val="nil"/>
              <w:bottom w:val="nil"/>
              <w:right w:val="nil"/>
            </w:tcBorders>
            <w:shd w:val="clear" w:color="000000" w:fill="F2F2F2"/>
            <w:hideMark/>
          </w:tcPr>
          <w:p w14:paraId="6579654D" w14:textId="100BA844" w:rsidR="00F359A5" w:rsidRPr="00772CF7" w:rsidRDefault="00F359A5" w:rsidP="00F359A5">
            <w:pPr>
              <w:suppressAutoHyphens w:val="0"/>
              <w:spacing w:before="0" w:line="240" w:lineRule="auto"/>
              <w:jc w:val="left"/>
              <w:rPr>
                <w:rFonts w:cs="Calibri"/>
                <w:i/>
                <w:iCs/>
                <w:color w:val="000000"/>
                <w:sz w:val="17"/>
                <w:szCs w:val="17"/>
                <w:lang w:val="en-US" w:eastAsia="en-US"/>
              </w:rPr>
            </w:pPr>
          </w:p>
        </w:tc>
        <w:tc>
          <w:tcPr>
            <w:tcW w:w="709" w:type="dxa"/>
            <w:tcBorders>
              <w:top w:val="nil"/>
              <w:left w:val="nil"/>
              <w:bottom w:val="nil"/>
              <w:right w:val="nil"/>
            </w:tcBorders>
            <w:shd w:val="clear" w:color="000000" w:fill="F2F2F2"/>
            <w:noWrap/>
            <w:hideMark/>
          </w:tcPr>
          <w:p w14:paraId="7D301B8D" w14:textId="155F018A"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2</w:t>
            </w:r>
          </w:p>
        </w:tc>
        <w:tc>
          <w:tcPr>
            <w:tcW w:w="850" w:type="dxa"/>
            <w:tcBorders>
              <w:top w:val="nil"/>
              <w:left w:val="nil"/>
              <w:bottom w:val="nil"/>
              <w:right w:val="nil"/>
            </w:tcBorders>
            <w:shd w:val="clear" w:color="000000" w:fill="F2F2F2"/>
            <w:noWrap/>
            <w:hideMark/>
          </w:tcPr>
          <w:p w14:paraId="399DF599" w14:textId="17BC98C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29</w:t>
            </w:r>
          </w:p>
        </w:tc>
        <w:tc>
          <w:tcPr>
            <w:tcW w:w="851" w:type="dxa"/>
            <w:tcBorders>
              <w:top w:val="nil"/>
              <w:left w:val="nil"/>
              <w:bottom w:val="nil"/>
              <w:right w:val="nil"/>
            </w:tcBorders>
            <w:shd w:val="clear" w:color="000000" w:fill="F2F2F2"/>
            <w:noWrap/>
            <w:hideMark/>
          </w:tcPr>
          <w:p w14:paraId="7BE3AE58" w14:textId="266305DE"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126" w:type="dxa"/>
            <w:tcBorders>
              <w:top w:val="nil"/>
              <w:left w:val="nil"/>
              <w:bottom w:val="nil"/>
              <w:right w:val="nil"/>
            </w:tcBorders>
            <w:shd w:val="clear" w:color="auto" w:fill="auto"/>
            <w:noWrap/>
            <w:vAlign w:val="bottom"/>
            <w:hideMark/>
          </w:tcPr>
          <w:p w14:paraId="68A455E9"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bottom w:val="nil"/>
              <w:right w:val="nil"/>
            </w:tcBorders>
            <w:shd w:val="clear" w:color="000000" w:fill="F2F2F2"/>
            <w:noWrap/>
            <w:vAlign w:val="bottom"/>
            <w:hideMark/>
          </w:tcPr>
          <w:p w14:paraId="0380B3E0" w14:textId="02FF75CE" w:rsidR="00F359A5" w:rsidRPr="00772CF7" w:rsidRDefault="00F359A5" w:rsidP="00F359A5">
            <w:pPr>
              <w:suppressAutoHyphens w:val="0"/>
              <w:spacing w:before="0" w:line="240" w:lineRule="auto"/>
              <w:jc w:val="left"/>
              <w:rPr>
                <w:rFonts w:cs="Calibri"/>
                <w:i/>
                <w:iCs/>
                <w:color w:val="000000"/>
                <w:sz w:val="17"/>
                <w:szCs w:val="17"/>
                <w:lang w:val="en-US" w:eastAsia="en-US"/>
              </w:rPr>
            </w:pPr>
            <w:r>
              <w:rPr>
                <w:rFonts w:cs="Calibri"/>
                <w:i/>
                <w:iCs/>
                <w:color w:val="000000"/>
                <w:sz w:val="16"/>
                <w:szCs w:val="16"/>
              </w:rPr>
              <w:t> </w:t>
            </w:r>
          </w:p>
        </w:tc>
        <w:tc>
          <w:tcPr>
            <w:tcW w:w="890" w:type="dxa"/>
            <w:tcBorders>
              <w:top w:val="nil"/>
              <w:left w:val="nil"/>
              <w:bottom w:val="nil"/>
              <w:right w:val="nil"/>
            </w:tcBorders>
            <w:shd w:val="clear" w:color="000000" w:fill="F2F2F2"/>
            <w:noWrap/>
            <w:hideMark/>
          </w:tcPr>
          <w:p w14:paraId="7B813EE3" w14:textId="31FCA52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14</w:t>
            </w:r>
          </w:p>
        </w:tc>
      </w:tr>
      <w:tr w:rsidR="00F359A5" w:rsidRPr="00772CF7" w14:paraId="46EBEB4D" w14:textId="77777777" w:rsidTr="006D6BAE">
        <w:trPr>
          <w:trHeight w:val="20"/>
        </w:trPr>
        <w:tc>
          <w:tcPr>
            <w:tcW w:w="2127" w:type="dxa"/>
            <w:vMerge w:val="restart"/>
            <w:tcBorders>
              <w:top w:val="nil"/>
              <w:left w:val="nil"/>
              <w:bottom w:val="nil"/>
              <w:right w:val="nil"/>
            </w:tcBorders>
            <w:shd w:val="clear" w:color="auto" w:fill="auto"/>
            <w:hideMark/>
          </w:tcPr>
          <w:p w14:paraId="17697E08" w14:textId="5B058B99" w:rsidR="00F359A5" w:rsidRPr="00772CF7" w:rsidRDefault="00F359A5" w:rsidP="00F359A5">
            <w:pPr>
              <w:suppressAutoHyphens w:val="0"/>
              <w:spacing w:before="0" w:line="240" w:lineRule="auto"/>
              <w:jc w:val="left"/>
              <w:rPr>
                <w:rFonts w:cs="Calibri"/>
                <w:sz w:val="17"/>
                <w:szCs w:val="17"/>
                <w:lang w:val="en-US" w:eastAsia="en-US"/>
              </w:rPr>
            </w:pPr>
            <w:proofErr w:type="spellStart"/>
            <w:r>
              <w:rPr>
                <w:rFonts w:cs="Calibri"/>
                <w:color w:val="000000"/>
                <w:sz w:val="17"/>
                <w:szCs w:val="17"/>
              </w:rPr>
              <w:t>Alcoholic</w:t>
            </w:r>
            <w:proofErr w:type="spellEnd"/>
            <w:r>
              <w:rPr>
                <w:rFonts w:cs="Calibri"/>
                <w:color w:val="000000"/>
                <w:sz w:val="17"/>
                <w:szCs w:val="17"/>
              </w:rPr>
              <w:t xml:space="preserve"> </w:t>
            </w:r>
            <w:proofErr w:type="spellStart"/>
            <w:r>
              <w:rPr>
                <w:rFonts w:cs="Calibri"/>
                <w:color w:val="000000"/>
                <w:sz w:val="17"/>
                <w:szCs w:val="17"/>
              </w:rPr>
              <w:t>beverages</w:t>
            </w:r>
            <w:proofErr w:type="spellEnd"/>
          </w:p>
        </w:tc>
        <w:tc>
          <w:tcPr>
            <w:tcW w:w="708" w:type="dxa"/>
            <w:tcBorders>
              <w:top w:val="nil"/>
              <w:left w:val="nil"/>
              <w:bottom w:val="nil"/>
              <w:right w:val="nil"/>
            </w:tcBorders>
            <w:shd w:val="clear" w:color="auto" w:fill="auto"/>
            <w:noWrap/>
            <w:hideMark/>
          </w:tcPr>
          <w:p w14:paraId="4514B3A6" w14:textId="0C0F5E5B"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0.9990</w:t>
            </w:r>
          </w:p>
        </w:tc>
        <w:tc>
          <w:tcPr>
            <w:tcW w:w="567" w:type="dxa"/>
            <w:tcBorders>
              <w:top w:val="nil"/>
              <w:left w:val="nil"/>
              <w:bottom w:val="nil"/>
              <w:right w:val="nil"/>
            </w:tcBorders>
            <w:shd w:val="clear" w:color="auto" w:fill="auto"/>
            <w:noWrap/>
            <w:hideMark/>
          </w:tcPr>
          <w:p w14:paraId="463CD0BB" w14:textId="5051D567"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0.7278</w:t>
            </w:r>
          </w:p>
        </w:tc>
        <w:tc>
          <w:tcPr>
            <w:tcW w:w="851" w:type="dxa"/>
            <w:tcBorders>
              <w:top w:val="nil"/>
              <w:left w:val="nil"/>
              <w:bottom w:val="nil"/>
              <w:right w:val="nil"/>
            </w:tcBorders>
            <w:shd w:val="clear" w:color="auto" w:fill="auto"/>
            <w:noWrap/>
            <w:hideMark/>
          </w:tcPr>
          <w:p w14:paraId="26205F37" w14:textId="108B8B6C"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42F18D2F"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bottom w:val="nil"/>
              <w:right w:val="nil"/>
            </w:tcBorders>
            <w:shd w:val="clear" w:color="auto" w:fill="auto"/>
            <w:hideMark/>
          </w:tcPr>
          <w:p w14:paraId="47C21380" w14:textId="47216101"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Vegetables</w:t>
            </w:r>
            <w:proofErr w:type="spellEnd"/>
            <w:r>
              <w:rPr>
                <w:rFonts w:cs="Calibri"/>
                <w:color w:val="000000"/>
                <w:sz w:val="16"/>
                <w:szCs w:val="16"/>
              </w:rPr>
              <w:t xml:space="preserve"> and </w:t>
            </w:r>
            <w:proofErr w:type="spellStart"/>
            <w:r>
              <w:rPr>
                <w:rFonts w:cs="Calibri"/>
                <w:color w:val="000000"/>
                <w:sz w:val="16"/>
                <w:szCs w:val="16"/>
              </w:rPr>
              <w:t>fruit</w:t>
            </w:r>
            <w:proofErr w:type="spellEnd"/>
          </w:p>
        </w:tc>
        <w:tc>
          <w:tcPr>
            <w:tcW w:w="709" w:type="dxa"/>
            <w:tcBorders>
              <w:top w:val="nil"/>
              <w:left w:val="nil"/>
              <w:bottom w:val="nil"/>
              <w:right w:val="nil"/>
            </w:tcBorders>
            <w:shd w:val="clear" w:color="auto" w:fill="auto"/>
            <w:noWrap/>
            <w:hideMark/>
          </w:tcPr>
          <w:p w14:paraId="7B72DDA7" w14:textId="39214B41"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auto" w:fill="auto"/>
            <w:noWrap/>
            <w:hideMark/>
          </w:tcPr>
          <w:p w14:paraId="00AE4CCD" w14:textId="2F9C44B2"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0.9994</w:t>
            </w:r>
          </w:p>
        </w:tc>
        <w:tc>
          <w:tcPr>
            <w:tcW w:w="851" w:type="dxa"/>
            <w:tcBorders>
              <w:top w:val="nil"/>
              <w:left w:val="nil"/>
              <w:bottom w:val="nil"/>
              <w:right w:val="nil"/>
            </w:tcBorders>
            <w:shd w:val="clear" w:color="auto" w:fill="auto"/>
            <w:noWrap/>
            <w:hideMark/>
          </w:tcPr>
          <w:p w14:paraId="39C51523" w14:textId="50624E43"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0.8737</w:t>
            </w:r>
          </w:p>
        </w:tc>
        <w:tc>
          <w:tcPr>
            <w:tcW w:w="126" w:type="dxa"/>
            <w:tcBorders>
              <w:top w:val="nil"/>
              <w:left w:val="nil"/>
              <w:bottom w:val="nil"/>
              <w:right w:val="nil"/>
            </w:tcBorders>
            <w:shd w:val="clear" w:color="auto" w:fill="auto"/>
            <w:noWrap/>
            <w:vAlign w:val="bottom"/>
            <w:hideMark/>
          </w:tcPr>
          <w:p w14:paraId="58C8B030"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vMerge w:val="restart"/>
            <w:tcBorders>
              <w:top w:val="nil"/>
              <w:left w:val="nil"/>
              <w:bottom w:val="nil"/>
              <w:right w:val="nil"/>
            </w:tcBorders>
            <w:shd w:val="clear" w:color="auto" w:fill="auto"/>
            <w:noWrap/>
            <w:hideMark/>
          </w:tcPr>
          <w:p w14:paraId="261C09E4" w14:textId="4481AE6A"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Poultry</w:t>
            </w:r>
            <w:proofErr w:type="spellEnd"/>
          </w:p>
        </w:tc>
        <w:tc>
          <w:tcPr>
            <w:tcW w:w="890" w:type="dxa"/>
            <w:tcBorders>
              <w:top w:val="nil"/>
              <w:left w:val="nil"/>
              <w:bottom w:val="nil"/>
              <w:right w:val="nil"/>
            </w:tcBorders>
            <w:shd w:val="clear" w:color="auto" w:fill="auto"/>
            <w:noWrap/>
            <w:hideMark/>
          </w:tcPr>
          <w:p w14:paraId="1CB42B40" w14:textId="112D3858"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0.9391</w:t>
            </w:r>
          </w:p>
        </w:tc>
      </w:tr>
      <w:tr w:rsidR="00F359A5" w:rsidRPr="00772CF7" w14:paraId="7E22FE11" w14:textId="77777777" w:rsidTr="006D6BAE">
        <w:trPr>
          <w:trHeight w:val="20"/>
        </w:trPr>
        <w:tc>
          <w:tcPr>
            <w:tcW w:w="2127" w:type="dxa"/>
            <w:vMerge/>
            <w:tcBorders>
              <w:top w:val="nil"/>
              <w:left w:val="nil"/>
              <w:bottom w:val="nil"/>
              <w:right w:val="nil"/>
            </w:tcBorders>
            <w:vAlign w:val="center"/>
            <w:hideMark/>
          </w:tcPr>
          <w:p w14:paraId="63AEB386"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402A119E" w14:textId="77D1443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168</w:t>
            </w:r>
          </w:p>
        </w:tc>
        <w:tc>
          <w:tcPr>
            <w:tcW w:w="567" w:type="dxa"/>
            <w:tcBorders>
              <w:top w:val="nil"/>
              <w:left w:val="nil"/>
              <w:bottom w:val="nil"/>
              <w:right w:val="nil"/>
            </w:tcBorders>
            <w:shd w:val="clear" w:color="auto" w:fill="auto"/>
            <w:noWrap/>
            <w:hideMark/>
          </w:tcPr>
          <w:p w14:paraId="28F2B07E" w14:textId="7FDF6E2E"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39</w:t>
            </w:r>
          </w:p>
        </w:tc>
        <w:tc>
          <w:tcPr>
            <w:tcW w:w="851" w:type="dxa"/>
            <w:tcBorders>
              <w:top w:val="nil"/>
              <w:left w:val="nil"/>
              <w:bottom w:val="nil"/>
              <w:right w:val="nil"/>
            </w:tcBorders>
            <w:shd w:val="clear" w:color="auto" w:fill="auto"/>
            <w:noWrap/>
            <w:hideMark/>
          </w:tcPr>
          <w:p w14:paraId="0169A04D" w14:textId="5243F069"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39</w:t>
            </w:r>
          </w:p>
        </w:tc>
        <w:tc>
          <w:tcPr>
            <w:tcW w:w="142" w:type="dxa"/>
            <w:tcBorders>
              <w:top w:val="nil"/>
              <w:left w:val="nil"/>
              <w:bottom w:val="nil"/>
              <w:right w:val="nil"/>
            </w:tcBorders>
            <w:shd w:val="clear" w:color="auto" w:fill="auto"/>
            <w:noWrap/>
            <w:vAlign w:val="bottom"/>
            <w:hideMark/>
          </w:tcPr>
          <w:p w14:paraId="4C376B3C"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top w:val="nil"/>
              <w:left w:val="nil"/>
              <w:bottom w:val="nil"/>
              <w:right w:val="nil"/>
            </w:tcBorders>
            <w:vAlign w:val="center"/>
            <w:hideMark/>
          </w:tcPr>
          <w:p w14:paraId="0519BEA9"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tcBorders>
              <w:top w:val="nil"/>
              <w:left w:val="nil"/>
              <w:bottom w:val="nil"/>
              <w:right w:val="nil"/>
            </w:tcBorders>
            <w:shd w:val="clear" w:color="auto" w:fill="auto"/>
            <w:noWrap/>
            <w:hideMark/>
          </w:tcPr>
          <w:p w14:paraId="47B3FA83" w14:textId="3B35860E"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8</w:t>
            </w:r>
          </w:p>
        </w:tc>
        <w:tc>
          <w:tcPr>
            <w:tcW w:w="850" w:type="dxa"/>
            <w:tcBorders>
              <w:top w:val="nil"/>
              <w:left w:val="nil"/>
              <w:bottom w:val="nil"/>
              <w:right w:val="nil"/>
            </w:tcBorders>
            <w:shd w:val="clear" w:color="auto" w:fill="auto"/>
            <w:noWrap/>
            <w:hideMark/>
          </w:tcPr>
          <w:p w14:paraId="5E9E585E" w14:textId="22CEF227"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406</w:t>
            </w:r>
          </w:p>
        </w:tc>
        <w:tc>
          <w:tcPr>
            <w:tcW w:w="851" w:type="dxa"/>
            <w:tcBorders>
              <w:top w:val="nil"/>
              <w:left w:val="nil"/>
              <w:bottom w:val="nil"/>
              <w:right w:val="nil"/>
            </w:tcBorders>
            <w:shd w:val="clear" w:color="auto" w:fill="auto"/>
            <w:noWrap/>
            <w:hideMark/>
          </w:tcPr>
          <w:p w14:paraId="7BB0F3BF" w14:textId="5C8D4DE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162</w:t>
            </w:r>
          </w:p>
        </w:tc>
        <w:tc>
          <w:tcPr>
            <w:tcW w:w="126" w:type="dxa"/>
            <w:tcBorders>
              <w:top w:val="nil"/>
              <w:left w:val="nil"/>
              <w:bottom w:val="nil"/>
              <w:right w:val="nil"/>
            </w:tcBorders>
            <w:shd w:val="clear" w:color="auto" w:fill="auto"/>
            <w:noWrap/>
            <w:vAlign w:val="bottom"/>
            <w:hideMark/>
          </w:tcPr>
          <w:p w14:paraId="4E83F247"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vMerge/>
            <w:tcBorders>
              <w:top w:val="nil"/>
              <w:left w:val="nil"/>
              <w:bottom w:val="nil"/>
              <w:right w:val="nil"/>
            </w:tcBorders>
            <w:vAlign w:val="center"/>
            <w:hideMark/>
          </w:tcPr>
          <w:p w14:paraId="36F26C6E"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890" w:type="dxa"/>
            <w:tcBorders>
              <w:top w:val="nil"/>
              <w:left w:val="nil"/>
              <w:bottom w:val="nil"/>
              <w:right w:val="nil"/>
            </w:tcBorders>
            <w:shd w:val="clear" w:color="auto" w:fill="auto"/>
            <w:noWrap/>
            <w:hideMark/>
          </w:tcPr>
          <w:p w14:paraId="0D367B40" w14:textId="7383256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16</w:t>
            </w:r>
          </w:p>
        </w:tc>
      </w:tr>
      <w:tr w:rsidR="00F359A5" w:rsidRPr="00772CF7" w14:paraId="3067E4C0" w14:textId="77777777" w:rsidTr="006D6BAE">
        <w:trPr>
          <w:trHeight w:val="20"/>
        </w:trPr>
        <w:tc>
          <w:tcPr>
            <w:tcW w:w="2127" w:type="dxa"/>
            <w:vMerge w:val="restart"/>
            <w:tcBorders>
              <w:top w:val="nil"/>
              <w:left w:val="nil"/>
              <w:bottom w:val="nil"/>
              <w:right w:val="nil"/>
            </w:tcBorders>
            <w:shd w:val="clear" w:color="000000" w:fill="F2F2F2"/>
            <w:hideMark/>
          </w:tcPr>
          <w:p w14:paraId="1F79DEBE" w14:textId="04C6A8DE"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Products for non-standard diets, food imitates and food supplements</w:t>
            </w:r>
          </w:p>
        </w:tc>
        <w:tc>
          <w:tcPr>
            <w:tcW w:w="708" w:type="dxa"/>
            <w:tcBorders>
              <w:top w:val="nil"/>
              <w:left w:val="nil"/>
              <w:bottom w:val="nil"/>
              <w:right w:val="nil"/>
            </w:tcBorders>
            <w:shd w:val="clear" w:color="000000" w:fill="F2F2F2"/>
            <w:noWrap/>
            <w:hideMark/>
          </w:tcPr>
          <w:p w14:paraId="2162EF93" w14:textId="0D4F178E"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0.9978</w:t>
            </w:r>
          </w:p>
        </w:tc>
        <w:tc>
          <w:tcPr>
            <w:tcW w:w="567" w:type="dxa"/>
            <w:tcBorders>
              <w:top w:val="nil"/>
              <w:left w:val="nil"/>
              <w:bottom w:val="nil"/>
              <w:right w:val="nil"/>
            </w:tcBorders>
            <w:shd w:val="clear" w:color="000000" w:fill="F2F2F2"/>
            <w:noWrap/>
            <w:hideMark/>
          </w:tcPr>
          <w:p w14:paraId="6B8D97FE" w14:textId="008FA311"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1.0000</w:t>
            </w:r>
          </w:p>
        </w:tc>
        <w:tc>
          <w:tcPr>
            <w:tcW w:w="851" w:type="dxa"/>
            <w:tcBorders>
              <w:top w:val="nil"/>
              <w:left w:val="nil"/>
              <w:bottom w:val="nil"/>
              <w:right w:val="nil"/>
            </w:tcBorders>
            <w:shd w:val="clear" w:color="000000" w:fill="F2F2F2"/>
            <w:noWrap/>
            <w:hideMark/>
          </w:tcPr>
          <w:p w14:paraId="320CD0F4" w14:textId="4DB1849F"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0.9290</w:t>
            </w:r>
          </w:p>
        </w:tc>
        <w:tc>
          <w:tcPr>
            <w:tcW w:w="142" w:type="dxa"/>
            <w:tcBorders>
              <w:top w:val="nil"/>
              <w:left w:val="nil"/>
              <w:bottom w:val="nil"/>
              <w:right w:val="nil"/>
            </w:tcBorders>
            <w:shd w:val="clear" w:color="auto" w:fill="auto"/>
            <w:noWrap/>
            <w:vAlign w:val="bottom"/>
            <w:hideMark/>
          </w:tcPr>
          <w:p w14:paraId="30B8E6DA"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bottom w:val="nil"/>
              <w:right w:val="nil"/>
            </w:tcBorders>
            <w:shd w:val="clear" w:color="000000" w:fill="F2F2F2"/>
            <w:hideMark/>
          </w:tcPr>
          <w:p w14:paraId="407CF43D" w14:textId="7CF84DCB"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color w:val="000000"/>
                <w:sz w:val="16"/>
                <w:szCs w:val="16"/>
              </w:rPr>
              <w:t xml:space="preserve">Coffee, </w:t>
            </w:r>
            <w:proofErr w:type="spellStart"/>
            <w:r>
              <w:rPr>
                <w:rFonts w:cs="Calibri"/>
                <w:color w:val="000000"/>
                <w:sz w:val="16"/>
                <w:szCs w:val="16"/>
              </w:rPr>
              <w:t>cocoa</w:t>
            </w:r>
            <w:proofErr w:type="spellEnd"/>
            <w:r>
              <w:rPr>
                <w:rFonts w:cs="Calibri"/>
                <w:color w:val="000000"/>
                <w:sz w:val="16"/>
                <w:szCs w:val="16"/>
              </w:rPr>
              <w:t xml:space="preserve">, </w:t>
            </w:r>
            <w:proofErr w:type="spellStart"/>
            <w:r>
              <w:rPr>
                <w:rFonts w:cs="Calibri"/>
                <w:color w:val="000000"/>
                <w:sz w:val="16"/>
                <w:szCs w:val="16"/>
              </w:rPr>
              <w:t>tea</w:t>
            </w:r>
            <w:proofErr w:type="spellEnd"/>
          </w:p>
        </w:tc>
        <w:tc>
          <w:tcPr>
            <w:tcW w:w="709" w:type="dxa"/>
            <w:tcBorders>
              <w:top w:val="nil"/>
              <w:left w:val="nil"/>
              <w:bottom w:val="nil"/>
              <w:right w:val="nil"/>
            </w:tcBorders>
            <w:shd w:val="clear" w:color="000000" w:fill="F2F2F2"/>
            <w:noWrap/>
            <w:hideMark/>
          </w:tcPr>
          <w:p w14:paraId="14B2A719" w14:textId="4C116DC5"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000000" w:fill="F2F2F2"/>
            <w:noWrap/>
            <w:hideMark/>
          </w:tcPr>
          <w:p w14:paraId="24C122E1" w14:textId="2D0D679A"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0.7863</w:t>
            </w:r>
          </w:p>
        </w:tc>
        <w:tc>
          <w:tcPr>
            <w:tcW w:w="851" w:type="dxa"/>
            <w:tcBorders>
              <w:top w:val="nil"/>
              <w:left w:val="nil"/>
              <w:bottom w:val="nil"/>
              <w:right w:val="nil"/>
            </w:tcBorders>
            <w:shd w:val="clear" w:color="000000" w:fill="F2F2F2"/>
            <w:noWrap/>
            <w:hideMark/>
          </w:tcPr>
          <w:p w14:paraId="2063DF71" w14:textId="688F98DB"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3</w:t>
            </w:r>
          </w:p>
        </w:tc>
        <w:tc>
          <w:tcPr>
            <w:tcW w:w="126" w:type="dxa"/>
            <w:tcBorders>
              <w:top w:val="nil"/>
              <w:left w:val="nil"/>
              <w:bottom w:val="nil"/>
              <w:right w:val="nil"/>
            </w:tcBorders>
            <w:shd w:val="clear" w:color="auto" w:fill="auto"/>
            <w:noWrap/>
            <w:vAlign w:val="bottom"/>
            <w:hideMark/>
          </w:tcPr>
          <w:p w14:paraId="327FB364"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auto" w:fill="auto"/>
            <w:noWrap/>
            <w:vAlign w:val="bottom"/>
            <w:hideMark/>
          </w:tcPr>
          <w:p w14:paraId="6811C5C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0CDDB4A5" w14:textId="77777777" w:rsidR="00F359A5" w:rsidRPr="00772CF7" w:rsidRDefault="00F359A5" w:rsidP="00F359A5">
            <w:pPr>
              <w:suppressAutoHyphens w:val="0"/>
              <w:spacing w:before="0" w:line="240" w:lineRule="auto"/>
              <w:jc w:val="right"/>
              <w:rPr>
                <w:rFonts w:ascii="Times New Roman" w:hAnsi="Times New Roman"/>
                <w:sz w:val="17"/>
                <w:szCs w:val="17"/>
                <w:lang w:val="en-US" w:eastAsia="en-US"/>
              </w:rPr>
            </w:pPr>
          </w:p>
        </w:tc>
      </w:tr>
      <w:tr w:rsidR="00F359A5" w:rsidRPr="00772CF7" w14:paraId="1B45E914" w14:textId="77777777" w:rsidTr="006D6BAE">
        <w:trPr>
          <w:trHeight w:val="20"/>
        </w:trPr>
        <w:tc>
          <w:tcPr>
            <w:tcW w:w="2127" w:type="dxa"/>
            <w:vMerge/>
            <w:tcBorders>
              <w:top w:val="nil"/>
              <w:left w:val="nil"/>
              <w:bottom w:val="nil"/>
              <w:right w:val="nil"/>
            </w:tcBorders>
            <w:vAlign w:val="center"/>
            <w:hideMark/>
          </w:tcPr>
          <w:p w14:paraId="1CBF662E"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75BFB0AC" w14:textId="77422CC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28</w:t>
            </w:r>
          </w:p>
        </w:tc>
        <w:tc>
          <w:tcPr>
            <w:tcW w:w="567" w:type="dxa"/>
            <w:tcBorders>
              <w:top w:val="nil"/>
              <w:left w:val="nil"/>
              <w:bottom w:val="nil"/>
              <w:right w:val="nil"/>
            </w:tcBorders>
            <w:shd w:val="clear" w:color="000000" w:fill="F2F2F2"/>
            <w:noWrap/>
            <w:hideMark/>
          </w:tcPr>
          <w:p w14:paraId="55E9BF01" w14:textId="7B0A220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851" w:type="dxa"/>
            <w:tcBorders>
              <w:top w:val="nil"/>
              <w:left w:val="nil"/>
              <w:bottom w:val="nil"/>
              <w:right w:val="nil"/>
            </w:tcBorders>
            <w:shd w:val="clear" w:color="000000" w:fill="F2F2F2"/>
            <w:noWrap/>
            <w:hideMark/>
          </w:tcPr>
          <w:p w14:paraId="03516168" w14:textId="0FDD1911"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142" w:type="dxa"/>
            <w:tcBorders>
              <w:top w:val="nil"/>
              <w:left w:val="nil"/>
              <w:bottom w:val="nil"/>
              <w:right w:val="nil"/>
            </w:tcBorders>
            <w:shd w:val="clear" w:color="auto" w:fill="auto"/>
            <w:noWrap/>
            <w:vAlign w:val="bottom"/>
            <w:hideMark/>
          </w:tcPr>
          <w:p w14:paraId="641296AA"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top w:val="nil"/>
              <w:left w:val="nil"/>
              <w:bottom w:val="nil"/>
              <w:right w:val="nil"/>
            </w:tcBorders>
            <w:vAlign w:val="center"/>
            <w:hideMark/>
          </w:tcPr>
          <w:p w14:paraId="382AE754"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tcBorders>
              <w:top w:val="nil"/>
              <w:left w:val="nil"/>
              <w:bottom w:val="nil"/>
              <w:right w:val="nil"/>
            </w:tcBorders>
            <w:shd w:val="clear" w:color="000000" w:fill="F2F2F2"/>
            <w:noWrap/>
            <w:hideMark/>
          </w:tcPr>
          <w:p w14:paraId="60F95DC0" w14:textId="4872B60D"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3</w:t>
            </w:r>
          </w:p>
        </w:tc>
        <w:tc>
          <w:tcPr>
            <w:tcW w:w="850" w:type="dxa"/>
            <w:tcBorders>
              <w:top w:val="nil"/>
              <w:left w:val="nil"/>
              <w:bottom w:val="nil"/>
              <w:right w:val="nil"/>
            </w:tcBorders>
            <w:shd w:val="clear" w:color="000000" w:fill="F2F2F2"/>
            <w:noWrap/>
            <w:hideMark/>
          </w:tcPr>
          <w:p w14:paraId="598E7F97" w14:textId="7E3967F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11</w:t>
            </w:r>
          </w:p>
        </w:tc>
        <w:tc>
          <w:tcPr>
            <w:tcW w:w="851" w:type="dxa"/>
            <w:tcBorders>
              <w:top w:val="nil"/>
              <w:left w:val="nil"/>
              <w:bottom w:val="nil"/>
              <w:right w:val="nil"/>
            </w:tcBorders>
            <w:shd w:val="clear" w:color="000000" w:fill="F2F2F2"/>
            <w:noWrap/>
            <w:hideMark/>
          </w:tcPr>
          <w:p w14:paraId="4AC1B2D3" w14:textId="54DE103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0</w:t>
            </w:r>
          </w:p>
        </w:tc>
        <w:tc>
          <w:tcPr>
            <w:tcW w:w="126" w:type="dxa"/>
            <w:tcBorders>
              <w:top w:val="nil"/>
              <w:left w:val="nil"/>
              <w:bottom w:val="nil"/>
              <w:right w:val="nil"/>
            </w:tcBorders>
            <w:shd w:val="clear" w:color="auto" w:fill="auto"/>
            <w:noWrap/>
            <w:vAlign w:val="bottom"/>
            <w:hideMark/>
          </w:tcPr>
          <w:p w14:paraId="03F622DF"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bottom w:val="nil"/>
              <w:right w:val="nil"/>
            </w:tcBorders>
            <w:shd w:val="clear" w:color="auto" w:fill="auto"/>
            <w:noWrap/>
            <w:vAlign w:val="bottom"/>
            <w:hideMark/>
          </w:tcPr>
          <w:p w14:paraId="14A46CCD"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02EEB943"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7106978F" w14:textId="77777777" w:rsidTr="006D6BAE">
        <w:trPr>
          <w:trHeight w:val="20"/>
        </w:trPr>
        <w:tc>
          <w:tcPr>
            <w:tcW w:w="2127" w:type="dxa"/>
            <w:vMerge w:val="restart"/>
            <w:tcBorders>
              <w:top w:val="nil"/>
              <w:left w:val="nil"/>
              <w:bottom w:val="nil"/>
              <w:right w:val="nil"/>
            </w:tcBorders>
            <w:shd w:val="clear" w:color="auto" w:fill="auto"/>
            <w:hideMark/>
          </w:tcPr>
          <w:p w14:paraId="640B5E69" w14:textId="0D95541F"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Coffee, cocoa, tea and infusions</w:t>
            </w:r>
          </w:p>
        </w:tc>
        <w:tc>
          <w:tcPr>
            <w:tcW w:w="708" w:type="dxa"/>
            <w:tcBorders>
              <w:top w:val="nil"/>
              <w:left w:val="nil"/>
              <w:bottom w:val="nil"/>
              <w:right w:val="nil"/>
            </w:tcBorders>
            <w:shd w:val="clear" w:color="auto" w:fill="auto"/>
            <w:noWrap/>
            <w:hideMark/>
          </w:tcPr>
          <w:p w14:paraId="2331D131" w14:textId="1C1EC9ED"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0.9954</w:t>
            </w:r>
          </w:p>
        </w:tc>
        <w:tc>
          <w:tcPr>
            <w:tcW w:w="567" w:type="dxa"/>
            <w:tcBorders>
              <w:top w:val="nil"/>
              <w:left w:val="nil"/>
              <w:bottom w:val="nil"/>
              <w:right w:val="nil"/>
            </w:tcBorders>
            <w:shd w:val="clear" w:color="auto" w:fill="auto"/>
            <w:noWrap/>
            <w:hideMark/>
          </w:tcPr>
          <w:p w14:paraId="4932FF9F" w14:textId="69DD3F83"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0.9052</w:t>
            </w:r>
          </w:p>
        </w:tc>
        <w:tc>
          <w:tcPr>
            <w:tcW w:w="851" w:type="dxa"/>
            <w:tcBorders>
              <w:top w:val="nil"/>
              <w:left w:val="nil"/>
              <w:bottom w:val="nil"/>
              <w:right w:val="nil"/>
            </w:tcBorders>
            <w:shd w:val="clear" w:color="auto" w:fill="auto"/>
            <w:noWrap/>
            <w:hideMark/>
          </w:tcPr>
          <w:p w14:paraId="448540CA" w14:textId="4184BB31"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471370E8"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bottom w:val="nil"/>
              <w:right w:val="nil"/>
            </w:tcBorders>
            <w:shd w:val="clear" w:color="auto" w:fill="auto"/>
            <w:hideMark/>
          </w:tcPr>
          <w:p w14:paraId="4FDF40DB" w14:textId="2C1EC67C"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color w:val="000000"/>
                <w:sz w:val="16"/>
                <w:szCs w:val="16"/>
              </w:rPr>
              <w:t>Meat</w:t>
            </w:r>
          </w:p>
        </w:tc>
        <w:tc>
          <w:tcPr>
            <w:tcW w:w="709" w:type="dxa"/>
            <w:tcBorders>
              <w:top w:val="nil"/>
              <w:left w:val="nil"/>
              <w:bottom w:val="nil"/>
              <w:right w:val="nil"/>
            </w:tcBorders>
            <w:shd w:val="clear" w:color="auto" w:fill="auto"/>
            <w:noWrap/>
            <w:hideMark/>
          </w:tcPr>
          <w:p w14:paraId="42C803D3" w14:textId="35B5889B"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auto" w:fill="auto"/>
            <w:noWrap/>
            <w:hideMark/>
          </w:tcPr>
          <w:p w14:paraId="0E478F92" w14:textId="7766B9E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0.9933</w:t>
            </w:r>
          </w:p>
        </w:tc>
        <w:tc>
          <w:tcPr>
            <w:tcW w:w="851" w:type="dxa"/>
            <w:tcBorders>
              <w:top w:val="nil"/>
              <w:left w:val="nil"/>
              <w:bottom w:val="nil"/>
              <w:right w:val="nil"/>
            </w:tcBorders>
            <w:shd w:val="clear" w:color="auto" w:fill="auto"/>
            <w:noWrap/>
            <w:hideMark/>
          </w:tcPr>
          <w:p w14:paraId="6A5B8650" w14:textId="1A1695EA"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3</w:t>
            </w:r>
          </w:p>
        </w:tc>
        <w:tc>
          <w:tcPr>
            <w:tcW w:w="126" w:type="dxa"/>
            <w:tcBorders>
              <w:top w:val="nil"/>
              <w:left w:val="nil"/>
              <w:bottom w:val="nil"/>
              <w:right w:val="nil"/>
            </w:tcBorders>
            <w:shd w:val="clear" w:color="auto" w:fill="auto"/>
            <w:noWrap/>
            <w:vAlign w:val="bottom"/>
            <w:hideMark/>
          </w:tcPr>
          <w:p w14:paraId="543CA6B1"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auto" w:fill="auto"/>
            <w:noWrap/>
            <w:vAlign w:val="bottom"/>
            <w:hideMark/>
          </w:tcPr>
          <w:p w14:paraId="35D3C94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18DCFDF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5A6C18F2" w14:textId="77777777" w:rsidTr="006D6BAE">
        <w:trPr>
          <w:trHeight w:val="20"/>
        </w:trPr>
        <w:tc>
          <w:tcPr>
            <w:tcW w:w="2127" w:type="dxa"/>
            <w:vMerge/>
            <w:tcBorders>
              <w:top w:val="nil"/>
              <w:left w:val="nil"/>
              <w:bottom w:val="nil"/>
              <w:right w:val="nil"/>
            </w:tcBorders>
            <w:vAlign w:val="center"/>
            <w:hideMark/>
          </w:tcPr>
          <w:p w14:paraId="24F12BB5"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532681D0" w14:textId="63383A12"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49</w:t>
            </w:r>
          </w:p>
        </w:tc>
        <w:tc>
          <w:tcPr>
            <w:tcW w:w="567" w:type="dxa"/>
            <w:tcBorders>
              <w:top w:val="nil"/>
              <w:left w:val="nil"/>
              <w:bottom w:val="nil"/>
              <w:right w:val="nil"/>
            </w:tcBorders>
            <w:shd w:val="clear" w:color="auto" w:fill="auto"/>
            <w:noWrap/>
            <w:hideMark/>
          </w:tcPr>
          <w:p w14:paraId="074EF836" w14:textId="70218E2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24</w:t>
            </w:r>
          </w:p>
        </w:tc>
        <w:tc>
          <w:tcPr>
            <w:tcW w:w="851" w:type="dxa"/>
            <w:tcBorders>
              <w:top w:val="nil"/>
              <w:left w:val="nil"/>
              <w:bottom w:val="nil"/>
              <w:right w:val="nil"/>
            </w:tcBorders>
            <w:shd w:val="clear" w:color="auto" w:fill="auto"/>
            <w:noWrap/>
            <w:hideMark/>
          </w:tcPr>
          <w:p w14:paraId="7B94D574" w14:textId="019368D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24</w:t>
            </w:r>
          </w:p>
        </w:tc>
        <w:tc>
          <w:tcPr>
            <w:tcW w:w="142" w:type="dxa"/>
            <w:tcBorders>
              <w:top w:val="nil"/>
              <w:left w:val="nil"/>
              <w:bottom w:val="nil"/>
              <w:right w:val="nil"/>
            </w:tcBorders>
            <w:shd w:val="clear" w:color="auto" w:fill="auto"/>
            <w:noWrap/>
            <w:vAlign w:val="bottom"/>
            <w:hideMark/>
          </w:tcPr>
          <w:p w14:paraId="17CDB8EE"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top w:val="nil"/>
              <w:left w:val="nil"/>
              <w:bottom w:val="nil"/>
              <w:right w:val="nil"/>
            </w:tcBorders>
            <w:vAlign w:val="center"/>
            <w:hideMark/>
          </w:tcPr>
          <w:p w14:paraId="4A3C4A9E"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tcBorders>
              <w:top w:val="nil"/>
              <w:left w:val="nil"/>
              <w:bottom w:val="nil"/>
              <w:right w:val="nil"/>
            </w:tcBorders>
            <w:shd w:val="clear" w:color="auto" w:fill="auto"/>
            <w:noWrap/>
            <w:hideMark/>
          </w:tcPr>
          <w:p w14:paraId="0607662B" w14:textId="64DD7CC3"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4</w:t>
            </w:r>
          </w:p>
        </w:tc>
        <w:tc>
          <w:tcPr>
            <w:tcW w:w="850" w:type="dxa"/>
            <w:tcBorders>
              <w:top w:val="nil"/>
              <w:left w:val="nil"/>
              <w:bottom w:val="nil"/>
              <w:right w:val="nil"/>
            </w:tcBorders>
            <w:shd w:val="clear" w:color="auto" w:fill="auto"/>
            <w:noWrap/>
            <w:hideMark/>
          </w:tcPr>
          <w:p w14:paraId="64E74022" w14:textId="73963EF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54</w:t>
            </w:r>
          </w:p>
        </w:tc>
        <w:tc>
          <w:tcPr>
            <w:tcW w:w="851" w:type="dxa"/>
            <w:tcBorders>
              <w:top w:val="nil"/>
              <w:left w:val="nil"/>
              <w:bottom w:val="nil"/>
              <w:right w:val="nil"/>
            </w:tcBorders>
            <w:shd w:val="clear" w:color="auto" w:fill="auto"/>
            <w:noWrap/>
            <w:hideMark/>
          </w:tcPr>
          <w:p w14:paraId="16944141" w14:textId="6F2497B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0</w:t>
            </w:r>
          </w:p>
        </w:tc>
        <w:tc>
          <w:tcPr>
            <w:tcW w:w="126" w:type="dxa"/>
            <w:tcBorders>
              <w:top w:val="nil"/>
              <w:left w:val="nil"/>
              <w:bottom w:val="nil"/>
              <w:right w:val="nil"/>
            </w:tcBorders>
            <w:shd w:val="clear" w:color="auto" w:fill="auto"/>
            <w:noWrap/>
            <w:vAlign w:val="bottom"/>
            <w:hideMark/>
          </w:tcPr>
          <w:p w14:paraId="5098197A"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bottom w:val="nil"/>
              <w:right w:val="nil"/>
            </w:tcBorders>
            <w:shd w:val="clear" w:color="auto" w:fill="auto"/>
            <w:noWrap/>
            <w:vAlign w:val="bottom"/>
            <w:hideMark/>
          </w:tcPr>
          <w:p w14:paraId="7616465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4F96775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33E0C8D3" w14:textId="77777777" w:rsidTr="006D6BAE">
        <w:trPr>
          <w:trHeight w:val="20"/>
        </w:trPr>
        <w:tc>
          <w:tcPr>
            <w:tcW w:w="2127" w:type="dxa"/>
            <w:vMerge w:val="restart"/>
            <w:tcBorders>
              <w:top w:val="nil"/>
              <w:left w:val="nil"/>
              <w:bottom w:val="nil"/>
              <w:right w:val="nil"/>
            </w:tcBorders>
            <w:shd w:val="clear" w:color="000000" w:fill="F2F2F2"/>
            <w:hideMark/>
          </w:tcPr>
          <w:p w14:paraId="0005D070" w14:textId="55E27055" w:rsidR="00F359A5" w:rsidRPr="00772CF7" w:rsidRDefault="00F359A5" w:rsidP="00F359A5">
            <w:pPr>
              <w:suppressAutoHyphens w:val="0"/>
              <w:spacing w:before="0" w:line="240" w:lineRule="auto"/>
              <w:jc w:val="left"/>
              <w:rPr>
                <w:rFonts w:cs="Calibri"/>
                <w:sz w:val="17"/>
                <w:szCs w:val="17"/>
                <w:lang w:val="en-US" w:eastAsia="en-US"/>
              </w:rPr>
            </w:pPr>
            <w:r>
              <w:rPr>
                <w:rFonts w:cs="Calibri"/>
                <w:color w:val="000000"/>
                <w:sz w:val="17"/>
                <w:szCs w:val="17"/>
              </w:rPr>
              <w:t xml:space="preserve">Composite </w:t>
            </w:r>
            <w:proofErr w:type="spellStart"/>
            <w:r>
              <w:rPr>
                <w:rFonts w:cs="Calibri"/>
                <w:color w:val="000000"/>
                <w:sz w:val="17"/>
                <w:szCs w:val="17"/>
              </w:rPr>
              <w:t>dishes</w:t>
            </w:r>
            <w:proofErr w:type="spellEnd"/>
          </w:p>
        </w:tc>
        <w:tc>
          <w:tcPr>
            <w:tcW w:w="708" w:type="dxa"/>
            <w:tcBorders>
              <w:top w:val="nil"/>
              <w:left w:val="nil"/>
              <w:bottom w:val="nil"/>
              <w:right w:val="nil"/>
            </w:tcBorders>
            <w:shd w:val="clear" w:color="000000" w:fill="F2F2F2"/>
            <w:noWrap/>
            <w:hideMark/>
          </w:tcPr>
          <w:p w14:paraId="7A1A07F7" w14:textId="6DF66299"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0.9639</w:t>
            </w:r>
          </w:p>
        </w:tc>
        <w:tc>
          <w:tcPr>
            <w:tcW w:w="567" w:type="dxa"/>
            <w:tcBorders>
              <w:top w:val="nil"/>
              <w:left w:val="nil"/>
              <w:bottom w:val="nil"/>
              <w:right w:val="nil"/>
            </w:tcBorders>
            <w:shd w:val="clear" w:color="000000" w:fill="F2F2F2"/>
            <w:noWrap/>
            <w:hideMark/>
          </w:tcPr>
          <w:p w14:paraId="53B0802C" w14:textId="23E0220C"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0.9607</w:t>
            </w:r>
          </w:p>
        </w:tc>
        <w:tc>
          <w:tcPr>
            <w:tcW w:w="851" w:type="dxa"/>
            <w:tcBorders>
              <w:top w:val="nil"/>
              <w:left w:val="nil"/>
              <w:bottom w:val="nil"/>
              <w:right w:val="nil"/>
            </w:tcBorders>
            <w:shd w:val="clear" w:color="000000" w:fill="F2F2F2"/>
            <w:noWrap/>
            <w:hideMark/>
          </w:tcPr>
          <w:p w14:paraId="3531FFE9" w14:textId="1DEE9866"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5A336502"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top w:val="nil"/>
              <w:left w:val="nil"/>
              <w:bottom w:val="nil"/>
              <w:right w:val="nil"/>
            </w:tcBorders>
            <w:shd w:val="clear" w:color="000000" w:fill="F2F2F2"/>
            <w:hideMark/>
          </w:tcPr>
          <w:p w14:paraId="00B6F5FE" w14:textId="76B2995F"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color w:val="000000"/>
                <w:sz w:val="16"/>
                <w:szCs w:val="16"/>
              </w:rPr>
              <w:t>Eggs</w:t>
            </w:r>
          </w:p>
        </w:tc>
        <w:tc>
          <w:tcPr>
            <w:tcW w:w="709" w:type="dxa"/>
            <w:tcBorders>
              <w:top w:val="nil"/>
              <w:left w:val="nil"/>
              <w:bottom w:val="nil"/>
              <w:right w:val="nil"/>
            </w:tcBorders>
            <w:shd w:val="clear" w:color="000000" w:fill="F2F2F2"/>
            <w:noWrap/>
            <w:hideMark/>
          </w:tcPr>
          <w:p w14:paraId="0607B2D8" w14:textId="31556020"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1</w:t>
            </w:r>
          </w:p>
        </w:tc>
        <w:tc>
          <w:tcPr>
            <w:tcW w:w="850" w:type="dxa"/>
            <w:tcBorders>
              <w:top w:val="nil"/>
              <w:left w:val="nil"/>
              <w:bottom w:val="nil"/>
              <w:right w:val="nil"/>
            </w:tcBorders>
            <w:shd w:val="clear" w:color="000000" w:fill="F2F2F2"/>
            <w:noWrap/>
            <w:hideMark/>
          </w:tcPr>
          <w:p w14:paraId="7064CA54" w14:textId="70E5AF4F"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0.9550</w:t>
            </w:r>
          </w:p>
        </w:tc>
        <w:tc>
          <w:tcPr>
            <w:tcW w:w="851" w:type="dxa"/>
            <w:tcBorders>
              <w:top w:val="nil"/>
              <w:left w:val="nil"/>
              <w:bottom w:val="nil"/>
              <w:right w:val="nil"/>
            </w:tcBorders>
            <w:shd w:val="clear" w:color="000000" w:fill="F2F2F2"/>
            <w:noWrap/>
            <w:hideMark/>
          </w:tcPr>
          <w:p w14:paraId="65B2F740" w14:textId="673E1A39"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1</w:t>
            </w:r>
          </w:p>
        </w:tc>
        <w:tc>
          <w:tcPr>
            <w:tcW w:w="126" w:type="dxa"/>
            <w:tcBorders>
              <w:top w:val="nil"/>
              <w:left w:val="nil"/>
              <w:bottom w:val="nil"/>
              <w:right w:val="nil"/>
            </w:tcBorders>
            <w:shd w:val="clear" w:color="auto" w:fill="auto"/>
            <w:noWrap/>
            <w:vAlign w:val="bottom"/>
            <w:hideMark/>
          </w:tcPr>
          <w:p w14:paraId="1DC44112"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auto" w:fill="auto"/>
            <w:noWrap/>
            <w:vAlign w:val="bottom"/>
            <w:hideMark/>
          </w:tcPr>
          <w:p w14:paraId="0D011BD2"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7E94F751"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203657DD" w14:textId="77777777" w:rsidTr="006D6BAE">
        <w:trPr>
          <w:trHeight w:val="20"/>
        </w:trPr>
        <w:tc>
          <w:tcPr>
            <w:tcW w:w="2127" w:type="dxa"/>
            <w:vMerge/>
            <w:tcBorders>
              <w:top w:val="nil"/>
              <w:left w:val="nil"/>
              <w:bottom w:val="nil"/>
              <w:right w:val="nil"/>
            </w:tcBorders>
            <w:vAlign w:val="center"/>
            <w:hideMark/>
          </w:tcPr>
          <w:p w14:paraId="51851DCB"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7AD4D819" w14:textId="2EEFC127"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953</w:t>
            </w:r>
          </w:p>
        </w:tc>
        <w:tc>
          <w:tcPr>
            <w:tcW w:w="567" w:type="dxa"/>
            <w:tcBorders>
              <w:top w:val="nil"/>
              <w:left w:val="nil"/>
              <w:bottom w:val="nil"/>
              <w:right w:val="nil"/>
            </w:tcBorders>
            <w:shd w:val="clear" w:color="000000" w:fill="F2F2F2"/>
            <w:noWrap/>
            <w:hideMark/>
          </w:tcPr>
          <w:p w14:paraId="527331BD" w14:textId="0D5C26D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60</w:t>
            </w:r>
          </w:p>
        </w:tc>
        <w:tc>
          <w:tcPr>
            <w:tcW w:w="851" w:type="dxa"/>
            <w:tcBorders>
              <w:top w:val="nil"/>
              <w:left w:val="nil"/>
              <w:bottom w:val="nil"/>
              <w:right w:val="nil"/>
            </w:tcBorders>
            <w:shd w:val="clear" w:color="000000" w:fill="F2F2F2"/>
            <w:noWrap/>
            <w:hideMark/>
          </w:tcPr>
          <w:p w14:paraId="284806D7" w14:textId="5E8872E5"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60</w:t>
            </w:r>
          </w:p>
        </w:tc>
        <w:tc>
          <w:tcPr>
            <w:tcW w:w="142" w:type="dxa"/>
            <w:tcBorders>
              <w:top w:val="nil"/>
              <w:left w:val="nil"/>
              <w:bottom w:val="nil"/>
              <w:right w:val="nil"/>
            </w:tcBorders>
            <w:shd w:val="clear" w:color="auto" w:fill="auto"/>
            <w:noWrap/>
            <w:vAlign w:val="bottom"/>
            <w:hideMark/>
          </w:tcPr>
          <w:p w14:paraId="6E3B1E26"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top w:val="nil"/>
              <w:left w:val="nil"/>
              <w:bottom w:val="nil"/>
              <w:right w:val="nil"/>
            </w:tcBorders>
            <w:shd w:val="clear" w:color="000000" w:fill="F2F2F2"/>
            <w:hideMark/>
          </w:tcPr>
          <w:p w14:paraId="6D0092E9" w14:textId="6F209A1B" w:rsidR="00F359A5" w:rsidRPr="00772CF7" w:rsidRDefault="00F359A5" w:rsidP="00F359A5">
            <w:pPr>
              <w:suppressAutoHyphens w:val="0"/>
              <w:spacing w:before="0" w:line="240" w:lineRule="auto"/>
              <w:jc w:val="left"/>
              <w:rPr>
                <w:rFonts w:cs="Calibri"/>
                <w:i/>
                <w:iCs/>
                <w:color w:val="000000"/>
                <w:sz w:val="17"/>
                <w:szCs w:val="17"/>
                <w:lang w:val="en-US" w:eastAsia="en-US"/>
              </w:rPr>
            </w:pPr>
            <w:r>
              <w:rPr>
                <w:rFonts w:cs="Calibri"/>
                <w:i/>
                <w:iCs/>
                <w:color w:val="000000"/>
                <w:sz w:val="16"/>
                <w:szCs w:val="16"/>
              </w:rPr>
              <w:t> </w:t>
            </w:r>
          </w:p>
        </w:tc>
        <w:tc>
          <w:tcPr>
            <w:tcW w:w="709" w:type="dxa"/>
            <w:tcBorders>
              <w:top w:val="nil"/>
              <w:left w:val="nil"/>
              <w:bottom w:val="nil"/>
              <w:right w:val="nil"/>
            </w:tcBorders>
            <w:shd w:val="clear" w:color="000000" w:fill="F2F2F2"/>
            <w:noWrap/>
            <w:hideMark/>
          </w:tcPr>
          <w:p w14:paraId="4A10DF44" w14:textId="2C8E9616"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1</w:t>
            </w:r>
          </w:p>
        </w:tc>
        <w:tc>
          <w:tcPr>
            <w:tcW w:w="850" w:type="dxa"/>
            <w:tcBorders>
              <w:top w:val="nil"/>
              <w:left w:val="nil"/>
              <w:bottom w:val="nil"/>
              <w:right w:val="nil"/>
            </w:tcBorders>
            <w:shd w:val="clear" w:color="000000" w:fill="F2F2F2"/>
            <w:noWrap/>
            <w:hideMark/>
          </w:tcPr>
          <w:p w14:paraId="04521FD4" w14:textId="001495BC"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w:t>
            </w:r>
          </w:p>
        </w:tc>
        <w:tc>
          <w:tcPr>
            <w:tcW w:w="851" w:type="dxa"/>
            <w:tcBorders>
              <w:top w:val="nil"/>
              <w:left w:val="nil"/>
              <w:bottom w:val="nil"/>
              <w:right w:val="nil"/>
            </w:tcBorders>
            <w:shd w:val="clear" w:color="000000" w:fill="F2F2F2"/>
            <w:noWrap/>
            <w:hideMark/>
          </w:tcPr>
          <w:p w14:paraId="5D9BBF9C" w14:textId="7980A3FE"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w:t>
            </w:r>
          </w:p>
        </w:tc>
        <w:tc>
          <w:tcPr>
            <w:tcW w:w="126" w:type="dxa"/>
            <w:tcBorders>
              <w:top w:val="nil"/>
              <w:left w:val="nil"/>
              <w:bottom w:val="nil"/>
              <w:right w:val="nil"/>
            </w:tcBorders>
            <w:shd w:val="clear" w:color="auto" w:fill="auto"/>
            <w:noWrap/>
            <w:vAlign w:val="bottom"/>
            <w:hideMark/>
          </w:tcPr>
          <w:p w14:paraId="3B12BB55"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bottom w:val="nil"/>
              <w:right w:val="nil"/>
            </w:tcBorders>
            <w:shd w:val="clear" w:color="auto" w:fill="auto"/>
            <w:noWrap/>
            <w:vAlign w:val="bottom"/>
            <w:hideMark/>
          </w:tcPr>
          <w:p w14:paraId="58A988C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7AF19036"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555C4A75" w14:textId="77777777" w:rsidTr="006D6BAE">
        <w:trPr>
          <w:trHeight w:val="20"/>
        </w:trPr>
        <w:tc>
          <w:tcPr>
            <w:tcW w:w="2127" w:type="dxa"/>
            <w:vMerge w:val="restart"/>
            <w:tcBorders>
              <w:top w:val="nil"/>
              <w:left w:val="nil"/>
              <w:bottom w:val="nil"/>
              <w:right w:val="nil"/>
            </w:tcBorders>
            <w:shd w:val="clear" w:color="auto" w:fill="auto"/>
            <w:hideMark/>
          </w:tcPr>
          <w:p w14:paraId="5FD570A8" w14:textId="02002180"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Fish, seafood, amphibians, reptiles and invertebrates</w:t>
            </w:r>
          </w:p>
        </w:tc>
        <w:tc>
          <w:tcPr>
            <w:tcW w:w="708" w:type="dxa"/>
            <w:tcBorders>
              <w:top w:val="nil"/>
              <w:left w:val="nil"/>
              <w:bottom w:val="nil"/>
              <w:right w:val="nil"/>
            </w:tcBorders>
            <w:shd w:val="clear" w:color="auto" w:fill="auto"/>
            <w:noWrap/>
            <w:hideMark/>
          </w:tcPr>
          <w:p w14:paraId="1A4FBFCA" w14:textId="7ABDCD5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0.9993</w:t>
            </w:r>
          </w:p>
        </w:tc>
        <w:tc>
          <w:tcPr>
            <w:tcW w:w="567" w:type="dxa"/>
            <w:tcBorders>
              <w:top w:val="nil"/>
              <w:left w:val="nil"/>
              <w:bottom w:val="nil"/>
              <w:right w:val="nil"/>
            </w:tcBorders>
            <w:shd w:val="clear" w:color="auto" w:fill="auto"/>
            <w:noWrap/>
            <w:hideMark/>
          </w:tcPr>
          <w:p w14:paraId="007D6B4C" w14:textId="2FE930AE"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0.9913</w:t>
            </w:r>
          </w:p>
        </w:tc>
        <w:tc>
          <w:tcPr>
            <w:tcW w:w="851" w:type="dxa"/>
            <w:tcBorders>
              <w:top w:val="nil"/>
              <w:left w:val="nil"/>
              <w:bottom w:val="nil"/>
              <w:right w:val="nil"/>
            </w:tcBorders>
            <w:shd w:val="clear" w:color="auto" w:fill="auto"/>
            <w:noWrap/>
            <w:hideMark/>
          </w:tcPr>
          <w:p w14:paraId="6689FDF3" w14:textId="55F5ECBF"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56E04E16"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bottom w:val="nil"/>
              <w:right w:val="nil"/>
            </w:tcBorders>
            <w:shd w:val="clear" w:color="auto" w:fill="auto"/>
            <w:hideMark/>
          </w:tcPr>
          <w:p w14:paraId="76207C21" w14:textId="0CD02028" w:rsidR="00F359A5" w:rsidRPr="00772CF7" w:rsidRDefault="00F359A5" w:rsidP="00F359A5">
            <w:pPr>
              <w:suppressAutoHyphens w:val="0"/>
              <w:spacing w:before="0" w:line="240" w:lineRule="auto"/>
              <w:jc w:val="left"/>
              <w:rPr>
                <w:rFonts w:cs="Calibri"/>
                <w:color w:val="000000"/>
                <w:sz w:val="17"/>
                <w:szCs w:val="17"/>
                <w:lang w:val="en-US" w:eastAsia="en-US"/>
              </w:rPr>
            </w:pPr>
            <w:r>
              <w:rPr>
                <w:rFonts w:cs="Calibri"/>
                <w:color w:val="000000"/>
                <w:sz w:val="16"/>
                <w:szCs w:val="16"/>
              </w:rPr>
              <w:t xml:space="preserve">Fish and </w:t>
            </w:r>
            <w:proofErr w:type="spellStart"/>
            <w:r>
              <w:rPr>
                <w:rFonts w:cs="Calibri"/>
                <w:color w:val="000000"/>
                <w:sz w:val="16"/>
                <w:szCs w:val="16"/>
              </w:rPr>
              <w:t>aquatic</w:t>
            </w:r>
            <w:proofErr w:type="spellEnd"/>
            <w:r>
              <w:rPr>
                <w:rFonts w:cs="Calibri"/>
                <w:color w:val="000000"/>
                <w:sz w:val="16"/>
                <w:szCs w:val="16"/>
              </w:rPr>
              <w:t xml:space="preserve"> </w:t>
            </w:r>
            <w:proofErr w:type="spellStart"/>
            <w:r>
              <w:rPr>
                <w:rFonts w:cs="Calibri"/>
                <w:color w:val="000000"/>
                <w:sz w:val="16"/>
                <w:szCs w:val="16"/>
              </w:rPr>
              <w:t>products</w:t>
            </w:r>
            <w:proofErr w:type="spellEnd"/>
          </w:p>
        </w:tc>
        <w:tc>
          <w:tcPr>
            <w:tcW w:w="709" w:type="dxa"/>
            <w:tcBorders>
              <w:top w:val="nil"/>
              <w:left w:val="nil"/>
              <w:bottom w:val="nil"/>
              <w:right w:val="nil"/>
            </w:tcBorders>
            <w:shd w:val="clear" w:color="auto" w:fill="auto"/>
            <w:noWrap/>
            <w:hideMark/>
          </w:tcPr>
          <w:p w14:paraId="5746EB88" w14:textId="4ECE4294"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auto" w:fill="auto"/>
            <w:noWrap/>
            <w:hideMark/>
          </w:tcPr>
          <w:p w14:paraId="56C6AFD3" w14:textId="0F767EC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0.9948</w:t>
            </w:r>
          </w:p>
        </w:tc>
        <w:tc>
          <w:tcPr>
            <w:tcW w:w="851" w:type="dxa"/>
            <w:tcBorders>
              <w:top w:val="nil"/>
              <w:left w:val="nil"/>
              <w:bottom w:val="nil"/>
              <w:right w:val="nil"/>
            </w:tcBorders>
            <w:shd w:val="clear" w:color="auto" w:fill="auto"/>
            <w:noWrap/>
            <w:hideMark/>
          </w:tcPr>
          <w:p w14:paraId="1F540F51" w14:textId="5C0D1BA5"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1</w:t>
            </w:r>
          </w:p>
        </w:tc>
        <w:tc>
          <w:tcPr>
            <w:tcW w:w="126" w:type="dxa"/>
            <w:tcBorders>
              <w:top w:val="nil"/>
              <w:left w:val="nil"/>
              <w:bottom w:val="nil"/>
              <w:right w:val="nil"/>
            </w:tcBorders>
            <w:shd w:val="clear" w:color="auto" w:fill="auto"/>
            <w:noWrap/>
            <w:vAlign w:val="bottom"/>
            <w:hideMark/>
          </w:tcPr>
          <w:p w14:paraId="76DC4BD9"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auto" w:fill="auto"/>
            <w:noWrap/>
            <w:vAlign w:val="bottom"/>
            <w:hideMark/>
          </w:tcPr>
          <w:p w14:paraId="7C56B139"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24D9DF6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0ECD1B57" w14:textId="77777777" w:rsidTr="006D6BAE">
        <w:trPr>
          <w:trHeight w:val="20"/>
        </w:trPr>
        <w:tc>
          <w:tcPr>
            <w:tcW w:w="2127" w:type="dxa"/>
            <w:vMerge/>
            <w:tcBorders>
              <w:top w:val="nil"/>
              <w:left w:val="nil"/>
              <w:bottom w:val="nil"/>
              <w:right w:val="nil"/>
            </w:tcBorders>
            <w:vAlign w:val="center"/>
            <w:hideMark/>
          </w:tcPr>
          <w:p w14:paraId="50A154C0"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583D3951" w14:textId="4506C5DE"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111</w:t>
            </w:r>
          </w:p>
        </w:tc>
        <w:tc>
          <w:tcPr>
            <w:tcW w:w="567" w:type="dxa"/>
            <w:tcBorders>
              <w:top w:val="nil"/>
              <w:left w:val="nil"/>
              <w:bottom w:val="nil"/>
              <w:right w:val="nil"/>
            </w:tcBorders>
            <w:shd w:val="clear" w:color="auto" w:fill="auto"/>
            <w:noWrap/>
            <w:hideMark/>
          </w:tcPr>
          <w:p w14:paraId="3FCCC406" w14:textId="0115F493"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59</w:t>
            </w:r>
          </w:p>
        </w:tc>
        <w:tc>
          <w:tcPr>
            <w:tcW w:w="851" w:type="dxa"/>
            <w:tcBorders>
              <w:top w:val="nil"/>
              <w:left w:val="nil"/>
              <w:bottom w:val="nil"/>
              <w:right w:val="nil"/>
            </w:tcBorders>
            <w:shd w:val="clear" w:color="auto" w:fill="auto"/>
            <w:noWrap/>
            <w:hideMark/>
          </w:tcPr>
          <w:p w14:paraId="2D88EDBA" w14:textId="3C3E3317"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59</w:t>
            </w:r>
          </w:p>
        </w:tc>
        <w:tc>
          <w:tcPr>
            <w:tcW w:w="142" w:type="dxa"/>
            <w:tcBorders>
              <w:top w:val="nil"/>
              <w:left w:val="nil"/>
              <w:bottom w:val="nil"/>
              <w:right w:val="nil"/>
            </w:tcBorders>
            <w:shd w:val="clear" w:color="auto" w:fill="auto"/>
            <w:noWrap/>
            <w:vAlign w:val="bottom"/>
            <w:hideMark/>
          </w:tcPr>
          <w:p w14:paraId="7914C059"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top w:val="nil"/>
              <w:left w:val="nil"/>
              <w:bottom w:val="nil"/>
              <w:right w:val="nil"/>
            </w:tcBorders>
            <w:vAlign w:val="center"/>
            <w:hideMark/>
          </w:tcPr>
          <w:p w14:paraId="2C2416FC"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tcBorders>
              <w:top w:val="nil"/>
              <w:left w:val="nil"/>
              <w:bottom w:val="nil"/>
              <w:right w:val="nil"/>
            </w:tcBorders>
            <w:shd w:val="clear" w:color="auto" w:fill="auto"/>
            <w:noWrap/>
            <w:hideMark/>
          </w:tcPr>
          <w:p w14:paraId="7F9296BD" w14:textId="260CEB1D"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3</w:t>
            </w:r>
          </w:p>
        </w:tc>
        <w:tc>
          <w:tcPr>
            <w:tcW w:w="850" w:type="dxa"/>
            <w:tcBorders>
              <w:top w:val="nil"/>
              <w:left w:val="nil"/>
              <w:bottom w:val="nil"/>
              <w:right w:val="nil"/>
            </w:tcBorders>
            <w:shd w:val="clear" w:color="auto" w:fill="auto"/>
            <w:noWrap/>
            <w:hideMark/>
          </w:tcPr>
          <w:p w14:paraId="35ADBEA8" w14:textId="36E960E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68</w:t>
            </w:r>
          </w:p>
        </w:tc>
        <w:tc>
          <w:tcPr>
            <w:tcW w:w="851" w:type="dxa"/>
            <w:tcBorders>
              <w:top w:val="nil"/>
              <w:left w:val="nil"/>
              <w:bottom w:val="nil"/>
              <w:right w:val="nil"/>
            </w:tcBorders>
            <w:shd w:val="clear" w:color="auto" w:fill="auto"/>
            <w:noWrap/>
            <w:hideMark/>
          </w:tcPr>
          <w:p w14:paraId="6577FF62" w14:textId="25058F1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41</w:t>
            </w:r>
          </w:p>
        </w:tc>
        <w:tc>
          <w:tcPr>
            <w:tcW w:w="126" w:type="dxa"/>
            <w:tcBorders>
              <w:top w:val="nil"/>
              <w:left w:val="nil"/>
              <w:bottom w:val="nil"/>
              <w:right w:val="nil"/>
            </w:tcBorders>
            <w:shd w:val="clear" w:color="auto" w:fill="auto"/>
            <w:noWrap/>
            <w:vAlign w:val="bottom"/>
            <w:hideMark/>
          </w:tcPr>
          <w:p w14:paraId="478D2FF6"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bottom w:val="nil"/>
              <w:right w:val="nil"/>
            </w:tcBorders>
            <w:shd w:val="clear" w:color="auto" w:fill="auto"/>
            <w:noWrap/>
            <w:vAlign w:val="bottom"/>
            <w:hideMark/>
          </w:tcPr>
          <w:p w14:paraId="0E75D6A6"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59B84F75"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049C531B" w14:textId="77777777" w:rsidTr="006D6BAE">
        <w:trPr>
          <w:trHeight w:val="20"/>
        </w:trPr>
        <w:tc>
          <w:tcPr>
            <w:tcW w:w="2127" w:type="dxa"/>
            <w:vMerge w:val="restart"/>
            <w:tcBorders>
              <w:top w:val="nil"/>
              <w:left w:val="nil"/>
              <w:bottom w:val="nil"/>
              <w:right w:val="nil"/>
            </w:tcBorders>
            <w:shd w:val="clear" w:color="000000" w:fill="F2F2F2"/>
            <w:hideMark/>
          </w:tcPr>
          <w:p w14:paraId="6D9E984B" w14:textId="1F66469E"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Fruit and vegetable juices and nectars (including concentrates)</w:t>
            </w:r>
          </w:p>
        </w:tc>
        <w:tc>
          <w:tcPr>
            <w:tcW w:w="708" w:type="dxa"/>
            <w:tcBorders>
              <w:top w:val="nil"/>
              <w:left w:val="nil"/>
              <w:bottom w:val="nil"/>
              <w:right w:val="nil"/>
            </w:tcBorders>
            <w:shd w:val="clear" w:color="000000" w:fill="F2F2F2"/>
            <w:noWrap/>
            <w:hideMark/>
          </w:tcPr>
          <w:p w14:paraId="78455E38" w14:textId="412A32D7"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0.9989</w:t>
            </w:r>
          </w:p>
        </w:tc>
        <w:tc>
          <w:tcPr>
            <w:tcW w:w="567" w:type="dxa"/>
            <w:tcBorders>
              <w:top w:val="nil"/>
              <w:left w:val="nil"/>
              <w:bottom w:val="nil"/>
              <w:right w:val="nil"/>
            </w:tcBorders>
            <w:shd w:val="clear" w:color="000000" w:fill="F2F2F2"/>
            <w:noWrap/>
            <w:hideMark/>
          </w:tcPr>
          <w:p w14:paraId="183C769E" w14:textId="492A4FB5"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0.4657</w:t>
            </w:r>
          </w:p>
        </w:tc>
        <w:tc>
          <w:tcPr>
            <w:tcW w:w="851" w:type="dxa"/>
            <w:tcBorders>
              <w:top w:val="nil"/>
              <w:left w:val="nil"/>
              <w:bottom w:val="nil"/>
              <w:right w:val="nil"/>
            </w:tcBorders>
            <w:shd w:val="clear" w:color="000000" w:fill="F2F2F2"/>
            <w:noWrap/>
            <w:hideMark/>
          </w:tcPr>
          <w:p w14:paraId="629F5101" w14:textId="087785E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14F389C1"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top w:val="nil"/>
              <w:left w:val="nil"/>
              <w:bottom w:val="nil"/>
              <w:right w:val="nil"/>
            </w:tcBorders>
            <w:shd w:val="clear" w:color="000000" w:fill="F2F2F2"/>
            <w:hideMark/>
          </w:tcPr>
          <w:p w14:paraId="5DF8644A" w14:textId="63FCFAB9"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Dairy</w:t>
            </w:r>
            <w:proofErr w:type="spellEnd"/>
            <w:r>
              <w:rPr>
                <w:rFonts w:cs="Calibri"/>
                <w:color w:val="000000"/>
                <w:sz w:val="16"/>
                <w:szCs w:val="16"/>
              </w:rPr>
              <w:t xml:space="preserve"> </w:t>
            </w:r>
            <w:proofErr w:type="spellStart"/>
            <w:r>
              <w:rPr>
                <w:rFonts w:cs="Calibri"/>
                <w:color w:val="000000"/>
                <w:sz w:val="16"/>
                <w:szCs w:val="16"/>
              </w:rPr>
              <w:t>products</w:t>
            </w:r>
            <w:proofErr w:type="spellEnd"/>
          </w:p>
        </w:tc>
        <w:tc>
          <w:tcPr>
            <w:tcW w:w="709" w:type="dxa"/>
            <w:tcBorders>
              <w:top w:val="nil"/>
              <w:left w:val="nil"/>
              <w:bottom w:val="nil"/>
              <w:right w:val="nil"/>
            </w:tcBorders>
            <w:shd w:val="clear" w:color="000000" w:fill="F2F2F2"/>
            <w:noWrap/>
            <w:hideMark/>
          </w:tcPr>
          <w:p w14:paraId="1D2C470C" w14:textId="4C4BBDF6"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tcBorders>
              <w:top w:val="nil"/>
              <w:left w:val="nil"/>
              <w:bottom w:val="nil"/>
              <w:right w:val="nil"/>
            </w:tcBorders>
            <w:shd w:val="clear" w:color="000000" w:fill="F2F2F2"/>
            <w:noWrap/>
            <w:hideMark/>
          </w:tcPr>
          <w:p w14:paraId="46AE5ADF" w14:textId="313AAF58"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NA²</w:t>
            </w:r>
          </w:p>
        </w:tc>
        <w:tc>
          <w:tcPr>
            <w:tcW w:w="851" w:type="dxa"/>
            <w:tcBorders>
              <w:top w:val="nil"/>
              <w:left w:val="nil"/>
              <w:bottom w:val="nil"/>
              <w:right w:val="nil"/>
            </w:tcBorders>
            <w:shd w:val="clear" w:color="000000" w:fill="F2F2F2"/>
            <w:noWrap/>
            <w:hideMark/>
          </w:tcPr>
          <w:p w14:paraId="29E0E9BD" w14:textId="5838712B"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0.4655</w:t>
            </w:r>
          </w:p>
        </w:tc>
        <w:tc>
          <w:tcPr>
            <w:tcW w:w="126" w:type="dxa"/>
            <w:tcBorders>
              <w:top w:val="nil"/>
              <w:left w:val="nil"/>
              <w:bottom w:val="nil"/>
              <w:right w:val="nil"/>
            </w:tcBorders>
            <w:shd w:val="clear" w:color="auto" w:fill="auto"/>
            <w:noWrap/>
            <w:vAlign w:val="bottom"/>
            <w:hideMark/>
          </w:tcPr>
          <w:p w14:paraId="3473D180"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tcBorders>
              <w:top w:val="nil"/>
              <w:left w:val="nil"/>
              <w:bottom w:val="nil"/>
              <w:right w:val="nil"/>
            </w:tcBorders>
            <w:shd w:val="clear" w:color="auto" w:fill="auto"/>
            <w:noWrap/>
            <w:vAlign w:val="bottom"/>
            <w:hideMark/>
          </w:tcPr>
          <w:p w14:paraId="5A38ED2C"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vAlign w:val="bottom"/>
            <w:hideMark/>
          </w:tcPr>
          <w:p w14:paraId="54EF8A5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0B0C3742" w14:textId="77777777" w:rsidTr="006D6BAE">
        <w:trPr>
          <w:trHeight w:val="20"/>
        </w:trPr>
        <w:tc>
          <w:tcPr>
            <w:tcW w:w="2127" w:type="dxa"/>
            <w:vMerge/>
            <w:tcBorders>
              <w:top w:val="nil"/>
              <w:left w:val="nil"/>
              <w:bottom w:val="nil"/>
              <w:right w:val="nil"/>
            </w:tcBorders>
            <w:vAlign w:val="center"/>
            <w:hideMark/>
          </w:tcPr>
          <w:p w14:paraId="7C2CD832"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5F6EE881" w14:textId="112971D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60</w:t>
            </w:r>
          </w:p>
        </w:tc>
        <w:tc>
          <w:tcPr>
            <w:tcW w:w="567" w:type="dxa"/>
            <w:tcBorders>
              <w:top w:val="nil"/>
              <w:left w:val="nil"/>
              <w:bottom w:val="nil"/>
              <w:right w:val="nil"/>
            </w:tcBorders>
            <w:shd w:val="clear" w:color="000000" w:fill="F2F2F2"/>
            <w:noWrap/>
            <w:hideMark/>
          </w:tcPr>
          <w:p w14:paraId="3CDA7DE5" w14:textId="7F400F04"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25</w:t>
            </w:r>
          </w:p>
        </w:tc>
        <w:tc>
          <w:tcPr>
            <w:tcW w:w="851" w:type="dxa"/>
            <w:tcBorders>
              <w:top w:val="nil"/>
              <w:left w:val="nil"/>
              <w:bottom w:val="nil"/>
              <w:right w:val="nil"/>
            </w:tcBorders>
            <w:shd w:val="clear" w:color="000000" w:fill="F2F2F2"/>
            <w:noWrap/>
            <w:hideMark/>
          </w:tcPr>
          <w:p w14:paraId="251C9CA6" w14:textId="56067EFD"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25</w:t>
            </w:r>
          </w:p>
        </w:tc>
        <w:tc>
          <w:tcPr>
            <w:tcW w:w="142" w:type="dxa"/>
            <w:tcBorders>
              <w:top w:val="nil"/>
              <w:left w:val="nil"/>
              <w:bottom w:val="nil"/>
              <w:right w:val="nil"/>
            </w:tcBorders>
            <w:shd w:val="clear" w:color="auto" w:fill="auto"/>
            <w:noWrap/>
            <w:hideMark/>
          </w:tcPr>
          <w:p w14:paraId="55B259B4"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top w:val="nil"/>
              <w:left w:val="nil"/>
              <w:right w:val="nil"/>
            </w:tcBorders>
            <w:vAlign w:val="center"/>
            <w:hideMark/>
          </w:tcPr>
          <w:p w14:paraId="36284095"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709" w:type="dxa"/>
            <w:tcBorders>
              <w:top w:val="nil"/>
              <w:left w:val="nil"/>
              <w:right w:val="nil"/>
            </w:tcBorders>
            <w:shd w:val="clear" w:color="000000" w:fill="F2F2F2"/>
            <w:noWrap/>
            <w:hideMark/>
          </w:tcPr>
          <w:p w14:paraId="41426713" w14:textId="0F8FDB0E"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8</w:t>
            </w:r>
          </w:p>
        </w:tc>
        <w:tc>
          <w:tcPr>
            <w:tcW w:w="850" w:type="dxa"/>
            <w:tcBorders>
              <w:top w:val="nil"/>
              <w:left w:val="nil"/>
              <w:right w:val="nil"/>
            </w:tcBorders>
            <w:shd w:val="clear" w:color="000000" w:fill="F2F2F2"/>
            <w:noWrap/>
            <w:hideMark/>
          </w:tcPr>
          <w:p w14:paraId="2B7920AA" w14:textId="76469422"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75</w:t>
            </w:r>
          </w:p>
        </w:tc>
        <w:tc>
          <w:tcPr>
            <w:tcW w:w="851" w:type="dxa"/>
            <w:tcBorders>
              <w:top w:val="nil"/>
              <w:left w:val="nil"/>
              <w:right w:val="nil"/>
            </w:tcBorders>
            <w:shd w:val="clear" w:color="000000" w:fill="F2F2F2"/>
            <w:noWrap/>
            <w:hideMark/>
          </w:tcPr>
          <w:p w14:paraId="60E6EEA6" w14:textId="033E18F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57</w:t>
            </w:r>
          </w:p>
        </w:tc>
        <w:tc>
          <w:tcPr>
            <w:tcW w:w="126" w:type="dxa"/>
            <w:tcBorders>
              <w:top w:val="nil"/>
              <w:left w:val="nil"/>
              <w:right w:val="nil"/>
            </w:tcBorders>
            <w:shd w:val="clear" w:color="auto" w:fill="auto"/>
            <w:noWrap/>
            <w:vAlign w:val="bottom"/>
            <w:hideMark/>
          </w:tcPr>
          <w:p w14:paraId="165E4ECB"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tcBorders>
              <w:top w:val="nil"/>
              <w:left w:val="nil"/>
              <w:right w:val="nil"/>
            </w:tcBorders>
            <w:shd w:val="clear" w:color="auto" w:fill="auto"/>
            <w:noWrap/>
            <w:vAlign w:val="bottom"/>
            <w:hideMark/>
          </w:tcPr>
          <w:p w14:paraId="3B017838"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right w:val="nil"/>
            </w:tcBorders>
            <w:shd w:val="clear" w:color="auto" w:fill="auto"/>
            <w:noWrap/>
            <w:vAlign w:val="bottom"/>
            <w:hideMark/>
          </w:tcPr>
          <w:p w14:paraId="426DD835"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380D7B39" w14:textId="77777777" w:rsidTr="006D6BAE">
        <w:trPr>
          <w:trHeight w:val="20"/>
        </w:trPr>
        <w:tc>
          <w:tcPr>
            <w:tcW w:w="2127" w:type="dxa"/>
            <w:vMerge w:val="restart"/>
            <w:tcBorders>
              <w:top w:val="nil"/>
              <w:left w:val="nil"/>
              <w:bottom w:val="nil"/>
              <w:right w:val="nil"/>
            </w:tcBorders>
            <w:shd w:val="clear" w:color="auto" w:fill="auto"/>
            <w:hideMark/>
          </w:tcPr>
          <w:p w14:paraId="6EB095D2" w14:textId="5F186BFF"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Grains and grain-based products</w:t>
            </w:r>
          </w:p>
        </w:tc>
        <w:tc>
          <w:tcPr>
            <w:tcW w:w="708" w:type="dxa"/>
            <w:tcBorders>
              <w:top w:val="nil"/>
              <w:left w:val="nil"/>
              <w:bottom w:val="nil"/>
              <w:right w:val="nil"/>
            </w:tcBorders>
            <w:shd w:val="clear" w:color="auto" w:fill="auto"/>
            <w:noWrap/>
            <w:hideMark/>
          </w:tcPr>
          <w:p w14:paraId="077097FF" w14:textId="1933B61B"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0.9733</w:t>
            </w:r>
          </w:p>
        </w:tc>
        <w:tc>
          <w:tcPr>
            <w:tcW w:w="567" w:type="dxa"/>
            <w:tcBorders>
              <w:top w:val="nil"/>
              <w:left w:val="nil"/>
              <w:bottom w:val="nil"/>
              <w:right w:val="nil"/>
            </w:tcBorders>
            <w:shd w:val="clear" w:color="auto" w:fill="auto"/>
            <w:noWrap/>
            <w:hideMark/>
          </w:tcPr>
          <w:p w14:paraId="0583CB1C" w14:textId="2D59ACE0"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0.9429</w:t>
            </w:r>
          </w:p>
        </w:tc>
        <w:tc>
          <w:tcPr>
            <w:tcW w:w="851" w:type="dxa"/>
            <w:tcBorders>
              <w:top w:val="nil"/>
              <w:left w:val="nil"/>
              <w:bottom w:val="nil"/>
              <w:right w:val="nil"/>
            </w:tcBorders>
            <w:shd w:val="clear" w:color="auto" w:fill="auto"/>
            <w:noWrap/>
            <w:hideMark/>
          </w:tcPr>
          <w:p w14:paraId="2C13B0DD" w14:textId="7EB16342"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0A74D0E6"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left w:val="nil"/>
            </w:tcBorders>
            <w:shd w:val="clear" w:color="auto" w:fill="auto"/>
            <w:hideMark/>
          </w:tcPr>
          <w:p w14:paraId="3E7ECD63" w14:textId="53E24572"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Oils</w:t>
            </w:r>
            <w:proofErr w:type="spellEnd"/>
          </w:p>
        </w:tc>
        <w:tc>
          <w:tcPr>
            <w:tcW w:w="709" w:type="dxa"/>
            <w:shd w:val="clear" w:color="auto" w:fill="auto"/>
            <w:noWrap/>
            <w:hideMark/>
          </w:tcPr>
          <w:p w14:paraId="219A33E5" w14:textId="4C28CBBB"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shd w:val="clear" w:color="auto" w:fill="auto"/>
            <w:noWrap/>
            <w:hideMark/>
          </w:tcPr>
          <w:p w14:paraId="33C5A55E" w14:textId="6809CEDA"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NA²</w:t>
            </w:r>
          </w:p>
        </w:tc>
        <w:tc>
          <w:tcPr>
            <w:tcW w:w="851" w:type="dxa"/>
            <w:shd w:val="clear" w:color="auto" w:fill="auto"/>
            <w:noWrap/>
            <w:hideMark/>
          </w:tcPr>
          <w:p w14:paraId="4065E46F" w14:textId="5D09C3D3"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3</w:t>
            </w:r>
          </w:p>
        </w:tc>
        <w:tc>
          <w:tcPr>
            <w:tcW w:w="126" w:type="dxa"/>
            <w:shd w:val="clear" w:color="auto" w:fill="auto"/>
            <w:noWrap/>
            <w:vAlign w:val="bottom"/>
            <w:hideMark/>
          </w:tcPr>
          <w:p w14:paraId="1FF955A3"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shd w:val="clear" w:color="auto" w:fill="auto"/>
            <w:noWrap/>
            <w:vAlign w:val="bottom"/>
            <w:hideMark/>
          </w:tcPr>
          <w:p w14:paraId="3B57037D"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shd w:val="clear" w:color="auto" w:fill="auto"/>
            <w:noWrap/>
            <w:vAlign w:val="bottom"/>
            <w:hideMark/>
          </w:tcPr>
          <w:p w14:paraId="142DB1D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2C93CD76" w14:textId="77777777" w:rsidTr="006D6BAE">
        <w:trPr>
          <w:trHeight w:val="20"/>
        </w:trPr>
        <w:tc>
          <w:tcPr>
            <w:tcW w:w="2127" w:type="dxa"/>
            <w:vMerge/>
            <w:tcBorders>
              <w:top w:val="nil"/>
              <w:left w:val="nil"/>
              <w:bottom w:val="nil"/>
              <w:right w:val="nil"/>
            </w:tcBorders>
            <w:vAlign w:val="center"/>
            <w:hideMark/>
          </w:tcPr>
          <w:p w14:paraId="783D10EC"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59BF180E" w14:textId="22FC5815"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833</w:t>
            </w:r>
          </w:p>
        </w:tc>
        <w:tc>
          <w:tcPr>
            <w:tcW w:w="567" w:type="dxa"/>
            <w:tcBorders>
              <w:top w:val="nil"/>
              <w:left w:val="nil"/>
              <w:bottom w:val="nil"/>
              <w:right w:val="nil"/>
            </w:tcBorders>
            <w:shd w:val="clear" w:color="auto" w:fill="auto"/>
            <w:noWrap/>
            <w:hideMark/>
          </w:tcPr>
          <w:p w14:paraId="130AC7B3" w14:textId="3AD0A01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126</w:t>
            </w:r>
          </w:p>
        </w:tc>
        <w:tc>
          <w:tcPr>
            <w:tcW w:w="851" w:type="dxa"/>
            <w:tcBorders>
              <w:top w:val="nil"/>
              <w:left w:val="nil"/>
              <w:bottom w:val="nil"/>
              <w:right w:val="nil"/>
            </w:tcBorders>
            <w:shd w:val="clear" w:color="auto" w:fill="auto"/>
            <w:noWrap/>
            <w:hideMark/>
          </w:tcPr>
          <w:p w14:paraId="1F9BE61C" w14:textId="458D2BA3"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126</w:t>
            </w:r>
          </w:p>
        </w:tc>
        <w:tc>
          <w:tcPr>
            <w:tcW w:w="142" w:type="dxa"/>
            <w:tcBorders>
              <w:top w:val="nil"/>
              <w:left w:val="nil"/>
              <w:bottom w:val="nil"/>
              <w:right w:val="nil"/>
            </w:tcBorders>
            <w:shd w:val="clear" w:color="auto" w:fill="auto"/>
            <w:noWrap/>
            <w:vAlign w:val="bottom"/>
            <w:hideMark/>
          </w:tcPr>
          <w:p w14:paraId="3AD78FF9"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left w:val="nil"/>
            </w:tcBorders>
            <w:vAlign w:val="center"/>
            <w:hideMark/>
          </w:tcPr>
          <w:p w14:paraId="7ABB0817"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shd w:val="clear" w:color="auto" w:fill="auto"/>
            <w:noWrap/>
            <w:hideMark/>
          </w:tcPr>
          <w:p w14:paraId="743242E1" w14:textId="56479D73"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5</w:t>
            </w:r>
          </w:p>
        </w:tc>
        <w:tc>
          <w:tcPr>
            <w:tcW w:w="850" w:type="dxa"/>
            <w:shd w:val="clear" w:color="auto" w:fill="auto"/>
            <w:noWrap/>
            <w:hideMark/>
          </w:tcPr>
          <w:p w14:paraId="473C9A90" w14:textId="2BF48957"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w:t>
            </w:r>
          </w:p>
        </w:tc>
        <w:tc>
          <w:tcPr>
            <w:tcW w:w="851" w:type="dxa"/>
            <w:shd w:val="clear" w:color="auto" w:fill="auto"/>
            <w:noWrap/>
            <w:hideMark/>
          </w:tcPr>
          <w:p w14:paraId="7B0264A5" w14:textId="0BACEE0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w:t>
            </w:r>
          </w:p>
        </w:tc>
        <w:tc>
          <w:tcPr>
            <w:tcW w:w="126" w:type="dxa"/>
            <w:shd w:val="clear" w:color="auto" w:fill="auto"/>
            <w:noWrap/>
            <w:vAlign w:val="bottom"/>
            <w:hideMark/>
          </w:tcPr>
          <w:p w14:paraId="25DC0215"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shd w:val="clear" w:color="auto" w:fill="auto"/>
            <w:noWrap/>
            <w:vAlign w:val="bottom"/>
            <w:hideMark/>
          </w:tcPr>
          <w:p w14:paraId="0448A81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shd w:val="clear" w:color="auto" w:fill="auto"/>
            <w:noWrap/>
            <w:vAlign w:val="bottom"/>
            <w:hideMark/>
          </w:tcPr>
          <w:p w14:paraId="7265204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0A976CBC" w14:textId="77777777" w:rsidTr="006D6BAE">
        <w:trPr>
          <w:trHeight w:val="20"/>
        </w:trPr>
        <w:tc>
          <w:tcPr>
            <w:tcW w:w="2127" w:type="dxa"/>
            <w:vMerge w:val="restart"/>
            <w:tcBorders>
              <w:top w:val="nil"/>
              <w:left w:val="nil"/>
              <w:bottom w:val="nil"/>
              <w:right w:val="nil"/>
            </w:tcBorders>
            <w:shd w:val="clear" w:color="000000" w:fill="F2F2F2"/>
            <w:hideMark/>
          </w:tcPr>
          <w:p w14:paraId="3D3DEBFA" w14:textId="66FC1850"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Legumes, nuts, oilseeds and spices</w:t>
            </w:r>
          </w:p>
        </w:tc>
        <w:tc>
          <w:tcPr>
            <w:tcW w:w="708" w:type="dxa"/>
            <w:tcBorders>
              <w:top w:val="nil"/>
              <w:left w:val="nil"/>
              <w:bottom w:val="nil"/>
              <w:right w:val="nil"/>
            </w:tcBorders>
            <w:shd w:val="clear" w:color="000000" w:fill="F2F2F2"/>
            <w:noWrap/>
            <w:hideMark/>
          </w:tcPr>
          <w:p w14:paraId="0B92B3EF" w14:textId="05C53867"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0.9997</w:t>
            </w:r>
          </w:p>
        </w:tc>
        <w:tc>
          <w:tcPr>
            <w:tcW w:w="567" w:type="dxa"/>
            <w:tcBorders>
              <w:top w:val="nil"/>
              <w:left w:val="nil"/>
              <w:bottom w:val="nil"/>
              <w:right w:val="nil"/>
            </w:tcBorders>
            <w:shd w:val="clear" w:color="000000" w:fill="F2F2F2"/>
            <w:noWrap/>
            <w:hideMark/>
          </w:tcPr>
          <w:p w14:paraId="160D90B3" w14:textId="0BD272CC"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0.6305</w:t>
            </w:r>
          </w:p>
        </w:tc>
        <w:tc>
          <w:tcPr>
            <w:tcW w:w="851" w:type="dxa"/>
            <w:tcBorders>
              <w:top w:val="nil"/>
              <w:left w:val="nil"/>
              <w:bottom w:val="nil"/>
              <w:right w:val="nil"/>
            </w:tcBorders>
            <w:shd w:val="clear" w:color="000000" w:fill="F2F2F2"/>
            <w:noWrap/>
            <w:hideMark/>
          </w:tcPr>
          <w:p w14:paraId="2174D156" w14:textId="1C114D10"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198F8D76"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vMerge w:val="restart"/>
            <w:tcBorders>
              <w:left w:val="nil"/>
            </w:tcBorders>
            <w:shd w:val="clear" w:color="000000" w:fill="F2F2F2"/>
            <w:hideMark/>
          </w:tcPr>
          <w:p w14:paraId="3332AAB4" w14:textId="37D9B55E" w:rsidR="00F359A5" w:rsidRPr="00772CF7" w:rsidRDefault="00F359A5" w:rsidP="00F359A5">
            <w:pPr>
              <w:suppressAutoHyphens w:val="0"/>
              <w:spacing w:before="0" w:line="240" w:lineRule="auto"/>
              <w:jc w:val="left"/>
              <w:rPr>
                <w:rFonts w:cs="Calibri"/>
                <w:color w:val="000000"/>
                <w:sz w:val="17"/>
                <w:szCs w:val="17"/>
                <w:lang w:val="en-US" w:eastAsia="en-US"/>
              </w:rPr>
            </w:pPr>
            <w:proofErr w:type="spellStart"/>
            <w:r>
              <w:rPr>
                <w:rFonts w:cs="Calibri"/>
                <w:color w:val="000000"/>
                <w:sz w:val="16"/>
                <w:szCs w:val="16"/>
              </w:rPr>
              <w:t>Secondary</w:t>
            </w:r>
            <w:proofErr w:type="spellEnd"/>
            <w:r>
              <w:rPr>
                <w:rFonts w:cs="Calibri"/>
                <w:color w:val="000000"/>
                <w:sz w:val="16"/>
                <w:szCs w:val="16"/>
              </w:rPr>
              <w:t xml:space="preserve"> </w:t>
            </w:r>
            <w:proofErr w:type="spellStart"/>
            <w:r>
              <w:rPr>
                <w:rFonts w:cs="Calibri"/>
                <w:color w:val="000000"/>
                <w:sz w:val="16"/>
                <w:szCs w:val="16"/>
              </w:rPr>
              <w:t>products</w:t>
            </w:r>
            <w:proofErr w:type="spellEnd"/>
          </w:p>
        </w:tc>
        <w:tc>
          <w:tcPr>
            <w:tcW w:w="709" w:type="dxa"/>
            <w:shd w:val="clear" w:color="000000" w:fill="F2F2F2"/>
            <w:noWrap/>
            <w:hideMark/>
          </w:tcPr>
          <w:p w14:paraId="39CB9621" w14:textId="109027E8"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1</w:t>
            </w:r>
          </w:p>
        </w:tc>
        <w:tc>
          <w:tcPr>
            <w:tcW w:w="850" w:type="dxa"/>
            <w:shd w:val="clear" w:color="000000" w:fill="F2F2F2"/>
            <w:noWrap/>
            <w:hideMark/>
          </w:tcPr>
          <w:p w14:paraId="524B488D" w14:textId="10FFBC2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0.9890</w:t>
            </w:r>
          </w:p>
        </w:tc>
        <w:tc>
          <w:tcPr>
            <w:tcW w:w="851" w:type="dxa"/>
            <w:shd w:val="clear" w:color="000000" w:fill="F2F2F2"/>
            <w:noWrap/>
            <w:hideMark/>
          </w:tcPr>
          <w:p w14:paraId="2D2B3DE3" w14:textId="09575EB8" w:rsidR="00F359A5" w:rsidRPr="00772CF7" w:rsidRDefault="00F359A5" w:rsidP="00F359A5">
            <w:pPr>
              <w:suppressAutoHyphens w:val="0"/>
              <w:spacing w:before="0" w:line="240" w:lineRule="auto"/>
              <w:jc w:val="right"/>
              <w:rPr>
                <w:rFonts w:cs="Calibri"/>
                <w:color w:val="000000"/>
                <w:sz w:val="17"/>
                <w:szCs w:val="17"/>
                <w:lang w:val="en-US" w:eastAsia="en-US"/>
              </w:rPr>
            </w:pPr>
            <w:r>
              <w:rPr>
                <w:rFonts w:cs="Calibri"/>
                <w:color w:val="000000"/>
                <w:sz w:val="16"/>
                <w:szCs w:val="16"/>
              </w:rPr>
              <w:t>NA</w:t>
            </w:r>
            <w:r>
              <w:rPr>
                <w:rFonts w:cs="Calibri"/>
                <w:color w:val="000000"/>
                <w:sz w:val="16"/>
                <w:szCs w:val="16"/>
                <w:vertAlign w:val="superscript"/>
              </w:rPr>
              <w:t>3</w:t>
            </w:r>
          </w:p>
        </w:tc>
        <w:tc>
          <w:tcPr>
            <w:tcW w:w="126" w:type="dxa"/>
            <w:shd w:val="clear" w:color="auto" w:fill="auto"/>
            <w:noWrap/>
            <w:vAlign w:val="bottom"/>
            <w:hideMark/>
          </w:tcPr>
          <w:p w14:paraId="6EF2002F" w14:textId="77777777" w:rsidR="00F359A5" w:rsidRPr="00772CF7" w:rsidRDefault="00F359A5" w:rsidP="00F359A5">
            <w:pPr>
              <w:suppressAutoHyphens w:val="0"/>
              <w:spacing w:before="0" w:line="240" w:lineRule="auto"/>
              <w:jc w:val="right"/>
              <w:rPr>
                <w:rFonts w:cs="Calibri"/>
                <w:color w:val="000000"/>
                <w:sz w:val="17"/>
                <w:szCs w:val="17"/>
                <w:lang w:val="en-US" w:eastAsia="en-US"/>
              </w:rPr>
            </w:pPr>
          </w:p>
        </w:tc>
        <w:tc>
          <w:tcPr>
            <w:tcW w:w="866" w:type="dxa"/>
            <w:shd w:val="clear" w:color="auto" w:fill="auto"/>
            <w:noWrap/>
            <w:vAlign w:val="bottom"/>
            <w:hideMark/>
          </w:tcPr>
          <w:p w14:paraId="54FDF94B"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shd w:val="clear" w:color="auto" w:fill="auto"/>
            <w:noWrap/>
            <w:vAlign w:val="bottom"/>
            <w:hideMark/>
          </w:tcPr>
          <w:p w14:paraId="2E51939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6D000F50" w14:textId="77777777" w:rsidTr="006D6BAE">
        <w:trPr>
          <w:trHeight w:val="20"/>
        </w:trPr>
        <w:tc>
          <w:tcPr>
            <w:tcW w:w="2127" w:type="dxa"/>
            <w:vMerge/>
            <w:tcBorders>
              <w:top w:val="nil"/>
              <w:left w:val="nil"/>
              <w:bottom w:val="nil"/>
              <w:right w:val="nil"/>
            </w:tcBorders>
            <w:vAlign w:val="center"/>
            <w:hideMark/>
          </w:tcPr>
          <w:p w14:paraId="6E332536"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3B277C4F" w14:textId="6F6DB5E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83</w:t>
            </w:r>
          </w:p>
        </w:tc>
        <w:tc>
          <w:tcPr>
            <w:tcW w:w="567" w:type="dxa"/>
            <w:tcBorders>
              <w:top w:val="nil"/>
              <w:left w:val="nil"/>
              <w:bottom w:val="nil"/>
              <w:right w:val="nil"/>
            </w:tcBorders>
            <w:shd w:val="clear" w:color="000000" w:fill="F2F2F2"/>
            <w:noWrap/>
            <w:hideMark/>
          </w:tcPr>
          <w:p w14:paraId="74D8A78E" w14:textId="239341D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59</w:t>
            </w:r>
          </w:p>
        </w:tc>
        <w:tc>
          <w:tcPr>
            <w:tcW w:w="851" w:type="dxa"/>
            <w:tcBorders>
              <w:top w:val="nil"/>
              <w:left w:val="nil"/>
              <w:bottom w:val="nil"/>
              <w:right w:val="nil"/>
            </w:tcBorders>
            <w:shd w:val="clear" w:color="000000" w:fill="F2F2F2"/>
            <w:noWrap/>
            <w:hideMark/>
          </w:tcPr>
          <w:p w14:paraId="36A0F004" w14:textId="5C58D9D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59</w:t>
            </w:r>
          </w:p>
        </w:tc>
        <w:tc>
          <w:tcPr>
            <w:tcW w:w="142" w:type="dxa"/>
            <w:tcBorders>
              <w:top w:val="nil"/>
              <w:left w:val="nil"/>
              <w:bottom w:val="nil"/>
              <w:right w:val="nil"/>
            </w:tcBorders>
            <w:shd w:val="clear" w:color="auto" w:fill="auto"/>
            <w:noWrap/>
            <w:vAlign w:val="bottom"/>
            <w:hideMark/>
          </w:tcPr>
          <w:p w14:paraId="5724A5FD"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vMerge/>
            <w:tcBorders>
              <w:left w:val="nil"/>
            </w:tcBorders>
            <w:vAlign w:val="center"/>
            <w:hideMark/>
          </w:tcPr>
          <w:p w14:paraId="3400C143"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c>
          <w:tcPr>
            <w:tcW w:w="709" w:type="dxa"/>
            <w:shd w:val="clear" w:color="000000" w:fill="F2F2F2"/>
            <w:noWrap/>
            <w:hideMark/>
          </w:tcPr>
          <w:p w14:paraId="1C0305D4" w14:textId="6DEED6FF" w:rsidR="00F359A5" w:rsidRPr="00772CF7" w:rsidRDefault="00F359A5" w:rsidP="00F359A5">
            <w:pPr>
              <w:suppressAutoHyphens w:val="0"/>
              <w:spacing w:before="0" w:line="240" w:lineRule="auto"/>
              <w:jc w:val="right"/>
              <w:rPr>
                <w:rFonts w:cs="Calibri"/>
                <w:i/>
                <w:iCs/>
                <w:color w:val="000000"/>
                <w:sz w:val="17"/>
                <w:szCs w:val="17"/>
                <w:lang w:val="en-US" w:eastAsia="en-US"/>
              </w:rPr>
            </w:pPr>
            <w:r>
              <w:rPr>
                <w:rFonts w:cs="Calibri"/>
                <w:i/>
                <w:iCs/>
                <w:color w:val="000000"/>
                <w:sz w:val="16"/>
                <w:szCs w:val="16"/>
              </w:rPr>
              <w:t>2</w:t>
            </w:r>
          </w:p>
        </w:tc>
        <w:tc>
          <w:tcPr>
            <w:tcW w:w="850" w:type="dxa"/>
            <w:shd w:val="clear" w:color="000000" w:fill="F2F2F2"/>
            <w:noWrap/>
            <w:hideMark/>
          </w:tcPr>
          <w:p w14:paraId="3B034B5D" w14:textId="6577EC0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15</w:t>
            </w:r>
          </w:p>
        </w:tc>
        <w:tc>
          <w:tcPr>
            <w:tcW w:w="851" w:type="dxa"/>
            <w:shd w:val="clear" w:color="000000" w:fill="F2F2F2"/>
            <w:noWrap/>
            <w:hideMark/>
          </w:tcPr>
          <w:p w14:paraId="086F1537" w14:textId="5CC6A86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0</w:t>
            </w:r>
          </w:p>
        </w:tc>
        <w:tc>
          <w:tcPr>
            <w:tcW w:w="126" w:type="dxa"/>
            <w:shd w:val="clear" w:color="auto" w:fill="auto"/>
            <w:noWrap/>
            <w:vAlign w:val="bottom"/>
            <w:hideMark/>
          </w:tcPr>
          <w:p w14:paraId="288D9E12"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66" w:type="dxa"/>
            <w:shd w:val="clear" w:color="auto" w:fill="auto"/>
            <w:noWrap/>
            <w:vAlign w:val="bottom"/>
            <w:hideMark/>
          </w:tcPr>
          <w:p w14:paraId="5BF5F021"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shd w:val="clear" w:color="auto" w:fill="auto"/>
            <w:noWrap/>
            <w:vAlign w:val="bottom"/>
            <w:hideMark/>
          </w:tcPr>
          <w:p w14:paraId="050A08CB"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7D296E06" w14:textId="77777777" w:rsidTr="006D6BAE">
        <w:trPr>
          <w:trHeight w:val="20"/>
        </w:trPr>
        <w:tc>
          <w:tcPr>
            <w:tcW w:w="2127" w:type="dxa"/>
            <w:vMerge w:val="restart"/>
            <w:tcBorders>
              <w:top w:val="nil"/>
              <w:left w:val="nil"/>
              <w:bottom w:val="nil"/>
              <w:right w:val="nil"/>
            </w:tcBorders>
            <w:shd w:val="clear" w:color="auto" w:fill="auto"/>
            <w:hideMark/>
          </w:tcPr>
          <w:p w14:paraId="3658596A" w14:textId="25DDCAD9" w:rsidR="00F359A5" w:rsidRPr="00772CF7" w:rsidRDefault="00F359A5" w:rsidP="00F359A5">
            <w:pPr>
              <w:suppressAutoHyphens w:val="0"/>
              <w:spacing w:before="0" w:line="240" w:lineRule="auto"/>
              <w:jc w:val="left"/>
              <w:rPr>
                <w:rFonts w:cs="Calibri"/>
                <w:sz w:val="17"/>
                <w:szCs w:val="17"/>
                <w:lang w:val="en-US" w:eastAsia="en-US"/>
              </w:rPr>
            </w:pPr>
            <w:r>
              <w:rPr>
                <w:rFonts w:cs="Calibri"/>
                <w:color w:val="000000"/>
                <w:sz w:val="17"/>
                <w:szCs w:val="17"/>
              </w:rPr>
              <w:t xml:space="preserve">Meat and </w:t>
            </w:r>
            <w:proofErr w:type="spellStart"/>
            <w:r>
              <w:rPr>
                <w:rFonts w:cs="Calibri"/>
                <w:color w:val="000000"/>
                <w:sz w:val="17"/>
                <w:szCs w:val="17"/>
              </w:rPr>
              <w:t>meat</w:t>
            </w:r>
            <w:proofErr w:type="spellEnd"/>
            <w:r>
              <w:rPr>
                <w:rFonts w:cs="Calibri"/>
                <w:color w:val="000000"/>
                <w:sz w:val="17"/>
                <w:szCs w:val="17"/>
              </w:rPr>
              <w:t xml:space="preserve"> </w:t>
            </w:r>
            <w:proofErr w:type="spellStart"/>
            <w:r>
              <w:rPr>
                <w:rFonts w:cs="Calibri"/>
                <w:color w:val="000000"/>
                <w:sz w:val="17"/>
                <w:szCs w:val="17"/>
              </w:rPr>
              <w:t>products</w:t>
            </w:r>
            <w:proofErr w:type="spellEnd"/>
          </w:p>
        </w:tc>
        <w:tc>
          <w:tcPr>
            <w:tcW w:w="708" w:type="dxa"/>
            <w:tcBorders>
              <w:top w:val="nil"/>
              <w:left w:val="nil"/>
              <w:bottom w:val="nil"/>
              <w:right w:val="nil"/>
            </w:tcBorders>
            <w:shd w:val="clear" w:color="auto" w:fill="auto"/>
            <w:noWrap/>
            <w:hideMark/>
          </w:tcPr>
          <w:p w14:paraId="766AF9F7" w14:textId="61212E9A"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0.9986</w:t>
            </w:r>
          </w:p>
        </w:tc>
        <w:tc>
          <w:tcPr>
            <w:tcW w:w="567" w:type="dxa"/>
            <w:tcBorders>
              <w:top w:val="nil"/>
              <w:left w:val="nil"/>
              <w:bottom w:val="nil"/>
              <w:right w:val="nil"/>
            </w:tcBorders>
            <w:shd w:val="clear" w:color="auto" w:fill="auto"/>
            <w:noWrap/>
            <w:hideMark/>
          </w:tcPr>
          <w:p w14:paraId="01047D5C" w14:textId="61A27998"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0.9283</w:t>
            </w:r>
          </w:p>
        </w:tc>
        <w:tc>
          <w:tcPr>
            <w:tcW w:w="851" w:type="dxa"/>
            <w:tcBorders>
              <w:top w:val="nil"/>
              <w:left w:val="nil"/>
              <w:bottom w:val="nil"/>
              <w:right w:val="nil"/>
            </w:tcBorders>
            <w:shd w:val="clear" w:color="auto" w:fill="auto"/>
            <w:noWrap/>
            <w:hideMark/>
          </w:tcPr>
          <w:p w14:paraId="2449D305" w14:textId="25679CA1"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3F311AD1"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left w:val="nil"/>
            </w:tcBorders>
            <w:shd w:val="clear" w:color="auto" w:fill="auto"/>
            <w:noWrap/>
            <w:hideMark/>
          </w:tcPr>
          <w:p w14:paraId="59DEAB83"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shd w:val="clear" w:color="auto" w:fill="auto"/>
            <w:noWrap/>
            <w:hideMark/>
          </w:tcPr>
          <w:p w14:paraId="4E66B22E" w14:textId="77777777" w:rsidR="00F359A5" w:rsidRPr="00772CF7" w:rsidRDefault="00F359A5" w:rsidP="00F359A5">
            <w:pPr>
              <w:suppressAutoHyphens w:val="0"/>
              <w:spacing w:before="0" w:line="240" w:lineRule="auto"/>
              <w:jc w:val="right"/>
              <w:rPr>
                <w:rFonts w:ascii="Times New Roman" w:hAnsi="Times New Roman"/>
                <w:sz w:val="17"/>
                <w:szCs w:val="17"/>
                <w:lang w:val="en-US" w:eastAsia="en-US"/>
              </w:rPr>
            </w:pPr>
          </w:p>
        </w:tc>
        <w:tc>
          <w:tcPr>
            <w:tcW w:w="850" w:type="dxa"/>
            <w:shd w:val="clear" w:color="auto" w:fill="auto"/>
            <w:noWrap/>
            <w:hideMark/>
          </w:tcPr>
          <w:p w14:paraId="54CE76A3" w14:textId="77777777" w:rsidR="00F359A5" w:rsidRPr="00772CF7" w:rsidRDefault="00F359A5" w:rsidP="00F359A5">
            <w:pPr>
              <w:suppressAutoHyphens w:val="0"/>
              <w:spacing w:before="0" w:line="240" w:lineRule="auto"/>
              <w:jc w:val="right"/>
              <w:rPr>
                <w:rFonts w:ascii="Times New Roman" w:hAnsi="Times New Roman"/>
                <w:sz w:val="17"/>
                <w:szCs w:val="17"/>
                <w:lang w:val="en-US" w:eastAsia="en-US"/>
              </w:rPr>
            </w:pPr>
          </w:p>
        </w:tc>
        <w:tc>
          <w:tcPr>
            <w:tcW w:w="851" w:type="dxa"/>
            <w:shd w:val="clear" w:color="auto" w:fill="auto"/>
            <w:noWrap/>
            <w:hideMark/>
          </w:tcPr>
          <w:p w14:paraId="0FAA2296" w14:textId="77777777" w:rsidR="00F359A5" w:rsidRPr="00772CF7" w:rsidRDefault="00F359A5" w:rsidP="00F359A5">
            <w:pPr>
              <w:suppressAutoHyphens w:val="0"/>
              <w:spacing w:before="0" w:line="240" w:lineRule="auto"/>
              <w:jc w:val="right"/>
              <w:rPr>
                <w:rFonts w:ascii="Times New Roman" w:hAnsi="Times New Roman"/>
                <w:sz w:val="17"/>
                <w:szCs w:val="17"/>
                <w:lang w:val="en-US" w:eastAsia="en-US"/>
              </w:rPr>
            </w:pPr>
          </w:p>
        </w:tc>
        <w:tc>
          <w:tcPr>
            <w:tcW w:w="126" w:type="dxa"/>
            <w:shd w:val="clear" w:color="auto" w:fill="auto"/>
            <w:noWrap/>
            <w:vAlign w:val="bottom"/>
            <w:hideMark/>
          </w:tcPr>
          <w:p w14:paraId="0CFD800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shd w:val="clear" w:color="auto" w:fill="auto"/>
            <w:noWrap/>
            <w:vAlign w:val="bottom"/>
            <w:hideMark/>
          </w:tcPr>
          <w:p w14:paraId="74255479"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shd w:val="clear" w:color="auto" w:fill="auto"/>
            <w:noWrap/>
            <w:vAlign w:val="bottom"/>
            <w:hideMark/>
          </w:tcPr>
          <w:p w14:paraId="57268E2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1A4706" w14:paraId="7C89CFA3" w14:textId="77777777" w:rsidTr="006D6BAE">
        <w:trPr>
          <w:trHeight w:val="20"/>
        </w:trPr>
        <w:tc>
          <w:tcPr>
            <w:tcW w:w="2127" w:type="dxa"/>
            <w:vMerge/>
            <w:tcBorders>
              <w:top w:val="nil"/>
              <w:left w:val="nil"/>
              <w:bottom w:val="nil"/>
              <w:right w:val="nil"/>
            </w:tcBorders>
            <w:vAlign w:val="center"/>
            <w:hideMark/>
          </w:tcPr>
          <w:p w14:paraId="396ECAED"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6A6BAB8E" w14:textId="3304AEE4"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630</w:t>
            </w:r>
          </w:p>
        </w:tc>
        <w:tc>
          <w:tcPr>
            <w:tcW w:w="567" w:type="dxa"/>
            <w:tcBorders>
              <w:top w:val="nil"/>
              <w:left w:val="nil"/>
              <w:bottom w:val="nil"/>
              <w:right w:val="nil"/>
            </w:tcBorders>
            <w:shd w:val="clear" w:color="auto" w:fill="auto"/>
            <w:noWrap/>
            <w:hideMark/>
          </w:tcPr>
          <w:p w14:paraId="3FA14F09" w14:textId="481E4483"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93</w:t>
            </w:r>
          </w:p>
        </w:tc>
        <w:tc>
          <w:tcPr>
            <w:tcW w:w="851" w:type="dxa"/>
            <w:tcBorders>
              <w:top w:val="nil"/>
              <w:left w:val="nil"/>
              <w:bottom w:val="nil"/>
              <w:right w:val="nil"/>
            </w:tcBorders>
            <w:shd w:val="clear" w:color="auto" w:fill="auto"/>
            <w:noWrap/>
            <w:hideMark/>
          </w:tcPr>
          <w:p w14:paraId="2A61EE0D" w14:textId="7D17B5A3"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87</w:t>
            </w:r>
          </w:p>
        </w:tc>
        <w:tc>
          <w:tcPr>
            <w:tcW w:w="142" w:type="dxa"/>
            <w:tcBorders>
              <w:top w:val="nil"/>
              <w:left w:val="nil"/>
              <w:bottom w:val="nil"/>
            </w:tcBorders>
            <w:shd w:val="clear" w:color="auto" w:fill="auto"/>
            <w:noWrap/>
            <w:vAlign w:val="bottom"/>
            <w:hideMark/>
          </w:tcPr>
          <w:p w14:paraId="09F64424"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5142" w:type="dxa"/>
            <w:gridSpan w:val="7"/>
            <w:vMerge w:val="restart"/>
            <w:shd w:val="clear" w:color="auto" w:fill="auto"/>
            <w:vAlign w:val="bottom"/>
            <w:hideMark/>
          </w:tcPr>
          <w:p w14:paraId="47A0BD45"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r w:rsidRPr="00772CF7">
              <w:rPr>
                <w:rFonts w:cs="Calibri"/>
                <w:color w:val="000000"/>
                <w:sz w:val="17"/>
                <w:szCs w:val="17"/>
                <w:vertAlign w:val="superscript"/>
                <w:lang w:val="en-US" w:eastAsia="en-US"/>
              </w:rPr>
              <w:t>1</w:t>
            </w:r>
            <w:r w:rsidRPr="00772CF7">
              <w:rPr>
                <w:rFonts w:cs="Calibri"/>
                <w:color w:val="000000"/>
                <w:sz w:val="17"/>
                <w:szCs w:val="17"/>
                <w:lang w:val="en-US" w:eastAsia="en-US"/>
              </w:rPr>
              <w:t xml:space="preserve"> NA because the prior value is the same for all items in the category (by assumption in avoidable and non-avoidable waste)</w:t>
            </w:r>
          </w:p>
        </w:tc>
      </w:tr>
      <w:tr w:rsidR="00F359A5" w:rsidRPr="00772CF7" w14:paraId="54805DE1" w14:textId="77777777" w:rsidTr="006D6BAE">
        <w:trPr>
          <w:trHeight w:val="20"/>
        </w:trPr>
        <w:tc>
          <w:tcPr>
            <w:tcW w:w="2127" w:type="dxa"/>
            <w:vMerge w:val="restart"/>
            <w:tcBorders>
              <w:top w:val="nil"/>
              <w:left w:val="nil"/>
              <w:bottom w:val="nil"/>
              <w:right w:val="nil"/>
            </w:tcBorders>
            <w:shd w:val="clear" w:color="000000" w:fill="F2F2F2"/>
            <w:hideMark/>
          </w:tcPr>
          <w:p w14:paraId="4DEF9CAC" w14:textId="484FBA22" w:rsidR="00F359A5" w:rsidRPr="00772CF7" w:rsidRDefault="00F359A5" w:rsidP="00F359A5">
            <w:pPr>
              <w:suppressAutoHyphens w:val="0"/>
              <w:spacing w:before="0" w:line="240" w:lineRule="auto"/>
              <w:jc w:val="left"/>
              <w:rPr>
                <w:rFonts w:cs="Calibri"/>
                <w:sz w:val="17"/>
                <w:szCs w:val="17"/>
                <w:lang w:val="en-US" w:eastAsia="en-US"/>
              </w:rPr>
            </w:pPr>
            <w:proofErr w:type="spellStart"/>
            <w:r>
              <w:rPr>
                <w:rFonts w:cs="Calibri"/>
                <w:color w:val="000000"/>
                <w:sz w:val="17"/>
                <w:szCs w:val="17"/>
              </w:rPr>
              <w:t>Seasoning</w:t>
            </w:r>
            <w:proofErr w:type="spellEnd"/>
            <w:r>
              <w:rPr>
                <w:rFonts w:cs="Calibri"/>
                <w:color w:val="000000"/>
                <w:sz w:val="17"/>
                <w:szCs w:val="17"/>
              </w:rPr>
              <w:t xml:space="preserve">, </w:t>
            </w:r>
            <w:proofErr w:type="spellStart"/>
            <w:r>
              <w:rPr>
                <w:rFonts w:cs="Calibri"/>
                <w:color w:val="000000"/>
                <w:sz w:val="17"/>
                <w:szCs w:val="17"/>
              </w:rPr>
              <w:t>sauces</w:t>
            </w:r>
            <w:proofErr w:type="spellEnd"/>
            <w:r>
              <w:rPr>
                <w:rFonts w:cs="Calibri"/>
                <w:color w:val="000000"/>
                <w:sz w:val="17"/>
                <w:szCs w:val="17"/>
              </w:rPr>
              <w:t xml:space="preserve"> and </w:t>
            </w:r>
            <w:proofErr w:type="spellStart"/>
            <w:r>
              <w:rPr>
                <w:rFonts w:cs="Calibri"/>
                <w:color w:val="000000"/>
                <w:sz w:val="17"/>
                <w:szCs w:val="17"/>
              </w:rPr>
              <w:t>condiments</w:t>
            </w:r>
            <w:proofErr w:type="spellEnd"/>
          </w:p>
        </w:tc>
        <w:tc>
          <w:tcPr>
            <w:tcW w:w="708" w:type="dxa"/>
            <w:tcBorders>
              <w:top w:val="nil"/>
              <w:left w:val="nil"/>
              <w:bottom w:val="nil"/>
              <w:right w:val="nil"/>
            </w:tcBorders>
            <w:shd w:val="clear" w:color="000000" w:fill="F2F2F2"/>
            <w:noWrap/>
            <w:hideMark/>
          </w:tcPr>
          <w:p w14:paraId="7C5A4115" w14:textId="048CB0AC"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0.9825</w:t>
            </w:r>
          </w:p>
        </w:tc>
        <w:tc>
          <w:tcPr>
            <w:tcW w:w="567" w:type="dxa"/>
            <w:tcBorders>
              <w:top w:val="nil"/>
              <w:left w:val="nil"/>
              <w:bottom w:val="nil"/>
              <w:right w:val="nil"/>
            </w:tcBorders>
            <w:shd w:val="clear" w:color="000000" w:fill="F2F2F2"/>
            <w:noWrap/>
            <w:hideMark/>
          </w:tcPr>
          <w:p w14:paraId="2D7FB139" w14:textId="70901CA1"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0.9948</w:t>
            </w:r>
          </w:p>
        </w:tc>
        <w:tc>
          <w:tcPr>
            <w:tcW w:w="851" w:type="dxa"/>
            <w:tcBorders>
              <w:top w:val="nil"/>
              <w:left w:val="nil"/>
              <w:bottom w:val="nil"/>
              <w:right w:val="nil"/>
            </w:tcBorders>
            <w:shd w:val="clear" w:color="000000" w:fill="F2F2F2"/>
            <w:noWrap/>
            <w:hideMark/>
          </w:tcPr>
          <w:p w14:paraId="16BEB572" w14:textId="21983242"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tcBorders>
            <w:shd w:val="clear" w:color="auto" w:fill="auto"/>
            <w:noWrap/>
            <w:vAlign w:val="bottom"/>
            <w:hideMark/>
          </w:tcPr>
          <w:p w14:paraId="2D4392CF"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5142" w:type="dxa"/>
            <w:gridSpan w:val="7"/>
            <w:vMerge/>
            <w:vAlign w:val="center"/>
            <w:hideMark/>
          </w:tcPr>
          <w:p w14:paraId="1463D21D"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r>
      <w:tr w:rsidR="00F359A5" w:rsidRPr="001A4706" w14:paraId="28F0210B" w14:textId="77777777" w:rsidTr="006D6BAE">
        <w:trPr>
          <w:trHeight w:val="20"/>
        </w:trPr>
        <w:tc>
          <w:tcPr>
            <w:tcW w:w="2127" w:type="dxa"/>
            <w:vMerge/>
            <w:tcBorders>
              <w:top w:val="nil"/>
              <w:left w:val="nil"/>
              <w:bottom w:val="nil"/>
              <w:right w:val="nil"/>
            </w:tcBorders>
            <w:vAlign w:val="center"/>
            <w:hideMark/>
          </w:tcPr>
          <w:p w14:paraId="5B9E552E"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6436BABF" w14:textId="5A56D79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417</w:t>
            </w:r>
          </w:p>
        </w:tc>
        <w:tc>
          <w:tcPr>
            <w:tcW w:w="567" w:type="dxa"/>
            <w:tcBorders>
              <w:top w:val="nil"/>
              <w:left w:val="nil"/>
              <w:bottom w:val="nil"/>
              <w:right w:val="nil"/>
            </w:tcBorders>
            <w:shd w:val="clear" w:color="000000" w:fill="F2F2F2"/>
            <w:noWrap/>
            <w:hideMark/>
          </w:tcPr>
          <w:p w14:paraId="22A726F4" w14:textId="350CBA6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46</w:t>
            </w:r>
          </w:p>
        </w:tc>
        <w:tc>
          <w:tcPr>
            <w:tcW w:w="851" w:type="dxa"/>
            <w:tcBorders>
              <w:top w:val="nil"/>
              <w:left w:val="nil"/>
              <w:bottom w:val="nil"/>
              <w:right w:val="nil"/>
            </w:tcBorders>
            <w:shd w:val="clear" w:color="000000" w:fill="F2F2F2"/>
            <w:noWrap/>
            <w:hideMark/>
          </w:tcPr>
          <w:p w14:paraId="018E11E5" w14:textId="7DB93426"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46</w:t>
            </w:r>
          </w:p>
        </w:tc>
        <w:tc>
          <w:tcPr>
            <w:tcW w:w="142" w:type="dxa"/>
            <w:tcBorders>
              <w:top w:val="nil"/>
              <w:left w:val="nil"/>
              <w:bottom w:val="nil"/>
            </w:tcBorders>
            <w:shd w:val="clear" w:color="auto" w:fill="auto"/>
            <w:noWrap/>
            <w:vAlign w:val="bottom"/>
            <w:hideMark/>
          </w:tcPr>
          <w:p w14:paraId="42513AF5"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5142" w:type="dxa"/>
            <w:gridSpan w:val="7"/>
            <w:vMerge w:val="restart"/>
            <w:shd w:val="clear" w:color="auto" w:fill="auto"/>
            <w:vAlign w:val="bottom"/>
            <w:hideMark/>
          </w:tcPr>
          <w:p w14:paraId="414FAEC2"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r w:rsidRPr="00772CF7">
              <w:rPr>
                <w:rFonts w:cs="Calibri"/>
                <w:color w:val="000000"/>
                <w:sz w:val="17"/>
                <w:szCs w:val="17"/>
                <w:vertAlign w:val="superscript"/>
                <w:lang w:val="en-US" w:eastAsia="en-US"/>
              </w:rPr>
              <w:t xml:space="preserve">2 </w:t>
            </w:r>
            <w:r w:rsidRPr="00772CF7">
              <w:rPr>
                <w:rFonts w:cs="Calibri"/>
                <w:color w:val="000000"/>
                <w:sz w:val="17"/>
                <w:szCs w:val="17"/>
                <w:lang w:val="en-US" w:eastAsia="en-US"/>
              </w:rPr>
              <w:t>Processing of dairy products and oil is part of the CAPRI model and was therefore not included in the consolidation.</w:t>
            </w:r>
          </w:p>
        </w:tc>
      </w:tr>
      <w:tr w:rsidR="00F359A5" w:rsidRPr="00772CF7" w14:paraId="75AF815B" w14:textId="77777777" w:rsidTr="006D6BAE">
        <w:trPr>
          <w:trHeight w:val="20"/>
        </w:trPr>
        <w:tc>
          <w:tcPr>
            <w:tcW w:w="2127" w:type="dxa"/>
            <w:vMerge w:val="restart"/>
            <w:tcBorders>
              <w:top w:val="nil"/>
              <w:left w:val="nil"/>
              <w:bottom w:val="nil"/>
              <w:right w:val="nil"/>
            </w:tcBorders>
            <w:shd w:val="clear" w:color="auto" w:fill="auto"/>
            <w:hideMark/>
          </w:tcPr>
          <w:p w14:paraId="1F30714C" w14:textId="735F8FEC"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Starchy roots or tubers and products thereof, sugar plants</w:t>
            </w:r>
          </w:p>
        </w:tc>
        <w:tc>
          <w:tcPr>
            <w:tcW w:w="708" w:type="dxa"/>
            <w:tcBorders>
              <w:top w:val="nil"/>
              <w:left w:val="nil"/>
              <w:bottom w:val="nil"/>
              <w:right w:val="nil"/>
            </w:tcBorders>
            <w:shd w:val="clear" w:color="auto" w:fill="auto"/>
            <w:noWrap/>
            <w:hideMark/>
          </w:tcPr>
          <w:p w14:paraId="20774355" w14:textId="7E5E6B2B"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1.0000</w:t>
            </w:r>
          </w:p>
        </w:tc>
        <w:tc>
          <w:tcPr>
            <w:tcW w:w="567" w:type="dxa"/>
            <w:tcBorders>
              <w:top w:val="nil"/>
              <w:left w:val="nil"/>
              <w:bottom w:val="nil"/>
              <w:right w:val="nil"/>
            </w:tcBorders>
            <w:shd w:val="clear" w:color="auto" w:fill="auto"/>
            <w:noWrap/>
            <w:hideMark/>
          </w:tcPr>
          <w:p w14:paraId="1A5EDBBD" w14:textId="1551A9EB"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1.0000</w:t>
            </w:r>
          </w:p>
        </w:tc>
        <w:tc>
          <w:tcPr>
            <w:tcW w:w="851" w:type="dxa"/>
            <w:tcBorders>
              <w:top w:val="nil"/>
              <w:left w:val="nil"/>
              <w:bottom w:val="nil"/>
              <w:right w:val="nil"/>
            </w:tcBorders>
            <w:shd w:val="clear" w:color="auto" w:fill="auto"/>
            <w:noWrap/>
            <w:hideMark/>
          </w:tcPr>
          <w:p w14:paraId="44209C8E" w14:textId="37509CB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tcBorders>
            <w:shd w:val="clear" w:color="auto" w:fill="auto"/>
            <w:noWrap/>
            <w:vAlign w:val="bottom"/>
            <w:hideMark/>
          </w:tcPr>
          <w:p w14:paraId="3222C496"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5142" w:type="dxa"/>
            <w:gridSpan w:val="7"/>
            <w:vMerge/>
            <w:vAlign w:val="center"/>
            <w:hideMark/>
          </w:tcPr>
          <w:p w14:paraId="7ADC6F87"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r>
      <w:tr w:rsidR="00F359A5" w:rsidRPr="001A4706" w14:paraId="39AF1DDD" w14:textId="77777777" w:rsidTr="006D6BAE">
        <w:trPr>
          <w:trHeight w:val="20"/>
        </w:trPr>
        <w:tc>
          <w:tcPr>
            <w:tcW w:w="2127" w:type="dxa"/>
            <w:vMerge/>
            <w:tcBorders>
              <w:top w:val="nil"/>
              <w:left w:val="nil"/>
              <w:bottom w:val="nil"/>
              <w:right w:val="nil"/>
            </w:tcBorders>
            <w:vAlign w:val="center"/>
            <w:hideMark/>
          </w:tcPr>
          <w:p w14:paraId="69026EE0"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1D647A18" w14:textId="33A136C9"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9</w:t>
            </w:r>
          </w:p>
        </w:tc>
        <w:tc>
          <w:tcPr>
            <w:tcW w:w="567" w:type="dxa"/>
            <w:tcBorders>
              <w:top w:val="nil"/>
              <w:left w:val="nil"/>
              <w:bottom w:val="nil"/>
              <w:right w:val="nil"/>
            </w:tcBorders>
            <w:shd w:val="clear" w:color="auto" w:fill="auto"/>
            <w:noWrap/>
            <w:hideMark/>
          </w:tcPr>
          <w:p w14:paraId="32ACA1B8" w14:textId="2FCF6CD7"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851" w:type="dxa"/>
            <w:tcBorders>
              <w:top w:val="nil"/>
              <w:left w:val="nil"/>
              <w:bottom w:val="nil"/>
              <w:right w:val="nil"/>
            </w:tcBorders>
            <w:shd w:val="clear" w:color="auto" w:fill="auto"/>
            <w:noWrap/>
            <w:hideMark/>
          </w:tcPr>
          <w:p w14:paraId="23C4CFC2" w14:textId="6B40D37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8</w:t>
            </w:r>
          </w:p>
        </w:tc>
        <w:tc>
          <w:tcPr>
            <w:tcW w:w="142" w:type="dxa"/>
            <w:tcBorders>
              <w:top w:val="nil"/>
              <w:left w:val="nil"/>
              <w:bottom w:val="nil"/>
            </w:tcBorders>
            <w:shd w:val="clear" w:color="auto" w:fill="auto"/>
            <w:noWrap/>
            <w:vAlign w:val="bottom"/>
            <w:hideMark/>
          </w:tcPr>
          <w:p w14:paraId="50631CFE"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5142" w:type="dxa"/>
            <w:gridSpan w:val="7"/>
            <w:vMerge w:val="restart"/>
            <w:shd w:val="clear" w:color="auto" w:fill="auto"/>
            <w:hideMark/>
          </w:tcPr>
          <w:p w14:paraId="055C1C1C"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r w:rsidRPr="00772CF7">
              <w:rPr>
                <w:rFonts w:cs="Calibri"/>
                <w:color w:val="000000"/>
                <w:sz w:val="17"/>
                <w:szCs w:val="17"/>
                <w:vertAlign w:val="superscript"/>
                <w:lang w:val="en-US" w:eastAsia="en-US"/>
              </w:rPr>
              <w:t xml:space="preserve"> 3</w:t>
            </w:r>
            <w:r w:rsidRPr="00772CF7">
              <w:rPr>
                <w:rFonts w:cs="Calibri"/>
                <w:color w:val="000000"/>
                <w:sz w:val="17"/>
                <w:szCs w:val="17"/>
                <w:lang w:val="en-US" w:eastAsia="en-US"/>
              </w:rPr>
              <w:t xml:space="preserve"> NA because prior and consolidated values are zero.</w:t>
            </w:r>
          </w:p>
        </w:tc>
      </w:tr>
      <w:tr w:rsidR="00F359A5" w:rsidRPr="00772CF7" w14:paraId="1258F03F" w14:textId="77777777" w:rsidTr="006D6BAE">
        <w:trPr>
          <w:trHeight w:val="20"/>
        </w:trPr>
        <w:tc>
          <w:tcPr>
            <w:tcW w:w="2127" w:type="dxa"/>
            <w:vMerge w:val="restart"/>
            <w:tcBorders>
              <w:top w:val="nil"/>
              <w:left w:val="nil"/>
              <w:bottom w:val="nil"/>
              <w:right w:val="nil"/>
            </w:tcBorders>
            <w:shd w:val="clear" w:color="000000" w:fill="F2F2F2"/>
            <w:hideMark/>
          </w:tcPr>
          <w:p w14:paraId="0E1969E6" w14:textId="3600E9B3"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Sugar and similar, confectionery and water-based sweet desserts</w:t>
            </w:r>
          </w:p>
        </w:tc>
        <w:tc>
          <w:tcPr>
            <w:tcW w:w="708" w:type="dxa"/>
            <w:tcBorders>
              <w:top w:val="nil"/>
              <w:left w:val="nil"/>
              <w:bottom w:val="nil"/>
              <w:right w:val="nil"/>
            </w:tcBorders>
            <w:shd w:val="clear" w:color="000000" w:fill="F2F2F2"/>
            <w:noWrap/>
            <w:hideMark/>
          </w:tcPr>
          <w:p w14:paraId="00006264" w14:textId="41D9517D"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0.9977</w:t>
            </w:r>
          </w:p>
        </w:tc>
        <w:tc>
          <w:tcPr>
            <w:tcW w:w="567" w:type="dxa"/>
            <w:tcBorders>
              <w:top w:val="nil"/>
              <w:left w:val="nil"/>
              <w:bottom w:val="nil"/>
              <w:right w:val="nil"/>
            </w:tcBorders>
            <w:shd w:val="clear" w:color="000000" w:fill="F2F2F2"/>
            <w:noWrap/>
            <w:hideMark/>
          </w:tcPr>
          <w:p w14:paraId="29CB54E5" w14:textId="3B0C6C8D"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0.7955</w:t>
            </w:r>
          </w:p>
        </w:tc>
        <w:tc>
          <w:tcPr>
            <w:tcW w:w="851" w:type="dxa"/>
            <w:tcBorders>
              <w:top w:val="nil"/>
              <w:left w:val="nil"/>
              <w:bottom w:val="nil"/>
              <w:right w:val="nil"/>
            </w:tcBorders>
            <w:shd w:val="clear" w:color="000000" w:fill="F2F2F2"/>
            <w:noWrap/>
            <w:hideMark/>
          </w:tcPr>
          <w:p w14:paraId="7884A25E" w14:textId="1AB979EE"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tcBorders>
            <w:shd w:val="clear" w:color="auto" w:fill="auto"/>
            <w:noWrap/>
            <w:vAlign w:val="bottom"/>
            <w:hideMark/>
          </w:tcPr>
          <w:p w14:paraId="1355DB39"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5142" w:type="dxa"/>
            <w:gridSpan w:val="7"/>
            <w:vMerge/>
            <w:vAlign w:val="center"/>
            <w:hideMark/>
          </w:tcPr>
          <w:p w14:paraId="5FC7E2E9" w14:textId="77777777" w:rsidR="00F359A5" w:rsidRPr="00772CF7" w:rsidRDefault="00F359A5" w:rsidP="00F359A5">
            <w:pPr>
              <w:suppressAutoHyphens w:val="0"/>
              <w:spacing w:before="0" w:line="240" w:lineRule="auto"/>
              <w:jc w:val="left"/>
              <w:rPr>
                <w:rFonts w:cs="Calibri"/>
                <w:color w:val="000000"/>
                <w:sz w:val="17"/>
                <w:szCs w:val="17"/>
                <w:lang w:val="en-US" w:eastAsia="en-US"/>
              </w:rPr>
            </w:pPr>
          </w:p>
        </w:tc>
      </w:tr>
      <w:tr w:rsidR="00F359A5" w:rsidRPr="00772CF7" w14:paraId="6DE391DC" w14:textId="77777777" w:rsidTr="006D6BAE">
        <w:trPr>
          <w:trHeight w:val="20"/>
        </w:trPr>
        <w:tc>
          <w:tcPr>
            <w:tcW w:w="2127" w:type="dxa"/>
            <w:vMerge/>
            <w:tcBorders>
              <w:top w:val="nil"/>
              <w:left w:val="nil"/>
              <w:bottom w:val="nil"/>
              <w:right w:val="nil"/>
            </w:tcBorders>
            <w:vAlign w:val="center"/>
            <w:hideMark/>
          </w:tcPr>
          <w:p w14:paraId="79054E11"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5B90D052" w14:textId="5ED84111"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195</w:t>
            </w:r>
          </w:p>
        </w:tc>
        <w:tc>
          <w:tcPr>
            <w:tcW w:w="567" w:type="dxa"/>
            <w:tcBorders>
              <w:top w:val="nil"/>
              <w:left w:val="nil"/>
              <w:bottom w:val="nil"/>
              <w:right w:val="nil"/>
            </w:tcBorders>
            <w:shd w:val="clear" w:color="000000" w:fill="F2F2F2"/>
            <w:noWrap/>
            <w:hideMark/>
          </w:tcPr>
          <w:p w14:paraId="5D94B43A" w14:textId="5B31F85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39</w:t>
            </w:r>
          </w:p>
        </w:tc>
        <w:tc>
          <w:tcPr>
            <w:tcW w:w="851" w:type="dxa"/>
            <w:tcBorders>
              <w:top w:val="nil"/>
              <w:left w:val="nil"/>
              <w:bottom w:val="nil"/>
              <w:right w:val="nil"/>
            </w:tcBorders>
            <w:shd w:val="clear" w:color="000000" w:fill="F2F2F2"/>
            <w:noWrap/>
            <w:hideMark/>
          </w:tcPr>
          <w:p w14:paraId="2CD2F821" w14:textId="64769C2B"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39</w:t>
            </w:r>
          </w:p>
        </w:tc>
        <w:tc>
          <w:tcPr>
            <w:tcW w:w="142" w:type="dxa"/>
            <w:tcBorders>
              <w:top w:val="nil"/>
              <w:left w:val="nil"/>
              <w:bottom w:val="nil"/>
              <w:right w:val="nil"/>
            </w:tcBorders>
            <w:shd w:val="clear" w:color="auto" w:fill="auto"/>
            <w:noWrap/>
            <w:vAlign w:val="bottom"/>
            <w:hideMark/>
          </w:tcPr>
          <w:p w14:paraId="3485C269"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left w:val="nil"/>
            </w:tcBorders>
            <w:shd w:val="clear" w:color="auto" w:fill="auto"/>
            <w:noWrap/>
            <w:hideMark/>
          </w:tcPr>
          <w:p w14:paraId="0A80075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shd w:val="clear" w:color="auto" w:fill="auto"/>
            <w:noWrap/>
            <w:hideMark/>
          </w:tcPr>
          <w:p w14:paraId="6CA7771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shd w:val="clear" w:color="auto" w:fill="auto"/>
            <w:noWrap/>
            <w:hideMark/>
          </w:tcPr>
          <w:p w14:paraId="6F90944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shd w:val="clear" w:color="auto" w:fill="auto"/>
            <w:noWrap/>
            <w:hideMark/>
          </w:tcPr>
          <w:p w14:paraId="1896645B"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shd w:val="clear" w:color="auto" w:fill="auto"/>
            <w:noWrap/>
            <w:hideMark/>
          </w:tcPr>
          <w:p w14:paraId="5C94BFD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shd w:val="clear" w:color="auto" w:fill="auto"/>
            <w:noWrap/>
            <w:hideMark/>
          </w:tcPr>
          <w:p w14:paraId="518F76B6"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shd w:val="clear" w:color="auto" w:fill="auto"/>
            <w:noWrap/>
            <w:hideMark/>
          </w:tcPr>
          <w:p w14:paraId="07CA106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34A31D9B" w14:textId="77777777" w:rsidTr="006D6BAE">
        <w:trPr>
          <w:trHeight w:val="20"/>
        </w:trPr>
        <w:tc>
          <w:tcPr>
            <w:tcW w:w="2127" w:type="dxa"/>
            <w:vMerge w:val="restart"/>
            <w:tcBorders>
              <w:top w:val="nil"/>
              <w:left w:val="nil"/>
              <w:bottom w:val="nil"/>
              <w:right w:val="nil"/>
            </w:tcBorders>
            <w:shd w:val="clear" w:color="auto" w:fill="auto"/>
            <w:hideMark/>
          </w:tcPr>
          <w:p w14:paraId="4E5F9457" w14:textId="2A351A7D" w:rsidR="00F359A5" w:rsidRPr="00772CF7" w:rsidRDefault="00F359A5" w:rsidP="00F359A5">
            <w:pPr>
              <w:suppressAutoHyphens w:val="0"/>
              <w:spacing w:before="0" w:line="240" w:lineRule="auto"/>
              <w:jc w:val="left"/>
              <w:rPr>
                <w:rFonts w:cs="Calibri"/>
                <w:sz w:val="17"/>
                <w:szCs w:val="17"/>
                <w:lang w:val="en-US" w:eastAsia="en-US"/>
              </w:rPr>
            </w:pPr>
            <w:proofErr w:type="spellStart"/>
            <w:r>
              <w:rPr>
                <w:rFonts w:cs="Calibri"/>
                <w:color w:val="000000"/>
                <w:sz w:val="17"/>
                <w:szCs w:val="17"/>
              </w:rPr>
              <w:t>Vegetables</w:t>
            </w:r>
            <w:proofErr w:type="spellEnd"/>
            <w:r>
              <w:rPr>
                <w:rFonts w:cs="Calibri"/>
                <w:color w:val="000000"/>
                <w:sz w:val="17"/>
                <w:szCs w:val="17"/>
              </w:rPr>
              <w:t xml:space="preserve"> and </w:t>
            </w:r>
            <w:proofErr w:type="spellStart"/>
            <w:r>
              <w:rPr>
                <w:rFonts w:cs="Calibri"/>
                <w:color w:val="000000"/>
                <w:sz w:val="17"/>
                <w:szCs w:val="17"/>
              </w:rPr>
              <w:t>vegetable</w:t>
            </w:r>
            <w:proofErr w:type="spellEnd"/>
            <w:r>
              <w:rPr>
                <w:rFonts w:cs="Calibri"/>
                <w:color w:val="000000"/>
                <w:sz w:val="17"/>
                <w:szCs w:val="17"/>
              </w:rPr>
              <w:t xml:space="preserve"> </w:t>
            </w:r>
            <w:proofErr w:type="spellStart"/>
            <w:r>
              <w:rPr>
                <w:rFonts w:cs="Calibri"/>
                <w:color w:val="000000"/>
                <w:sz w:val="17"/>
                <w:szCs w:val="17"/>
              </w:rPr>
              <w:t>products</w:t>
            </w:r>
            <w:proofErr w:type="spellEnd"/>
          </w:p>
        </w:tc>
        <w:tc>
          <w:tcPr>
            <w:tcW w:w="708" w:type="dxa"/>
            <w:tcBorders>
              <w:top w:val="nil"/>
              <w:left w:val="nil"/>
              <w:bottom w:val="nil"/>
              <w:right w:val="nil"/>
            </w:tcBorders>
            <w:shd w:val="clear" w:color="auto" w:fill="auto"/>
            <w:noWrap/>
            <w:hideMark/>
          </w:tcPr>
          <w:p w14:paraId="43CAAB57" w14:textId="634ED6E5"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1.0000</w:t>
            </w:r>
          </w:p>
        </w:tc>
        <w:tc>
          <w:tcPr>
            <w:tcW w:w="567" w:type="dxa"/>
            <w:tcBorders>
              <w:top w:val="nil"/>
              <w:left w:val="nil"/>
              <w:bottom w:val="nil"/>
              <w:right w:val="nil"/>
            </w:tcBorders>
            <w:shd w:val="clear" w:color="auto" w:fill="auto"/>
            <w:noWrap/>
            <w:hideMark/>
          </w:tcPr>
          <w:p w14:paraId="511C0B5C" w14:textId="551A2B30"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0.9084</w:t>
            </w:r>
          </w:p>
        </w:tc>
        <w:tc>
          <w:tcPr>
            <w:tcW w:w="851" w:type="dxa"/>
            <w:tcBorders>
              <w:top w:val="nil"/>
              <w:left w:val="nil"/>
              <w:bottom w:val="nil"/>
              <w:right w:val="nil"/>
            </w:tcBorders>
            <w:shd w:val="clear" w:color="auto" w:fill="auto"/>
            <w:noWrap/>
            <w:hideMark/>
          </w:tcPr>
          <w:p w14:paraId="3BECB1B2" w14:textId="21D3A869"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0269DB60"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left w:val="nil"/>
              <w:bottom w:val="nil"/>
              <w:right w:val="nil"/>
            </w:tcBorders>
            <w:shd w:val="clear" w:color="auto" w:fill="auto"/>
            <w:noWrap/>
            <w:hideMark/>
          </w:tcPr>
          <w:p w14:paraId="32119FF5"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left w:val="nil"/>
              <w:bottom w:val="nil"/>
              <w:right w:val="nil"/>
            </w:tcBorders>
            <w:shd w:val="clear" w:color="auto" w:fill="auto"/>
            <w:noWrap/>
            <w:hideMark/>
          </w:tcPr>
          <w:p w14:paraId="693248A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left w:val="nil"/>
              <w:bottom w:val="nil"/>
              <w:right w:val="nil"/>
            </w:tcBorders>
            <w:shd w:val="clear" w:color="auto" w:fill="auto"/>
            <w:noWrap/>
            <w:hideMark/>
          </w:tcPr>
          <w:p w14:paraId="491B216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left w:val="nil"/>
              <w:bottom w:val="nil"/>
              <w:right w:val="nil"/>
            </w:tcBorders>
            <w:shd w:val="clear" w:color="auto" w:fill="auto"/>
            <w:noWrap/>
            <w:hideMark/>
          </w:tcPr>
          <w:p w14:paraId="30DDB00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left w:val="nil"/>
              <w:bottom w:val="nil"/>
              <w:right w:val="nil"/>
            </w:tcBorders>
            <w:shd w:val="clear" w:color="auto" w:fill="auto"/>
            <w:noWrap/>
            <w:hideMark/>
          </w:tcPr>
          <w:p w14:paraId="43B7ED0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left w:val="nil"/>
              <w:bottom w:val="nil"/>
              <w:right w:val="nil"/>
            </w:tcBorders>
            <w:shd w:val="clear" w:color="auto" w:fill="auto"/>
            <w:noWrap/>
            <w:hideMark/>
          </w:tcPr>
          <w:p w14:paraId="020D7E51"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left w:val="nil"/>
              <w:bottom w:val="nil"/>
              <w:right w:val="nil"/>
            </w:tcBorders>
            <w:shd w:val="clear" w:color="auto" w:fill="auto"/>
            <w:noWrap/>
            <w:hideMark/>
          </w:tcPr>
          <w:p w14:paraId="5AB38932"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6AC0C55C" w14:textId="77777777" w:rsidTr="006D6BAE">
        <w:trPr>
          <w:trHeight w:val="20"/>
        </w:trPr>
        <w:tc>
          <w:tcPr>
            <w:tcW w:w="2127" w:type="dxa"/>
            <w:vMerge/>
            <w:tcBorders>
              <w:top w:val="nil"/>
              <w:left w:val="nil"/>
              <w:bottom w:val="nil"/>
              <w:right w:val="nil"/>
            </w:tcBorders>
            <w:vAlign w:val="center"/>
            <w:hideMark/>
          </w:tcPr>
          <w:p w14:paraId="70B39700"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34B4D715" w14:textId="5782FC6C"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145</w:t>
            </w:r>
          </w:p>
        </w:tc>
        <w:tc>
          <w:tcPr>
            <w:tcW w:w="567" w:type="dxa"/>
            <w:tcBorders>
              <w:top w:val="nil"/>
              <w:left w:val="nil"/>
              <w:bottom w:val="nil"/>
              <w:right w:val="nil"/>
            </w:tcBorders>
            <w:shd w:val="clear" w:color="auto" w:fill="auto"/>
            <w:noWrap/>
            <w:hideMark/>
          </w:tcPr>
          <w:p w14:paraId="18AC12AE" w14:textId="359E7FFE"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114</w:t>
            </w:r>
          </w:p>
        </w:tc>
        <w:tc>
          <w:tcPr>
            <w:tcW w:w="851" w:type="dxa"/>
            <w:tcBorders>
              <w:top w:val="nil"/>
              <w:left w:val="nil"/>
              <w:bottom w:val="nil"/>
              <w:right w:val="nil"/>
            </w:tcBorders>
            <w:shd w:val="clear" w:color="auto" w:fill="auto"/>
            <w:noWrap/>
            <w:hideMark/>
          </w:tcPr>
          <w:p w14:paraId="1C554CB8" w14:textId="6847914D"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114</w:t>
            </w:r>
          </w:p>
        </w:tc>
        <w:tc>
          <w:tcPr>
            <w:tcW w:w="142" w:type="dxa"/>
            <w:tcBorders>
              <w:top w:val="nil"/>
              <w:left w:val="nil"/>
              <w:bottom w:val="nil"/>
              <w:right w:val="nil"/>
            </w:tcBorders>
            <w:shd w:val="clear" w:color="auto" w:fill="auto"/>
            <w:noWrap/>
            <w:vAlign w:val="bottom"/>
            <w:hideMark/>
          </w:tcPr>
          <w:p w14:paraId="0F6CE878"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top w:val="nil"/>
              <w:left w:val="nil"/>
              <w:bottom w:val="nil"/>
              <w:right w:val="nil"/>
            </w:tcBorders>
            <w:shd w:val="clear" w:color="auto" w:fill="auto"/>
            <w:noWrap/>
            <w:hideMark/>
          </w:tcPr>
          <w:p w14:paraId="601EEADB"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1D24B44B"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242567D5"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4A0D0DE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71DB213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7E974EE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0DBB6FE8"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0C42C429" w14:textId="77777777" w:rsidTr="006D6BAE">
        <w:trPr>
          <w:trHeight w:val="20"/>
        </w:trPr>
        <w:tc>
          <w:tcPr>
            <w:tcW w:w="2127" w:type="dxa"/>
            <w:vMerge w:val="restart"/>
            <w:tcBorders>
              <w:top w:val="nil"/>
              <w:left w:val="nil"/>
              <w:bottom w:val="nil"/>
              <w:right w:val="nil"/>
            </w:tcBorders>
            <w:shd w:val="clear" w:color="000000" w:fill="F2F2F2"/>
            <w:hideMark/>
          </w:tcPr>
          <w:p w14:paraId="00604F77" w14:textId="7AF9FF10"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Water and water-based beverages</w:t>
            </w:r>
          </w:p>
        </w:tc>
        <w:tc>
          <w:tcPr>
            <w:tcW w:w="708" w:type="dxa"/>
            <w:tcBorders>
              <w:top w:val="nil"/>
              <w:left w:val="nil"/>
              <w:bottom w:val="nil"/>
              <w:right w:val="nil"/>
            </w:tcBorders>
            <w:shd w:val="clear" w:color="000000" w:fill="F2F2F2"/>
            <w:noWrap/>
            <w:hideMark/>
          </w:tcPr>
          <w:p w14:paraId="09D53112" w14:textId="1741E83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0.9963</w:t>
            </w:r>
          </w:p>
        </w:tc>
        <w:tc>
          <w:tcPr>
            <w:tcW w:w="567" w:type="dxa"/>
            <w:tcBorders>
              <w:top w:val="nil"/>
              <w:left w:val="nil"/>
              <w:bottom w:val="nil"/>
              <w:right w:val="nil"/>
            </w:tcBorders>
            <w:shd w:val="clear" w:color="000000" w:fill="F2F2F2"/>
            <w:noWrap/>
            <w:hideMark/>
          </w:tcPr>
          <w:p w14:paraId="52C832CA" w14:textId="009266F4"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0.9401</w:t>
            </w:r>
          </w:p>
        </w:tc>
        <w:tc>
          <w:tcPr>
            <w:tcW w:w="851" w:type="dxa"/>
            <w:tcBorders>
              <w:top w:val="nil"/>
              <w:left w:val="nil"/>
              <w:bottom w:val="nil"/>
              <w:right w:val="nil"/>
            </w:tcBorders>
            <w:shd w:val="clear" w:color="000000" w:fill="F2F2F2"/>
            <w:noWrap/>
            <w:hideMark/>
          </w:tcPr>
          <w:p w14:paraId="655160E3" w14:textId="6C3592C1"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7DFEDC7F"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top w:val="nil"/>
              <w:left w:val="nil"/>
              <w:bottom w:val="nil"/>
              <w:right w:val="nil"/>
            </w:tcBorders>
            <w:shd w:val="clear" w:color="auto" w:fill="auto"/>
            <w:noWrap/>
            <w:hideMark/>
          </w:tcPr>
          <w:p w14:paraId="355DF3E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7062402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044304B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1A1881F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393F0EB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4324537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63A356B8"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4FAA22B6" w14:textId="77777777" w:rsidTr="006D6BAE">
        <w:trPr>
          <w:trHeight w:val="20"/>
        </w:trPr>
        <w:tc>
          <w:tcPr>
            <w:tcW w:w="2127" w:type="dxa"/>
            <w:vMerge/>
            <w:tcBorders>
              <w:top w:val="nil"/>
              <w:left w:val="nil"/>
              <w:bottom w:val="nil"/>
              <w:right w:val="nil"/>
            </w:tcBorders>
            <w:vAlign w:val="center"/>
            <w:hideMark/>
          </w:tcPr>
          <w:p w14:paraId="786C2146"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67456619" w14:textId="1F9EEC75"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69</w:t>
            </w:r>
          </w:p>
        </w:tc>
        <w:tc>
          <w:tcPr>
            <w:tcW w:w="567" w:type="dxa"/>
            <w:tcBorders>
              <w:top w:val="nil"/>
              <w:left w:val="nil"/>
              <w:bottom w:val="nil"/>
              <w:right w:val="nil"/>
            </w:tcBorders>
            <w:shd w:val="clear" w:color="000000" w:fill="F2F2F2"/>
            <w:noWrap/>
            <w:hideMark/>
          </w:tcPr>
          <w:p w14:paraId="6C6ACE08" w14:textId="30406F58"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18</w:t>
            </w:r>
          </w:p>
        </w:tc>
        <w:tc>
          <w:tcPr>
            <w:tcW w:w="851" w:type="dxa"/>
            <w:tcBorders>
              <w:top w:val="nil"/>
              <w:left w:val="nil"/>
              <w:bottom w:val="nil"/>
              <w:right w:val="nil"/>
            </w:tcBorders>
            <w:shd w:val="clear" w:color="000000" w:fill="F2F2F2"/>
            <w:noWrap/>
            <w:hideMark/>
          </w:tcPr>
          <w:p w14:paraId="586EF9E6" w14:textId="16506513"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16</w:t>
            </w:r>
          </w:p>
        </w:tc>
        <w:tc>
          <w:tcPr>
            <w:tcW w:w="142" w:type="dxa"/>
            <w:tcBorders>
              <w:top w:val="nil"/>
              <w:left w:val="nil"/>
              <w:bottom w:val="nil"/>
              <w:right w:val="nil"/>
            </w:tcBorders>
            <w:shd w:val="clear" w:color="auto" w:fill="auto"/>
            <w:noWrap/>
            <w:vAlign w:val="bottom"/>
            <w:hideMark/>
          </w:tcPr>
          <w:p w14:paraId="3475C319"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top w:val="nil"/>
              <w:left w:val="nil"/>
              <w:bottom w:val="nil"/>
              <w:right w:val="nil"/>
            </w:tcBorders>
            <w:shd w:val="clear" w:color="auto" w:fill="auto"/>
            <w:noWrap/>
            <w:hideMark/>
          </w:tcPr>
          <w:p w14:paraId="24CA680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0406AFFD"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0F9A3AA8"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2AC8E5EC"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78294C9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636D715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78A0E625"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7B47F557" w14:textId="77777777" w:rsidTr="006D6BAE">
        <w:trPr>
          <w:trHeight w:val="20"/>
        </w:trPr>
        <w:tc>
          <w:tcPr>
            <w:tcW w:w="2127" w:type="dxa"/>
            <w:vMerge w:val="restart"/>
            <w:tcBorders>
              <w:top w:val="nil"/>
              <w:left w:val="nil"/>
              <w:bottom w:val="nil"/>
              <w:right w:val="nil"/>
            </w:tcBorders>
            <w:shd w:val="clear" w:color="auto" w:fill="auto"/>
            <w:hideMark/>
          </w:tcPr>
          <w:p w14:paraId="4D0270F7" w14:textId="78287031"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Animal and vegetable fats and oils and primary derivatives thereof</w:t>
            </w:r>
          </w:p>
        </w:tc>
        <w:tc>
          <w:tcPr>
            <w:tcW w:w="708" w:type="dxa"/>
            <w:tcBorders>
              <w:top w:val="nil"/>
              <w:left w:val="nil"/>
              <w:bottom w:val="nil"/>
              <w:right w:val="nil"/>
            </w:tcBorders>
            <w:shd w:val="clear" w:color="auto" w:fill="auto"/>
            <w:noWrap/>
            <w:hideMark/>
          </w:tcPr>
          <w:p w14:paraId="71B48D31" w14:textId="3A0D7362"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0.9596</w:t>
            </w:r>
          </w:p>
        </w:tc>
        <w:tc>
          <w:tcPr>
            <w:tcW w:w="567" w:type="dxa"/>
            <w:tcBorders>
              <w:top w:val="nil"/>
              <w:left w:val="nil"/>
              <w:bottom w:val="nil"/>
              <w:right w:val="nil"/>
            </w:tcBorders>
            <w:shd w:val="clear" w:color="auto" w:fill="auto"/>
            <w:noWrap/>
            <w:hideMark/>
          </w:tcPr>
          <w:p w14:paraId="36998C5C" w14:textId="584A0379"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0.9774</w:t>
            </w:r>
          </w:p>
        </w:tc>
        <w:tc>
          <w:tcPr>
            <w:tcW w:w="851" w:type="dxa"/>
            <w:tcBorders>
              <w:top w:val="nil"/>
              <w:left w:val="nil"/>
              <w:bottom w:val="nil"/>
              <w:right w:val="nil"/>
            </w:tcBorders>
            <w:shd w:val="clear" w:color="auto" w:fill="auto"/>
            <w:noWrap/>
            <w:hideMark/>
          </w:tcPr>
          <w:p w14:paraId="3BAA6D21" w14:textId="4540A868"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0.6148</w:t>
            </w:r>
          </w:p>
        </w:tc>
        <w:tc>
          <w:tcPr>
            <w:tcW w:w="142" w:type="dxa"/>
            <w:tcBorders>
              <w:top w:val="nil"/>
              <w:left w:val="nil"/>
              <w:bottom w:val="nil"/>
              <w:right w:val="nil"/>
            </w:tcBorders>
            <w:shd w:val="clear" w:color="auto" w:fill="auto"/>
            <w:noWrap/>
            <w:vAlign w:val="bottom"/>
            <w:hideMark/>
          </w:tcPr>
          <w:p w14:paraId="14295E50"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top w:val="nil"/>
              <w:left w:val="nil"/>
              <w:bottom w:val="nil"/>
              <w:right w:val="nil"/>
            </w:tcBorders>
            <w:shd w:val="clear" w:color="auto" w:fill="auto"/>
            <w:noWrap/>
            <w:hideMark/>
          </w:tcPr>
          <w:p w14:paraId="1213D5F1"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1E033ED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7D8E9219"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6187BAAC"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2F114069"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43E0D383"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231F1A7D"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0463EC08" w14:textId="77777777" w:rsidTr="006D6BAE">
        <w:trPr>
          <w:trHeight w:val="20"/>
        </w:trPr>
        <w:tc>
          <w:tcPr>
            <w:tcW w:w="2127" w:type="dxa"/>
            <w:vMerge/>
            <w:tcBorders>
              <w:top w:val="nil"/>
              <w:left w:val="nil"/>
              <w:bottom w:val="nil"/>
              <w:right w:val="nil"/>
            </w:tcBorders>
            <w:vAlign w:val="center"/>
            <w:hideMark/>
          </w:tcPr>
          <w:p w14:paraId="129BF2D5"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auto" w:fill="auto"/>
            <w:noWrap/>
            <w:hideMark/>
          </w:tcPr>
          <w:p w14:paraId="03BFA256" w14:textId="206B843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70</w:t>
            </w:r>
          </w:p>
        </w:tc>
        <w:tc>
          <w:tcPr>
            <w:tcW w:w="567" w:type="dxa"/>
            <w:tcBorders>
              <w:top w:val="nil"/>
              <w:left w:val="nil"/>
              <w:bottom w:val="nil"/>
              <w:right w:val="nil"/>
            </w:tcBorders>
            <w:shd w:val="clear" w:color="auto" w:fill="auto"/>
            <w:noWrap/>
            <w:hideMark/>
          </w:tcPr>
          <w:p w14:paraId="69C35F42" w14:textId="36B8B3D4"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28</w:t>
            </w:r>
          </w:p>
        </w:tc>
        <w:tc>
          <w:tcPr>
            <w:tcW w:w="851" w:type="dxa"/>
            <w:tcBorders>
              <w:top w:val="nil"/>
              <w:left w:val="nil"/>
              <w:bottom w:val="nil"/>
              <w:right w:val="nil"/>
            </w:tcBorders>
            <w:shd w:val="clear" w:color="auto" w:fill="auto"/>
            <w:noWrap/>
            <w:hideMark/>
          </w:tcPr>
          <w:p w14:paraId="072A52A7" w14:textId="75F4E2EA"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27</w:t>
            </w:r>
          </w:p>
        </w:tc>
        <w:tc>
          <w:tcPr>
            <w:tcW w:w="142" w:type="dxa"/>
            <w:tcBorders>
              <w:top w:val="nil"/>
              <w:left w:val="nil"/>
              <w:bottom w:val="nil"/>
              <w:right w:val="nil"/>
            </w:tcBorders>
            <w:shd w:val="clear" w:color="auto" w:fill="auto"/>
            <w:noWrap/>
            <w:vAlign w:val="bottom"/>
            <w:hideMark/>
          </w:tcPr>
          <w:p w14:paraId="7DB184D1"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top w:val="nil"/>
              <w:left w:val="nil"/>
              <w:bottom w:val="nil"/>
              <w:right w:val="nil"/>
            </w:tcBorders>
            <w:shd w:val="clear" w:color="auto" w:fill="auto"/>
            <w:noWrap/>
            <w:hideMark/>
          </w:tcPr>
          <w:p w14:paraId="1E412FF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45D95804"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3E126A05"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637A101D"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5CC9219E"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2B1B989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5CBAC6A7"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3FECB4CF" w14:textId="77777777" w:rsidTr="006D6BAE">
        <w:trPr>
          <w:trHeight w:val="20"/>
        </w:trPr>
        <w:tc>
          <w:tcPr>
            <w:tcW w:w="2127" w:type="dxa"/>
            <w:vMerge w:val="restart"/>
            <w:tcBorders>
              <w:top w:val="nil"/>
              <w:left w:val="nil"/>
              <w:bottom w:val="nil"/>
              <w:right w:val="nil"/>
            </w:tcBorders>
            <w:shd w:val="clear" w:color="000000" w:fill="F2F2F2"/>
            <w:hideMark/>
          </w:tcPr>
          <w:p w14:paraId="0862AFF3" w14:textId="22DA77AE" w:rsidR="00F359A5" w:rsidRPr="00772CF7" w:rsidRDefault="00F359A5" w:rsidP="00F359A5">
            <w:pPr>
              <w:suppressAutoHyphens w:val="0"/>
              <w:spacing w:before="0" w:line="240" w:lineRule="auto"/>
              <w:jc w:val="left"/>
              <w:rPr>
                <w:rFonts w:cs="Calibri"/>
                <w:sz w:val="17"/>
                <w:szCs w:val="17"/>
                <w:lang w:val="en-US" w:eastAsia="en-US"/>
              </w:rPr>
            </w:pPr>
            <w:r w:rsidRPr="00F359A5">
              <w:rPr>
                <w:rFonts w:cs="Calibri"/>
                <w:color w:val="000000"/>
                <w:sz w:val="17"/>
                <w:szCs w:val="17"/>
                <w:lang w:val="en-US"/>
              </w:rPr>
              <w:t xml:space="preserve">Major isolated ingredients, additives, </w:t>
            </w:r>
            <w:proofErr w:type="spellStart"/>
            <w:r w:rsidRPr="00F359A5">
              <w:rPr>
                <w:rFonts w:cs="Calibri"/>
                <w:color w:val="000000"/>
                <w:sz w:val="17"/>
                <w:szCs w:val="17"/>
                <w:lang w:val="en-US"/>
              </w:rPr>
              <w:t>flavours</w:t>
            </w:r>
            <w:proofErr w:type="spellEnd"/>
            <w:r w:rsidRPr="00F359A5">
              <w:rPr>
                <w:rFonts w:cs="Calibri"/>
                <w:color w:val="000000"/>
                <w:sz w:val="17"/>
                <w:szCs w:val="17"/>
                <w:lang w:val="en-US"/>
              </w:rPr>
              <w:t>, baking and processing aids</w:t>
            </w:r>
          </w:p>
        </w:tc>
        <w:tc>
          <w:tcPr>
            <w:tcW w:w="708" w:type="dxa"/>
            <w:tcBorders>
              <w:top w:val="nil"/>
              <w:left w:val="nil"/>
              <w:bottom w:val="nil"/>
              <w:right w:val="nil"/>
            </w:tcBorders>
            <w:shd w:val="clear" w:color="000000" w:fill="F2F2F2"/>
            <w:noWrap/>
            <w:hideMark/>
          </w:tcPr>
          <w:p w14:paraId="4D04A3DD" w14:textId="2E72FB87"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1.00000</w:t>
            </w:r>
          </w:p>
        </w:tc>
        <w:tc>
          <w:tcPr>
            <w:tcW w:w="567" w:type="dxa"/>
            <w:tcBorders>
              <w:top w:val="nil"/>
              <w:left w:val="nil"/>
              <w:bottom w:val="nil"/>
              <w:right w:val="nil"/>
            </w:tcBorders>
            <w:shd w:val="clear" w:color="000000" w:fill="F2F2F2"/>
            <w:noWrap/>
            <w:hideMark/>
          </w:tcPr>
          <w:p w14:paraId="460F4407" w14:textId="7D348421"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1</w:t>
            </w:r>
          </w:p>
        </w:tc>
        <w:tc>
          <w:tcPr>
            <w:tcW w:w="851" w:type="dxa"/>
            <w:tcBorders>
              <w:top w:val="nil"/>
              <w:left w:val="nil"/>
              <w:bottom w:val="nil"/>
              <w:right w:val="nil"/>
            </w:tcBorders>
            <w:shd w:val="clear" w:color="000000" w:fill="F2F2F2"/>
            <w:noWrap/>
            <w:hideMark/>
          </w:tcPr>
          <w:p w14:paraId="52B1AC37" w14:textId="269A0123" w:rsidR="00F359A5" w:rsidRPr="00772CF7" w:rsidRDefault="00F359A5" w:rsidP="00F359A5">
            <w:pPr>
              <w:suppressAutoHyphens w:val="0"/>
              <w:spacing w:before="0" w:line="240" w:lineRule="auto"/>
              <w:jc w:val="right"/>
              <w:rPr>
                <w:rFonts w:cs="Calibri"/>
                <w:sz w:val="17"/>
                <w:szCs w:val="17"/>
                <w:lang w:val="en-US" w:eastAsia="en-US"/>
              </w:rPr>
            </w:pPr>
            <w:r>
              <w:rPr>
                <w:rFonts w:cs="Calibri"/>
                <w:sz w:val="16"/>
                <w:szCs w:val="16"/>
              </w:rPr>
              <w:t>NA</w:t>
            </w:r>
            <w:r>
              <w:rPr>
                <w:rFonts w:cs="Calibri"/>
                <w:sz w:val="16"/>
                <w:szCs w:val="16"/>
                <w:vertAlign w:val="superscript"/>
              </w:rPr>
              <w:t>1</w:t>
            </w:r>
          </w:p>
        </w:tc>
        <w:tc>
          <w:tcPr>
            <w:tcW w:w="142" w:type="dxa"/>
            <w:tcBorders>
              <w:top w:val="nil"/>
              <w:left w:val="nil"/>
              <w:bottom w:val="nil"/>
              <w:right w:val="nil"/>
            </w:tcBorders>
            <w:shd w:val="clear" w:color="auto" w:fill="auto"/>
            <w:noWrap/>
            <w:vAlign w:val="bottom"/>
            <w:hideMark/>
          </w:tcPr>
          <w:p w14:paraId="0528947F" w14:textId="77777777" w:rsidR="00F359A5" w:rsidRPr="00772CF7" w:rsidRDefault="00F359A5" w:rsidP="00F359A5">
            <w:pPr>
              <w:suppressAutoHyphens w:val="0"/>
              <w:spacing w:before="0" w:line="240" w:lineRule="auto"/>
              <w:jc w:val="right"/>
              <w:rPr>
                <w:rFonts w:cs="Calibri"/>
                <w:sz w:val="17"/>
                <w:szCs w:val="17"/>
                <w:lang w:val="en-US" w:eastAsia="en-US"/>
              </w:rPr>
            </w:pPr>
          </w:p>
        </w:tc>
        <w:tc>
          <w:tcPr>
            <w:tcW w:w="850" w:type="dxa"/>
            <w:tcBorders>
              <w:top w:val="nil"/>
              <w:left w:val="nil"/>
              <w:bottom w:val="nil"/>
              <w:right w:val="nil"/>
            </w:tcBorders>
            <w:shd w:val="clear" w:color="auto" w:fill="auto"/>
            <w:noWrap/>
            <w:hideMark/>
          </w:tcPr>
          <w:p w14:paraId="00D58FCD"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1BFA5FC6"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6F390086"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78D618F6"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48889CC3"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3BF2C75F"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6BD75BE1"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r w:rsidR="00F359A5" w:rsidRPr="00772CF7" w14:paraId="1BE7037D" w14:textId="77777777" w:rsidTr="006D6BAE">
        <w:trPr>
          <w:trHeight w:val="20"/>
        </w:trPr>
        <w:tc>
          <w:tcPr>
            <w:tcW w:w="2127" w:type="dxa"/>
            <w:vMerge/>
            <w:tcBorders>
              <w:top w:val="nil"/>
              <w:left w:val="nil"/>
              <w:bottom w:val="nil"/>
              <w:right w:val="nil"/>
            </w:tcBorders>
            <w:vAlign w:val="center"/>
            <w:hideMark/>
          </w:tcPr>
          <w:p w14:paraId="76E13C97" w14:textId="77777777" w:rsidR="00F359A5" w:rsidRPr="00772CF7" w:rsidRDefault="00F359A5" w:rsidP="00F359A5">
            <w:pPr>
              <w:suppressAutoHyphens w:val="0"/>
              <w:spacing w:before="0" w:line="240" w:lineRule="auto"/>
              <w:jc w:val="left"/>
              <w:rPr>
                <w:rFonts w:cs="Calibri"/>
                <w:sz w:val="17"/>
                <w:szCs w:val="17"/>
                <w:lang w:val="en-US" w:eastAsia="en-US"/>
              </w:rPr>
            </w:pPr>
          </w:p>
        </w:tc>
        <w:tc>
          <w:tcPr>
            <w:tcW w:w="708" w:type="dxa"/>
            <w:tcBorders>
              <w:top w:val="nil"/>
              <w:left w:val="nil"/>
              <w:bottom w:val="nil"/>
              <w:right w:val="nil"/>
            </w:tcBorders>
            <w:shd w:val="clear" w:color="000000" w:fill="F2F2F2"/>
            <w:noWrap/>
            <w:hideMark/>
          </w:tcPr>
          <w:p w14:paraId="39DE736D" w14:textId="5FF84540"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7</w:t>
            </w:r>
          </w:p>
        </w:tc>
        <w:tc>
          <w:tcPr>
            <w:tcW w:w="567" w:type="dxa"/>
            <w:tcBorders>
              <w:top w:val="nil"/>
              <w:left w:val="nil"/>
              <w:bottom w:val="nil"/>
              <w:right w:val="nil"/>
            </w:tcBorders>
            <w:shd w:val="clear" w:color="000000" w:fill="F2F2F2"/>
            <w:noWrap/>
            <w:hideMark/>
          </w:tcPr>
          <w:p w14:paraId="25FEFF21" w14:textId="678EB602"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w:t>
            </w:r>
          </w:p>
        </w:tc>
        <w:tc>
          <w:tcPr>
            <w:tcW w:w="851" w:type="dxa"/>
            <w:tcBorders>
              <w:top w:val="nil"/>
              <w:left w:val="nil"/>
              <w:bottom w:val="nil"/>
              <w:right w:val="nil"/>
            </w:tcBorders>
            <w:shd w:val="clear" w:color="000000" w:fill="F2F2F2"/>
            <w:noWrap/>
            <w:hideMark/>
          </w:tcPr>
          <w:p w14:paraId="428E695C" w14:textId="59DB2A9F" w:rsidR="00F359A5" w:rsidRPr="00772CF7" w:rsidRDefault="00F359A5" w:rsidP="00F359A5">
            <w:pPr>
              <w:suppressAutoHyphens w:val="0"/>
              <w:spacing w:before="0" w:line="240" w:lineRule="auto"/>
              <w:jc w:val="right"/>
              <w:rPr>
                <w:rFonts w:cs="Calibri"/>
                <w:i/>
                <w:iCs/>
                <w:sz w:val="17"/>
                <w:szCs w:val="17"/>
                <w:lang w:val="en-US" w:eastAsia="en-US"/>
              </w:rPr>
            </w:pPr>
            <w:r>
              <w:rPr>
                <w:rFonts w:cs="Calibri"/>
                <w:i/>
                <w:iCs/>
                <w:sz w:val="16"/>
                <w:szCs w:val="16"/>
              </w:rPr>
              <w:t>6</w:t>
            </w:r>
          </w:p>
        </w:tc>
        <w:tc>
          <w:tcPr>
            <w:tcW w:w="142" w:type="dxa"/>
            <w:tcBorders>
              <w:top w:val="nil"/>
              <w:left w:val="nil"/>
              <w:bottom w:val="nil"/>
              <w:right w:val="nil"/>
            </w:tcBorders>
            <w:shd w:val="clear" w:color="auto" w:fill="auto"/>
            <w:noWrap/>
            <w:vAlign w:val="bottom"/>
            <w:hideMark/>
          </w:tcPr>
          <w:p w14:paraId="6C6CB620" w14:textId="77777777" w:rsidR="00F359A5" w:rsidRPr="00772CF7" w:rsidRDefault="00F359A5" w:rsidP="00F359A5">
            <w:pPr>
              <w:suppressAutoHyphens w:val="0"/>
              <w:spacing w:before="0" w:line="240" w:lineRule="auto"/>
              <w:jc w:val="right"/>
              <w:rPr>
                <w:rFonts w:cs="Calibri"/>
                <w:i/>
                <w:iCs/>
                <w:sz w:val="17"/>
                <w:szCs w:val="17"/>
                <w:lang w:val="en-US" w:eastAsia="en-US"/>
              </w:rPr>
            </w:pPr>
          </w:p>
        </w:tc>
        <w:tc>
          <w:tcPr>
            <w:tcW w:w="850" w:type="dxa"/>
            <w:tcBorders>
              <w:top w:val="nil"/>
              <w:left w:val="nil"/>
              <w:bottom w:val="nil"/>
              <w:right w:val="nil"/>
            </w:tcBorders>
            <w:shd w:val="clear" w:color="auto" w:fill="auto"/>
            <w:noWrap/>
            <w:hideMark/>
          </w:tcPr>
          <w:p w14:paraId="2193E35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709" w:type="dxa"/>
            <w:tcBorders>
              <w:top w:val="nil"/>
              <w:left w:val="nil"/>
              <w:bottom w:val="nil"/>
              <w:right w:val="nil"/>
            </w:tcBorders>
            <w:shd w:val="clear" w:color="auto" w:fill="auto"/>
            <w:noWrap/>
            <w:hideMark/>
          </w:tcPr>
          <w:p w14:paraId="418426F0"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0" w:type="dxa"/>
            <w:tcBorders>
              <w:top w:val="nil"/>
              <w:left w:val="nil"/>
              <w:bottom w:val="nil"/>
              <w:right w:val="nil"/>
            </w:tcBorders>
            <w:shd w:val="clear" w:color="auto" w:fill="auto"/>
            <w:noWrap/>
            <w:hideMark/>
          </w:tcPr>
          <w:p w14:paraId="05D6ABD8"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51" w:type="dxa"/>
            <w:tcBorders>
              <w:top w:val="nil"/>
              <w:left w:val="nil"/>
              <w:bottom w:val="nil"/>
              <w:right w:val="nil"/>
            </w:tcBorders>
            <w:shd w:val="clear" w:color="auto" w:fill="auto"/>
            <w:noWrap/>
            <w:hideMark/>
          </w:tcPr>
          <w:p w14:paraId="178B2B1A"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126" w:type="dxa"/>
            <w:tcBorders>
              <w:top w:val="nil"/>
              <w:left w:val="nil"/>
              <w:bottom w:val="nil"/>
              <w:right w:val="nil"/>
            </w:tcBorders>
            <w:shd w:val="clear" w:color="auto" w:fill="auto"/>
            <w:noWrap/>
            <w:hideMark/>
          </w:tcPr>
          <w:p w14:paraId="51014FAC"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66" w:type="dxa"/>
            <w:tcBorders>
              <w:top w:val="nil"/>
              <w:left w:val="nil"/>
              <w:bottom w:val="nil"/>
              <w:right w:val="nil"/>
            </w:tcBorders>
            <w:shd w:val="clear" w:color="auto" w:fill="auto"/>
            <w:noWrap/>
            <w:hideMark/>
          </w:tcPr>
          <w:p w14:paraId="3A5A6169"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c>
          <w:tcPr>
            <w:tcW w:w="890" w:type="dxa"/>
            <w:tcBorders>
              <w:top w:val="nil"/>
              <w:left w:val="nil"/>
              <w:bottom w:val="nil"/>
              <w:right w:val="nil"/>
            </w:tcBorders>
            <w:shd w:val="clear" w:color="auto" w:fill="auto"/>
            <w:noWrap/>
            <w:hideMark/>
          </w:tcPr>
          <w:p w14:paraId="3857D083" w14:textId="77777777" w:rsidR="00F359A5" w:rsidRPr="00772CF7" w:rsidRDefault="00F359A5" w:rsidP="00F359A5">
            <w:pPr>
              <w:suppressAutoHyphens w:val="0"/>
              <w:spacing w:before="0" w:line="240" w:lineRule="auto"/>
              <w:jc w:val="left"/>
              <w:rPr>
                <w:rFonts w:ascii="Times New Roman" w:hAnsi="Times New Roman"/>
                <w:sz w:val="17"/>
                <w:szCs w:val="17"/>
                <w:lang w:val="en-US" w:eastAsia="en-US"/>
              </w:rPr>
            </w:pPr>
          </w:p>
        </w:tc>
      </w:tr>
    </w:tbl>
    <w:p w14:paraId="6158C812" w14:textId="77777777" w:rsidR="00990610" w:rsidRDefault="00990610" w:rsidP="00A45E44">
      <w:pPr>
        <w:suppressAutoHyphens w:val="0"/>
        <w:spacing w:before="0" w:line="240" w:lineRule="auto"/>
        <w:jc w:val="left"/>
        <w:rPr>
          <w:lang w:val="en-US" w:eastAsia="en-US"/>
        </w:rPr>
      </w:pPr>
    </w:p>
    <w:p w14:paraId="087D9A58" w14:textId="70B2813C" w:rsidR="00A45E44" w:rsidRDefault="00A45E44" w:rsidP="00A45E44">
      <w:pPr>
        <w:suppressAutoHyphens w:val="0"/>
        <w:spacing w:before="0" w:line="240" w:lineRule="auto"/>
        <w:jc w:val="left"/>
        <w:rPr>
          <w:lang w:val="en-US" w:eastAsia="en-US"/>
        </w:rPr>
      </w:pPr>
      <w:r>
        <w:rPr>
          <w:lang w:val="en-US" w:eastAsia="en-US"/>
        </w:rPr>
        <w:br w:type="page"/>
      </w:r>
    </w:p>
    <w:p w14:paraId="04B92BB9" w14:textId="4CCAEAB1" w:rsidR="00FD3306" w:rsidRDefault="00FD3306" w:rsidP="00FD060A">
      <w:pPr>
        <w:pStyle w:val="Heading2"/>
        <w:rPr>
          <w:lang w:eastAsia="en-US"/>
        </w:rPr>
      </w:pPr>
      <w:bookmarkStart w:id="49" w:name="_Toc203763130"/>
      <w:r>
        <w:rPr>
          <w:lang w:eastAsia="en-US"/>
        </w:rPr>
        <w:lastRenderedPageBreak/>
        <w:t>Distribution of adjustments</w:t>
      </w:r>
      <w:bookmarkEnd w:id="49"/>
    </w:p>
    <w:p w14:paraId="699EC5E3" w14:textId="3E6DE4EC" w:rsidR="00790F77" w:rsidRDefault="00157C13" w:rsidP="00A45E44">
      <w:pPr>
        <w:rPr>
          <w:rFonts w:eastAsia="Calibri"/>
          <w:lang w:val="en-US"/>
        </w:rPr>
      </w:pPr>
      <w:r>
        <w:rPr>
          <w:rFonts w:eastAsia="Calibri"/>
          <w:lang w:val="en-US"/>
        </w:rPr>
        <w:fldChar w:fldCharType="begin"/>
      </w:r>
      <w:r>
        <w:rPr>
          <w:rFonts w:eastAsia="Calibri"/>
          <w:lang w:val="en-US"/>
        </w:rPr>
        <w:instrText xml:space="preserve"> REF _Ref198894157 \h </w:instrText>
      </w:r>
      <w:r>
        <w:rPr>
          <w:rFonts w:eastAsia="Calibri"/>
          <w:lang w:val="en-US"/>
        </w:rPr>
      </w:r>
      <w:r>
        <w:rPr>
          <w:rFonts w:eastAsia="Calibri"/>
          <w:lang w:val="en-US"/>
        </w:rPr>
        <w:fldChar w:fldCharType="separate"/>
      </w:r>
      <w:r w:rsidRPr="00FD3306">
        <w:rPr>
          <w:lang w:val="en-US"/>
        </w:rPr>
        <w:t xml:space="preserve">Supplementary Figure </w:t>
      </w:r>
      <w:r>
        <w:rPr>
          <w:noProof/>
          <w:lang w:val="en-US"/>
        </w:rPr>
        <w:t>15</w:t>
      </w:r>
      <w:r>
        <w:rPr>
          <w:rFonts w:eastAsia="Calibri"/>
          <w:lang w:val="en-US"/>
        </w:rPr>
        <w:fldChar w:fldCharType="end"/>
      </w:r>
      <w:r w:rsidR="00A45E44">
        <w:rPr>
          <w:rFonts w:eastAsia="Calibri"/>
          <w:lang w:val="en-US"/>
        </w:rPr>
        <w:t xml:space="preserve"> </w:t>
      </w:r>
      <w:r w:rsidR="00A45E44" w:rsidRPr="0021726C">
        <w:rPr>
          <w:rFonts w:eastAsia="Calibri"/>
          <w:lang w:val="en-US"/>
        </w:rPr>
        <w:t xml:space="preserve">visualizes the adjustment of the prior values by the consolidation presented in </w:t>
      </w:r>
      <w:r w:rsidR="00AA534B">
        <w:rPr>
          <w:rFonts w:eastAsia="Calibri"/>
          <w:lang w:val="en-US"/>
        </w:rPr>
        <w:t>Table 3</w:t>
      </w:r>
      <w:r w:rsidR="00A45E44" w:rsidRPr="0021726C">
        <w:rPr>
          <w:rFonts w:eastAsia="Calibri"/>
          <w:lang w:val="en-US"/>
        </w:rPr>
        <w:t>, grouped by dataset and extent and direction of the adjustment.</w:t>
      </w:r>
      <w:r>
        <w:rPr>
          <w:rFonts w:eastAsia="Calibri"/>
          <w:lang w:val="en-US"/>
        </w:rPr>
        <w:t xml:space="preserve"> Both</w:t>
      </w:r>
      <w:r w:rsidR="001062AA">
        <w:rPr>
          <w:rFonts w:eastAsia="Calibri"/>
          <w:lang w:val="en-US"/>
        </w:rPr>
        <w:t xml:space="preserve"> Table 3 and </w:t>
      </w:r>
      <w:r w:rsidR="001062AA">
        <w:rPr>
          <w:rFonts w:eastAsia="Calibri"/>
          <w:lang w:val="en-US"/>
        </w:rPr>
        <w:fldChar w:fldCharType="begin"/>
      </w:r>
      <w:r w:rsidR="001062AA">
        <w:rPr>
          <w:rFonts w:eastAsia="Calibri"/>
          <w:lang w:val="en-US"/>
        </w:rPr>
        <w:instrText xml:space="preserve"> REF _Ref198894157 \h </w:instrText>
      </w:r>
      <w:r w:rsidR="001062AA">
        <w:rPr>
          <w:rFonts w:eastAsia="Calibri"/>
          <w:lang w:val="en-US"/>
        </w:rPr>
      </w:r>
      <w:r w:rsidR="001062AA">
        <w:rPr>
          <w:rFonts w:eastAsia="Calibri"/>
          <w:lang w:val="en-US"/>
        </w:rPr>
        <w:fldChar w:fldCharType="separate"/>
      </w:r>
      <w:r w:rsidR="001062AA" w:rsidRPr="00FD3306">
        <w:rPr>
          <w:lang w:val="en-US"/>
        </w:rPr>
        <w:t xml:space="preserve">Supplementary Figure </w:t>
      </w:r>
      <w:r w:rsidR="001062AA">
        <w:rPr>
          <w:noProof/>
          <w:lang w:val="en-US"/>
        </w:rPr>
        <w:t>15</w:t>
      </w:r>
      <w:r w:rsidR="001062AA">
        <w:rPr>
          <w:rFonts w:eastAsia="Calibri"/>
          <w:lang w:val="en-US"/>
        </w:rPr>
        <w:fldChar w:fldCharType="end"/>
      </w:r>
      <w:r>
        <w:rPr>
          <w:rFonts w:eastAsia="Calibri"/>
          <w:lang w:val="en-US"/>
        </w:rPr>
        <w:t xml:space="preserve"> </w:t>
      </w:r>
      <w:r w:rsidRPr="00790F77">
        <w:rPr>
          <w:rFonts w:eastAsia="Calibri"/>
          <w:lang w:val="en-US"/>
        </w:rPr>
        <w:t>show</w:t>
      </w:r>
      <w:r w:rsidR="00A45E44" w:rsidRPr="00790F77">
        <w:rPr>
          <w:rFonts w:eastAsia="Calibri"/>
          <w:lang w:val="en-US"/>
        </w:rPr>
        <w:t xml:space="preserve"> that </w:t>
      </w:r>
      <w:r w:rsidRPr="00790F77">
        <w:rPr>
          <w:rFonts w:eastAsia="Calibri"/>
          <w:lang w:val="en-US"/>
        </w:rPr>
        <w:t xml:space="preserve">the </w:t>
      </w:r>
      <w:r w:rsidR="00A45E44" w:rsidRPr="00790F77">
        <w:rPr>
          <w:rFonts w:eastAsia="Calibri"/>
          <w:lang w:val="en-US"/>
        </w:rPr>
        <w:t xml:space="preserve">adjustments </w:t>
      </w:r>
      <w:r w:rsidR="00BF58A8">
        <w:rPr>
          <w:rFonts w:eastAsia="Calibri"/>
          <w:lang w:val="en-US"/>
        </w:rPr>
        <w:t xml:space="preserve">usually </w:t>
      </w:r>
      <w:r w:rsidRPr="00790F77">
        <w:rPr>
          <w:rFonts w:eastAsia="Calibri"/>
          <w:lang w:val="en-US"/>
        </w:rPr>
        <w:t>cover</w:t>
      </w:r>
      <w:r w:rsidR="00A45E44" w:rsidRPr="00790F77">
        <w:rPr>
          <w:rFonts w:eastAsia="Calibri"/>
          <w:lang w:val="en-US"/>
        </w:rPr>
        <w:t xml:space="preserve"> the allowed range </w:t>
      </w:r>
      <w:r w:rsidRPr="00790F77">
        <w:rPr>
          <w:rFonts w:eastAsia="Calibri"/>
          <w:lang w:val="en-US"/>
        </w:rPr>
        <w:t>fully (± 20% for processing, recipes, and waste shares, -100% and +2,0000% for intake quantities</w:t>
      </w:r>
      <w:r w:rsidR="00790F77" w:rsidRPr="00790F77">
        <w:rPr>
          <w:rFonts w:eastAsia="Calibri"/>
          <w:lang w:val="en-US"/>
        </w:rPr>
        <w:t>).</w:t>
      </w:r>
      <w:r w:rsidRPr="00790F77">
        <w:rPr>
          <w:rFonts w:eastAsia="Calibri"/>
          <w:lang w:val="en-US"/>
        </w:rPr>
        <w:t xml:space="preserve"> </w:t>
      </w:r>
      <w:r w:rsidR="00790F77" w:rsidRPr="00790F77">
        <w:rPr>
          <w:rFonts w:eastAsia="Calibri"/>
          <w:lang w:val="en-US"/>
        </w:rPr>
        <w:t>Only for the</w:t>
      </w:r>
      <w:r w:rsidR="00A45E44" w:rsidRPr="00790F77">
        <w:rPr>
          <w:rFonts w:eastAsia="Calibri"/>
          <w:lang w:val="en-US"/>
        </w:rPr>
        <w:t xml:space="preserve"> market balance dataset</w:t>
      </w:r>
      <w:r w:rsidR="00790F77" w:rsidRPr="00790F77">
        <w:rPr>
          <w:rFonts w:eastAsia="Calibri"/>
          <w:lang w:val="en-US"/>
        </w:rPr>
        <w:t xml:space="preserve"> the allowed range (-100% and 1,000%) is not exhausted. Because the market balance dataset is considered the most accurate among the seven datasets, </w:t>
      </w:r>
      <w:r w:rsidR="00790F77" w:rsidRPr="00790F77">
        <w:rPr>
          <w:rFonts w:eastAsia="Calibri"/>
          <w:szCs w:val="22"/>
          <w:lang w:val="en-US" w:eastAsia="en-US"/>
        </w:rPr>
        <w:t>we parameterize the objective function so that the quantities available for human consumption at the market level are met by adjusting the other datasets instead of the market balance dataset</w:t>
      </w:r>
      <w:r w:rsidR="00790F77">
        <w:rPr>
          <w:rFonts w:eastAsia="Calibri"/>
          <w:szCs w:val="22"/>
          <w:lang w:val="en-US" w:eastAsia="en-US"/>
        </w:rPr>
        <w:t xml:space="preserve">, if possible. </w:t>
      </w:r>
      <w:r w:rsidR="00183185">
        <w:rPr>
          <w:rFonts w:eastAsia="Calibri"/>
          <w:szCs w:val="22"/>
          <w:lang w:val="en-US" w:eastAsia="en-US"/>
        </w:rPr>
        <w:t xml:space="preserve">See </w:t>
      </w:r>
      <w:r w:rsidR="00183185">
        <w:rPr>
          <w:rFonts w:eastAsia="Calibri"/>
          <w:szCs w:val="22"/>
          <w:lang w:val="en-US" w:eastAsia="en-US"/>
        </w:rPr>
        <w:fldChar w:fldCharType="begin"/>
      </w:r>
      <w:r w:rsidR="00183185">
        <w:rPr>
          <w:rFonts w:eastAsia="Calibri"/>
          <w:szCs w:val="22"/>
          <w:lang w:val="en-US" w:eastAsia="en-US"/>
        </w:rPr>
        <w:instrText xml:space="preserve"> REF _Ref198900128 \h </w:instrText>
      </w:r>
      <w:r w:rsidR="00183185">
        <w:rPr>
          <w:rFonts w:eastAsia="Calibri"/>
          <w:szCs w:val="22"/>
          <w:lang w:val="en-US" w:eastAsia="en-US"/>
        </w:rPr>
      </w:r>
      <w:r w:rsidR="00183185">
        <w:rPr>
          <w:rFonts w:eastAsia="Calibri"/>
          <w:szCs w:val="22"/>
          <w:lang w:val="en-US" w:eastAsia="en-US"/>
        </w:rPr>
        <w:fldChar w:fldCharType="separate"/>
      </w:r>
      <w:r w:rsidR="00183185" w:rsidRPr="00FD3306">
        <w:rPr>
          <w:lang w:val="en-US"/>
        </w:rPr>
        <w:t xml:space="preserve">Supplementary Table </w:t>
      </w:r>
      <w:r w:rsidR="00183185">
        <w:rPr>
          <w:noProof/>
          <w:lang w:val="en-US"/>
        </w:rPr>
        <w:t>3</w:t>
      </w:r>
      <w:r w:rsidR="00183185">
        <w:rPr>
          <w:rFonts w:eastAsia="Calibri"/>
          <w:szCs w:val="22"/>
          <w:lang w:val="en-US" w:eastAsia="en-US"/>
        </w:rPr>
        <w:fldChar w:fldCharType="end"/>
      </w:r>
      <w:r w:rsidR="00183185">
        <w:rPr>
          <w:rFonts w:eastAsia="Calibri"/>
          <w:szCs w:val="22"/>
          <w:lang w:val="en-US" w:eastAsia="en-US"/>
        </w:rPr>
        <w:t xml:space="preserve"> for more details on the adjustments </w:t>
      </w:r>
      <w:r w:rsidR="00FF74AE">
        <w:rPr>
          <w:rFonts w:eastAsia="Calibri"/>
          <w:szCs w:val="22"/>
          <w:lang w:val="en-US" w:eastAsia="en-US"/>
        </w:rPr>
        <w:t>in the market balance dataset.</w:t>
      </w:r>
    </w:p>
    <w:p w14:paraId="17129DC3" w14:textId="033423F3" w:rsidR="00A45E44" w:rsidRDefault="006F1282" w:rsidP="00FD3306">
      <w:r>
        <w:rPr>
          <w:noProof/>
        </w:rPr>
        <w:drawing>
          <wp:inline distT="0" distB="0" distL="0" distR="0" wp14:anchorId="2E925F3D" wp14:editId="384C716B">
            <wp:extent cx="6071870" cy="2769911"/>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096303" cy="2781057"/>
                    </a:xfrm>
                    <a:prstGeom prst="rect">
                      <a:avLst/>
                    </a:prstGeom>
                    <a:noFill/>
                  </pic:spPr>
                </pic:pic>
              </a:graphicData>
            </a:graphic>
          </wp:inline>
        </w:drawing>
      </w:r>
    </w:p>
    <w:p w14:paraId="403AF59E" w14:textId="48CFE8D7" w:rsidR="00A45E44" w:rsidRPr="00AE0510" w:rsidRDefault="00FD3306" w:rsidP="00FD3306">
      <w:pPr>
        <w:pStyle w:val="Caption"/>
        <w:rPr>
          <w:highlight w:val="yellow"/>
          <w:lang w:val="en-US"/>
        </w:rPr>
      </w:pPr>
      <w:bookmarkStart w:id="50" w:name="_Ref198894157"/>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15</w:t>
      </w:r>
      <w:r>
        <w:fldChar w:fldCharType="end"/>
      </w:r>
      <w:bookmarkEnd w:id="50"/>
      <w:r w:rsidR="00A45E44" w:rsidRPr="0076459F">
        <w:rPr>
          <w:lang w:val="en-US"/>
        </w:rPr>
        <w:t>:</w:t>
      </w:r>
      <w:r w:rsidR="00A45E44">
        <w:rPr>
          <w:lang w:val="en-US"/>
        </w:rPr>
        <w:t xml:space="preserve"> Adjustments</w:t>
      </w:r>
      <w:r w:rsidR="00A45E44" w:rsidRPr="0076459F">
        <w:rPr>
          <w:lang w:val="en-US"/>
        </w:rPr>
        <w:t xml:space="preserve"> </w:t>
      </w:r>
      <w:r w:rsidR="00A45E44" w:rsidRPr="00AA04A0">
        <w:rPr>
          <w:lang w:val="en-US"/>
        </w:rPr>
        <w:t xml:space="preserve">of prior data points in </w:t>
      </w:r>
      <w:r w:rsidR="00A45E44">
        <w:rPr>
          <w:lang w:val="en-US"/>
        </w:rPr>
        <w:t>the</w:t>
      </w:r>
      <w:r w:rsidR="00A45E44" w:rsidRPr="00AA04A0">
        <w:rPr>
          <w:lang w:val="en-US"/>
        </w:rPr>
        <w:t xml:space="preserve"> consolidation, differentiated per dataset. Grouped by size and direction of adjustment. </w:t>
      </w:r>
    </w:p>
    <w:p w14:paraId="30ED7595" w14:textId="77777777" w:rsidR="00A45E44" w:rsidRPr="0076459F" w:rsidRDefault="00A45E44" w:rsidP="00A45E44">
      <w:pPr>
        <w:pStyle w:val="Caption"/>
        <w:rPr>
          <w:lang w:val="en-US"/>
        </w:rPr>
      </w:pPr>
    </w:p>
    <w:p w14:paraId="20C49E09" w14:textId="77777777" w:rsidR="00A45E44" w:rsidRDefault="00A45E44" w:rsidP="00A45E44">
      <w:pPr>
        <w:rPr>
          <w:lang w:val="en-US"/>
        </w:rPr>
      </w:pPr>
    </w:p>
    <w:p w14:paraId="31EF8EFF" w14:textId="77777777" w:rsidR="00A45E44" w:rsidRDefault="00A45E44" w:rsidP="00A45E44">
      <w:pPr>
        <w:suppressAutoHyphens w:val="0"/>
        <w:spacing w:before="0" w:line="240" w:lineRule="auto"/>
        <w:jc w:val="left"/>
        <w:rPr>
          <w:lang w:val="en-US"/>
        </w:rPr>
      </w:pPr>
      <w:r>
        <w:rPr>
          <w:lang w:val="en-US"/>
        </w:rPr>
        <w:br w:type="page"/>
      </w:r>
    </w:p>
    <w:p w14:paraId="4E4D8A4D" w14:textId="424A1EC3" w:rsidR="00A45E44" w:rsidRDefault="00157C13" w:rsidP="00A45E44">
      <w:pPr>
        <w:suppressAutoHyphens w:val="0"/>
        <w:spacing w:before="0" w:after="120"/>
        <w:rPr>
          <w:rFonts w:eastAsia="Calibri" w:cs="Arial"/>
          <w:szCs w:val="22"/>
          <w:lang w:val="en-US"/>
        </w:rPr>
      </w:pPr>
      <w:r>
        <w:rPr>
          <w:rFonts w:eastAsia="Calibri" w:cs="Arial"/>
          <w:szCs w:val="22"/>
          <w:lang w:val="en-US"/>
        </w:rPr>
        <w:lastRenderedPageBreak/>
        <w:fldChar w:fldCharType="begin"/>
      </w:r>
      <w:r>
        <w:rPr>
          <w:rFonts w:eastAsia="Calibri" w:cs="Arial"/>
          <w:szCs w:val="22"/>
          <w:lang w:val="en-US"/>
        </w:rPr>
        <w:instrText xml:space="preserve"> REF _Ref198894641 \h </w:instrText>
      </w:r>
      <w:r>
        <w:rPr>
          <w:rFonts w:eastAsia="Calibri" w:cs="Arial"/>
          <w:szCs w:val="22"/>
          <w:lang w:val="en-US"/>
        </w:rPr>
      </w:r>
      <w:r>
        <w:rPr>
          <w:rFonts w:eastAsia="Calibri" w:cs="Arial"/>
          <w:szCs w:val="22"/>
          <w:lang w:val="en-US"/>
        </w:rPr>
        <w:fldChar w:fldCharType="separate"/>
      </w:r>
      <w:r w:rsidRPr="00FD3306">
        <w:rPr>
          <w:lang w:val="en-US"/>
        </w:rPr>
        <w:t xml:space="preserve">Supplementary Figure </w:t>
      </w:r>
      <w:r>
        <w:rPr>
          <w:noProof/>
          <w:lang w:val="en-US"/>
        </w:rPr>
        <w:t>16</w:t>
      </w:r>
      <w:r>
        <w:rPr>
          <w:rFonts w:eastAsia="Calibri" w:cs="Arial"/>
          <w:szCs w:val="22"/>
          <w:lang w:val="en-US"/>
        </w:rPr>
        <w:fldChar w:fldCharType="end"/>
      </w:r>
      <w:r w:rsidR="00A45E44" w:rsidRPr="00441852">
        <w:rPr>
          <w:rFonts w:eastAsia="Calibri" w:cs="Arial"/>
          <w:szCs w:val="22"/>
          <w:lang w:val="en-US"/>
        </w:rPr>
        <w:t xml:space="preserve"> presents the adjustment by the consolidation in all seven datasets. Each part of the figure (a-f) captures the adjustments within one dataset. The gray points depict the percentage deviations between a data point's prior and consolidated value, and the yellow points depict the absolute deviations. When a point is zero, the consolidation does not adjust the value of this data point to fit into the consistent quantity flow. </w:t>
      </w:r>
      <w:r>
        <w:rPr>
          <w:rFonts w:eastAsia="Calibri" w:cs="Arial"/>
          <w:szCs w:val="22"/>
          <w:lang w:val="en-US"/>
        </w:rPr>
        <w:fldChar w:fldCharType="begin"/>
      </w:r>
      <w:r>
        <w:rPr>
          <w:rFonts w:eastAsia="Calibri" w:cs="Arial"/>
          <w:szCs w:val="22"/>
          <w:lang w:val="en-US"/>
        </w:rPr>
        <w:instrText xml:space="preserve"> REF _Ref198894641 \h </w:instrText>
      </w:r>
      <w:r>
        <w:rPr>
          <w:rFonts w:eastAsia="Calibri" w:cs="Arial"/>
          <w:szCs w:val="22"/>
          <w:lang w:val="en-US"/>
        </w:rPr>
      </w:r>
      <w:r>
        <w:rPr>
          <w:rFonts w:eastAsia="Calibri" w:cs="Arial"/>
          <w:szCs w:val="22"/>
          <w:lang w:val="en-US"/>
        </w:rPr>
        <w:fldChar w:fldCharType="separate"/>
      </w:r>
      <w:r w:rsidRPr="00FD3306">
        <w:rPr>
          <w:lang w:val="en-US"/>
        </w:rPr>
        <w:t xml:space="preserve">Supplementary Figure </w:t>
      </w:r>
      <w:r>
        <w:rPr>
          <w:noProof/>
          <w:lang w:val="en-US"/>
        </w:rPr>
        <w:t>16</w:t>
      </w:r>
      <w:r>
        <w:rPr>
          <w:rFonts w:eastAsia="Calibri" w:cs="Arial"/>
          <w:szCs w:val="22"/>
          <w:lang w:val="en-US"/>
        </w:rPr>
        <w:fldChar w:fldCharType="end"/>
      </w:r>
      <w:r w:rsidR="00A45E44" w:rsidRPr="00441852">
        <w:rPr>
          <w:rFonts w:eastAsia="Calibri" w:cs="Arial"/>
          <w:szCs w:val="22"/>
          <w:lang w:val="en-US"/>
        </w:rPr>
        <w:t xml:space="preserve"> shows that the consolidation leads to adjustments in all datasets, often covering the allowed deviation range (± 20% for processing, recipes, and waste shares (</w:t>
      </w:r>
      <w:r>
        <w:rPr>
          <w:rFonts w:eastAsia="Calibri" w:cs="Arial"/>
          <w:szCs w:val="22"/>
          <w:lang w:val="en-US"/>
        </w:rPr>
        <w:t xml:space="preserve">sections </w:t>
      </w:r>
      <w:r w:rsidR="00A45E44" w:rsidRPr="00441852">
        <w:rPr>
          <w:rFonts w:eastAsia="Calibri" w:cs="Arial"/>
          <w:szCs w:val="22"/>
          <w:lang w:val="en-US"/>
        </w:rPr>
        <w:t xml:space="preserve">a-e), -100% and +infinity for intake quantities </w:t>
      </w:r>
      <w:r>
        <w:rPr>
          <w:rFonts w:eastAsia="Calibri" w:cs="Arial"/>
          <w:szCs w:val="22"/>
          <w:lang w:val="en-US"/>
        </w:rPr>
        <w:t xml:space="preserve">section </w:t>
      </w:r>
      <w:r w:rsidR="00A45E44" w:rsidRPr="00441852">
        <w:rPr>
          <w:rFonts w:eastAsia="Calibri" w:cs="Arial"/>
          <w:szCs w:val="22"/>
          <w:lang w:val="en-US"/>
        </w:rPr>
        <w:t xml:space="preserve">f). The intended small adjustments in the market balance quantities can be seen in </w:t>
      </w:r>
      <w:r>
        <w:rPr>
          <w:rFonts w:eastAsia="Calibri" w:cs="Arial"/>
          <w:szCs w:val="22"/>
          <w:lang w:val="en-US"/>
        </w:rPr>
        <w:t xml:space="preserve">section </w:t>
      </w:r>
      <w:r w:rsidR="00A45E44" w:rsidRPr="00441852">
        <w:rPr>
          <w:rFonts w:eastAsia="Calibri" w:cs="Arial"/>
          <w:szCs w:val="22"/>
          <w:lang w:val="en-US"/>
        </w:rPr>
        <w:t xml:space="preserve">g. </w:t>
      </w:r>
    </w:p>
    <w:p w14:paraId="0FBF989F" w14:textId="7D3605DC" w:rsidR="00A45E44" w:rsidRPr="00441852" w:rsidRDefault="00A45E44" w:rsidP="00A45E44">
      <w:pPr>
        <w:suppressAutoHyphens w:val="0"/>
        <w:spacing w:before="0" w:after="120"/>
        <w:rPr>
          <w:rFonts w:eastAsia="Calibri" w:cs="Arial"/>
          <w:szCs w:val="22"/>
          <w:lang w:val="en-US"/>
        </w:rPr>
      </w:pPr>
      <w:r w:rsidRPr="00441852">
        <w:rPr>
          <w:szCs w:val="22"/>
          <w:lang w:val="en-US"/>
        </w:rPr>
        <w:t xml:space="preserve">Reading help: An exemplary data point from </w:t>
      </w:r>
      <w:r w:rsidR="00157C13">
        <w:rPr>
          <w:szCs w:val="22"/>
          <w:lang w:val="en-US"/>
        </w:rPr>
        <w:fldChar w:fldCharType="begin"/>
      </w:r>
      <w:r w:rsidR="00157C13">
        <w:rPr>
          <w:szCs w:val="22"/>
          <w:lang w:val="en-US"/>
        </w:rPr>
        <w:instrText xml:space="preserve"> REF _Ref198894641 \h </w:instrText>
      </w:r>
      <w:r w:rsidR="00157C13">
        <w:rPr>
          <w:szCs w:val="22"/>
          <w:lang w:val="en-US"/>
        </w:rPr>
      </w:r>
      <w:r w:rsidR="00157C13">
        <w:rPr>
          <w:szCs w:val="22"/>
          <w:lang w:val="en-US"/>
        </w:rPr>
        <w:fldChar w:fldCharType="separate"/>
      </w:r>
      <w:r w:rsidR="00157C13" w:rsidRPr="00FD3306">
        <w:rPr>
          <w:lang w:val="en-US"/>
        </w:rPr>
        <w:t xml:space="preserve">Supplementary Figure </w:t>
      </w:r>
      <w:r w:rsidR="00157C13">
        <w:rPr>
          <w:noProof/>
          <w:lang w:val="en-US"/>
        </w:rPr>
        <w:t>16</w:t>
      </w:r>
      <w:r w:rsidR="00157C13">
        <w:rPr>
          <w:szCs w:val="22"/>
          <w:lang w:val="en-US"/>
        </w:rPr>
        <w:fldChar w:fldCharType="end"/>
      </w:r>
      <w:r w:rsidRPr="00441852">
        <w:rPr>
          <w:szCs w:val="22"/>
          <w:lang w:val="en-US"/>
        </w:rPr>
        <w:t>.a is the avoidable waste share for the food item “</w:t>
      </w:r>
      <w:r w:rsidR="00E60F61">
        <w:rPr>
          <w:szCs w:val="22"/>
          <w:lang w:val="en-US"/>
        </w:rPr>
        <w:t>W</w:t>
      </w:r>
      <w:r w:rsidR="00D347EC">
        <w:rPr>
          <w:szCs w:val="22"/>
          <w:lang w:val="en-US"/>
        </w:rPr>
        <w:t>iener</w:t>
      </w:r>
      <w:r w:rsidRPr="00441852">
        <w:rPr>
          <w:szCs w:val="22"/>
          <w:lang w:val="en-US"/>
        </w:rPr>
        <w:t xml:space="preserve"> </w:t>
      </w:r>
      <w:r w:rsidR="00D347EC">
        <w:rPr>
          <w:szCs w:val="22"/>
          <w:lang w:val="en-US"/>
        </w:rPr>
        <w:t>s</w:t>
      </w:r>
      <w:r w:rsidRPr="00441852">
        <w:rPr>
          <w:szCs w:val="22"/>
          <w:lang w:val="en-US"/>
        </w:rPr>
        <w:t xml:space="preserve">ausage”. The prior value is 8.88%, meaning that this is the share of </w:t>
      </w:r>
      <w:r w:rsidR="00E60F61">
        <w:rPr>
          <w:szCs w:val="22"/>
          <w:lang w:val="en-US"/>
        </w:rPr>
        <w:t>Wiener</w:t>
      </w:r>
      <w:r w:rsidRPr="00441852">
        <w:rPr>
          <w:szCs w:val="22"/>
          <w:lang w:val="en-US"/>
        </w:rPr>
        <w:t xml:space="preserve"> </w:t>
      </w:r>
      <w:r w:rsidR="00D347EC">
        <w:rPr>
          <w:szCs w:val="22"/>
          <w:lang w:val="en-US"/>
        </w:rPr>
        <w:t>s</w:t>
      </w:r>
      <w:r w:rsidRPr="00441852">
        <w:rPr>
          <w:szCs w:val="22"/>
          <w:lang w:val="en-US"/>
        </w:rPr>
        <w:t xml:space="preserve">ausage lost as avoidable waste. </w:t>
      </w:r>
      <w:r>
        <w:rPr>
          <w:szCs w:val="22"/>
          <w:lang w:val="en-US"/>
        </w:rPr>
        <w:t>The</w:t>
      </w:r>
      <w:r w:rsidRPr="00441852">
        <w:rPr>
          <w:szCs w:val="22"/>
          <w:lang w:val="en-US"/>
        </w:rPr>
        <w:t xml:space="preserve"> consolidation finds that in the consistent quantity flow</w:t>
      </w:r>
      <w:r>
        <w:rPr>
          <w:szCs w:val="22"/>
          <w:lang w:val="en-US"/>
        </w:rPr>
        <w:t>,</w:t>
      </w:r>
      <w:r w:rsidRPr="00441852">
        <w:rPr>
          <w:szCs w:val="22"/>
          <w:lang w:val="en-US"/>
        </w:rPr>
        <w:t xml:space="preserve"> 7.11% of </w:t>
      </w:r>
      <w:r w:rsidR="00E60F61">
        <w:rPr>
          <w:szCs w:val="22"/>
          <w:lang w:val="en-US"/>
        </w:rPr>
        <w:t>Wiener sausage</w:t>
      </w:r>
      <w:r w:rsidRPr="00441852">
        <w:rPr>
          <w:szCs w:val="22"/>
          <w:lang w:val="en-US"/>
        </w:rPr>
        <w:t xml:space="preserve"> is lost as avoidable waste. This is 1.78 percentage points less (yellow point) and 20% less (gray point) than the </w:t>
      </w:r>
      <w:r w:rsidRPr="00441852">
        <w:rPr>
          <w:rFonts w:cs="Calibri"/>
          <w:szCs w:val="22"/>
          <w:lang w:val="en-US"/>
        </w:rPr>
        <w:t xml:space="preserve">prior </w:t>
      </w:r>
      <w:r w:rsidRPr="00441852">
        <w:rPr>
          <w:szCs w:val="22"/>
          <w:lang w:val="en-US"/>
        </w:rPr>
        <w:t>value.</w:t>
      </w:r>
    </w:p>
    <w:p w14:paraId="444ECDC6" w14:textId="46B279C1" w:rsidR="00A45E44" w:rsidRDefault="00A45E44" w:rsidP="00A45E44">
      <w:pPr>
        <w:suppressAutoHyphens w:val="0"/>
        <w:spacing w:before="0" w:after="120"/>
        <w:rPr>
          <w:rFonts w:eastAsia="Calibri" w:cs="Arial"/>
          <w:szCs w:val="22"/>
          <w:lang w:val="en-US"/>
        </w:rPr>
      </w:pPr>
      <w:r w:rsidRPr="00441852">
        <w:rPr>
          <w:rFonts w:eastAsia="Calibri" w:cs="Arial"/>
          <w:szCs w:val="22"/>
          <w:lang w:val="en-US"/>
        </w:rPr>
        <w:t>The market balance quantities show stronger and more frequent decreases than increases (</w:t>
      </w:r>
      <w:r w:rsidR="00AA534B">
        <w:rPr>
          <w:rFonts w:eastAsia="Calibri" w:cs="Arial"/>
          <w:szCs w:val="22"/>
          <w:lang w:val="en-US"/>
        </w:rPr>
        <w:t>Table 3</w:t>
      </w:r>
      <w:r w:rsidR="00157C13">
        <w:rPr>
          <w:rFonts w:eastAsia="Calibri" w:cs="Arial"/>
          <w:szCs w:val="22"/>
          <w:lang w:val="en-US"/>
        </w:rPr>
        <w:t xml:space="preserve">, </w:t>
      </w:r>
      <w:r w:rsidR="00157C13">
        <w:rPr>
          <w:rFonts w:eastAsia="Calibri" w:cs="Arial"/>
          <w:szCs w:val="22"/>
          <w:lang w:val="en-US"/>
        </w:rPr>
        <w:fldChar w:fldCharType="begin"/>
      </w:r>
      <w:r w:rsidR="00157C13">
        <w:rPr>
          <w:rFonts w:eastAsia="Calibri" w:cs="Arial"/>
          <w:szCs w:val="22"/>
          <w:lang w:val="en-US"/>
        </w:rPr>
        <w:instrText xml:space="preserve"> REF _Ref198894641 \h </w:instrText>
      </w:r>
      <w:r w:rsidR="00157C13">
        <w:rPr>
          <w:rFonts w:eastAsia="Calibri" w:cs="Arial"/>
          <w:szCs w:val="22"/>
          <w:lang w:val="en-US"/>
        </w:rPr>
      </w:r>
      <w:r w:rsidR="00157C13">
        <w:rPr>
          <w:rFonts w:eastAsia="Calibri" w:cs="Arial"/>
          <w:szCs w:val="22"/>
          <w:lang w:val="en-US"/>
        </w:rPr>
        <w:fldChar w:fldCharType="separate"/>
      </w:r>
      <w:r w:rsidR="00157C13" w:rsidRPr="00FD3306">
        <w:rPr>
          <w:lang w:val="en-US"/>
        </w:rPr>
        <w:t xml:space="preserve">Supplementary Figure </w:t>
      </w:r>
      <w:r w:rsidR="00157C13">
        <w:rPr>
          <w:noProof/>
          <w:lang w:val="en-US"/>
        </w:rPr>
        <w:t>16</w:t>
      </w:r>
      <w:r w:rsidR="00157C13">
        <w:rPr>
          <w:rFonts w:eastAsia="Calibri" w:cs="Arial"/>
          <w:szCs w:val="22"/>
          <w:lang w:val="en-US"/>
        </w:rPr>
        <w:fldChar w:fldCharType="end"/>
      </w:r>
      <w:r w:rsidRPr="00441852">
        <w:rPr>
          <w:rFonts w:eastAsia="Calibri" w:cs="Arial"/>
          <w:szCs w:val="22"/>
          <w:lang w:val="en-US"/>
        </w:rPr>
        <w:t xml:space="preserve">.g, </w:t>
      </w:r>
      <w:r w:rsidR="00157C13">
        <w:rPr>
          <w:rFonts w:eastAsia="Calibri" w:cs="Arial"/>
          <w:szCs w:val="22"/>
          <w:lang w:val="en-US"/>
        </w:rPr>
        <w:fldChar w:fldCharType="begin"/>
      </w:r>
      <w:r w:rsidR="00157C13">
        <w:rPr>
          <w:rFonts w:eastAsia="Calibri" w:cs="Arial"/>
          <w:szCs w:val="22"/>
          <w:lang w:val="en-US"/>
        </w:rPr>
        <w:instrText xml:space="preserve"> REF _Ref198900128 \h </w:instrText>
      </w:r>
      <w:r w:rsidR="00157C13">
        <w:rPr>
          <w:rFonts w:eastAsia="Calibri" w:cs="Arial"/>
          <w:szCs w:val="22"/>
          <w:lang w:val="en-US"/>
        </w:rPr>
      </w:r>
      <w:r w:rsidR="00157C13">
        <w:rPr>
          <w:rFonts w:eastAsia="Calibri" w:cs="Arial"/>
          <w:szCs w:val="22"/>
          <w:lang w:val="en-US"/>
        </w:rPr>
        <w:fldChar w:fldCharType="separate"/>
      </w:r>
      <w:r w:rsidR="005A5FF6" w:rsidRPr="00FD3306">
        <w:rPr>
          <w:lang w:val="en-US"/>
        </w:rPr>
        <w:t xml:space="preserve">Supplementary Table </w:t>
      </w:r>
      <w:r w:rsidR="005A5FF6">
        <w:rPr>
          <w:noProof/>
          <w:lang w:val="en-US"/>
        </w:rPr>
        <w:t>3</w:t>
      </w:r>
      <w:r w:rsidR="00157C13">
        <w:rPr>
          <w:rFonts w:eastAsia="Calibri" w:cs="Arial"/>
          <w:szCs w:val="22"/>
          <w:lang w:val="en-US"/>
        </w:rPr>
        <w:fldChar w:fldCharType="end"/>
      </w:r>
      <w:r w:rsidRPr="00441852">
        <w:rPr>
          <w:rFonts w:eastAsia="Calibri" w:cs="Arial"/>
          <w:szCs w:val="22"/>
          <w:lang w:val="en-US"/>
        </w:rPr>
        <w:t>). In contrast, the waste shares (</w:t>
      </w:r>
      <w:r w:rsidR="00157C13">
        <w:rPr>
          <w:rFonts w:eastAsia="Calibri" w:cs="Arial"/>
          <w:szCs w:val="22"/>
          <w:lang w:val="en-US"/>
        </w:rPr>
        <w:fldChar w:fldCharType="begin"/>
      </w:r>
      <w:r w:rsidR="00157C13">
        <w:rPr>
          <w:rFonts w:eastAsia="Calibri" w:cs="Arial"/>
          <w:szCs w:val="22"/>
          <w:lang w:val="en-US"/>
        </w:rPr>
        <w:instrText xml:space="preserve"> REF _Ref198894641 \h </w:instrText>
      </w:r>
      <w:r w:rsidR="00157C13">
        <w:rPr>
          <w:rFonts w:eastAsia="Calibri" w:cs="Arial"/>
          <w:szCs w:val="22"/>
          <w:lang w:val="en-US"/>
        </w:rPr>
      </w:r>
      <w:r w:rsidR="00157C13">
        <w:rPr>
          <w:rFonts w:eastAsia="Calibri" w:cs="Arial"/>
          <w:szCs w:val="22"/>
          <w:lang w:val="en-US"/>
        </w:rPr>
        <w:fldChar w:fldCharType="separate"/>
      </w:r>
      <w:r w:rsidR="00157C13" w:rsidRPr="00FD3306">
        <w:rPr>
          <w:lang w:val="en-US"/>
        </w:rPr>
        <w:t xml:space="preserve">Supplementary Figure </w:t>
      </w:r>
      <w:r w:rsidR="00157C13">
        <w:rPr>
          <w:noProof/>
          <w:lang w:val="en-US"/>
        </w:rPr>
        <w:t>16</w:t>
      </w:r>
      <w:r w:rsidR="00157C13">
        <w:rPr>
          <w:rFonts w:eastAsia="Calibri" w:cs="Arial"/>
          <w:szCs w:val="22"/>
          <w:lang w:val="en-US"/>
        </w:rPr>
        <w:fldChar w:fldCharType="end"/>
      </w:r>
      <w:r w:rsidRPr="00441852">
        <w:rPr>
          <w:rFonts w:eastAsia="Calibri" w:cs="Arial"/>
          <w:szCs w:val="22"/>
          <w:lang w:val="en-US"/>
        </w:rPr>
        <w:t>.a and b) and the intake quantities (</w:t>
      </w:r>
      <w:r w:rsidR="00157C13">
        <w:rPr>
          <w:rFonts w:eastAsia="Calibri" w:cs="Arial"/>
          <w:szCs w:val="22"/>
          <w:lang w:val="en-US"/>
        </w:rPr>
        <w:fldChar w:fldCharType="begin"/>
      </w:r>
      <w:r w:rsidR="00157C13">
        <w:rPr>
          <w:rFonts w:eastAsia="Calibri" w:cs="Arial"/>
          <w:szCs w:val="22"/>
          <w:lang w:val="en-US"/>
        </w:rPr>
        <w:instrText xml:space="preserve"> REF _Ref198894641 \h </w:instrText>
      </w:r>
      <w:r w:rsidR="00157C13">
        <w:rPr>
          <w:rFonts w:eastAsia="Calibri" w:cs="Arial"/>
          <w:szCs w:val="22"/>
          <w:lang w:val="en-US"/>
        </w:rPr>
      </w:r>
      <w:r w:rsidR="00157C13">
        <w:rPr>
          <w:rFonts w:eastAsia="Calibri" w:cs="Arial"/>
          <w:szCs w:val="22"/>
          <w:lang w:val="en-US"/>
        </w:rPr>
        <w:fldChar w:fldCharType="separate"/>
      </w:r>
      <w:r w:rsidR="00157C13" w:rsidRPr="00FD3306">
        <w:rPr>
          <w:lang w:val="en-US"/>
        </w:rPr>
        <w:t xml:space="preserve">Supplementary Figure </w:t>
      </w:r>
      <w:r w:rsidR="00157C13">
        <w:rPr>
          <w:noProof/>
          <w:lang w:val="en-US"/>
        </w:rPr>
        <w:t>16</w:t>
      </w:r>
      <w:r w:rsidR="00157C13">
        <w:rPr>
          <w:rFonts w:eastAsia="Calibri" w:cs="Arial"/>
          <w:szCs w:val="22"/>
          <w:lang w:val="en-US"/>
        </w:rPr>
        <w:fldChar w:fldCharType="end"/>
      </w:r>
      <w:r w:rsidRPr="00441852">
        <w:rPr>
          <w:rFonts w:eastAsia="Calibri" w:cs="Arial"/>
          <w:szCs w:val="22"/>
          <w:lang w:val="en-US"/>
        </w:rPr>
        <w:fldChar w:fldCharType="begin"/>
      </w:r>
      <w:r w:rsidRPr="00441852">
        <w:rPr>
          <w:rFonts w:eastAsia="Calibri" w:cs="Arial"/>
          <w:szCs w:val="22"/>
          <w:lang w:val="en-US"/>
        </w:rPr>
        <w:instrText xml:space="preserve"> REF _Ref198894641 \h  \* MERGEFORMAT </w:instrText>
      </w:r>
      <w:r w:rsidRPr="00441852">
        <w:rPr>
          <w:rFonts w:eastAsia="Calibri" w:cs="Arial"/>
          <w:szCs w:val="22"/>
          <w:lang w:val="en-US"/>
        </w:rPr>
      </w:r>
      <w:r w:rsidR="00160955">
        <w:rPr>
          <w:rFonts w:eastAsia="Calibri" w:cs="Arial"/>
          <w:szCs w:val="22"/>
          <w:lang w:val="en-US"/>
        </w:rPr>
        <w:fldChar w:fldCharType="separate"/>
      </w:r>
      <w:r w:rsidRPr="00441852">
        <w:rPr>
          <w:rFonts w:eastAsia="Calibri" w:cs="Arial"/>
          <w:szCs w:val="22"/>
          <w:lang w:val="en-US"/>
        </w:rPr>
        <w:fldChar w:fldCharType="end"/>
      </w:r>
      <w:r w:rsidRPr="00441852">
        <w:rPr>
          <w:rFonts w:eastAsia="Calibri" w:cs="Arial"/>
          <w:szCs w:val="22"/>
          <w:lang w:val="en-US"/>
        </w:rPr>
        <w:t xml:space="preserve">.f) increase more often than they decrease. This shows that the prior intake quantities are too low to fit the market balance data for most food items. </w:t>
      </w:r>
    </w:p>
    <w:p w14:paraId="1E38FFBF" w14:textId="3C904427" w:rsidR="00A45E44" w:rsidRDefault="006F1282" w:rsidP="00A45E44">
      <w:pPr>
        <w:keepNext/>
        <w:suppressAutoHyphens w:val="0"/>
        <w:spacing w:before="0"/>
        <w:rPr>
          <w:rFonts w:eastAsia="Calibri" w:cs="Arial"/>
          <w:szCs w:val="22"/>
          <w:lang w:val="en-US" w:eastAsia="en-US"/>
        </w:rPr>
      </w:pPr>
      <w:r>
        <w:rPr>
          <w:rFonts w:eastAsia="Calibri" w:cs="Arial"/>
          <w:noProof/>
          <w:szCs w:val="22"/>
          <w:lang w:val="en-US" w:eastAsia="en-US"/>
        </w:rPr>
        <w:drawing>
          <wp:inline distT="0" distB="0" distL="0" distR="0" wp14:anchorId="47590908" wp14:editId="041F0B8B">
            <wp:extent cx="6100884" cy="42100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04724" cy="4212700"/>
                    </a:xfrm>
                    <a:prstGeom prst="rect">
                      <a:avLst/>
                    </a:prstGeom>
                    <a:noFill/>
                  </pic:spPr>
                </pic:pic>
              </a:graphicData>
            </a:graphic>
          </wp:inline>
        </w:drawing>
      </w:r>
    </w:p>
    <w:p w14:paraId="0BB7FB8F" w14:textId="4B549D12" w:rsidR="00A45E44" w:rsidRDefault="00FD3306" w:rsidP="00FD3306">
      <w:pPr>
        <w:pStyle w:val="Caption"/>
        <w:rPr>
          <w:rFonts w:eastAsia="Calibri" w:cs="Calibri"/>
          <w:b w:val="0"/>
          <w:i w:val="0"/>
          <w:color w:val="000000"/>
          <w:szCs w:val="22"/>
          <w:lang w:val="en-US" w:eastAsia="en-US"/>
        </w:rPr>
      </w:pPr>
      <w:bookmarkStart w:id="51" w:name="_Ref198894641"/>
      <w:bookmarkStart w:id="52" w:name="_Ref198904110"/>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16</w:t>
      </w:r>
      <w:r>
        <w:fldChar w:fldCharType="end"/>
      </w:r>
      <w:bookmarkEnd w:id="51"/>
      <w:r w:rsidR="00A45E44" w:rsidRPr="008632EB">
        <w:rPr>
          <w:rFonts w:eastAsia="Calibri" w:cs="Calibri"/>
          <w:bCs/>
          <w:color w:val="000000"/>
          <w:szCs w:val="22"/>
          <w:lang w:val="en-US" w:eastAsia="en-US"/>
        </w:rPr>
        <w:t>:</w:t>
      </w:r>
      <w:r w:rsidR="00A45E44" w:rsidRPr="008632EB">
        <w:rPr>
          <w:rFonts w:eastAsia="Calibri" w:cs="Calibri"/>
          <w:color w:val="000000"/>
          <w:szCs w:val="22"/>
          <w:lang w:val="en-US" w:eastAsia="en-US"/>
        </w:rPr>
        <w:t xml:space="preserve"> </w:t>
      </w:r>
      <w:r w:rsidR="00A45E44">
        <w:rPr>
          <w:rFonts w:eastAsia="Calibri" w:cs="Calibri"/>
          <w:color w:val="000000"/>
          <w:szCs w:val="22"/>
          <w:lang w:val="en-US" w:eastAsia="en-US"/>
        </w:rPr>
        <w:t>Adjustments of prior data points in the consolidation, differentiated per dataset. Ordered by relative adjustments of</w:t>
      </w:r>
      <w:r w:rsidR="00A45E44" w:rsidRPr="008632EB">
        <w:rPr>
          <w:rFonts w:eastAsia="Calibri" w:cs="Calibri"/>
          <w:color w:val="000000"/>
          <w:szCs w:val="22"/>
          <w:lang w:val="en-US" w:eastAsia="en-US"/>
        </w:rPr>
        <w:t xml:space="preserve"> </w:t>
      </w:r>
      <w:r w:rsidR="00A45E44" w:rsidRPr="008632EB">
        <w:rPr>
          <w:rFonts w:eastAsia="Calibri" w:cs="Calibri"/>
          <w:noProof/>
          <w:color w:val="000000"/>
          <w:szCs w:val="22"/>
          <w:lang w:val="en-US" w:eastAsia="en-US"/>
        </w:rPr>
        <w:t xml:space="preserve">prior </w:t>
      </w:r>
      <w:r w:rsidR="00A45E44" w:rsidRPr="008632EB">
        <w:rPr>
          <w:rFonts w:eastAsia="Calibri" w:cs="Calibri"/>
          <w:color w:val="000000"/>
          <w:szCs w:val="22"/>
          <w:lang w:val="en-US" w:eastAsia="en-US"/>
        </w:rPr>
        <w:t>values</w:t>
      </w:r>
      <w:r w:rsidR="00A45E44">
        <w:rPr>
          <w:rFonts w:eastAsia="Calibri" w:cs="Calibri"/>
          <w:color w:val="000000"/>
          <w:szCs w:val="22"/>
          <w:lang w:val="en-US" w:eastAsia="en-US"/>
        </w:rPr>
        <w:t xml:space="preserve"> (</w:t>
      </w:r>
      <w:r w:rsidR="00A45E44" w:rsidRPr="00165047">
        <w:rPr>
          <w:rFonts w:eastAsia="Calibri" w:cs="Calibri"/>
          <w:color w:val="000000"/>
          <w:szCs w:val="22"/>
          <w:lang w:val="en-US" w:eastAsia="en-US"/>
        </w:rPr>
        <w:t xml:space="preserve">gray </w:t>
      </w:r>
      <w:r w:rsidR="00A45E44">
        <w:rPr>
          <w:rFonts w:eastAsia="Calibri" w:cs="Calibri"/>
          <w:color w:val="000000"/>
          <w:szCs w:val="22"/>
          <w:lang w:val="en-US" w:eastAsia="en-US"/>
        </w:rPr>
        <w:t>points, left axis)</w:t>
      </w:r>
      <w:r w:rsidR="00A45E44" w:rsidRPr="008632EB">
        <w:rPr>
          <w:rFonts w:eastAsia="Calibri" w:cs="Calibri"/>
          <w:color w:val="000000"/>
          <w:szCs w:val="22"/>
          <w:lang w:val="en-US" w:eastAsia="en-US"/>
        </w:rPr>
        <w:t>.</w:t>
      </w:r>
      <w:r w:rsidR="00A45E44">
        <w:rPr>
          <w:rFonts w:eastAsia="Calibri" w:cs="Calibri"/>
          <w:color w:val="000000"/>
          <w:szCs w:val="22"/>
          <w:lang w:val="en-US" w:eastAsia="en-US"/>
        </w:rPr>
        <w:t xml:space="preserve"> Adjustments in percentage points (a-e) or absolute values (f-g) (yellow points, right axis).</w:t>
      </w:r>
      <w:bookmarkEnd w:id="52"/>
      <w:r w:rsidR="00A45E44">
        <w:rPr>
          <w:rFonts w:eastAsia="Calibri" w:cs="Calibri"/>
          <w:color w:val="000000"/>
          <w:szCs w:val="22"/>
          <w:lang w:val="en-US" w:eastAsia="en-US"/>
        </w:rPr>
        <w:t xml:space="preserve"> </w:t>
      </w:r>
    </w:p>
    <w:p w14:paraId="2C3A6721" w14:textId="77777777" w:rsidR="00A45E44" w:rsidRDefault="00A45E44" w:rsidP="00A45E44">
      <w:pPr>
        <w:suppressAutoHyphens w:val="0"/>
        <w:spacing w:before="0" w:line="240" w:lineRule="auto"/>
        <w:jc w:val="left"/>
        <w:rPr>
          <w:rFonts w:eastAsia="Calibri" w:cs="Calibri"/>
          <w:b/>
          <w:i/>
          <w:color w:val="000000"/>
          <w:sz w:val="20"/>
          <w:szCs w:val="22"/>
          <w:lang w:val="en-US" w:eastAsia="en-US"/>
        </w:rPr>
      </w:pPr>
      <w:r>
        <w:rPr>
          <w:rFonts w:eastAsia="Calibri" w:cs="Calibri"/>
          <w:b/>
          <w:i/>
          <w:color w:val="000000"/>
          <w:sz w:val="20"/>
          <w:szCs w:val="22"/>
          <w:lang w:val="en-US" w:eastAsia="en-US"/>
        </w:rPr>
        <w:br w:type="page"/>
      </w:r>
    </w:p>
    <w:p w14:paraId="57933015" w14:textId="2602C045" w:rsidR="00A45E44" w:rsidRDefault="00157C13" w:rsidP="00A45E44">
      <w:pPr>
        <w:suppressAutoHyphens w:val="0"/>
        <w:spacing w:before="0" w:after="120"/>
        <w:rPr>
          <w:rFonts w:eastAsia="Calibri" w:cs="Arial"/>
          <w:szCs w:val="22"/>
          <w:lang w:val="en-US"/>
        </w:rPr>
      </w:pPr>
      <w:r>
        <w:rPr>
          <w:rFonts w:eastAsia="Calibri" w:cs="Arial"/>
          <w:szCs w:val="22"/>
          <w:lang w:val="en-US"/>
        </w:rPr>
        <w:lastRenderedPageBreak/>
        <w:fldChar w:fldCharType="begin"/>
      </w:r>
      <w:r>
        <w:rPr>
          <w:rFonts w:eastAsia="Calibri" w:cs="Arial"/>
          <w:szCs w:val="22"/>
          <w:lang w:val="en-US"/>
        </w:rPr>
        <w:instrText xml:space="preserve"> REF _Ref198904138 \h </w:instrText>
      </w:r>
      <w:r>
        <w:rPr>
          <w:rFonts w:eastAsia="Calibri" w:cs="Arial"/>
          <w:szCs w:val="22"/>
          <w:lang w:val="en-US"/>
        </w:rPr>
      </w:r>
      <w:r>
        <w:rPr>
          <w:rFonts w:eastAsia="Calibri" w:cs="Arial"/>
          <w:szCs w:val="22"/>
          <w:lang w:val="en-US"/>
        </w:rPr>
        <w:fldChar w:fldCharType="separate"/>
      </w:r>
      <w:r w:rsidRPr="00FD3306">
        <w:rPr>
          <w:lang w:val="en-US"/>
        </w:rPr>
        <w:t xml:space="preserve">Supplementary Figure </w:t>
      </w:r>
      <w:r>
        <w:rPr>
          <w:noProof/>
          <w:lang w:val="en-US"/>
        </w:rPr>
        <w:t>17</w:t>
      </w:r>
      <w:r>
        <w:rPr>
          <w:rFonts w:eastAsia="Calibri" w:cs="Arial"/>
          <w:szCs w:val="22"/>
          <w:lang w:val="en-US"/>
        </w:rPr>
        <w:fldChar w:fldCharType="end"/>
      </w:r>
      <w:r w:rsidR="00A45E44">
        <w:rPr>
          <w:rFonts w:eastAsia="Calibri" w:cs="Arial"/>
          <w:szCs w:val="22"/>
          <w:lang w:val="en-US"/>
        </w:rPr>
        <w:t xml:space="preserve"> shows the </w:t>
      </w:r>
      <w:r w:rsidR="00A45E44" w:rsidRPr="00105716">
        <w:rPr>
          <w:rFonts w:eastAsia="Calibri" w:cs="Arial"/>
          <w:szCs w:val="22"/>
          <w:lang w:val="en-US"/>
        </w:rPr>
        <w:t xml:space="preserve">same values as </w:t>
      </w:r>
      <w:r>
        <w:rPr>
          <w:rFonts w:eastAsia="Calibri" w:cs="Arial"/>
          <w:szCs w:val="22"/>
          <w:lang w:val="en-US"/>
        </w:rPr>
        <w:fldChar w:fldCharType="begin"/>
      </w:r>
      <w:r>
        <w:rPr>
          <w:rFonts w:eastAsia="Calibri" w:cs="Arial"/>
          <w:szCs w:val="22"/>
          <w:lang w:val="en-US"/>
        </w:rPr>
        <w:instrText xml:space="preserve"> REF _Ref198894641 \h </w:instrText>
      </w:r>
      <w:r>
        <w:rPr>
          <w:rFonts w:eastAsia="Calibri" w:cs="Arial"/>
          <w:szCs w:val="22"/>
          <w:lang w:val="en-US"/>
        </w:rPr>
      </w:r>
      <w:r>
        <w:rPr>
          <w:rFonts w:eastAsia="Calibri" w:cs="Arial"/>
          <w:szCs w:val="22"/>
          <w:lang w:val="en-US"/>
        </w:rPr>
        <w:fldChar w:fldCharType="separate"/>
      </w:r>
      <w:r w:rsidRPr="00FD3306">
        <w:rPr>
          <w:lang w:val="en-US"/>
        </w:rPr>
        <w:t xml:space="preserve">Supplementary Figure </w:t>
      </w:r>
      <w:r>
        <w:rPr>
          <w:noProof/>
          <w:lang w:val="en-US"/>
        </w:rPr>
        <w:t>16</w:t>
      </w:r>
      <w:r>
        <w:rPr>
          <w:rFonts w:eastAsia="Calibri" w:cs="Arial"/>
          <w:szCs w:val="22"/>
          <w:lang w:val="en-US"/>
        </w:rPr>
        <w:fldChar w:fldCharType="end"/>
      </w:r>
      <w:r w:rsidR="00A45E44" w:rsidRPr="00105716">
        <w:rPr>
          <w:rFonts w:eastAsia="Calibri" w:cs="Arial"/>
          <w:szCs w:val="22"/>
          <w:lang w:val="en-US"/>
        </w:rPr>
        <w:t xml:space="preserve"> but ordered by absolute adjustments</w:t>
      </w:r>
      <w:r w:rsidR="00766863">
        <w:rPr>
          <w:rFonts w:eastAsia="Calibri" w:cs="Arial"/>
          <w:szCs w:val="22"/>
          <w:lang w:val="en-US"/>
        </w:rPr>
        <w:t xml:space="preserve"> (yellow points)</w:t>
      </w:r>
      <w:r w:rsidR="00A45E44" w:rsidRPr="00105716">
        <w:rPr>
          <w:rFonts w:eastAsia="Calibri" w:cs="Arial"/>
          <w:szCs w:val="22"/>
          <w:lang w:val="en-US"/>
        </w:rPr>
        <w:t xml:space="preserve">. </w:t>
      </w:r>
    </w:p>
    <w:p w14:paraId="44A88054" w14:textId="46413B23" w:rsidR="00A45E44" w:rsidRDefault="001062AA" w:rsidP="00A45E44">
      <w:pPr>
        <w:keepNext/>
        <w:suppressAutoHyphens w:val="0"/>
        <w:spacing w:before="0"/>
        <w:rPr>
          <w:rFonts w:eastAsia="Calibri" w:cs="Arial"/>
          <w:szCs w:val="22"/>
          <w:lang w:val="en-US" w:eastAsia="en-US"/>
        </w:rPr>
      </w:pPr>
      <w:r>
        <w:rPr>
          <w:rFonts w:eastAsia="Calibri" w:cs="Arial"/>
          <w:noProof/>
          <w:szCs w:val="22"/>
          <w:lang w:val="en-US" w:eastAsia="en-US"/>
        </w:rPr>
        <w:drawing>
          <wp:inline distT="0" distB="0" distL="0" distR="0" wp14:anchorId="25C4BE19" wp14:editId="37AD47DF">
            <wp:extent cx="5988308" cy="416242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88308" cy="4162425"/>
                    </a:xfrm>
                    <a:prstGeom prst="rect">
                      <a:avLst/>
                    </a:prstGeom>
                    <a:noFill/>
                  </pic:spPr>
                </pic:pic>
              </a:graphicData>
            </a:graphic>
          </wp:inline>
        </w:drawing>
      </w:r>
    </w:p>
    <w:p w14:paraId="0F4FE32C" w14:textId="728C32CA" w:rsidR="00A45E44" w:rsidRDefault="00FD3306" w:rsidP="00157C13">
      <w:pPr>
        <w:pStyle w:val="Caption"/>
        <w:rPr>
          <w:rFonts w:eastAsia="Calibri"/>
          <w:lang w:val="en-US"/>
        </w:rPr>
      </w:pPr>
      <w:bookmarkStart w:id="53" w:name="_Ref198904138"/>
      <w:bookmarkStart w:id="54" w:name="_Toc183993371"/>
      <w:bookmarkStart w:id="55" w:name="_Toc184904153"/>
      <w:bookmarkStart w:id="56" w:name="_Toc191290138"/>
      <w:bookmarkStart w:id="57" w:name="_Toc191672430"/>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17</w:t>
      </w:r>
      <w:r>
        <w:fldChar w:fldCharType="end"/>
      </w:r>
      <w:bookmarkEnd w:id="53"/>
      <w:r w:rsidR="00A45E44" w:rsidRPr="00366EE4">
        <w:rPr>
          <w:rFonts w:eastAsia="Calibri"/>
          <w:lang w:val="en-US"/>
        </w:rPr>
        <w:t>: The percentage and absolute difference between prior values and consolidated values for all datasets, ordered by absolute deviations of consolidated values from prior values.</w:t>
      </w:r>
      <w:bookmarkEnd w:id="54"/>
      <w:bookmarkEnd w:id="55"/>
      <w:bookmarkEnd w:id="56"/>
      <w:bookmarkEnd w:id="57"/>
    </w:p>
    <w:p w14:paraId="0785700A" w14:textId="744C8630" w:rsidR="007D43FB" w:rsidRDefault="007D43FB">
      <w:pPr>
        <w:suppressAutoHyphens w:val="0"/>
        <w:spacing w:before="0" w:line="240" w:lineRule="auto"/>
        <w:jc w:val="left"/>
        <w:rPr>
          <w:rFonts w:eastAsia="Calibri"/>
          <w:lang w:val="en-US"/>
        </w:rPr>
      </w:pPr>
      <w:r>
        <w:rPr>
          <w:rFonts w:eastAsia="Calibri"/>
          <w:lang w:val="en-US"/>
        </w:rPr>
        <w:br w:type="page"/>
      </w:r>
    </w:p>
    <w:p w14:paraId="36C4DD3E" w14:textId="1E0B05BB" w:rsidR="007D43FB" w:rsidRPr="007D43FB" w:rsidRDefault="007D43FB" w:rsidP="007D43FB">
      <w:pPr>
        <w:rPr>
          <w:rFonts w:eastAsia="Calibri"/>
          <w:lang w:val="en-US"/>
        </w:rPr>
      </w:pPr>
      <w:r>
        <w:rPr>
          <w:rFonts w:eastAsia="Calibri" w:cs="Arial"/>
          <w:szCs w:val="22"/>
          <w:lang w:val="en-US"/>
        </w:rPr>
        <w:lastRenderedPageBreak/>
        <w:fldChar w:fldCharType="begin"/>
      </w:r>
      <w:r>
        <w:rPr>
          <w:rFonts w:eastAsia="Calibri" w:cs="Arial"/>
          <w:szCs w:val="22"/>
          <w:lang w:val="en-US"/>
        </w:rPr>
        <w:instrText xml:space="preserve"> REF _Ref198894643 \h </w:instrText>
      </w:r>
      <w:r>
        <w:rPr>
          <w:rFonts w:eastAsia="Calibri" w:cs="Arial"/>
          <w:szCs w:val="22"/>
          <w:lang w:val="en-US"/>
        </w:rPr>
      </w:r>
      <w:r>
        <w:rPr>
          <w:rFonts w:eastAsia="Calibri" w:cs="Arial"/>
          <w:szCs w:val="22"/>
          <w:lang w:val="en-US"/>
        </w:rPr>
        <w:fldChar w:fldCharType="separate"/>
      </w:r>
      <w:r w:rsidRPr="00FD3306">
        <w:rPr>
          <w:lang w:val="en-US"/>
        </w:rPr>
        <w:t xml:space="preserve">Supplementary Figure </w:t>
      </w:r>
      <w:r>
        <w:rPr>
          <w:noProof/>
          <w:lang w:val="en-US"/>
        </w:rPr>
        <w:t>18</w:t>
      </w:r>
      <w:r>
        <w:rPr>
          <w:rFonts w:eastAsia="Calibri" w:cs="Arial"/>
          <w:szCs w:val="22"/>
          <w:lang w:val="en-US"/>
        </w:rPr>
        <w:fldChar w:fldCharType="end"/>
      </w:r>
      <w:r w:rsidRPr="00105716">
        <w:rPr>
          <w:rFonts w:eastAsia="Calibri" w:cs="Arial"/>
          <w:szCs w:val="22"/>
          <w:lang w:val="en-US"/>
        </w:rPr>
        <w:t xml:space="preserve"> shows the prior and absolute values</w:t>
      </w:r>
      <w:r w:rsidR="00A16AAC">
        <w:rPr>
          <w:rFonts w:eastAsia="Calibri" w:cs="Arial"/>
          <w:szCs w:val="22"/>
          <w:lang w:val="en-US"/>
        </w:rPr>
        <w:t xml:space="preserve"> (blue and orange points), alongside the relative difference (gray points)</w:t>
      </w:r>
      <w:r w:rsidRPr="00105716">
        <w:rPr>
          <w:rFonts w:eastAsia="Calibri" w:cs="Arial"/>
          <w:szCs w:val="22"/>
          <w:lang w:val="en-US"/>
        </w:rPr>
        <w:t>.</w:t>
      </w:r>
      <w:r w:rsidR="00A16AAC">
        <w:rPr>
          <w:rFonts w:eastAsia="Calibri" w:cs="Arial"/>
          <w:szCs w:val="22"/>
          <w:lang w:val="en-US"/>
        </w:rPr>
        <w:t xml:space="preserve"> </w:t>
      </w:r>
    </w:p>
    <w:p w14:paraId="06CABB7F" w14:textId="2C889ADD" w:rsidR="00A45E44" w:rsidRPr="008632EB" w:rsidRDefault="007D43FB" w:rsidP="00A45E44">
      <w:pPr>
        <w:suppressAutoHyphens w:val="0"/>
        <w:rPr>
          <w:rFonts w:eastAsia="Calibri" w:cs="Arial"/>
          <w:szCs w:val="22"/>
          <w:lang w:val="en-US" w:eastAsia="en-US"/>
        </w:rPr>
      </w:pPr>
      <w:r>
        <w:rPr>
          <w:rFonts w:eastAsia="Calibri" w:cs="Arial"/>
          <w:noProof/>
          <w:szCs w:val="22"/>
          <w:lang w:val="en-US" w:eastAsia="en-US"/>
        </w:rPr>
        <w:drawing>
          <wp:inline distT="0" distB="0" distL="0" distR="0" wp14:anchorId="5ED4C2F3" wp14:editId="53DBE38A">
            <wp:extent cx="6046371" cy="41624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49352" cy="4164477"/>
                    </a:xfrm>
                    <a:prstGeom prst="rect">
                      <a:avLst/>
                    </a:prstGeom>
                    <a:noFill/>
                  </pic:spPr>
                </pic:pic>
              </a:graphicData>
            </a:graphic>
          </wp:inline>
        </w:drawing>
      </w:r>
    </w:p>
    <w:p w14:paraId="2A87A691" w14:textId="4BAA7905" w:rsidR="00A45E44" w:rsidRDefault="00FD3306" w:rsidP="00157C13">
      <w:pPr>
        <w:pStyle w:val="Caption"/>
        <w:rPr>
          <w:rFonts w:eastAsia="Calibri" w:cs="Calibri"/>
          <w:b w:val="0"/>
          <w:i w:val="0"/>
          <w:color w:val="000000"/>
          <w:szCs w:val="22"/>
          <w:lang w:val="en-US" w:eastAsia="en-US"/>
        </w:rPr>
      </w:pPr>
      <w:bookmarkStart w:id="58" w:name="_Ref198894643"/>
      <w:bookmarkStart w:id="59" w:name="_Toc183993372"/>
      <w:bookmarkStart w:id="60" w:name="_Toc184904154"/>
      <w:bookmarkStart w:id="61" w:name="_Toc191290139"/>
      <w:bookmarkStart w:id="62" w:name="_Toc191672431"/>
      <w:r w:rsidRPr="00FD3306">
        <w:rPr>
          <w:lang w:val="en-US"/>
        </w:rPr>
        <w:t xml:space="preserve">Supplementary Figure </w:t>
      </w:r>
      <w:r>
        <w:fldChar w:fldCharType="begin"/>
      </w:r>
      <w:r w:rsidRPr="00FD3306">
        <w:rPr>
          <w:lang w:val="en-US"/>
        </w:rPr>
        <w:instrText xml:space="preserve"> SEQ Supplementary_Figure \* ARABIC </w:instrText>
      </w:r>
      <w:r>
        <w:fldChar w:fldCharType="separate"/>
      </w:r>
      <w:r>
        <w:rPr>
          <w:noProof/>
          <w:lang w:val="en-US"/>
        </w:rPr>
        <w:t>18</w:t>
      </w:r>
      <w:r>
        <w:fldChar w:fldCharType="end"/>
      </w:r>
      <w:bookmarkEnd w:id="58"/>
      <w:r w:rsidR="00A45E44" w:rsidRPr="008632EB">
        <w:rPr>
          <w:rFonts w:eastAsia="Calibri" w:cs="Calibri"/>
          <w:bCs/>
          <w:color w:val="000000"/>
          <w:szCs w:val="22"/>
          <w:lang w:val="en-US" w:eastAsia="en-US"/>
        </w:rPr>
        <w:t>:</w:t>
      </w:r>
      <w:r w:rsidR="00A45E44" w:rsidRPr="008632EB">
        <w:rPr>
          <w:rFonts w:eastAsia="Calibri" w:cs="Calibri"/>
          <w:color w:val="000000"/>
          <w:szCs w:val="22"/>
          <w:lang w:val="en-US" w:eastAsia="en-US"/>
        </w:rPr>
        <w:t xml:space="preserve"> </w:t>
      </w:r>
      <w:r w:rsidR="00A45E44">
        <w:rPr>
          <w:rFonts w:eastAsia="Calibri" w:cs="Calibri"/>
          <w:color w:val="000000"/>
          <w:szCs w:val="22"/>
          <w:lang w:val="en-US" w:eastAsia="en-US"/>
        </w:rPr>
        <w:t>Prior</w:t>
      </w:r>
      <w:r w:rsidR="00A45E44" w:rsidRPr="008632EB">
        <w:rPr>
          <w:rFonts w:eastAsia="Calibri" w:cs="Calibri"/>
          <w:color w:val="000000"/>
          <w:szCs w:val="22"/>
          <w:lang w:val="en-US" w:eastAsia="en-US"/>
        </w:rPr>
        <w:t xml:space="preserve"> and consolidated values and percentage differences between them for all datasets. Ordered for </w:t>
      </w:r>
      <w:r w:rsidR="00A45E44" w:rsidRPr="008632EB">
        <w:rPr>
          <w:rFonts w:eastAsia="Calibri" w:cs="Calibri"/>
          <w:noProof/>
          <w:color w:val="000000"/>
          <w:szCs w:val="22"/>
          <w:lang w:val="en-US" w:eastAsia="en-US"/>
        </w:rPr>
        <w:t xml:space="preserve">prior </w:t>
      </w:r>
      <w:r w:rsidR="00A45E44" w:rsidRPr="008632EB">
        <w:rPr>
          <w:rFonts w:eastAsia="Calibri" w:cs="Calibri"/>
          <w:color w:val="000000"/>
          <w:szCs w:val="22"/>
          <w:lang w:val="en-US" w:eastAsia="en-US"/>
        </w:rPr>
        <w:t>values.</w:t>
      </w:r>
      <w:bookmarkEnd w:id="59"/>
      <w:bookmarkEnd w:id="60"/>
      <w:bookmarkEnd w:id="61"/>
      <w:bookmarkEnd w:id="62"/>
      <w:r w:rsidR="00A45E44">
        <w:rPr>
          <w:rFonts w:eastAsia="Calibri" w:cs="Calibri"/>
          <w:color w:val="000000"/>
          <w:szCs w:val="22"/>
          <w:lang w:val="en-US" w:eastAsia="en-US"/>
        </w:rPr>
        <w:br w:type="page"/>
      </w:r>
    </w:p>
    <w:p w14:paraId="7EE50591" w14:textId="3752F12D" w:rsidR="00FD3306" w:rsidRDefault="00FD3306" w:rsidP="00FD060A">
      <w:pPr>
        <w:pStyle w:val="Heading2"/>
        <w:rPr>
          <w:rFonts w:eastAsia="Calibri"/>
          <w:lang w:eastAsia="en-US"/>
        </w:rPr>
      </w:pPr>
      <w:bookmarkStart w:id="63" w:name="_Toc203763131"/>
      <w:r>
        <w:rPr>
          <w:rFonts w:eastAsia="Calibri"/>
          <w:lang w:eastAsia="en-US"/>
        </w:rPr>
        <w:lastRenderedPageBreak/>
        <w:t>Adjustments of market balance quantities</w:t>
      </w:r>
      <w:bookmarkEnd w:id="63"/>
    </w:p>
    <w:p w14:paraId="0E515739" w14:textId="77777777" w:rsidR="00FF74AE" w:rsidRDefault="00157C13" w:rsidP="00A45E44">
      <w:pPr>
        <w:spacing w:before="0"/>
        <w:rPr>
          <w:rFonts w:eastAsia="Calibri" w:cs="Arial"/>
          <w:szCs w:val="22"/>
          <w:lang w:val="en-US" w:eastAsia="en-US"/>
        </w:rPr>
      </w:pPr>
      <w:r>
        <w:rPr>
          <w:rFonts w:eastAsia="Calibri" w:cs="Arial"/>
          <w:szCs w:val="22"/>
          <w:lang w:val="en-US" w:eastAsia="en-US"/>
        </w:rPr>
        <w:fldChar w:fldCharType="begin"/>
      </w:r>
      <w:r>
        <w:rPr>
          <w:rFonts w:eastAsia="Calibri" w:cs="Arial"/>
          <w:szCs w:val="22"/>
          <w:lang w:val="en-US" w:eastAsia="en-US"/>
        </w:rPr>
        <w:instrText xml:space="preserve"> REF _Ref198900128 \h </w:instrText>
      </w:r>
      <w:r>
        <w:rPr>
          <w:rFonts w:eastAsia="Calibri" w:cs="Arial"/>
          <w:szCs w:val="22"/>
          <w:lang w:val="en-US" w:eastAsia="en-US"/>
        </w:rPr>
      </w:r>
      <w:r>
        <w:rPr>
          <w:rFonts w:eastAsia="Calibri" w:cs="Arial"/>
          <w:szCs w:val="22"/>
          <w:lang w:val="en-US" w:eastAsia="en-US"/>
        </w:rPr>
        <w:fldChar w:fldCharType="separate"/>
      </w:r>
      <w:r w:rsidR="005A5FF6" w:rsidRPr="00FD3306">
        <w:rPr>
          <w:lang w:val="en-US"/>
        </w:rPr>
        <w:t xml:space="preserve">Supplementary Table </w:t>
      </w:r>
      <w:r w:rsidR="005A5FF6">
        <w:rPr>
          <w:noProof/>
          <w:lang w:val="en-US"/>
        </w:rPr>
        <w:t>3</w:t>
      </w:r>
      <w:r>
        <w:rPr>
          <w:rFonts w:eastAsia="Calibri" w:cs="Arial"/>
          <w:szCs w:val="22"/>
          <w:lang w:val="en-US" w:eastAsia="en-US"/>
        </w:rPr>
        <w:fldChar w:fldCharType="end"/>
      </w:r>
      <w:r w:rsidR="00A45E44" w:rsidRPr="00667A66">
        <w:rPr>
          <w:rFonts w:eastAsia="Calibri" w:cs="Arial"/>
          <w:szCs w:val="22"/>
          <w:lang w:val="en-US" w:eastAsia="en-US"/>
        </w:rPr>
        <w:t xml:space="preserve"> shows the prior market balance quantities (“</w:t>
      </w:r>
      <w:r w:rsidR="00A45E44" w:rsidRPr="00667A66">
        <w:rPr>
          <w:rFonts w:eastAsia="Calibri" w:cs="Calibri"/>
          <w:noProof/>
          <w:szCs w:val="22"/>
          <w:lang w:val="en-US" w:eastAsia="en-US"/>
        </w:rPr>
        <w:t xml:space="preserve">prior </w:t>
      </w:r>
      <w:r w:rsidR="00A45E44" w:rsidRPr="00667A66">
        <w:rPr>
          <w:rFonts w:eastAsia="Calibri" w:cs="Arial"/>
          <w:szCs w:val="22"/>
          <w:lang w:val="en-US" w:eastAsia="en-US"/>
        </w:rPr>
        <w:t xml:space="preserve">values”) adjusted by </w:t>
      </w:r>
      <w:r w:rsidR="00A45E44">
        <w:rPr>
          <w:rFonts w:eastAsia="Calibri" w:cs="Arial"/>
          <w:szCs w:val="22"/>
          <w:lang w:val="en-US" w:eastAsia="en-US"/>
        </w:rPr>
        <w:t>over</w:t>
      </w:r>
      <w:r w:rsidR="00A45E44" w:rsidRPr="00667A66">
        <w:rPr>
          <w:rFonts w:eastAsia="Calibri" w:cs="Arial"/>
          <w:szCs w:val="22"/>
          <w:lang w:val="en-US" w:eastAsia="en-US"/>
        </w:rPr>
        <w:t xml:space="preserve"> </w:t>
      </w:r>
      <w:r w:rsidR="00A45E44" w:rsidRPr="00667A66">
        <w:rPr>
          <w:rFonts w:eastAsia="Calibri" w:cs="Calibri"/>
          <w:szCs w:val="22"/>
          <w:lang w:val="en-US" w:eastAsia="en-US"/>
        </w:rPr>
        <w:t>±</w:t>
      </w:r>
      <w:r w:rsidR="00A45E44" w:rsidRPr="00667A66">
        <w:rPr>
          <w:rFonts w:eastAsia="Calibri" w:cs="Arial"/>
          <w:szCs w:val="22"/>
          <w:lang w:val="en-US" w:eastAsia="en-US"/>
        </w:rPr>
        <w:t xml:space="preserve"> </w:t>
      </w:r>
      <w:r w:rsidR="00183185">
        <w:rPr>
          <w:rFonts w:eastAsia="Calibri" w:cs="Arial"/>
          <w:szCs w:val="22"/>
          <w:lang w:val="en-US" w:eastAsia="en-US"/>
        </w:rPr>
        <w:t>0.2</w:t>
      </w:r>
      <w:r w:rsidR="00A45E44" w:rsidRPr="00667A66">
        <w:rPr>
          <w:rFonts w:eastAsia="Calibri" w:cs="Arial"/>
          <w:szCs w:val="22"/>
          <w:lang w:val="en-US" w:eastAsia="en-US"/>
        </w:rPr>
        <w:t xml:space="preserve">% to fit a consistent quantity flow. The deviation between the consolidated and prior values is expressed as a percentage of the prior value (“adjustment in %”). </w:t>
      </w:r>
      <w:r w:rsidR="00FF74AE">
        <w:rPr>
          <w:rFonts w:eastAsia="Calibri" w:cs="Arial"/>
          <w:szCs w:val="22"/>
          <w:lang w:val="en-US" w:eastAsia="en-US"/>
        </w:rPr>
        <w:t xml:space="preserve">The </w:t>
      </w:r>
      <w:r w:rsidR="00A45E44" w:rsidRPr="00667A66">
        <w:rPr>
          <w:rFonts w:eastAsia="Calibri" w:cs="Arial"/>
          <w:szCs w:val="22"/>
          <w:lang w:val="en-US" w:eastAsia="en-US"/>
        </w:rPr>
        <w:t>adjustment</w:t>
      </w:r>
      <w:r w:rsidR="00FF74AE">
        <w:rPr>
          <w:rFonts w:eastAsia="Calibri" w:cs="Arial"/>
          <w:szCs w:val="22"/>
          <w:lang w:val="en-US" w:eastAsia="en-US"/>
        </w:rPr>
        <w:t>s are negative</w:t>
      </w:r>
      <w:r w:rsidR="00A45E44">
        <w:rPr>
          <w:rFonts w:eastAsia="Calibri" w:cs="Arial"/>
          <w:szCs w:val="22"/>
          <w:lang w:val="en-US" w:eastAsia="en-US"/>
        </w:rPr>
        <w:t xml:space="preserve">, </w:t>
      </w:r>
      <w:r w:rsidR="00A45E44" w:rsidRPr="008632EB">
        <w:rPr>
          <w:rFonts w:eastAsia="Calibri" w:cs="Arial"/>
          <w:szCs w:val="22"/>
          <w:lang w:val="en-US" w:eastAsia="en-US"/>
        </w:rPr>
        <w:t>mean</w:t>
      </w:r>
      <w:r w:rsidR="00FF74AE">
        <w:rPr>
          <w:rFonts w:eastAsia="Calibri" w:cs="Arial"/>
          <w:szCs w:val="22"/>
          <w:lang w:val="en-US" w:eastAsia="en-US"/>
        </w:rPr>
        <w:t>ing</w:t>
      </w:r>
      <w:r w:rsidR="00A45E44" w:rsidRPr="008632EB">
        <w:rPr>
          <w:rFonts w:eastAsia="Calibri" w:cs="Arial"/>
          <w:szCs w:val="22"/>
          <w:lang w:val="en-US" w:eastAsia="en-US"/>
        </w:rPr>
        <w:t xml:space="preserve"> that the market balance quantit</w:t>
      </w:r>
      <w:r w:rsidR="00FF74AE">
        <w:rPr>
          <w:rFonts w:eastAsia="Calibri" w:cs="Arial"/>
          <w:szCs w:val="22"/>
          <w:lang w:val="en-US" w:eastAsia="en-US"/>
        </w:rPr>
        <w:t>ies of whey powder, other cereals and sunflower seeds are</w:t>
      </w:r>
      <w:r w:rsidR="00A45E44" w:rsidRPr="008632EB">
        <w:rPr>
          <w:rFonts w:eastAsia="Calibri" w:cs="Arial"/>
          <w:szCs w:val="22"/>
          <w:lang w:val="en-US" w:eastAsia="en-US"/>
        </w:rPr>
        <w:t xml:space="preserve"> too high to fit the intake data. </w:t>
      </w:r>
    </w:p>
    <w:p w14:paraId="4CB03667" w14:textId="08500939" w:rsidR="00FF74AE" w:rsidRDefault="00FF74AE" w:rsidP="00A45E44">
      <w:pPr>
        <w:spacing w:before="0"/>
        <w:rPr>
          <w:rFonts w:eastAsia="Calibri" w:cs="Arial"/>
          <w:szCs w:val="22"/>
          <w:lang w:val="en-US" w:eastAsia="en-US"/>
        </w:rPr>
      </w:pPr>
      <w:r>
        <w:rPr>
          <w:rFonts w:eastAsia="Calibri" w:cs="Arial"/>
          <w:szCs w:val="22"/>
          <w:lang w:val="en-US" w:eastAsia="en-US"/>
        </w:rPr>
        <w:t>However, in relative terms, the gaps are so small, we consider them to be negligible. The gap for whey powder only accounts for 0.0</w:t>
      </w:r>
      <w:r w:rsidR="00866118">
        <w:rPr>
          <w:rFonts w:eastAsia="Calibri" w:cs="Arial"/>
          <w:szCs w:val="22"/>
          <w:lang w:val="en-US" w:eastAsia="en-US"/>
        </w:rPr>
        <w:t>1</w:t>
      </w:r>
      <w:r>
        <w:rPr>
          <w:rFonts w:eastAsia="Calibri" w:cs="Arial"/>
          <w:szCs w:val="22"/>
          <w:lang w:val="en-US" w:eastAsia="en-US"/>
        </w:rPr>
        <w:t xml:space="preserve">% of </w:t>
      </w:r>
      <w:r>
        <w:rPr>
          <w:lang w:val="en-US"/>
        </w:rPr>
        <w:t>fresh milk equivalents</w:t>
      </w:r>
      <w:r w:rsidR="00866118">
        <w:rPr>
          <w:lang w:val="en-US"/>
        </w:rPr>
        <w:t xml:space="preserve"> and</w:t>
      </w:r>
      <w:r>
        <w:rPr>
          <w:lang w:val="en-US"/>
        </w:rPr>
        <w:t xml:space="preserve"> the gap in other cereal accounts for 0.0</w:t>
      </w:r>
      <w:r w:rsidR="00866118">
        <w:rPr>
          <w:lang w:val="en-US"/>
        </w:rPr>
        <w:t>7</w:t>
      </w:r>
      <w:r>
        <w:rPr>
          <w:lang w:val="en-US"/>
        </w:rPr>
        <w:t xml:space="preserve">% of total </w:t>
      </w:r>
      <w:r w:rsidRPr="00112EC4">
        <w:rPr>
          <w:lang w:val="en-US"/>
        </w:rPr>
        <w:t xml:space="preserve">available for human consumption at </w:t>
      </w:r>
      <w:r>
        <w:rPr>
          <w:lang w:val="en-US"/>
        </w:rPr>
        <w:t xml:space="preserve">the </w:t>
      </w:r>
      <w:r w:rsidRPr="00112EC4">
        <w:rPr>
          <w:lang w:val="en-US"/>
        </w:rPr>
        <w:t>market level</w:t>
      </w:r>
      <w:r>
        <w:rPr>
          <w:lang w:val="en-US"/>
        </w:rPr>
        <w:t xml:space="preserve">. </w:t>
      </w:r>
    </w:p>
    <w:p w14:paraId="7C98150B" w14:textId="2F626CFD" w:rsidR="00A45E44" w:rsidRDefault="00FF74AE" w:rsidP="00A45E44">
      <w:pPr>
        <w:spacing w:before="0"/>
        <w:rPr>
          <w:lang w:val="en-US"/>
        </w:rPr>
      </w:pPr>
      <w:r>
        <w:rPr>
          <w:rFonts w:eastAsia="Calibri" w:cs="Arial"/>
          <w:szCs w:val="22"/>
          <w:lang w:val="en-US" w:eastAsia="en-US"/>
        </w:rPr>
        <w:t>T</w:t>
      </w:r>
      <w:r w:rsidR="00A45E44">
        <w:rPr>
          <w:rFonts w:eastAsia="Calibri" w:cs="Arial"/>
          <w:szCs w:val="22"/>
          <w:lang w:val="en-US" w:eastAsia="en-US"/>
        </w:rPr>
        <w:t xml:space="preserve">he underrepresentation of whey powder in the recipe data </w:t>
      </w:r>
      <w:r>
        <w:rPr>
          <w:rFonts w:eastAsia="Calibri" w:cs="Arial"/>
          <w:szCs w:val="22"/>
          <w:lang w:val="en-US" w:eastAsia="en-US"/>
        </w:rPr>
        <w:t xml:space="preserve">can be interpreted </w:t>
      </w:r>
      <w:r w:rsidR="00A45E44">
        <w:rPr>
          <w:rFonts w:eastAsia="Calibri" w:cs="Arial"/>
          <w:szCs w:val="22"/>
          <w:lang w:val="en-US" w:eastAsia="en-US"/>
        </w:rPr>
        <w:t>as a bias towards home cooking</w:t>
      </w:r>
      <w:r w:rsidR="00A45E44" w:rsidRPr="00391F8C">
        <w:rPr>
          <w:rFonts w:eastAsia="Calibri" w:cs="Arial"/>
          <w:szCs w:val="22"/>
          <w:lang w:val="en-US" w:eastAsia="en-US"/>
        </w:rPr>
        <w:t xml:space="preserve">. </w:t>
      </w:r>
      <w:r w:rsidR="00A45E44" w:rsidRPr="00391F8C">
        <w:rPr>
          <w:lang w:val="en-US"/>
        </w:rPr>
        <w:t xml:space="preserve">Earlier consolidation attempts found that olive oil and beef are used more frequently than the market balance quantities account for. Conversely, the cheaper alternatives, rapeseed and sunflower oil, and pork and poultry, are used very little according to the recipe data. We ad-hoc adjusted the prior recipe data by substituting all oil and muscle meat quantities </w:t>
      </w:r>
      <w:r w:rsidR="00A45E44">
        <w:rPr>
          <w:lang w:val="en-US"/>
        </w:rPr>
        <w:t>with a mixture that captures the proportion of the oils, respectively,</w:t>
      </w:r>
      <w:r w:rsidR="00A45E44" w:rsidRPr="00391F8C">
        <w:rPr>
          <w:lang w:val="en-US"/>
        </w:rPr>
        <w:t xml:space="preserve"> the meats as reported in the market balance, assuming perfect substitutability</w:t>
      </w:r>
      <w:r w:rsidR="00A45E44">
        <w:rPr>
          <w:lang w:val="en-US"/>
        </w:rPr>
        <w:t xml:space="preserve"> in all food items</w:t>
      </w:r>
      <w:r w:rsidR="00A45E44" w:rsidRPr="00391F8C">
        <w:rPr>
          <w:lang w:val="en-US"/>
        </w:rPr>
        <w:t xml:space="preserve">. </w:t>
      </w:r>
      <w:r w:rsidR="00866118">
        <w:rPr>
          <w:lang w:val="en-US"/>
        </w:rPr>
        <w:t xml:space="preserve">In the data consolidation, we additionally allowed a more flexible adjustment of the oil composition within recipes. </w:t>
      </w:r>
      <w:r w:rsidR="00A45E44">
        <w:rPr>
          <w:lang w:val="en-US"/>
        </w:rPr>
        <w:t xml:space="preserve">The substitutability of whey and milk powders is more complex, differing between food items, so we refrained from ad-hoc adjustment for those ingredients. </w:t>
      </w:r>
    </w:p>
    <w:p w14:paraId="0EEAC7F2" w14:textId="77777777" w:rsidR="00157C13" w:rsidRPr="00441852" w:rsidRDefault="00157C13" w:rsidP="00A45E44">
      <w:pPr>
        <w:spacing w:before="0"/>
        <w:rPr>
          <w:rFonts w:eastAsia="Calibri" w:cs="Arial"/>
          <w:szCs w:val="22"/>
          <w:lang w:val="en-US" w:eastAsia="en-US"/>
        </w:rPr>
      </w:pPr>
    </w:p>
    <w:p w14:paraId="716C4DB7" w14:textId="7DE606D3" w:rsidR="00A45E44" w:rsidRPr="00441852" w:rsidRDefault="00FD3306" w:rsidP="00FD3306">
      <w:pPr>
        <w:pStyle w:val="Caption"/>
        <w:rPr>
          <w:lang w:val="en-US"/>
        </w:rPr>
      </w:pPr>
      <w:bookmarkStart w:id="64" w:name="_Ref198900128"/>
      <w:r w:rsidRPr="00FD3306">
        <w:rPr>
          <w:lang w:val="en-US"/>
        </w:rPr>
        <w:t xml:space="preserve">Supplementary Table </w:t>
      </w:r>
      <w:r>
        <w:fldChar w:fldCharType="begin"/>
      </w:r>
      <w:r w:rsidRPr="00FD3306">
        <w:rPr>
          <w:lang w:val="en-US"/>
        </w:rPr>
        <w:instrText xml:space="preserve"> SEQ Supplementary_Table \* ARABIC </w:instrText>
      </w:r>
      <w:r>
        <w:fldChar w:fldCharType="separate"/>
      </w:r>
      <w:r w:rsidR="000D5343">
        <w:rPr>
          <w:noProof/>
          <w:lang w:val="en-US"/>
        </w:rPr>
        <w:t>3</w:t>
      </w:r>
      <w:r>
        <w:fldChar w:fldCharType="end"/>
      </w:r>
      <w:bookmarkEnd w:id="64"/>
      <w:r w:rsidR="00A45E44" w:rsidRPr="00441852">
        <w:rPr>
          <w:lang w:val="en-US"/>
        </w:rPr>
        <w:t>: Prior quantities</w:t>
      </w:r>
      <w:r w:rsidR="00FF74AE">
        <w:rPr>
          <w:lang w:val="en-US"/>
        </w:rPr>
        <w:t xml:space="preserve"> o</w:t>
      </w:r>
      <w:r w:rsidR="00182396">
        <w:rPr>
          <w:lang w:val="en-US"/>
        </w:rPr>
        <w:t>f</w:t>
      </w:r>
      <w:r w:rsidR="00FF74AE">
        <w:rPr>
          <w:lang w:val="en-US"/>
        </w:rPr>
        <w:t xml:space="preserve"> raw primary commodities available for human consumption at the</w:t>
      </w:r>
      <w:r w:rsidR="00A45E44" w:rsidRPr="00441852">
        <w:rPr>
          <w:lang w:val="en-US"/>
        </w:rPr>
        <w:t xml:space="preserve"> market</w:t>
      </w:r>
      <w:r w:rsidR="00FF74AE">
        <w:rPr>
          <w:lang w:val="en-US"/>
        </w:rPr>
        <w:t xml:space="preserve"> level</w:t>
      </w:r>
      <w:r w:rsidR="00A45E44" w:rsidRPr="00441852">
        <w:rPr>
          <w:lang w:val="en-US"/>
        </w:rPr>
        <w:t xml:space="preserve"> (in 1,000 tons) and adjustment after consolidation in %. </w:t>
      </w:r>
      <w:r w:rsidR="00A16AAC">
        <w:rPr>
          <w:lang w:val="en-US"/>
        </w:rPr>
        <w:t>All other a</w:t>
      </w:r>
      <w:r w:rsidR="00A45E44" w:rsidRPr="00441852">
        <w:rPr>
          <w:lang w:val="en-US"/>
        </w:rPr>
        <w:t xml:space="preserve">djustments </w:t>
      </w:r>
      <w:r w:rsidR="00A16AAC">
        <w:rPr>
          <w:lang w:val="en-US"/>
        </w:rPr>
        <w:t xml:space="preserve">are </w:t>
      </w:r>
      <w:r w:rsidR="00A45E44" w:rsidRPr="00441852">
        <w:rPr>
          <w:lang w:val="en-US"/>
        </w:rPr>
        <w:t xml:space="preserve">below </w:t>
      </w:r>
      <w:r w:rsidR="00FF74AE">
        <w:rPr>
          <w:lang w:val="en-US"/>
        </w:rPr>
        <w:t>0.2</w:t>
      </w:r>
      <w:r w:rsidR="00A45E44" w:rsidRPr="00441852">
        <w:rPr>
          <w:lang w:val="en-US"/>
        </w:rPr>
        <w:t xml:space="preserve">% </w:t>
      </w:r>
      <w:r w:rsidR="00A16AAC">
        <w:rPr>
          <w:lang w:val="en-US"/>
        </w:rPr>
        <w:t>and</w:t>
      </w:r>
      <w:r w:rsidR="00A45E44" w:rsidRPr="00441852">
        <w:rPr>
          <w:lang w:val="en-US"/>
        </w:rPr>
        <w:t xml:space="preserve"> omitted.</w:t>
      </w:r>
    </w:p>
    <w:tbl>
      <w:tblPr>
        <w:tblW w:w="9498" w:type="dxa"/>
        <w:tblLayout w:type="fixed"/>
        <w:tblCellMar>
          <w:left w:w="70" w:type="dxa"/>
          <w:right w:w="70" w:type="dxa"/>
        </w:tblCellMar>
        <w:tblLook w:val="04A0" w:firstRow="1" w:lastRow="0" w:firstColumn="1" w:lastColumn="0" w:noHBand="0" w:noVBand="1"/>
      </w:tblPr>
      <w:tblGrid>
        <w:gridCol w:w="3022"/>
        <w:gridCol w:w="3022"/>
        <w:gridCol w:w="3454"/>
      </w:tblGrid>
      <w:tr w:rsidR="00A45E44" w:rsidRPr="00DF12DA" w14:paraId="47C82FE2" w14:textId="77777777" w:rsidTr="00722D58">
        <w:trPr>
          <w:trHeight w:val="300"/>
        </w:trPr>
        <w:tc>
          <w:tcPr>
            <w:tcW w:w="3022" w:type="dxa"/>
            <w:tcBorders>
              <w:top w:val="single" w:sz="4" w:space="0" w:color="auto"/>
              <w:bottom w:val="single" w:sz="4" w:space="0" w:color="auto"/>
              <w:right w:val="single" w:sz="4" w:space="0" w:color="auto"/>
            </w:tcBorders>
            <w:shd w:val="clear" w:color="auto" w:fill="E7E6E6"/>
            <w:noWrap/>
            <w:vAlign w:val="bottom"/>
            <w:hideMark/>
          </w:tcPr>
          <w:p w14:paraId="62EE5619" w14:textId="77777777" w:rsidR="00A45E44" w:rsidRPr="00DF12DA" w:rsidRDefault="00A45E44" w:rsidP="00722D58">
            <w:pPr>
              <w:suppressAutoHyphens w:val="0"/>
              <w:spacing w:before="0" w:line="240" w:lineRule="auto"/>
              <w:rPr>
                <w:rFonts w:ascii="Times New Roman" w:hAnsi="Times New Roman"/>
                <w:color w:val="000000"/>
                <w:sz w:val="20"/>
                <w:lang w:val="en-US"/>
              </w:rPr>
            </w:pPr>
          </w:p>
        </w:tc>
        <w:tc>
          <w:tcPr>
            <w:tcW w:w="3022" w:type="dxa"/>
            <w:tcBorders>
              <w:top w:val="single" w:sz="4" w:space="0" w:color="auto"/>
              <w:left w:val="single" w:sz="4" w:space="0" w:color="auto"/>
              <w:bottom w:val="single" w:sz="4" w:space="0" w:color="auto"/>
            </w:tcBorders>
            <w:shd w:val="clear" w:color="auto" w:fill="E7E6E6"/>
            <w:noWrap/>
            <w:vAlign w:val="bottom"/>
            <w:hideMark/>
          </w:tcPr>
          <w:p w14:paraId="6C69D738" w14:textId="77777777" w:rsidR="00A45E44" w:rsidRPr="00DF12DA" w:rsidRDefault="00A45E44" w:rsidP="00722D58">
            <w:pPr>
              <w:suppressAutoHyphens w:val="0"/>
              <w:spacing w:before="0" w:line="240" w:lineRule="auto"/>
              <w:jc w:val="right"/>
              <w:rPr>
                <w:rFonts w:cs="Calibri"/>
                <w:color w:val="000000"/>
                <w:sz w:val="20"/>
              </w:rPr>
            </w:pPr>
            <w:r w:rsidRPr="00DF12DA">
              <w:rPr>
                <w:rFonts w:cs="Calibri"/>
                <w:color w:val="000000"/>
                <w:sz w:val="20"/>
              </w:rPr>
              <w:t xml:space="preserve">Prior </w:t>
            </w:r>
            <w:proofErr w:type="spellStart"/>
            <w:r w:rsidRPr="00DF12DA">
              <w:rPr>
                <w:rFonts w:cs="Calibri"/>
                <w:color w:val="000000"/>
                <w:sz w:val="20"/>
              </w:rPr>
              <w:t>value</w:t>
            </w:r>
            <w:proofErr w:type="spellEnd"/>
            <w:r w:rsidRPr="00DF12DA">
              <w:rPr>
                <w:rFonts w:cs="Calibri"/>
                <w:color w:val="000000"/>
                <w:sz w:val="20"/>
              </w:rPr>
              <w:t xml:space="preserve"> in 1,000 </w:t>
            </w:r>
            <w:proofErr w:type="spellStart"/>
            <w:r w:rsidRPr="00DF12DA">
              <w:rPr>
                <w:rFonts w:cs="Calibri"/>
                <w:color w:val="000000"/>
                <w:sz w:val="20"/>
              </w:rPr>
              <w:t>tons</w:t>
            </w:r>
            <w:proofErr w:type="spellEnd"/>
          </w:p>
        </w:tc>
        <w:tc>
          <w:tcPr>
            <w:tcW w:w="3454" w:type="dxa"/>
            <w:tcBorders>
              <w:top w:val="single" w:sz="4" w:space="0" w:color="auto"/>
              <w:bottom w:val="single" w:sz="4" w:space="0" w:color="auto"/>
            </w:tcBorders>
            <w:shd w:val="clear" w:color="auto" w:fill="E7E6E6"/>
            <w:noWrap/>
            <w:vAlign w:val="bottom"/>
            <w:hideMark/>
          </w:tcPr>
          <w:p w14:paraId="33726CE4" w14:textId="77777777" w:rsidR="00A45E44" w:rsidRPr="00DF12DA" w:rsidRDefault="00A45E44" w:rsidP="00722D58">
            <w:pPr>
              <w:suppressAutoHyphens w:val="0"/>
              <w:spacing w:before="0" w:line="240" w:lineRule="auto"/>
              <w:jc w:val="right"/>
              <w:rPr>
                <w:rFonts w:cs="Calibri"/>
                <w:color w:val="000000"/>
                <w:sz w:val="20"/>
              </w:rPr>
            </w:pPr>
            <w:r w:rsidRPr="00DF12DA">
              <w:rPr>
                <w:rFonts w:cs="Calibri"/>
                <w:color w:val="000000"/>
                <w:sz w:val="20"/>
              </w:rPr>
              <w:t>Adjustment in %</w:t>
            </w:r>
          </w:p>
        </w:tc>
      </w:tr>
      <w:tr w:rsidR="00A45E44" w:rsidRPr="00DF12DA" w14:paraId="72F974A5" w14:textId="77777777" w:rsidTr="00182396">
        <w:trPr>
          <w:trHeight w:val="300"/>
        </w:trPr>
        <w:tc>
          <w:tcPr>
            <w:tcW w:w="3022" w:type="dxa"/>
            <w:tcBorders>
              <w:top w:val="single" w:sz="4" w:space="0" w:color="auto"/>
              <w:right w:val="single" w:sz="4" w:space="0" w:color="auto"/>
            </w:tcBorders>
            <w:shd w:val="clear" w:color="auto" w:fill="FFFFFF"/>
            <w:noWrap/>
            <w:vAlign w:val="bottom"/>
          </w:tcPr>
          <w:p w14:paraId="65E1CEC3" w14:textId="77777777" w:rsidR="00A45E44" w:rsidRPr="00DF12DA" w:rsidRDefault="00A45E44" w:rsidP="00722D58">
            <w:pPr>
              <w:suppressAutoHyphens w:val="0"/>
              <w:spacing w:before="0" w:line="240" w:lineRule="auto"/>
              <w:rPr>
                <w:rFonts w:cs="Calibri"/>
                <w:color w:val="000000"/>
                <w:sz w:val="20"/>
              </w:rPr>
            </w:pPr>
            <w:proofErr w:type="spellStart"/>
            <w:r w:rsidRPr="00DF12DA">
              <w:rPr>
                <w:rFonts w:cs="Calibri"/>
                <w:color w:val="000000"/>
                <w:sz w:val="20"/>
              </w:rPr>
              <w:t>Whey</w:t>
            </w:r>
            <w:proofErr w:type="spellEnd"/>
            <w:r w:rsidRPr="00DF12DA">
              <w:rPr>
                <w:rFonts w:cs="Calibri"/>
                <w:color w:val="000000"/>
                <w:sz w:val="20"/>
              </w:rPr>
              <w:t xml:space="preserve"> </w:t>
            </w:r>
            <w:proofErr w:type="spellStart"/>
            <w:r w:rsidRPr="00DF12DA">
              <w:rPr>
                <w:rFonts w:cs="Calibri"/>
                <w:color w:val="000000"/>
                <w:sz w:val="20"/>
              </w:rPr>
              <w:t>powder</w:t>
            </w:r>
            <w:proofErr w:type="spellEnd"/>
          </w:p>
        </w:tc>
        <w:tc>
          <w:tcPr>
            <w:tcW w:w="3022" w:type="dxa"/>
            <w:tcBorders>
              <w:top w:val="single" w:sz="4" w:space="0" w:color="auto"/>
              <w:left w:val="single" w:sz="4" w:space="0" w:color="auto"/>
            </w:tcBorders>
            <w:shd w:val="clear" w:color="auto" w:fill="auto"/>
            <w:noWrap/>
            <w:vAlign w:val="bottom"/>
          </w:tcPr>
          <w:p w14:paraId="22C5EAA1" w14:textId="77777777" w:rsidR="00A45E44" w:rsidRPr="00DF12DA" w:rsidRDefault="00A45E44" w:rsidP="00722D58">
            <w:pPr>
              <w:suppressAutoHyphens w:val="0"/>
              <w:spacing w:before="0" w:line="240" w:lineRule="auto"/>
              <w:jc w:val="right"/>
              <w:rPr>
                <w:rFonts w:cs="Calibri"/>
                <w:color w:val="000000"/>
                <w:sz w:val="20"/>
              </w:rPr>
            </w:pPr>
            <w:r w:rsidRPr="00DF12DA">
              <w:rPr>
                <w:rFonts w:cs="Calibri"/>
                <w:color w:val="000000"/>
                <w:sz w:val="20"/>
              </w:rPr>
              <w:t>3</w:t>
            </w:r>
          </w:p>
        </w:tc>
        <w:tc>
          <w:tcPr>
            <w:tcW w:w="3454" w:type="dxa"/>
            <w:tcBorders>
              <w:top w:val="single" w:sz="4" w:space="0" w:color="auto"/>
            </w:tcBorders>
            <w:shd w:val="clear" w:color="auto" w:fill="auto"/>
            <w:noWrap/>
            <w:vAlign w:val="bottom"/>
          </w:tcPr>
          <w:p w14:paraId="1DC6E986" w14:textId="2C25178C" w:rsidR="00A45E44" w:rsidRPr="00DF12DA" w:rsidRDefault="00A45E44" w:rsidP="00722D58">
            <w:pPr>
              <w:suppressAutoHyphens w:val="0"/>
              <w:spacing w:before="0" w:line="240" w:lineRule="auto"/>
              <w:jc w:val="right"/>
              <w:rPr>
                <w:rFonts w:cs="Calibri"/>
                <w:color w:val="000000"/>
                <w:sz w:val="20"/>
              </w:rPr>
            </w:pPr>
            <w:r w:rsidRPr="00DF12DA">
              <w:rPr>
                <w:rFonts w:cs="Calibri"/>
                <w:color w:val="000000"/>
                <w:sz w:val="20"/>
              </w:rPr>
              <w:t>-</w:t>
            </w:r>
            <w:r w:rsidR="00182396">
              <w:rPr>
                <w:rFonts w:cs="Calibri"/>
                <w:color w:val="000000"/>
                <w:sz w:val="20"/>
              </w:rPr>
              <w:t>88</w:t>
            </w:r>
          </w:p>
        </w:tc>
      </w:tr>
      <w:tr w:rsidR="00A45E44" w:rsidRPr="00DF12DA" w14:paraId="45427909" w14:textId="77777777" w:rsidTr="00182396">
        <w:trPr>
          <w:trHeight w:val="300"/>
        </w:trPr>
        <w:tc>
          <w:tcPr>
            <w:tcW w:w="3022" w:type="dxa"/>
            <w:tcBorders>
              <w:bottom w:val="single" w:sz="4" w:space="0" w:color="auto"/>
              <w:right w:val="single" w:sz="4" w:space="0" w:color="auto"/>
            </w:tcBorders>
            <w:shd w:val="clear" w:color="auto" w:fill="F2F2F2"/>
            <w:noWrap/>
            <w:vAlign w:val="bottom"/>
          </w:tcPr>
          <w:p w14:paraId="66FCDC45" w14:textId="77777777" w:rsidR="00A45E44" w:rsidRPr="00DF12DA" w:rsidRDefault="00A45E44" w:rsidP="00722D58">
            <w:pPr>
              <w:suppressAutoHyphens w:val="0"/>
              <w:spacing w:before="0" w:line="240" w:lineRule="auto"/>
              <w:rPr>
                <w:rFonts w:cs="Calibri"/>
                <w:color w:val="000000"/>
                <w:sz w:val="20"/>
              </w:rPr>
            </w:pPr>
            <w:r w:rsidRPr="00DF12DA">
              <w:rPr>
                <w:rFonts w:cs="Calibri"/>
                <w:color w:val="000000"/>
                <w:sz w:val="20"/>
              </w:rPr>
              <w:t xml:space="preserve">Other </w:t>
            </w:r>
            <w:proofErr w:type="spellStart"/>
            <w:r w:rsidRPr="00DF12DA">
              <w:rPr>
                <w:rFonts w:cs="Calibri"/>
                <w:color w:val="000000"/>
                <w:sz w:val="20"/>
              </w:rPr>
              <w:t>cereals</w:t>
            </w:r>
            <w:proofErr w:type="spellEnd"/>
          </w:p>
        </w:tc>
        <w:tc>
          <w:tcPr>
            <w:tcW w:w="3022" w:type="dxa"/>
            <w:tcBorders>
              <w:left w:val="single" w:sz="4" w:space="0" w:color="auto"/>
              <w:bottom w:val="single" w:sz="4" w:space="0" w:color="auto"/>
            </w:tcBorders>
            <w:shd w:val="clear" w:color="auto" w:fill="F2F2F2"/>
            <w:noWrap/>
            <w:vAlign w:val="bottom"/>
          </w:tcPr>
          <w:p w14:paraId="0D9B2680" w14:textId="77777777" w:rsidR="00A45E44" w:rsidRPr="00DF12DA" w:rsidRDefault="00A45E44" w:rsidP="00722D58">
            <w:pPr>
              <w:suppressAutoHyphens w:val="0"/>
              <w:spacing w:before="0" w:line="240" w:lineRule="auto"/>
              <w:jc w:val="right"/>
              <w:rPr>
                <w:rFonts w:cs="Calibri"/>
                <w:color w:val="000000"/>
                <w:sz w:val="20"/>
              </w:rPr>
            </w:pPr>
            <w:r w:rsidRPr="00DF12DA">
              <w:rPr>
                <w:rFonts w:cs="Calibri"/>
                <w:color w:val="000000"/>
                <w:sz w:val="20"/>
              </w:rPr>
              <w:t>29</w:t>
            </w:r>
          </w:p>
        </w:tc>
        <w:tc>
          <w:tcPr>
            <w:tcW w:w="3454" w:type="dxa"/>
            <w:tcBorders>
              <w:bottom w:val="single" w:sz="4" w:space="0" w:color="auto"/>
            </w:tcBorders>
            <w:shd w:val="clear" w:color="auto" w:fill="F2F2F2"/>
            <w:noWrap/>
            <w:vAlign w:val="bottom"/>
          </w:tcPr>
          <w:p w14:paraId="1420B167" w14:textId="14742F5F" w:rsidR="00A45E44" w:rsidRPr="00DF12DA" w:rsidRDefault="00A45E44" w:rsidP="00722D58">
            <w:pPr>
              <w:suppressAutoHyphens w:val="0"/>
              <w:spacing w:before="0" w:line="240" w:lineRule="auto"/>
              <w:jc w:val="right"/>
              <w:rPr>
                <w:rFonts w:cs="Calibri"/>
                <w:color w:val="000000"/>
                <w:sz w:val="20"/>
              </w:rPr>
            </w:pPr>
            <w:r w:rsidRPr="00DF12DA">
              <w:rPr>
                <w:rFonts w:cs="Calibri"/>
                <w:color w:val="000000"/>
                <w:sz w:val="20"/>
              </w:rPr>
              <w:t>-</w:t>
            </w:r>
            <w:r w:rsidR="00182396">
              <w:rPr>
                <w:rFonts w:cs="Calibri"/>
                <w:color w:val="000000"/>
                <w:sz w:val="20"/>
              </w:rPr>
              <w:t>63</w:t>
            </w:r>
          </w:p>
        </w:tc>
      </w:tr>
    </w:tbl>
    <w:p w14:paraId="353DBCBD" w14:textId="77777777" w:rsidR="000F2744" w:rsidRDefault="000F2744">
      <w:pPr>
        <w:suppressAutoHyphens w:val="0"/>
        <w:spacing w:before="0" w:line="240" w:lineRule="auto"/>
        <w:jc w:val="left"/>
        <w:rPr>
          <w:rFonts w:eastAsia="Calibri" w:cs="Arial"/>
          <w:szCs w:val="22"/>
          <w:lang w:val="en-US" w:eastAsia="en-US"/>
        </w:rPr>
      </w:pPr>
      <w:r>
        <w:rPr>
          <w:rFonts w:eastAsia="Calibri" w:cs="Arial"/>
          <w:szCs w:val="22"/>
          <w:lang w:val="en-US" w:eastAsia="en-US"/>
        </w:rPr>
        <w:br w:type="page"/>
      </w:r>
    </w:p>
    <w:p w14:paraId="6A494F57" w14:textId="3C2389B0" w:rsidR="00555B4D" w:rsidRDefault="00555B4D" w:rsidP="00555B4D">
      <w:pPr>
        <w:pStyle w:val="Heading1"/>
        <w:numPr>
          <w:ilvl w:val="0"/>
          <w:numId w:val="1"/>
        </w:numPr>
        <w:rPr>
          <w:lang w:val="en-US" w:eastAsia="en-US"/>
        </w:rPr>
      </w:pPr>
      <w:bookmarkStart w:id="65" w:name="_Toc203763132"/>
      <w:r>
        <w:rPr>
          <w:lang w:val="en-US" w:eastAsia="en-US"/>
        </w:rPr>
        <w:lastRenderedPageBreak/>
        <w:t xml:space="preserve">References in </w:t>
      </w:r>
      <w:r w:rsidR="000F2744">
        <w:rPr>
          <w:lang w:val="en-US" w:eastAsia="en-US"/>
        </w:rPr>
        <w:t>s</w:t>
      </w:r>
      <w:r>
        <w:rPr>
          <w:lang w:val="en-US" w:eastAsia="en-US"/>
        </w:rPr>
        <w:t>upplementary information</w:t>
      </w:r>
      <w:bookmarkEnd w:id="65"/>
    </w:p>
    <w:p w14:paraId="49B5307A" w14:textId="77777777" w:rsidR="00555B4D" w:rsidRPr="00555B4D" w:rsidRDefault="00555B4D" w:rsidP="00555B4D">
      <w:pPr>
        <w:pStyle w:val="Bibliography"/>
        <w:jc w:val="left"/>
        <w:rPr>
          <w:rFonts w:cs="Calibri"/>
          <w:lang w:val="de-DE"/>
        </w:rPr>
      </w:pPr>
      <w:r>
        <w:fldChar w:fldCharType="begin"/>
      </w:r>
      <w:r w:rsidRPr="00555B4D">
        <w:rPr>
          <w:lang w:val="de-DE"/>
        </w:rPr>
        <w:instrText xml:space="preserve"> ADDIN ZOTERO_BIBL {"uncited":[],"omitted":[],"custom":[]} CSL_BIBLIOGRAPHY </w:instrText>
      </w:r>
      <w:r>
        <w:fldChar w:fldCharType="separate"/>
      </w:r>
      <w:r w:rsidRPr="00555B4D">
        <w:rPr>
          <w:rFonts w:cs="Calibri"/>
          <w:lang w:val="de-DE"/>
        </w:rPr>
        <w:t xml:space="preserve">DGE (Hrsg.). (2024). </w:t>
      </w:r>
      <w:r w:rsidRPr="00555B4D">
        <w:rPr>
          <w:rFonts w:cs="Calibri"/>
          <w:i/>
          <w:iCs/>
          <w:lang w:val="de-DE"/>
        </w:rPr>
        <w:t>Interpretationshilfe_DGE_FBDG_DEundENG.pdf</w:t>
      </w:r>
      <w:r w:rsidRPr="00555B4D">
        <w:rPr>
          <w:rFonts w:cs="Calibri"/>
          <w:lang w:val="de-DE"/>
        </w:rPr>
        <w:t>. https://www.dge.de/fileadmin/dok/wissenschaft/publikationen/Interpretationshilfe_DGE_FBDG_DEundENG.pdf</w:t>
      </w:r>
    </w:p>
    <w:p w14:paraId="4711A6B1" w14:textId="77777777" w:rsidR="00555B4D" w:rsidRPr="00555B4D" w:rsidRDefault="00555B4D" w:rsidP="00555B4D">
      <w:pPr>
        <w:pStyle w:val="Bibliography"/>
        <w:jc w:val="left"/>
        <w:rPr>
          <w:rFonts w:cs="Calibri"/>
        </w:rPr>
      </w:pPr>
      <w:r w:rsidRPr="00555B4D">
        <w:rPr>
          <w:rFonts w:cs="Calibri"/>
          <w:lang w:val="de-DE"/>
        </w:rPr>
        <w:t xml:space="preserve">Schäfer, A. C., Boeing, H., Conrad, J., &amp; Watzl, B. (2024). Wissenschaftliche Grundlagen der lebensmittelbezogenen Ernährungsempfehlungen für Deutschland. </w:t>
      </w:r>
      <w:r w:rsidRPr="00555B4D">
        <w:rPr>
          <w:rFonts w:cs="Calibri"/>
        </w:rPr>
        <w:t xml:space="preserve">Methodik und Ableitungskonzepte. </w:t>
      </w:r>
      <w:r w:rsidRPr="00555B4D">
        <w:rPr>
          <w:rFonts w:cs="Calibri"/>
          <w:i/>
          <w:iCs/>
        </w:rPr>
        <w:t>Ernährungs Umschau</w:t>
      </w:r>
      <w:r w:rsidRPr="00555B4D">
        <w:rPr>
          <w:rFonts w:cs="Calibri"/>
        </w:rPr>
        <w:t xml:space="preserve">, </w:t>
      </w:r>
      <w:r w:rsidRPr="00555B4D">
        <w:rPr>
          <w:rFonts w:cs="Calibri"/>
          <w:i/>
          <w:iCs/>
        </w:rPr>
        <w:t>71</w:t>
      </w:r>
      <w:r w:rsidRPr="00555B4D">
        <w:rPr>
          <w:rFonts w:cs="Calibri"/>
        </w:rPr>
        <w:t>(3), 158–166. https://doi.org/10.4455/eu.2024.009</w:t>
      </w:r>
    </w:p>
    <w:p w14:paraId="5377AF01" w14:textId="5F2DF5F5" w:rsidR="00555B4D" w:rsidRDefault="00555B4D" w:rsidP="00555B4D">
      <w:pPr>
        <w:suppressAutoHyphens w:val="0"/>
        <w:spacing w:before="0" w:line="240" w:lineRule="auto"/>
        <w:jc w:val="left"/>
        <w:rPr>
          <w:rFonts w:eastAsia="Calibri" w:cs="Arial"/>
          <w:szCs w:val="22"/>
          <w:lang w:val="en-US" w:eastAsia="en-US"/>
        </w:rPr>
      </w:pPr>
      <w:r>
        <w:rPr>
          <w:rFonts w:eastAsia="Calibri" w:cs="Arial"/>
          <w:szCs w:val="22"/>
          <w:lang w:val="en-US" w:eastAsia="en-US"/>
        </w:rPr>
        <w:fldChar w:fldCharType="end"/>
      </w:r>
    </w:p>
    <w:sectPr w:rsidR="00555B4D" w:rsidSect="00200141">
      <w:footerReference w:type="default" r:id="rId26"/>
      <w:pgSz w:w="11913" w:h="16834" w:code="9"/>
      <w:pgMar w:top="1701" w:right="1191" w:bottom="1134" w:left="1191" w:header="567"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340E3" w14:textId="77777777" w:rsidR="00160955" w:rsidRDefault="00160955" w:rsidP="009360BF">
      <w:r>
        <w:separator/>
      </w:r>
    </w:p>
    <w:p w14:paraId="631D1755" w14:textId="77777777" w:rsidR="00160955" w:rsidRDefault="00160955" w:rsidP="009360BF"/>
  </w:endnote>
  <w:endnote w:type="continuationSeparator" w:id="0">
    <w:p w14:paraId="39AE7649" w14:textId="77777777" w:rsidR="00160955" w:rsidRDefault="00160955" w:rsidP="009360BF">
      <w:r>
        <w:continuationSeparator/>
      </w:r>
    </w:p>
    <w:p w14:paraId="74FCA043" w14:textId="77777777" w:rsidR="00160955" w:rsidRDefault="00160955" w:rsidP="009360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charset w:val="00"/>
    <w:family w:val="roman"/>
    <w:pitch w:val="variable"/>
    <w:sig w:usb0="E0002AE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altName w:val="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5052200"/>
      <w:docPartObj>
        <w:docPartGallery w:val="Page Numbers (Bottom of Page)"/>
        <w:docPartUnique/>
      </w:docPartObj>
    </w:sdtPr>
    <w:sdtEndPr>
      <w:rPr>
        <w:noProof/>
      </w:rPr>
    </w:sdtEndPr>
    <w:sdtContent>
      <w:p w14:paraId="5B27B8AA" w14:textId="54F9434C" w:rsidR="000F2744" w:rsidRDefault="000F274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D3D685" w14:textId="77777777" w:rsidR="000F2744" w:rsidRDefault="000F2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2D206" w14:textId="77777777" w:rsidR="00160955" w:rsidRDefault="00160955" w:rsidP="009360BF">
      <w:r>
        <w:separator/>
      </w:r>
    </w:p>
  </w:footnote>
  <w:footnote w:type="continuationSeparator" w:id="0">
    <w:p w14:paraId="21CE388D" w14:textId="77777777" w:rsidR="00160955" w:rsidRDefault="00160955" w:rsidP="009360BF">
      <w:r>
        <w:continuationSeparator/>
      </w:r>
    </w:p>
    <w:p w14:paraId="7F5C3A2F" w14:textId="77777777" w:rsidR="00160955" w:rsidRDefault="00160955" w:rsidP="009360B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2CAEA56"/>
    <w:lvl w:ilvl="0">
      <w:start w:val="1"/>
      <w:numFmt w:val="bullet"/>
      <w:pStyle w:val="CitaviBibliographySubheading1"/>
      <w:lvlText w:val=""/>
      <w:lvlJc w:val="left"/>
      <w:pPr>
        <w:tabs>
          <w:tab w:val="num" w:pos="360"/>
        </w:tabs>
        <w:ind w:left="360" w:hanging="360"/>
      </w:pPr>
      <w:rPr>
        <w:rFonts w:ascii="Symbol" w:hAnsi="Symbol" w:hint="default"/>
      </w:rPr>
    </w:lvl>
  </w:abstractNum>
  <w:abstractNum w:abstractNumId="1" w15:restartNumberingAfterBreak="0">
    <w:nsid w:val="092A30BA"/>
    <w:multiLevelType w:val="multilevel"/>
    <w:tmpl w:val="04070025"/>
    <w:styleLink w:val="AktuelleListe4"/>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color w:val="000000" w:themeColor="text1"/>
        <w:sz w:val="22"/>
        <w:szCs w:val="22"/>
      </w:rPr>
    </w:lvl>
    <w:lvl w:ilvl="3">
      <w:start w:val="1"/>
      <w:numFmt w:val="decimal"/>
      <w:lvlText w:val="%1.%2.%3.%4"/>
      <w:lvlJc w:val="left"/>
      <w:pPr>
        <w:ind w:left="864" w:hanging="864"/>
      </w:pPr>
      <w:rPr>
        <w:rFonts w:hint="default"/>
        <w:color w:val="000000" w:themeColor="text1"/>
        <w:sz w:val="22"/>
        <w:szCs w:val="22"/>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115F2931"/>
    <w:multiLevelType w:val="singleLevel"/>
    <w:tmpl w:val="95B48AB8"/>
    <w:lvl w:ilvl="0">
      <w:start w:val="1"/>
      <w:numFmt w:val="bullet"/>
      <w:pStyle w:val="Spiegel-1"/>
      <w:lvlText w:val=""/>
      <w:lvlJc w:val="left"/>
      <w:pPr>
        <w:ind w:left="360" w:hanging="360"/>
      </w:pPr>
      <w:rPr>
        <w:rFonts w:ascii="Symbol" w:hAnsi="Symbol" w:hint="default"/>
        <w:color w:val="008CD2"/>
        <w:u w:val="none" w:color="C0504D" w:themeColor="accent2"/>
      </w:rPr>
    </w:lvl>
  </w:abstractNum>
  <w:abstractNum w:abstractNumId="3" w15:restartNumberingAfterBreak="0">
    <w:nsid w:val="153666F1"/>
    <w:multiLevelType w:val="multilevel"/>
    <w:tmpl w:val="03147F7A"/>
    <w:styleLink w:val="AktuelleListe1"/>
    <w:lvl w:ilvl="0">
      <w:start w:val="1"/>
      <w:numFmt w:val="decimal"/>
      <w:lvlText w:val="%1."/>
      <w:lvlJc w:val="left"/>
      <w:pPr>
        <w:ind w:left="720" w:hanging="360"/>
      </w:pPr>
      <w:rPr>
        <w:rFonts w:asciiTheme="minorHAnsi" w:eastAsiaTheme="minorHAnsi" w:hAnsiTheme="minorHAnsi" w:cstheme="minorBidi"/>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73D2728"/>
    <w:multiLevelType w:val="multilevel"/>
    <w:tmpl w:val="15801AD4"/>
    <w:styleLink w:val="Formatvorlage31"/>
    <w:lvl w:ilvl="0">
      <w:start w:val="1"/>
      <w:numFmt w:val="bullet"/>
      <w:pStyle w:val="Liste-1"/>
      <w:lvlText w:val=""/>
      <w:lvlJc w:val="left"/>
      <w:pPr>
        <w:ind w:left="284" w:hanging="284"/>
      </w:pPr>
      <w:rPr>
        <w:rFonts w:ascii="Symbol" w:hAnsi="Symbol" w:hint="default"/>
        <w:b w:val="0"/>
        <w:color w:val="008CD2"/>
        <w:u w:val="none" w:color="C0504D" w:themeColor="accent2"/>
      </w:rPr>
    </w:lvl>
    <w:lvl w:ilvl="1">
      <w:start w:val="1"/>
      <w:numFmt w:val="bullet"/>
      <w:lvlText w:val="‒"/>
      <w:lvlJc w:val="left"/>
      <w:pPr>
        <w:ind w:left="567" w:hanging="283"/>
      </w:pPr>
      <w:rPr>
        <w:rFonts w:ascii="Calibri" w:hAnsi="Calibri" w:hint="default"/>
        <w:b/>
        <w:i w:val="0"/>
        <w:color w:val="008CD2"/>
        <w:sz w:val="21"/>
      </w:rPr>
    </w:lvl>
    <w:lvl w:ilvl="2">
      <w:start w:val="1"/>
      <w:numFmt w:val="bullet"/>
      <w:lvlText w:val=""/>
      <w:lvlJc w:val="left"/>
      <w:pPr>
        <w:ind w:left="851" w:hanging="284"/>
      </w:pPr>
      <w:rPr>
        <w:rFonts w:ascii="Wingdings" w:hAnsi="Wingdings" w:hint="default"/>
        <w:color w:val="008CD2"/>
      </w:rPr>
    </w:lvl>
    <w:lvl w:ilvl="3">
      <w:start w:val="1"/>
      <w:numFmt w:val="bullet"/>
      <w:lvlText w:val=""/>
      <w:lvlJc w:val="left"/>
      <w:pPr>
        <w:ind w:left="1134" w:hanging="283"/>
      </w:pPr>
      <w:rPr>
        <w:rFonts w:ascii="Symbol" w:hAnsi="Symbol" w:hint="default"/>
        <w:color w:val="000000" w:themeColor="text1"/>
      </w:rPr>
    </w:lvl>
    <w:lvl w:ilvl="4">
      <w:start w:val="1"/>
      <w:numFmt w:val="bullet"/>
      <w:lvlText w:val="o"/>
      <w:lvlJc w:val="left"/>
      <w:pPr>
        <w:ind w:left="1418" w:hanging="284"/>
      </w:pPr>
      <w:rPr>
        <w:rFonts w:ascii="Courier New" w:hAnsi="Courier New" w:hint="default"/>
      </w:rPr>
    </w:lvl>
    <w:lvl w:ilvl="5">
      <w:start w:val="1"/>
      <w:numFmt w:val="bullet"/>
      <w:lvlText w:val=""/>
      <w:lvlJc w:val="left"/>
      <w:pPr>
        <w:ind w:left="1701" w:hanging="283"/>
      </w:pPr>
      <w:rPr>
        <w:rFonts w:ascii="Wingdings" w:hAnsi="Wingdings" w:hint="default"/>
      </w:rPr>
    </w:lvl>
    <w:lvl w:ilvl="6">
      <w:start w:val="1"/>
      <w:numFmt w:val="bullet"/>
      <w:lvlText w:val=""/>
      <w:lvlJc w:val="left"/>
      <w:pPr>
        <w:ind w:left="1985" w:hanging="284"/>
      </w:pPr>
      <w:rPr>
        <w:rFonts w:ascii="Symbol" w:hAnsi="Symbol" w:hint="default"/>
      </w:rPr>
    </w:lvl>
    <w:lvl w:ilvl="7">
      <w:start w:val="1"/>
      <w:numFmt w:val="bullet"/>
      <w:lvlText w:val="o"/>
      <w:lvlJc w:val="left"/>
      <w:pPr>
        <w:ind w:left="2268" w:hanging="283"/>
      </w:pPr>
      <w:rPr>
        <w:rFonts w:ascii="Courier New" w:hAnsi="Courier New" w:hint="default"/>
      </w:rPr>
    </w:lvl>
    <w:lvl w:ilvl="8">
      <w:start w:val="1"/>
      <w:numFmt w:val="bullet"/>
      <w:lvlText w:val=""/>
      <w:lvlJc w:val="left"/>
      <w:pPr>
        <w:ind w:left="2552" w:hanging="284"/>
      </w:pPr>
      <w:rPr>
        <w:rFonts w:ascii="Wingdings" w:hAnsi="Wingdings" w:hint="default"/>
      </w:rPr>
    </w:lvl>
  </w:abstractNum>
  <w:abstractNum w:abstractNumId="5" w15:restartNumberingAfterBreak="0">
    <w:nsid w:val="186C1445"/>
    <w:multiLevelType w:val="multilevel"/>
    <w:tmpl w:val="994A2B2A"/>
    <w:numStyleLink w:val="Formatvorlage3"/>
  </w:abstractNum>
  <w:abstractNum w:abstractNumId="6" w15:restartNumberingAfterBreak="0">
    <w:nsid w:val="18B468F5"/>
    <w:multiLevelType w:val="hybridMultilevel"/>
    <w:tmpl w:val="F7E250A8"/>
    <w:lvl w:ilvl="0" w:tplc="5A92E4B0">
      <w:start w:val="1"/>
      <w:numFmt w:val="decimal"/>
      <w:lvlRestart w:val="0"/>
      <w:pStyle w:val="MDPI71References"/>
      <w:lvlText w:val="%1."/>
      <w:lvlJc w:val="left"/>
      <w:pPr>
        <w:ind w:left="425" w:hanging="425"/>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8" w15:restartNumberingAfterBreak="0">
    <w:nsid w:val="242972B4"/>
    <w:multiLevelType w:val="multilevel"/>
    <w:tmpl w:val="FD02EA68"/>
    <w:styleLink w:val="Formatvorlage11"/>
    <w:lvl w:ilvl="0">
      <w:start w:val="1"/>
      <w:numFmt w:val="bullet"/>
      <w:lvlText w:val="‒"/>
      <w:lvlJc w:val="left"/>
      <w:pPr>
        <w:ind w:left="284" w:hanging="284"/>
      </w:pPr>
      <w:rPr>
        <w:rFonts w:ascii="Calibri" w:hAnsi="Calibri" w:hint="default"/>
        <w:b/>
        <w:i w:val="0"/>
        <w:color w:val="008CD2"/>
        <w:sz w:val="21"/>
        <w:szCs w:val="32"/>
        <w:u w:val="none" w:color="C0504D" w:themeColor="accent2"/>
      </w:rPr>
    </w:lvl>
    <w:lvl w:ilvl="1">
      <w:start w:val="1"/>
      <w:numFmt w:val="bullet"/>
      <w:lvlText w:val=""/>
      <w:lvlJc w:val="left"/>
      <w:pPr>
        <w:ind w:left="567" w:hanging="283"/>
      </w:pPr>
      <w:rPr>
        <w:rFonts w:ascii="Symbol" w:hAnsi="Symbol" w:hint="default"/>
        <w:color w:val="008CD2"/>
      </w:rPr>
    </w:lvl>
    <w:lvl w:ilvl="2">
      <w:start w:val="1"/>
      <w:numFmt w:val="bullet"/>
      <w:lvlText w:val=""/>
      <w:lvlJc w:val="left"/>
      <w:pPr>
        <w:ind w:left="851" w:hanging="284"/>
      </w:pPr>
      <w:rPr>
        <w:rFonts w:ascii="Wingdings" w:hAnsi="Wingdings" w:hint="default"/>
        <w:color w:val="008CD2"/>
      </w:rPr>
    </w:lvl>
    <w:lvl w:ilvl="3">
      <w:start w:val="1"/>
      <w:numFmt w:val="bullet"/>
      <w:lvlText w:val=""/>
      <w:lvlJc w:val="left"/>
      <w:pPr>
        <w:ind w:left="1134" w:hanging="283"/>
      </w:pPr>
      <w:rPr>
        <w:rFonts w:ascii="Symbol" w:hAnsi="Symbol" w:hint="default"/>
      </w:rPr>
    </w:lvl>
    <w:lvl w:ilvl="4">
      <w:start w:val="1"/>
      <w:numFmt w:val="bullet"/>
      <w:lvlText w:val="o"/>
      <w:lvlJc w:val="left"/>
      <w:pPr>
        <w:ind w:left="1418" w:hanging="284"/>
      </w:pPr>
      <w:rPr>
        <w:rFonts w:ascii="Courier New" w:hAnsi="Courier New" w:hint="default"/>
      </w:rPr>
    </w:lvl>
    <w:lvl w:ilvl="5">
      <w:start w:val="1"/>
      <w:numFmt w:val="bullet"/>
      <w:lvlText w:val=""/>
      <w:lvlJc w:val="left"/>
      <w:pPr>
        <w:ind w:left="1701" w:hanging="283"/>
      </w:pPr>
      <w:rPr>
        <w:rFonts w:ascii="Wingdings" w:hAnsi="Wingdings" w:hint="default"/>
      </w:rPr>
    </w:lvl>
    <w:lvl w:ilvl="6">
      <w:start w:val="1"/>
      <w:numFmt w:val="bullet"/>
      <w:lvlText w:val=""/>
      <w:lvlJc w:val="left"/>
      <w:pPr>
        <w:ind w:left="1985" w:hanging="284"/>
      </w:pPr>
      <w:rPr>
        <w:rFonts w:ascii="Symbol" w:hAnsi="Symbol" w:hint="default"/>
      </w:rPr>
    </w:lvl>
    <w:lvl w:ilvl="7">
      <w:start w:val="1"/>
      <w:numFmt w:val="bullet"/>
      <w:lvlText w:val="o"/>
      <w:lvlJc w:val="left"/>
      <w:pPr>
        <w:ind w:left="2268" w:hanging="283"/>
      </w:pPr>
      <w:rPr>
        <w:rFonts w:ascii="Courier New" w:hAnsi="Courier New" w:hint="default"/>
      </w:rPr>
    </w:lvl>
    <w:lvl w:ilvl="8">
      <w:start w:val="1"/>
      <w:numFmt w:val="bullet"/>
      <w:lvlText w:val=""/>
      <w:lvlJc w:val="left"/>
      <w:pPr>
        <w:ind w:left="2552" w:hanging="284"/>
      </w:pPr>
      <w:rPr>
        <w:rFonts w:ascii="Wingdings" w:hAnsi="Wingdings" w:hint="default"/>
      </w:rPr>
    </w:lvl>
  </w:abstractNum>
  <w:abstractNum w:abstractNumId="9" w15:restartNumberingAfterBreak="0">
    <w:nsid w:val="2F174855"/>
    <w:multiLevelType w:val="multilevel"/>
    <w:tmpl w:val="FD02EA68"/>
    <w:numStyleLink w:val="Formatvorlage2"/>
  </w:abstractNum>
  <w:abstractNum w:abstractNumId="10" w15:restartNumberingAfterBreak="0">
    <w:nsid w:val="35360EBC"/>
    <w:multiLevelType w:val="multilevel"/>
    <w:tmpl w:val="FD02EA68"/>
    <w:styleLink w:val="Formatvorlage2"/>
    <w:lvl w:ilvl="0">
      <w:start w:val="1"/>
      <w:numFmt w:val="bullet"/>
      <w:pStyle w:val="Liste-2"/>
      <w:lvlText w:val="‒"/>
      <w:lvlJc w:val="left"/>
      <w:pPr>
        <w:ind w:left="284" w:hanging="284"/>
      </w:pPr>
      <w:rPr>
        <w:rFonts w:ascii="Calibri" w:hAnsi="Calibri" w:hint="default"/>
        <w:b/>
        <w:i w:val="0"/>
        <w:color w:val="008CD2"/>
        <w:sz w:val="21"/>
        <w:szCs w:val="32"/>
        <w:u w:val="none" w:color="C0504D" w:themeColor="accent2"/>
      </w:rPr>
    </w:lvl>
    <w:lvl w:ilvl="1">
      <w:start w:val="1"/>
      <w:numFmt w:val="bullet"/>
      <w:lvlText w:val=""/>
      <w:lvlJc w:val="left"/>
      <w:pPr>
        <w:ind w:left="567" w:hanging="283"/>
      </w:pPr>
      <w:rPr>
        <w:rFonts w:ascii="Symbol" w:hAnsi="Symbol" w:hint="default"/>
        <w:color w:val="008CD2"/>
      </w:rPr>
    </w:lvl>
    <w:lvl w:ilvl="2">
      <w:start w:val="1"/>
      <w:numFmt w:val="bullet"/>
      <w:lvlText w:val=""/>
      <w:lvlJc w:val="left"/>
      <w:pPr>
        <w:ind w:left="851" w:hanging="284"/>
      </w:pPr>
      <w:rPr>
        <w:rFonts w:ascii="Wingdings" w:hAnsi="Wingdings" w:hint="default"/>
        <w:color w:val="008CD2"/>
      </w:rPr>
    </w:lvl>
    <w:lvl w:ilvl="3">
      <w:start w:val="1"/>
      <w:numFmt w:val="bullet"/>
      <w:lvlText w:val=""/>
      <w:lvlJc w:val="left"/>
      <w:pPr>
        <w:ind w:left="1134" w:hanging="283"/>
      </w:pPr>
      <w:rPr>
        <w:rFonts w:ascii="Symbol" w:hAnsi="Symbol" w:hint="default"/>
      </w:rPr>
    </w:lvl>
    <w:lvl w:ilvl="4">
      <w:start w:val="1"/>
      <w:numFmt w:val="bullet"/>
      <w:lvlText w:val="o"/>
      <w:lvlJc w:val="left"/>
      <w:pPr>
        <w:ind w:left="1418" w:hanging="284"/>
      </w:pPr>
      <w:rPr>
        <w:rFonts w:ascii="Courier New" w:hAnsi="Courier New" w:hint="default"/>
      </w:rPr>
    </w:lvl>
    <w:lvl w:ilvl="5">
      <w:start w:val="1"/>
      <w:numFmt w:val="bullet"/>
      <w:lvlText w:val=""/>
      <w:lvlJc w:val="left"/>
      <w:pPr>
        <w:ind w:left="1701" w:hanging="283"/>
      </w:pPr>
      <w:rPr>
        <w:rFonts w:ascii="Wingdings" w:hAnsi="Wingdings" w:hint="default"/>
      </w:rPr>
    </w:lvl>
    <w:lvl w:ilvl="6">
      <w:start w:val="1"/>
      <w:numFmt w:val="bullet"/>
      <w:lvlText w:val=""/>
      <w:lvlJc w:val="left"/>
      <w:pPr>
        <w:ind w:left="1985" w:hanging="284"/>
      </w:pPr>
      <w:rPr>
        <w:rFonts w:ascii="Symbol" w:hAnsi="Symbol" w:hint="default"/>
      </w:rPr>
    </w:lvl>
    <w:lvl w:ilvl="7">
      <w:start w:val="1"/>
      <w:numFmt w:val="bullet"/>
      <w:lvlText w:val="o"/>
      <w:lvlJc w:val="left"/>
      <w:pPr>
        <w:ind w:left="2268" w:hanging="283"/>
      </w:pPr>
      <w:rPr>
        <w:rFonts w:ascii="Courier New" w:hAnsi="Courier New" w:hint="default"/>
      </w:rPr>
    </w:lvl>
    <w:lvl w:ilvl="8">
      <w:start w:val="1"/>
      <w:numFmt w:val="bullet"/>
      <w:lvlText w:val=""/>
      <w:lvlJc w:val="left"/>
      <w:pPr>
        <w:ind w:left="2552" w:hanging="284"/>
      </w:pPr>
      <w:rPr>
        <w:rFonts w:ascii="Wingdings" w:hAnsi="Wingdings" w:hint="default"/>
      </w:rPr>
    </w:lvl>
  </w:abstractNum>
  <w:abstractNum w:abstractNumId="11" w15:restartNumberingAfterBreak="0">
    <w:nsid w:val="46E61E3F"/>
    <w:multiLevelType w:val="multilevel"/>
    <w:tmpl w:val="0407001F"/>
    <w:styleLink w:val="AktuelleListe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95508A9"/>
    <w:multiLevelType w:val="multilevel"/>
    <w:tmpl w:val="04070025"/>
    <w:styleLink w:val="AktuelleListe3"/>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color w:val="000000" w:themeColor="text1"/>
        <w:sz w:val="22"/>
        <w:szCs w:val="22"/>
      </w:rPr>
    </w:lvl>
    <w:lvl w:ilvl="3">
      <w:start w:val="1"/>
      <w:numFmt w:val="decimal"/>
      <w:lvlText w:val="%1.%2.%3.%4"/>
      <w:lvlJc w:val="left"/>
      <w:pPr>
        <w:ind w:left="864" w:hanging="864"/>
      </w:pPr>
      <w:rPr>
        <w:rFonts w:hint="default"/>
        <w:color w:val="000000" w:themeColor="text1"/>
        <w:sz w:val="22"/>
        <w:szCs w:val="22"/>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52E2771B"/>
    <w:multiLevelType w:val="hybridMultilevel"/>
    <w:tmpl w:val="A2A06AAC"/>
    <w:lvl w:ilvl="0" w:tplc="C788203A">
      <w:start w:val="1"/>
      <w:numFmt w:val="decimal"/>
      <w:lvlRestart w:val="0"/>
      <w:pStyle w:val="MDPI71FootNotes"/>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4075B53"/>
    <w:multiLevelType w:val="hybridMultilevel"/>
    <w:tmpl w:val="A0DCA02E"/>
    <w:lvl w:ilvl="0" w:tplc="5CB0595C">
      <w:start w:val="1"/>
      <w:numFmt w:val="decimal"/>
      <w:lvlRestart w:val="0"/>
      <w:pStyle w:val="MDPI37itemize"/>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5" w15:restartNumberingAfterBreak="0">
    <w:nsid w:val="566C3A9B"/>
    <w:multiLevelType w:val="multilevel"/>
    <w:tmpl w:val="45FC5098"/>
    <w:styleLink w:val="Formatvorlage21"/>
    <w:lvl w:ilvl="0">
      <w:start w:val="1"/>
      <w:numFmt w:val="decimal"/>
      <w:lvlText w:val="S%1."/>
      <w:lvlJc w:val="left"/>
      <w:pPr>
        <w:ind w:left="432" w:hanging="432"/>
      </w:pPr>
      <w:rPr>
        <w:rFonts w:hint="default"/>
      </w:rPr>
    </w:lvl>
    <w:lvl w:ilvl="1">
      <w:start w:val="1"/>
      <w:numFmt w:val="decimal"/>
      <w:pStyle w:val="Heading2"/>
      <w:lvlText w:val="S%1.%2"/>
      <w:lvlJc w:val="left"/>
      <w:pPr>
        <w:ind w:left="576" w:hanging="576"/>
      </w:pPr>
      <w:rPr>
        <w:rFonts w:hint="default"/>
      </w:rPr>
    </w:lvl>
    <w:lvl w:ilvl="2">
      <w:start w:val="1"/>
      <w:numFmt w:val="decimal"/>
      <w:pStyle w:val="Heading3"/>
      <w:lvlText w:val="S%1.%2.%3"/>
      <w:lvlJc w:val="left"/>
      <w:pPr>
        <w:ind w:left="794" w:hanging="794"/>
      </w:pPr>
      <w:rPr>
        <w:rFonts w:hint="default"/>
      </w:rPr>
    </w:lvl>
    <w:lvl w:ilvl="3">
      <w:start w:val="1"/>
      <w:numFmt w:val="decimal"/>
      <w:pStyle w:val="Heading4"/>
      <w:lvlText w:val="%1.%2.%3.%4"/>
      <w:lvlJc w:val="left"/>
      <w:pPr>
        <w:ind w:left="1021" w:hanging="1021"/>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985" w:hanging="1985"/>
      </w:pPr>
      <w:rPr>
        <w:rFonts w:hint="default"/>
      </w:rPr>
    </w:lvl>
    <w:lvl w:ilvl="8">
      <w:start w:val="1"/>
      <w:numFmt w:val="decimal"/>
      <w:pStyle w:val="Heading9"/>
      <w:lvlText w:val="%1.%2.%3.%4.%5.%6.%7.%8.%9"/>
      <w:lvlJc w:val="left"/>
      <w:pPr>
        <w:ind w:left="2268" w:hanging="2268"/>
      </w:pPr>
      <w:rPr>
        <w:rFonts w:hint="default"/>
      </w:rPr>
    </w:lvl>
  </w:abstractNum>
  <w:abstractNum w:abstractNumId="16" w15:restartNumberingAfterBreak="0">
    <w:nsid w:val="59653D74"/>
    <w:multiLevelType w:val="multilevel"/>
    <w:tmpl w:val="994A2B2A"/>
    <w:styleLink w:val="Formatvorlage3"/>
    <w:lvl w:ilvl="0">
      <w:start w:val="1"/>
      <w:numFmt w:val="decimal"/>
      <w:pStyle w:val="Liste-3"/>
      <w:lvlText w:val="(%1)"/>
      <w:lvlJc w:val="left"/>
      <w:pPr>
        <w:tabs>
          <w:tab w:val="num" w:pos="567"/>
        </w:tabs>
        <w:ind w:left="425" w:hanging="425"/>
      </w:pPr>
      <w:rPr>
        <w:rFonts w:hint="default"/>
        <w:b w:val="0"/>
        <w:i w:val="0"/>
      </w:rPr>
    </w:lvl>
    <w:lvl w:ilvl="1">
      <w:start w:val="1"/>
      <w:numFmt w:val="lowerLetter"/>
      <w:lvlText w:val="%2."/>
      <w:lvlJc w:val="left"/>
      <w:pPr>
        <w:tabs>
          <w:tab w:val="num" w:pos="1134"/>
        </w:tabs>
        <w:ind w:left="851" w:hanging="397"/>
      </w:pPr>
      <w:rPr>
        <w:rFonts w:hint="default"/>
      </w:rPr>
    </w:lvl>
    <w:lvl w:ilvl="2">
      <w:start w:val="1"/>
      <w:numFmt w:val="lowerRoman"/>
      <w:lvlText w:val="%3."/>
      <w:lvlJc w:val="right"/>
      <w:pPr>
        <w:tabs>
          <w:tab w:val="num" w:pos="1701"/>
        </w:tabs>
        <w:ind w:left="1247" w:hanging="255"/>
      </w:pPr>
      <w:rPr>
        <w:rFonts w:hint="default"/>
      </w:rPr>
    </w:lvl>
    <w:lvl w:ilvl="3">
      <w:start w:val="1"/>
      <w:numFmt w:val="decimal"/>
      <w:lvlText w:val="%4."/>
      <w:lvlJc w:val="left"/>
      <w:pPr>
        <w:tabs>
          <w:tab w:val="num" w:pos="2268"/>
        </w:tabs>
        <w:ind w:left="1814" w:hanging="680"/>
      </w:pPr>
      <w:rPr>
        <w:rFonts w:hint="default"/>
      </w:rPr>
    </w:lvl>
    <w:lvl w:ilvl="4">
      <w:start w:val="1"/>
      <w:numFmt w:val="lowerLetter"/>
      <w:lvlText w:val="%5."/>
      <w:lvlJc w:val="left"/>
      <w:pPr>
        <w:tabs>
          <w:tab w:val="num" w:pos="2835"/>
        </w:tabs>
        <w:ind w:left="2268" w:hanging="454"/>
      </w:pPr>
      <w:rPr>
        <w:rFonts w:hint="default"/>
      </w:rPr>
    </w:lvl>
    <w:lvl w:ilvl="5">
      <w:start w:val="1"/>
      <w:numFmt w:val="lowerRoman"/>
      <w:lvlText w:val="%6."/>
      <w:lvlJc w:val="right"/>
      <w:pPr>
        <w:tabs>
          <w:tab w:val="num" w:pos="3402"/>
        </w:tabs>
        <w:ind w:left="2722" w:hanging="454"/>
      </w:pPr>
      <w:rPr>
        <w:rFonts w:hint="default"/>
      </w:rPr>
    </w:lvl>
    <w:lvl w:ilvl="6">
      <w:start w:val="1"/>
      <w:numFmt w:val="decimal"/>
      <w:lvlText w:val="%7."/>
      <w:lvlJc w:val="left"/>
      <w:pPr>
        <w:tabs>
          <w:tab w:val="num" w:pos="3969"/>
        </w:tabs>
        <w:ind w:left="3175" w:hanging="453"/>
      </w:pPr>
      <w:rPr>
        <w:rFonts w:hint="default"/>
      </w:rPr>
    </w:lvl>
    <w:lvl w:ilvl="7">
      <w:start w:val="1"/>
      <w:numFmt w:val="lowerLetter"/>
      <w:lvlText w:val="%8."/>
      <w:lvlJc w:val="left"/>
      <w:pPr>
        <w:tabs>
          <w:tab w:val="num" w:pos="4536"/>
        </w:tabs>
        <w:ind w:left="3629" w:hanging="454"/>
      </w:pPr>
      <w:rPr>
        <w:rFonts w:hint="default"/>
      </w:rPr>
    </w:lvl>
    <w:lvl w:ilvl="8">
      <w:start w:val="1"/>
      <w:numFmt w:val="lowerRoman"/>
      <w:lvlText w:val="%9."/>
      <w:lvlJc w:val="right"/>
      <w:pPr>
        <w:tabs>
          <w:tab w:val="num" w:pos="5103"/>
        </w:tabs>
        <w:ind w:left="4082" w:hanging="453"/>
      </w:pPr>
      <w:rPr>
        <w:rFonts w:hint="default"/>
      </w:rPr>
    </w:lvl>
  </w:abstractNum>
  <w:num w:numId="1">
    <w:abstractNumId w:val="15"/>
  </w:num>
  <w:num w:numId="2">
    <w:abstractNumId w:val="4"/>
  </w:num>
  <w:num w:numId="3">
    <w:abstractNumId w:val="10"/>
  </w:num>
  <w:num w:numId="4">
    <w:abstractNumId w:val="16"/>
  </w:num>
  <w:num w:numId="5">
    <w:abstractNumId w:val="8"/>
  </w:num>
  <w:num w:numId="6">
    <w:abstractNumId w:val="9"/>
  </w:num>
  <w:num w:numId="7">
    <w:abstractNumId w:val="5"/>
  </w:num>
  <w:num w:numId="8">
    <w:abstractNumId w:val="0"/>
  </w:num>
  <w:num w:numId="9">
    <w:abstractNumId w:val="14"/>
  </w:num>
  <w:num w:numId="10">
    <w:abstractNumId w:val="7"/>
  </w:num>
  <w:num w:numId="11">
    <w:abstractNumId w:val="6"/>
  </w:num>
  <w:num w:numId="12">
    <w:abstractNumId w:val="13"/>
  </w:num>
  <w:num w:numId="13">
    <w:abstractNumId w:val="2"/>
  </w:num>
  <w:num w:numId="14">
    <w:abstractNumId w:val="3"/>
  </w:num>
  <w:num w:numId="15">
    <w:abstractNumId w:val="11"/>
  </w:num>
  <w:num w:numId="16">
    <w:abstractNumId w:val="12"/>
  </w:num>
  <w:num w:numId="17">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intFractionalCharacterWidth/>
  <w:embedSystemFonts/>
  <w:activeWritingStyle w:appName="MSWord" w:lang="de-DE" w:vendorID="64" w:dllVersion="6" w:nlCheck="1" w:checkStyle="1"/>
  <w:activeWritingStyle w:appName="MSWord" w:lang="en-GB"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0" w:nlCheck="1" w:checkStyle="0"/>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4096" w:nlCheck="1" w:checkStyle="0"/>
  <w:proofState w:spelling="clean" w:grammar="clean"/>
  <w:stylePaneFormatFilter w:val="3821" w:allStyles="1" w:customStyles="0" w:latentStyles="0" w:stylesInUse="0" w:headingStyles="1" w:numberingStyles="0" w:tableStyles="0" w:directFormattingOnRuns="0" w:directFormattingOnParagraphs="0" w:directFormattingOnNumbering="0" w:directFormattingOnTables="1" w:clearFormatting="1" w:top3HeadingStyles="1" w:visibleStyles="0" w:alternateStyleNames="0"/>
  <w:stylePaneSortMethod w:val="0000"/>
  <w:defaultTabStop w:val="0"/>
  <w:hyphenationZone w:val="425"/>
  <w:doNotHyphenateCaps/>
  <w:drawingGridHorizontalSpacing w:val="105"/>
  <w:drawingGridVerticalSpacing w:val="163"/>
  <w:displayHorizontalDrawingGridEvery w:val="0"/>
  <w:displayVerticalDrawingGridEvery w:val="2"/>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E44"/>
    <w:rsid w:val="00001435"/>
    <w:rsid w:val="000107D8"/>
    <w:rsid w:val="000114BB"/>
    <w:rsid w:val="00011F3D"/>
    <w:rsid w:val="00014ECE"/>
    <w:rsid w:val="000155C5"/>
    <w:rsid w:val="00016397"/>
    <w:rsid w:val="0002211F"/>
    <w:rsid w:val="00026553"/>
    <w:rsid w:val="00030A59"/>
    <w:rsid w:val="00034CB3"/>
    <w:rsid w:val="000358AD"/>
    <w:rsid w:val="000367D7"/>
    <w:rsid w:val="00041C64"/>
    <w:rsid w:val="0005696F"/>
    <w:rsid w:val="00056F6A"/>
    <w:rsid w:val="00062BDE"/>
    <w:rsid w:val="00064FC8"/>
    <w:rsid w:val="00065FE0"/>
    <w:rsid w:val="0007053D"/>
    <w:rsid w:val="00072BBB"/>
    <w:rsid w:val="0009635C"/>
    <w:rsid w:val="0009696B"/>
    <w:rsid w:val="000A37C9"/>
    <w:rsid w:val="000B0FA9"/>
    <w:rsid w:val="000B1EBF"/>
    <w:rsid w:val="000B5007"/>
    <w:rsid w:val="000C2B83"/>
    <w:rsid w:val="000C41A5"/>
    <w:rsid w:val="000C4895"/>
    <w:rsid w:val="000C51D9"/>
    <w:rsid w:val="000C54CA"/>
    <w:rsid w:val="000C60E9"/>
    <w:rsid w:val="000D28DB"/>
    <w:rsid w:val="000D40EB"/>
    <w:rsid w:val="000D42C7"/>
    <w:rsid w:val="000D5343"/>
    <w:rsid w:val="000E03FC"/>
    <w:rsid w:val="000E7C7C"/>
    <w:rsid w:val="000F2744"/>
    <w:rsid w:val="000F3DF9"/>
    <w:rsid w:val="0010310F"/>
    <w:rsid w:val="001057FA"/>
    <w:rsid w:val="001062AA"/>
    <w:rsid w:val="00111F1B"/>
    <w:rsid w:val="00114EC0"/>
    <w:rsid w:val="00122F14"/>
    <w:rsid w:val="00136AAA"/>
    <w:rsid w:val="00144157"/>
    <w:rsid w:val="001515FA"/>
    <w:rsid w:val="00152E0B"/>
    <w:rsid w:val="00157C13"/>
    <w:rsid w:val="00160955"/>
    <w:rsid w:val="00162F81"/>
    <w:rsid w:val="00165D2B"/>
    <w:rsid w:val="0016614B"/>
    <w:rsid w:val="00166666"/>
    <w:rsid w:val="00170209"/>
    <w:rsid w:val="00172F5A"/>
    <w:rsid w:val="001774FA"/>
    <w:rsid w:val="00182396"/>
    <w:rsid w:val="00183185"/>
    <w:rsid w:val="00186739"/>
    <w:rsid w:val="00186916"/>
    <w:rsid w:val="001A0F91"/>
    <w:rsid w:val="001A4706"/>
    <w:rsid w:val="001A5976"/>
    <w:rsid w:val="001A64F0"/>
    <w:rsid w:val="001A6DD0"/>
    <w:rsid w:val="001B24FD"/>
    <w:rsid w:val="001B3783"/>
    <w:rsid w:val="001C6986"/>
    <w:rsid w:val="001C7BD8"/>
    <w:rsid w:val="001D3BE5"/>
    <w:rsid w:val="001E04AA"/>
    <w:rsid w:val="001E220A"/>
    <w:rsid w:val="001F7A69"/>
    <w:rsid w:val="00200141"/>
    <w:rsid w:val="0020048F"/>
    <w:rsid w:val="00207750"/>
    <w:rsid w:val="0021245C"/>
    <w:rsid w:val="00213E96"/>
    <w:rsid w:val="002149F0"/>
    <w:rsid w:val="00214A6D"/>
    <w:rsid w:val="00221E07"/>
    <w:rsid w:val="002323F0"/>
    <w:rsid w:val="00232E4B"/>
    <w:rsid w:val="002369FE"/>
    <w:rsid w:val="00244246"/>
    <w:rsid w:val="00253AA3"/>
    <w:rsid w:val="00255984"/>
    <w:rsid w:val="00255FEC"/>
    <w:rsid w:val="00266E3E"/>
    <w:rsid w:val="00267AE7"/>
    <w:rsid w:val="00270BD3"/>
    <w:rsid w:val="00274A92"/>
    <w:rsid w:val="00284F93"/>
    <w:rsid w:val="00287038"/>
    <w:rsid w:val="00287EFE"/>
    <w:rsid w:val="00294194"/>
    <w:rsid w:val="002945AA"/>
    <w:rsid w:val="00295755"/>
    <w:rsid w:val="00296FF7"/>
    <w:rsid w:val="00297F8A"/>
    <w:rsid w:val="002A6FC4"/>
    <w:rsid w:val="002B3E94"/>
    <w:rsid w:val="002B572A"/>
    <w:rsid w:val="002C4809"/>
    <w:rsid w:val="002D290C"/>
    <w:rsid w:val="002D4826"/>
    <w:rsid w:val="002E5410"/>
    <w:rsid w:val="002F1E9A"/>
    <w:rsid w:val="00303602"/>
    <w:rsid w:val="003069DC"/>
    <w:rsid w:val="00310480"/>
    <w:rsid w:val="003131D3"/>
    <w:rsid w:val="00317C43"/>
    <w:rsid w:val="003206CA"/>
    <w:rsid w:val="00323640"/>
    <w:rsid w:val="00325C1D"/>
    <w:rsid w:val="00325CAA"/>
    <w:rsid w:val="00326A46"/>
    <w:rsid w:val="00337020"/>
    <w:rsid w:val="00343AC4"/>
    <w:rsid w:val="003529BD"/>
    <w:rsid w:val="003627EC"/>
    <w:rsid w:val="00370A30"/>
    <w:rsid w:val="00376998"/>
    <w:rsid w:val="00383E9C"/>
    <w:rsid w:val="0039057B"/>
    <w:rsid w:val="00397772"/>
    <w:rsid w:val="00397BAA"/>
    <w:rsid w:val="003A4FC7"/>
    <w:rsid w:val="003A767F"/>
    <w:rsid w:val="003B320B"/>
    <w:rsid w:val="003B6FD6"/>
    <w:rsid w:val="003B7AB3"/>
    <w:rsid w:val="003C26D9"/>
    <w:rsid w:val="003C303C"/>
    <w:rsid w:val="003C34DC"/>
    <w:rsid w:val="003C3B05"/>
    <w:rsid w:val="003D2C1A"/>
    <w:rsid w:val="003D5402"/>
    <w:rsid w:val="003E4CC6"/>
    <w:rsid w:val="003F3D23"/>
    <w:rsid w:val="003F58FA"/>
    <w:rsid w:val="003F661A"/>
    <w:rsid w:val="003F76B6"/>
    <w:rsid w:val="0040139D"/>
    <w:rsid w:val="0040742A"/>
    <w:rsid w:val="00431B4A"/>
    <w:rsid w:val="00440DB8"/>
    <w:rsid w:val="00442636"/>
    <w:rsid w:val="00442F88"/>
    <w:rsid w:val="00446FCD"/>
    <w:rsid w:val="00452BC9"/>
    <w:rsid w:val="004573D0"/>
    <w:rsid w:val="00470117"/>
    <w:rsid w:val="00477149"/>
    <w:rsid w:val="0047736E"/>
    <w:rsid w:val="00482DF4"/>
    <w:rsid w:val="00485997"/>
    <w:rsid w:val="00492457"/>
    <w:rsid w:val="00492757"/>
    <w:rsid w:val="00493FA1"/>
    <w:rsid w:val="00495E7B"/>
    <w:rsid w:val="004A1840"/>
    <w:rsid w:val="004A4C64"/>
    <w:rsid w:val="004C0438"/>
    <w:rsid w:val="004C346D"/>
    <w:rsid w:val="004D2441"/>
    <w:rsid w:val="004D307B"/>
    <w:rsid w:val="004D4418"/>
    <w:rsid w:val="004D6A2F"/>
    <w:rsid w:val="004D7170"/>
    <w:rsid w:val="004E5F26"/>
    <w:rsid w:val="004E6A76"/>
    <w:rsid w:val="004F4F0F"/>
    <w:rsid w:val="005061A8"/>
    <w:rsid w:val="005071B9"/>
    <w:rsid w:val="00523D64"/>
    <w:rsid w:val="00540636"/>
    <w:rsid w:val="005407FB"/>
    <w:rsid w:val="005424C7"/>
    <w:rsid w:val="0054292C"/>
    <w:rsid w:val="00554289"/>
    <w:rsid w:val="00555B4D"/>
    <w:rsid w:val="005579C4"/>
    <w:rsid w:val="00563344"/>
    <w:rsid w:val="00570B33"/>
    <w:rsid w:val="00574478"/>
    <w:rsid w:val="005762B3"/>
    <w:rsid w:val="005A2C7C"/>
    <w:rsid w:val="005A5FF6"/>
    <w:rsid w:val="005A7C39"/>
    <w:rsid w:val="005B443F"/>
    <w:rsid w:val="005C50B6"/>
    <w:rsid w:val="005D548D"/>
    <w:rsid w:val="005E3794"/>
    <w:rsid w:val="005E62A2"/>
    <w:rsid w:val="005E6E88"/>
    <w:rsid w:val="005F5045"/>
    <w:rsid w:val="005F5D03"/>
    <w:rsid w:val="005F66B0"/>
    <w:rsid w:val="005F6754"/>
    <w:rsid w:val="005F7D72"/>
    <w:rsid w:val="005F7D8C"/>
    <w:rsid w:val="00601E54"/>
    <w:rsid w:val="0060286E"/>
    <w:rsid w:val="006156D0"/>
    <w:rsid w:val="00621E4F"/>
    <w:rsid w:val="00622D0D"/>
    <w:rsid w:val="00627319"/>
    <w:rsid w:val="006314E4"/>
    <w:rsid w:val="006410BE"/>
    <w:rsid w:val="00644B5B"/>
    <w:rsid w:val="0064550D"/>
    <w:rsid w:val="00652044"/>
    <w:rsid w:val="00654583"/>
    <w:rsid w:val="006554DA"/>
    <w:rsid w:val="00660DCF"/>
    <w:rsid w:val="006631FE"/>
    <w:rsid w:val="00663D4E"/>
    <w:rsid w:val="00664C79"/>
    <w:rsid w:val="00681B3F"/>
    <w:rsid w:val="00692E4C"/>
    <w:rsid w:val="006962C8"/>
    <w:rsid w:val="00696ED2"/>
    <w:rsid w:val="006A0574"/>
    <w:rsid w:val="006A50F1"/>
    <w:rsid w:val="006B07F6"/>
    <w:rsid w:val="006B3C44"/>
    <w:rsid w:val="006B3CBD"/>
    <w:rsid w:val="006B5D33"/>
    <w:rsid w:val="006C1AA2"/>
    <w:rsid w:val="006C36AD"/>
    <w:rsid w:val="006C5D63"/>
    <w:rsid w:val="006E15C9"/>
    <w:rsid w:val="006E3A39"/>
    <w:rsid w:val="006E5919"/>
    <w:rsid w:val="006F1282"/>
    <w:rsid w:val="006F3406"/>
    <w:rsid w:val="007021F3"/>
    <w:rsid w:val="00703E00"/>
    <w:rsid w:val="007079FB"/>
    <w:rsid w:val="0071056C"/>
    <w:rsid w:val="00713124"/>
    <w:rsid w:val="00726E75"/>
    <w:rsid w:val="007274C8"/>
    <w:rsid w:val="00730001"/>
    <w:rsid w:val="007323E8"/>
    <w:rsid w:val="00733924"/>
    <w:rsid w:val="0074122A"/>
    <w:rsid w:val="007418A5"/>
    <w:rsid w:val="00752F5B"/>
    <w:rsid w:val="00755CED"/>
    <w:rsid w:val="007622F8"/>
    <w:rsid w:val="00766863"/>
    <w:rsid w:val="00766B9C"/>
    <w:rsid w:val="00790F77"/>
    <w:rsid w:val="00791767"/>
    <w:rsid w:val="007960DF"/>
    <w:rsid w:val="007A07AA"/>
    <w:rsid w:val="007A0B17"/>
    <w:rsid w:val="007A48E2"/>
    <w:rsid w:val="007B69AE"/>
    <w:rsid w:val="007C4B0B"/>
    <w:rsid w:val="007C67B8"/>
    <w:rsid w:val="007D0786"/>
    <w:rsid w:val="007D3B9B"/>
    <w:rsid w:val="007D43FB"/>
    <w:rsid w:val="007D6ED1"/>
    <w:rsid w:val="007E5BCC"/>
    <w:rsid w:val="007E6081"/>
    <w:rsid w:val="007E7399"/>
    <w:rsid w:val="007F5F84"/>
    <w:rsid w:val="00802B8E"/>
    <w:rsid w:val="00802C7F"/>
    <w:rsid w:val="00805269"/>
    <w:rsid w:val="00811AE0"/>
    <w:rsid w:val="008147F7"/>
    <w:rsid w:val="008166D6"/>
    <w:rsid w:val="00816EF8"/>
    <w:rsid w:val="008227CA"/>
    <w:rsid w:val="00837EB3"/>
    <w:rsid w:val="00850203"/>
    <w:rsid w:val="00851762"/>
    <w:rsid w:val="008545E8"/>
    <w:rsid w:val="00857244"/>
    <w:rsid w:val="00861AB6"/>
    <w:rsid w:val="00865192"/>
    <w:rsid w:val="00865255"/>
    <w:rsid w:val="00866118"/>
    <w:rsid w:val="00867F43"/>
    <w:rsid w:val="008730E6"/>
    <w:rsid w:val="008743D0"/>
    <w:rsid w:val="00874FDE"/>
    <w:rsid w:val="00881E68"/>
    <w:rsid w:val="008838F7"/>
    <w:rsid w:val="00887AB8"/>
    <w:rsid w:val="008A0FD1"/>
    <w:rsid w:val="008C5042"/>
    <w:rsid w:val="008D0B56"/>
    <w:rsid w:val="008D0BBC"/>
    <w:rsid w:val="008D2916"/>
    <w:rsid w:val="008D7B1B"/>
    <w:rsid w:val="008E36DC"/>
    <w:rsid w:val="008E7959"/>
    <w:rsid w:val="008F1BE3"/>
    <w:rsid w:val="00902AE2"/>
    <w:rsid w:val="00916BAA"/>
    <w:rsid w:val="00916D31"/>
    <w:rsid w:val="00921D26"/>
    <w:rsid w:val="009312F1"/>
    <w:rsid w:val="009360BF"/>
    <w:rsid w:val="0094128E"/>
    <w:rsid w:val="009505D2"/>
    <w:rsid w:val="009521DD"/>
    <w:rsid w:val="00952357"/>
    <w:rsid w:val="0095247D"/>
    <w:rsid w:val="0095332F"/>
    <w:rsid w:val="00960D10"/>
    <w:rsid w:val="009623E4"/>
    <w:rsid w:val="0096678C"/>
    <w:rsid w:val="00967451"/>
    <w:rsid w:val="00972039"/>
    <w:rsid w:val="00990610"/>
    <w:rsid w:val="00993DAE"/>
    <w:rsid w:val="009A1178"/>
    <w:rsid w:val="009A4B82"/>
    <w:rsid w:val="009A73CE"/>
    <w:rsid w:val="009B1175"/>
    <w:rsid w:val="009B3384"/>
    <w:rsid w:val="009B5EA6"/>
    <w:rsid w:val="009B788C"/>
    <w:rsid w:val="009C3E2F"/>
    <w:rsid w:val="009C667D"/>
    <w:rsid w:val="009C71A2"/>
    <w:rsid w:val="009C7647"/>
    <w:rsid w:val="009D59E6"/>
    <w:rsid w:val="009D6DAC"/>
    <w:rsid w:val="009D6FCA"/>
    <w:rsid w:val="009E2F59"/>
    <w:rsid w:val="009E74D5"/>
    <w:rsid w:val="009F3B7F"/>
    <w:rsid w:val="00A06932"/>
    <w:rsid w:val="00A16AAC"/>
    <w:rsid w:val="00A23A0E"/>
    <w:rsid w:val="00A24217"/>
    <w:rsid w:val="00A24E2E"/>
    <w:rsid w:val="00A311AA"/>
    <w:rsid w:val="00A343D6"/>
    <w:rsid w:val="00A45274"/>
    <w:rsid w:val="00A45E44"/>
    <w:rsid w:val="00A508B7"/>
    <w:rsid w:val="00A71471"/>
    <w:rsid w:val="00A74C04"/>
    <w:rsid w:val="00A758EF"/>
    <w:rsid w:val="00A80A75"/>
    <w:rsid w:val="00A92602"/>
    <w:rsid w:val="00AA534B"/>
    <w:rsid w:val="00AB0047"/>
    <w:rsid w:val="00AB5512"/>
    <w:rsid w:val="00AC689B"/>
    <w:rsid w:val="00AE58CA"/>
    <w:rsid w:val="00AF2E5A"/>
    <w:rsid w:val="00AF345F"/>
    <w:rsid w:val="00AF5271"/>
    <w:rsid w:val="00AF609A"/>
    <w:rsid w:val="00B073E4"/>
    <w:rsid w:val="00B13E45"/>
    <w:rsid w:val="00B20C9C"/>
    <w:rsid w:val="00B22BF7"/>
    <w:rsid w:val="00B31793"/>
    <w:rsid w:val="00B60376"/>
    <w:rsid w:val="00B60D81"/>
    <w:rsid w:val="00B62425"/>
    <w:rsid w:val="00B6266D"/>
    <w:rsid w:val="00B6494E"/>
    <w:rsid w:val="00B677C5"/>
    <w:rsid w:val="00B7697C"/>
    <w:rsid w:val="00B779C4"/>
    <w:rsid w:val="00B85C27"/>
    <w:rsid w:val="00B87CE2"/>
    <w:rsid w:val="00B92745"/>
    <w:rsid w:val="00B969C7"/>
    <w:rsid w:val="00B9771D"/>
    <w:rsid w:val="00BC0CCC"/>
    <w:rsid w:val="00BC10CB"/>
    <w:rsid w:val="00BC3944"/>
    <w:rsid w:val="00BC79B9"/>
    <w:rsid w:val="00BD3761"/>
    <w:rsid w:val="00BE15BC"/>
    <w:rsid w:val="00BF0D70"/>
    <w:rsid w:val="00BF0EB5"/>
    <w:rsid w:val="00BF1FFF"/>
    <w:rsid w:val="00BF2EED"/>
    <w:rsid w:val="00BF58A8"/>
    <w:rsid w:val="00BF70C8"/>
    <w:rsid w:val="00C01EE2"/>
    <w:rsid w:val="00C05D27"/>
    <w:rsid w:val="00C10C81"/>
    <w:rsid w:val="00C14CCE"/>
    <w:rsid w:val="00C16787"/>
    <w:rsid w:val="00C25D03"/>
    <w:rsid w:val="00C27AA6"/>
    <w:rsid w:val="00C33631"/>
    <w:rsid w:val="00C34869"/>
    <w:rsid w:val="00C348DD"/>
    <w:rsid w:val="00C42150"/>
    <w:rsid w:val="00C457EE"/>
    <w:rsid w:val="00C46E39"/>
    <w:rsid w:val="00C523B1"/>
    <w:rsid w:val="00C533AD"/>
    <w:rsid w:val="00C57AD3"/>
    <w:rsid w:val="00C61AE1"/>
    <w:rsid w:val="00C736E9"/>
    <w:rsid w:val="00C77815"/>
    <w:rsid w:val="00C825D5"/>
    <w:rsid w:val="00C85697"/>
    <w:rsid w:val="00C92D5C"/>
    <w:rsid w:val="00C93794"/>
    <w:rsid w:val="00CA0A79"/>
    <w:rsid w:val="00CA6F44"/>
    <w:rsid w:val="00CA7C0C"/>
    <w:rsid w:val="00CB12F5"/>
    <w:rsid w:val="00CC166B"/>
    <w:rsid w:val="00CD4934"/>
    <w:rsid w:val="00D02FC0"/>
    <w:rsid w:val="00D20B51"/>
    <w:rsid w:val="00D20F72"/>
    <w:rsid w:val="00D26905"/>
    <w:rsid w:val="00D30DB2"/>
    <w:rsid w:val="00D347EC"/>
    <w:rsid w:val="00D46D45"/>
    <w:rsid w:val="00D55E42"/>
    <w:rsid w:val="00D571A7"/>
    <w:rsid w:val="00D57371"/>
    <w:rsid w:val="00D614EC"/>
    <w:rsid w:val="00D700F7"/>
    <w:rsid w:val="00D77947"/>
    <w:rsid w:val="00D82D81"/>
    <w:rsid w:val="00D8330D"/>
    <w:rsid w:val="00D90F62"/>
    <w:rsid w:val="00D96DC0"/>
    <w:rsid w:val="00DA5531"/>
    <w:rsid w:val="00DB17F4"/>
    <w:rsid w:val="00DB1885"/>
    <w:rsid w:val="00DB3B55"/>
    <w:rsid w:val="00DC2ED9"/>
    <w:rsid w:val="00DC4A3E"/>
    <w:rsid w:val="00DD1EC7"/>
    <w:rsid w:val="00DE12CE"/>
    <w:rsid w:val="00DE78F7"/>
    <w:rsid w:val="00DF356C"/>
    <w:rsid w:val="00E00537"/>
    <w:rsid w:val="00E0087E"/>
    <w:rsid w:val="00E00B07"/>
    <w:rsid w:val="00E00F1B"/>
    <w:rsid w:val="00E0433D"/>
    <w:rsid w:val="00E04F14"/>
    <w:rsid w:val="00E10195"/>
    <w:rsid w:val="00E1091E"/>
    <w:rsid w:val="00E22512"/>
    <w:rsid w:val="00E3276E"/>
    <w:rsid w:val="00E331DA"/>
    <w:rsid w:val="00E36FDC"/>
    <w:rsid w:val="00E41102"/>
    <w:rsid w:val="00E45EDD"/>
    <w:rsid w:val="00E53F7F"/>
    <w:rsid w:val="00E5473D"/>
    <w:rsid w:val="00E60F61"/>
    <w:rsid w:val="00E66FC8"/>
    <w:rsid w:val="00E72728"/>
    <w:rsid w:val="00E91F45"/>
    <w:rsid w:val="00EA184F"/>
    <w:rsid w:val="00EA4E85"/>
    <w:rsid w:val="00EB3236"/>
    <w:rsid w:val="00EC2A1C"/>
    <w:rsid w:val="00EC3A30"/>
    <w:rsid w:val="00ED4119"/>
    <w:rsid w:val="00ED6280"/>
    <w:rsid w:val="00ED68D5"/>
    <w:rsid w:val="00EE0156"/>
    <w:rsid w:val="00EE56E2"/>
    <w:rsid w:val="00EE5924"/>
    <w:rsid w:val="00EF0037"/>
    <w:rsid w:val="00EF16BE"/>
    <w:rsid w:val="00F02309"/>
    <w:rsid w:val="00F0504B"/>
    <w:rsid w:val="00F062FC"/>
    <w:rsid w:val="00F125B8"/>
    <w:rsid w:val="00F1291A"/>
    <w:rsid w:val="00F16417"/>
    <w:rsid w:val="00F17084"/>
    <w:rsid w:val="00F20030"/>
    <w:rsid w:val="00F22FD3"/>
    <w:rsid w:val="00F26DEC"/>
    <w:rsid w:val="00F33F56"/>
    <w:rsid w:val="00F340F3"/>
    <w:rsid w:val="00F359A5"/>
    <w:rsid w:val="00F36DD8"/>
    <w:rsid w:val="00F45FF9"/>
    <w:rsid w:val="00F52C57"/>
    <w:rsid w:val="00F538FF"/>
    <w:rsid w:val="00F55EA0"/>
    <w:rsid w:val="00F65084"/>
    <w:rsid w:val="00F65714"/>
    <w:rsid w:val="00F679DF"/>
    <w:rsid w:val="00F7362C"/>
    <w:rsid w:val="00F75D82"/>
    <w:rsid w:val="00F77894"/>
    <w:rsid w:val="00F85083"/>
    <w:rsid w:val="00F97246"/>
    <w:rsid w:val="00FA0357"/>
    <w:rsid w:val="00FA18BF"/>
    <w:rsid w:val="00FA63F5"/>
    <w:rsid w:val="00FB3E35"/>
    <w:rsid w:val="00FC180A"/>
    <w:rsid w:val="00FC4E07"/>
    <w:rsid w:val="00FC65D5"/>
    <w:rsid w:val="00FC7B14"/>
    <w:rsid w:val="00FD060A"/>
    <w:rsid w:val="00FD3306"/>
    <w:rsid w:val="00FE7741"/>
    <w:rsid w:val="00FF74AE"/>
    <w:rsid w:val="00FF768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AD7E1C"/>
  <w15:chartTrackingRefBased/>
  <w15:docId w15:val="{0F970F6C-F2DF-425C-9DA9-38CE1FC97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qFormat="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45E44"/>
    <w:pPr>
      <w:suppressAutoHyphens/>
      <w:spacing w:before="160" w:line="276" w:lineRule="auto"/>
      <w:jc w:val="both"/>
    </w:pPr>
    <w:rPr>
      <w:rFonts w:ascii="Calibri" w:hAnsi="Calibri"/>
      <w:sz w:val="22"/>
    </w:rPr>
  </w:style>
  <w:style w:type="paragraph" w:styleId="Heading1">
    <w:name w:val="heading 1"/>
    <w:aliases w:val="1DissHeading"/>
    <w:basedOn w:val="Normal"/>
    <w:next w:val="Normal"/>
    <w:link w:val="Heading1Char"/>
    <w:uiPriority w:val="9"/>
    <w:qFormat/>
    <w:rsid w:val="00790F77"/>
    <w:pPr>
      <w:keepNext/>
      <w:spacing w:before="400"/>
      <w:jc w:val="left"/>
      <w:outlineLvl w:val="0"/>
    </w:pPr>
    <w:rPr>
      <w:b/>
      <w:sz w:val="26"/>
    </w:rPr>
  </w:style>
  <w:style w:type="paragraph" w:styleId="Heading2">
    <w:name w:val="heading 2"/>
    <w:aliases w:val="2DissHeading"/>
    <w:basedOn w:val="Normal"/>
    <w:next w:val="Normal"/>
    <w:link w:val="Heading2Char"/>
    <w:qFormat/>
    <w:rsid w:val="00FD060A"/>
    <w:pPr>
      <w:keepNext/>
      <w:numPr>
        <w:ilvl w:val="1"/>
        <w:numId w:val="1"/>
      </w:numPr>
      <w:spacing w:before="400"/>
      <w:jc w:val="left"/>
      <w:outlineLvl w:val="1"/>
    </w:pPr>
    <w:rPr>
      <w:b/>
      <w:sz w:val="24"/>
      <w:lang w:val="en-US"/>
    </w:rPr>
  </w:style>
  <w:style w:type="paragraph" w:styleId="Heading3">
    <w:name w:val="heading 3"/>
    <w:aliases w:val="3DissHeading"/>
    <w:basedOn w:val="Normal"/>
    <w:next w:val="Normal"/>
    <w:link w:val="Heading3Char"/>
    <w:qFormat/>
    <w:rsid w:val="009C667D"/>
    <w:pPr>
      <w:keepNext/>
      <w:numPr>
        <w:ilvl w:val="2"/>
        <w:numId w:val="1"/>
      </w:numPr>
      <w:spacing w:before="400"/>
      <w:jc w:val="left"/>
      <w:outlineLvl w:val="2"/>
    </w:pPr>
    <w:rPr>
      <w:b/>
      <w:color w:val="008CD2"/>
      <w:sz w:val="26"/>
    </w:rPr>
  </w:style>
  <w:style w:type="paragraph" w:styleId="Heading4">
    <w:name w:val="heading 4"/>
    <w:aliases w:val="4DissHeading"/>
    <w:basedOn w:val="Normal"/>
    <w:next w:val="Normal"/>
    <w:link w:val="Heading4Char"/>
    <w:uiPriority w:val="9"/>
    <w:qFormat/>
    <w:rsid w:val="009C667D"/>
    <w:pPr>
      <w:keepNext/>
      <w:numPr>
        <w:ilvl w:val="3"/>
        <w:numId w:val="1"/>
      </w:numPr>
      <w:spacing w:before="400"/>
      <w:jc w:val="left"/>
      <w:outlineLvl w:val="3"/>
    </w:pPr>
    <w:rPr>
      <w:b/>
      <w:color w:val="008CD2"/>
      <w:sz w:val="26"/>
    </w:rPr>
  </w:style>
  <w:style w:type="paragraph" w:styleId="Heading5">
    <w:name w:val="heading 5"/>
    <w:aliases w:val="5DissHeading"/>
    <w:basedOn w:val="Normal"/>
    <w:next w:val="Normal"/>
    <w:link w:val="Heading5Char"/>
    <w:uiPriority w:val="9"/>
    <w:qFormat/>
    <w:rsid w:val="009C667D"/>
    <w:pPr>
      <w:keepNext/>
      <w:numPr>
        <w:ilvl w:val="4"/>
        <w:numId w:val="1"/>
      </w:numPr>
      <w:spacing w:before="400"/>
      <w:jc w:val="left"/>
      <w:outlineLvl w:val="4"/>
    </w:pPr>
    <w:rPr>
      <w:b/>
      <w:color w:val="008CD2"/>
      <w:sz w:val="26"/>
    </w:rPr>
  </w:style>
  <w:style w:type="paragraph" w:styleId="Heading6">
    <w:name w:val="heading 6"/>
    <w:basedOn w:val="Normal"/>
    <w:next w:val="Normal"/>
    <w:link w:val="Heading6Char"/>
    <w:uiPriority w:val="9"/>
    <w:qFormat/>
    <w:rsid w:val="009C667D"/>
    <w:pPr>
      <w:keepNext/>
      <w:numPr>
        <w:ilvl w:val="5"/>
        <w:numId w:val="1"/>
      </w:numPr>
      <w:spacing w:before="400"/>
      <w:jc w:val="left"/>
      <w:outlineLvl w:val="5"/>
    </w:pPr>
    <w:rPr>
      <w:b/>
      <w:color w:val="008CD2"/>
      <w:sz w:val="26"/>
    </w:rPr>
  </w:style>
  <w:style w:type="paragraph" w:styleId="Heading7">
    <w:name w:val="heading 7"/>
    <w:basedOn w:val="Normal"/>
    <w:next w:val="Normal"/>
    <w:link w:val="Heading7Char"/>
    <w:uiPriority w:val="9"/>
    <w:qFormat/>
    <w:rsid w:val="009C667D"/>
    <w:pPr>
      <w:keepNext/>
      <w:numPr>
        <w:ilvl w:val="6"/>
        <w:numId w:val="1"/>
      </w:numPr>
      <w:spacing w:before="400"/>
      <w:jc w:val="left"/>
      <w:outlineLvl w:val="6"/>
    </w:pPr>
    <w:rPr>
      <w:b/>
      <w:color w:val="008CD2"/>
      <w:sz w:val="26"/>
    </w:rPr>
  </w:style>
  <w:style w:type="paragraph" w:styleId="Heading8">
    <w:name w:val="heading 8"/>
    <w:basedOn w:val="Normal"/>
    <w:next w:val="Normal"/>
    <w:link w:val="Heading8Char"/>
    <w:uiPriority w:val="9"/>
    <w:qFormat/>
    <w:rsid w:val="009C667D"/>
    <w:pPr>
      <w:keepNext/>
      <w:numPr>
        <w:ilvl w:val="7"/>
        <w:numId w:val="1"/>
      </w:numPr>
      <w:spacing w:before="400"/>
      <w:jc w:val="left"/>
      <w:outlineLvl w:val="7"/>
    </w:pPr>
    <w:rPr>
      <w:b/>
      <w:color w:val="008CD2"/>
      <w:sz w:val="26"/>
    </w:rPr>
  </w:style>
  <w:style w:type="paragraph" w:styleId="Heading9">
    <w:name w:val="heading 9"/>
    <w:aliases w:val="DissHeadingNoNumber"/>
    <w:basedOn w:val="Normal"/>
    <w:next w:val="Heading8"/>
    <w:link w:val="Heading9Char"/>
    <w:uiPriority w:val="9"/>
    <w:qFormat/>
    <w:rsid w:val="009C667D"/>
    <w:pPr>
      <w:keepNext/>
      <w:keepLines/>
      <w:numPr>
        <w:ilvl w:val="8"/>
        <w:numId w:val="1"/>
      </w:numPr>
      <w:spacing w:before="400"/>
      <w:jc w:val="left"/>
      <w:outlineLvl w:val="8"/>
    </w:pPr>
    <w:rPr>
      <w:b/>
      <w:color w:val="008CD2"/>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rafik">
    <w:name w:val="Grafik"/>
    <w:basedOn w:val="Normal"/>
    <w:next w:val="Quelle"/>
    <w:qFormat/>
    <w:rsid w:val="00BC0CCC"/>
    <w:pPr>
      <w:keepNext/>
      <w:tabs>
        <w:tab w:val="left" w:pos="1985"/>
      </w:tabs>
      <w:spacing w:before="0"/>
    </w:pPr>
  </w:style>
  <w:style w:type="paragraph" w:styleId="FootnoteText">
    <w:name w:val="footnote text"/>
    <w:aliases w:val="DissFootnote Text"/>
    <w:basedOn w:val="Normal"/>
    <w:link w:val="FootnoteTextChar"/>
    <w:uiPriority w:val="99"/>
    <w:qFormat/>
    <w:rsid w:val="000358AD"/>
    <w:pPr>
      <w:tabs>
        <w:tab w:val="left" w:pos="284"/>
      </w:tabs>
      <w:spacing w:before="80" w:line="200" w:lineRule="atLeast"/>
      <w:ind w:left="284" w:hanging="284"/>
    </w:pPr>
    <w:rPr>
      <w:color w:val="595959"/>
      <w:position w:val="2"/>
      <w:sz w:val="18"/>
    </w:rPr>
  </w:style>
  <w:style w:type="character" w:styleId="FootnoteReference">
    <w:name w:val="footnote reference"/>
    <w:basedOn w:val="DefaultParagraphFont"/>
    <w:rsid w:val="000358AD"/>
    <w:rPr>
      <w:rFonts w:ascii="Calibri" w:hAnsi="Calibri"/>
      <w:b/>
      <w:noProof w:val="0"/>
      <w:color w:val="008CD2"/>
      <w:position w:val="2"/>
      <w:sz w:val="19"/>
      <w:vertAlign w:val="superscript"/>
      <w:lang w:val="de-DE"/>
    </w:rPr>
  </w:style>
  <w:style w:type="paragraph" w:styleId="Footer">
    <w:name w:val="footer"/>
    <w:basedOn w:val="Normal"/>
    <w:next w:val="Normal"/>
    <w:link w:val="FooterChar"/>
    <w:uiPriority w:val="99"/>
    <w:rsid w:val="007274C8"/>
    <w:pPr>
      <w:tabs>
        <w:tab w:val="right" w:pos="9498"/>
      </w:tabs>
      <w:spacing w:before="0" w:line="240" w:lineRule="auto"/>
      <w:ind w:left="12" w:firstLine="1"/>
      <w:jc w:val="left"/>
    </w:pPr>
    <w:rPr>
      <w:sz w:val="18"/>
    </w:rPr>
  </w:style>
  <w:style w:type="paragraph" w:styleId="Header">
    <w:name w:val="header"/>
    <w:basedOn w:val="Normal"/>
    <w:link w:val="HeaderChar"/>
    <w:uiPriority w:val="99"/>
    <w:qFormat/>
    <w:rsid w:val="007274C8"/>
    <w:pPr>
      <w:tabs>
        <w:tab w:val="right" w:pos="9526"/>
      </w:tabs>
      <w:spacing w:before="0" w:line="240" w:lineRule="exact"/>
      <w:jc w:val="left"/>
    </w:pPr>
    <w:rPr>
      <w:color w:val="000000" w:themeColor="text1"/>
      <w:sz w:val="18"/>
    </w:rPr>
  </w:style>
  <w:style w:type="paragraph" w:customStyle="1" w:styleId="Literatur">
    <w:name w:val="Literatur"/>
    <w:basedOn w:val="Normal"/>
    <w:autoRedefine/>
    <w:qFormat/>
    <w:rsid w:val="00F52C57"/>
    <w:pPr>
      <w:tabs>
        <w:tab w:val="left" w:pos="1134"/>
      </w:tabs>
      <w:spacing w:before="80" w:line="240" w:lineRule="exact"/>
      <w:ind w:left="567" w:hanging="567"/>
    </w:pPr>
    <w:rPr>
      <w:color w:val="595959"/>
      <w:sz w:val="20"/>
    </w:rPr>
  </w:style>
  <w:style w:type="paragraph" w:customStyle="1" w:styleId="Titelberschrift">
    <w:name w:val="Titelüberschrift"/>
    <w:basedOn w:val="Normal"/>
    <w:next w:val="Normal"/>
    <w:qFormat/>
    <w:rsid w:val="00F75D82"/>
    <w:pPr>
      <w:tabs>
        <w:tab w:val="left" w:pos="425"/>
      </w:tabs>
      <w:spacing w:before="0"/>
    </w:pPr>
    <w:rPr>
      <w:b/>
      <w:color w:val="008CD2"/>
      <w:sz w:val="32"/>
    </w:rPr>
  </w:style>
  <w:style w:type="paragraph" w:styleId="TOC1">
    <w:name w:val="toc 1"/>
    <w:basedOn w:val="Normal"/>
    <w:next w:val="Normal"/>
    <w:autoRedefine/>
    <w:uiPriority w:val="39"/>
    <w:qFormat/>
    <w:rsid w:val="005E6E88"/>
    <w:pPr>
      <w:tabs>
        <w:tab w:val="left" w:pos="425"/>
        <w:tab w:val="right" w:pos="9526"/>
      </w:tabs>
      <w:spacing w:before="120"/>
      <w:ind w:left="425" w:hanging="425"/>
      <w:jc w:val="left"/>
    </w:pPr>
    <w:rPr>
      <w:b/>
    </w:rPr>
  </w:style>
  <w:style w:type="paragraph" w:styleId="TOC2">
    <w:name w:val="toc 2"/>
    <w:basedOn w:val="Normal"/>
    <w:next w:val="Normal"/>
    <w:autoRedefine/>
    <w:uiPriority w:val="39"/>
    <w:rsid w:val="00816EF8"/>
    <w:pPr>
      <w:tabs>
        <w:tab w:val="left" w:pos="1134"/>
        <w:tab w:val="right" w:pos="9526"/>
      </w:tabs>
      <w:spacing w:before="60"/>
      <w:ind w:left="1134" w:hanging="709"/>
      <w:jc w:val="left"/>
    </w:pPr>
    <w:rPr>
      <w:color w:val="000000" w:themeColor="text1"/>
    </w:rPr>
  </w:style>
  <w:style w:type="paragraph" w:styleId="TOC3">
    <w:name w:val="toc 3"/>
    <w:basedOn w:val="Normal"/>
    <w:next w:val="Normal"/>
    <w:autoRedefine/>
    <w:uiPriority w:val="39"/>
    <w:rsid w:val="00816EF8"/>
    <w:pPr>
      <w:tabs>
        <w:tab w:val="left" w:pos="1985"/>
        <w:tab w:val="right" w:pos="9526"/>
      </w:tabs>
      <w:spacing w:before="0"/>
      <w:ind w:left="1985" w:hanging="851"/>
      <w:jc w:val="left"/>
    </w:pPr>
    <w:rPr>
      <w:color w:val="000000" w:themeColor="text1"/>
    </w:rPr>
  </w:style>
  <w:style w:type="character" w:customStyle="1" w:styleId="HeaderChar">
    <w:name w:val="Header Char"/>
    <w:basedOn w:val="DefaultParagraphFont"/>
    <w:link w:val="Header"/>
    <w:uiPriority w:val="99"/>
    <w:locked/>
    <w:rsid w:val="007274C8"/>
    <w:rPr>
      <w:rFonts w:ascii="Calibri" w:hAnsi="Calibri"/>
      <w:color w:val="000000" w:themeColor="text1"/>
      <w:sz w:val="18"/>
    </w:rPr>
  </w:style>
  <w:style w:type="paragraph" w:customStyle="1" w:styleId="berschriftohneNum">
    <w:name w:val="Überschrift ohne Num."/>
    <w:basedOn w:val="Heading1"/>
    <w:next w:val="Normal"/>
    <w:link w:val="berschriftohneNumZchn"/>
    <w:qFormat/>
    <w:rsid w:val="00730001"/>
  </w:style>
  <w:style w:type="paragraph" w:customStyle="1" w:styleId="Zwischenberschriftbold">
    <w:name w:val="Zwischenüberschrift bold"/>
    <w:basedOn w:val="Normal"/>
    <w:next w:val="Normal"/>
    <w:qFormat/>
    <w:rsid w:val="00F75D82"/>
    <w:pPr>
      <w:keepNext/>
      <w:spacing w:before="320"/>
    </w:pPr>
    <w:rPr>
      <w:b/>
    </w:rPr>
  </w:style>
  <w:style w:type="paragraph" w:customStyle="1" w:styleId="Zwischenberschriftkursiv">
    <w:name w:val="Zwischenüberschrift kursiv"/>
    <w:basedOn w:val="Zwischenberschriftbold"/>
    <w:next w:val="Normal"/>
    <w:qFormat/>
    <w:rsid w:val="00E3276E"/>
    <w:rPr>
      <w:b w:val="0"/>
      <w:i/>
    </w:rPr>
  </w:style>
  <w:style w:type="paragraph" w:customStyle="1" w:styleId="Quelle">
    <w:name w:val="Quelle"/>
    <w:basedOn w:val="Normal"/>
    <w:next w:val="NachAbbTab"/>
    <w:link w:val="QuelleZchn"/>
    <w:qFormat/>
    <w:rsid w:val="006B07F6"/>
    <w:pPr>
      <w:spacing w:before="120" w:line="200" w:lineRule="atLeast"/>
    </w:pPr>
    <w:rPr>
      <w:color w:val="626262"/>
      <w:sz w:val="18"/>
    </w:rPr>
  </w:style>
  <w:style w:type="character" w:customStyle="1" w:styleId="Heading1Char">
    <w:name w:val="Heading 1 Char"/>
    <w:aliases w:val="1DissHeading Char"/>
    <w:basedOn w:val="DefaultParagraphFont"/>
    <w:link w:val="Heading1"/>
    <w:uiPriority w:val="9"/>
    <w:rsid w:val="00790F77"/>
    <w:rPr>
      <w:rFonts w:ascii="Calibri" w:hAnsi="Calibri"/>
      <w:b/>
      <w:sz w:val="26"/>
    </w:rPr>
  </w:style>
  <w:style w:type="character" w:customStyle="1" w:styleId="Heading2Char">
    <w:name w:val="Heading 2 Char"/>
    <w:aliases w:val="2DissHeading Char"/>
    <w:basedOn w:val="DefaultParagraphFont"/>
    <w:link w:val="Heading2"/>
    <w:rsid w:val="00FD060A"/>
    <w:rPr>
      <w:rFonts w:ascii="Calibri" w:hAnsi="Calibri"/>
      <w:b/>
      <w:sz w:val="24"/>
      <w:lang w:val="en-US"/>
    </w:rPr>
  </w:style>
  <w:style w:type="character" w:customStyle="1" w:styleId="Heading3Char">
    <w:name w:val="Heading 3 Char"/>
    <w:aliases w:val="3DissHeading Char"/>
    <w:basedOn w:val="DefaultParagraphFont"/>
    <w:link w:val="Heading3"/>
    <w:rsid w:val="009C667D"/>
    <w:rPr>
      <w:rFonts w:ascii="Calibri" w:hAnsi="Calibri"/>
      <w:b/>
      <w:color w:val="008CD2"/>
      <w:sz w:val="26"/>
    </w:rPr>
  </w:style>
  <w:style w:type="character" w:customStyle="1" w:styleId="Heading4Char">
    <w:name w:val="Heading 4 Char"/>
    <w:aliases w:val="4DissHeading Char"/>
    <w:basedOn w:val="DefaultParagraphFont"/>
    <w:link w:val="Heading4"/>
    <w:uiPriority w:val="9"/>
    <w:rsid w:val="009C667D"/>
    <w:rPr>
      <w:rFonts w:ascii="Calibri" w:hAnsi="Calibri"/>
      <w:b/>
      <w:color w:val="008CD2"/>
      <w:sz w:val="26"/>
    </w:rPr>
  </w:style>
  <w:style w:type="character" w:customStyle="1" w:styleId="Heading5Char">
    <w:name w:val="Heading 5 Char"/>
    <w:aliases w:val="5DissHeading Char"/>
    <w:basedOn w:val="DefaultParagraphFont"/>
    <w:link w:val="Heading5"/>
    <w:uiPriority w:val="9"/>
    <w:rsid w:val="009C667D"/>
    <w:rPr>
      <w:rFonts w:ascii="Calibri" w:hAnsi="Calibri"/>
      <w:b/>
      <w:color w:val="008CD2"/>
      <w:sz w:val="26"/>
    </w:rPr>
  </w:style>
  <w:style w:type="character" w:customStyle="1" w:styleId="Heading6Char">
    <w:name w:val="Heading 6 Char"/>
    <w:basedOn w:val="DefaultParagraphFont"/>
    <w:link w:val="Heading6"/>
    <w:uiPriority w:val="9"/>
    <w:rsid w:val="009C667D"/>
    <w:rPr>
      <w:rFonts w:ascii="Calibri" w:hAnsi="Calibri"/>
      <w:b/>
      <w:color w:val="008CD2"/>
      <w:sz w:val="26"/>
    </w:rPr>
  </w:style>
  <w:style w:type="character" w:customStyle="1" w:styleId="Heading7Char">
    <w:name w:val="Heading 7 Char"/>
    <w:basedOn w:val="DefaultParagraphFont"/>
    <w:link w:val="Heading7"/>
    <w:uiPriority w:val="9"/>
    <w:rsid w:val="009C667D"/>
    <w:rPr>
      <w:rFonts w:ascii="Calibri" w:hAnsi="Calibri"/>
      <w:b/>
      <w:color w:val="008CD2"/>
      <w:sz w:val="26"/>
    </w:rPr>
  </w:style>
  <w:style w:type="character" w:customStyle="1" w:styleId="Heading8Char">
    <w:name w:val="Heading 8 Char"/>
    <w:basedOn w:val="DefaultParagraphFont"/>
    <w:link w:val="Heading8"/>
    <w:uiPriority w:val="9"/>
    <w:rsid w:val="009C667D"/>
    <w:rPr>
      <w:rFonts w:ascii="Calibri" w:hAnsi="Calibri"/>
      <w:b/>
      <w:color w:val="008CD2"/>
      <w:sz w:val="26"/>
    </w:rPr>
  </w:style>
  <w:style w:type="character" w:customStyle="1" w:styleId="Heading9Char">
    <w:name w:val="Heading 9 Char"/>
    <w:aliases w:val="DissHeadingNoNumber Char"/>
    <w:basedOn w:val="DefaultParagraphFont"/>
    <w:link w:val="Heading9"/>
    <w:uiPriority w:val="9"/>
    <w:rsid w:val="009C667D"/>
    <w:rPr>
      <w:rFonts w:ascii="Calibri" w:hAnsi="Calibri"/>
      <w:b/>
      <w:color w:val="008CD2"/>
      <w:sz w:val="26"/>
    </w:rPr>
  </w:style>
  <w:style w:type="character" w:customStyle="1" w:styleId="FootnoteTextChar">
    <w:name w:val="Footnote Text Char"/>
    <w:aliases w:val="DissFootnote Text Char"/>
    <w:basedOn w:val="DefaultParagraphFont"/>
    <w:link w:val="FootnoteText"/>
    <w:uiPriority w:val="99"/>
    <w:rsid w:val="000358AD"/>
    <w:rPr>
      <w:rFonts w:ascii="Calibri" w:hAnsi="Calibri"/>
      <w:color w:val="595959"/>
      <w:position w:val="2"/>
      <w:sz w:val="18"/>
    </w:rPr>
  </w:style>
  <w:style w:type="character" w:customStyle="1" w:styleId="FooterChar">
    <w:name w:val="Footer Char"/>
    <w:basedOn w:val="DefaultParagraphFont"/>
    <w:link w:val="Footer"/>
    <w:uiPriority w:val="99"/>
    <w:rsid w:val="007274C8"/>
    <w:rPr>
      <w:rFonts w:ascii="Calibri" w:hAnsi="Calibri"/>
      <w:sz w:val="18"/>
    </w:rPr>
  </w:style>
  <w:style w:type="paragraph" w:styleId="TOCHeading">
    <w:name w:val="TOC Heading"/>
    <w:basedOn w:val="Normal"/>
    <w:next w:val="Normal"/>
    <w:uiPriority w:val="39"/>
    <w:qFormat/>
    <w:rsid w:val="006962C8"/>
    <w:pPr>
      <w:keepLines/>
      <w:spacing w:before="400" w:after="240"/>
    </w:pPr>
    <w:rPr>
      <w:b/>
      <w:bCs/>
      <w:color w:val="008CD2"/>
      <w:sz w:val="26"/>
      <w:szCs w:val="28"/>
    </w:rPr>
  </w:style>
  <w:style w:type="paragraph" w:styleId="Revision">
    <w:name w:val="Revision"/>
    <w:hidden/>
    <w:uiPriority w:val="99"/>
    <w:semiHidden/>
    <w:rsid w:val="00B7697C"/>
    <w:rPr>
      <w:rFonts w:ascii="Times New Roman" w:hAnsi="Times New Roman"/>
      <w:spacing w:val="4"/>
      <w:sz w:val="24"/>
    </w:rPr>
  </w:style>
  <w:style w:type="character" w:customStyle="1" w:styleId="QuelleZchn">
    <w:name w:val="Quelle Zchn"/>
    <w:link w:val="Quelle"/>
    <w:rsid w:val="006B07F6"/>
    <w:rPr>
      <w:rFonts w:ascii="Calibri" w:hAnsi="Calibri"/>
      <w:color w:val="626262"/>
      <w:sz w:val="18"/>
    </w:rPr>
  </w:style>
  <w:style w:type="character" w:styleId="PlaceholderText">
    <w:name w:val="Placeholder Text"/>
    <w:basedOn w:val="DefaultParagraphFont"/>
    <w:uiPriority w:val="99"/>
    <w:semiHidden/>
    <w:rsid w:val="00726E75"/>
    <w:rPr>
      <w:color w:val="808080"/>
    </w:rPr>
  </w:style>
  <w:style w:type="table" w:styleId="TableGrid">
    <w:name w:val="Table Grid"/>
    <w:basedOn w:val="TableNormal"/>
    <w:rsid w:val="00BC79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ntext">
    <w:name w:val="Tabellentext"/>
    <w:basedOn w:val="Normal"/>
    <w:qFormat/>
    <w:rsid w:val="00442636"/>
    <w:pPr>
      <w:spacing w:before="20" w:after="20" w:line="240" w:lineRule="auto"/>
      <w:jc w:val="left"/>
    </w:pPr>
    <w:rPr>
      <w:color w:val="000000" w:themeColor="text1"/>
      <w:sz w:val="20"/>
    </w:rPr>
  </w:style>
  <w:style w:type="paragraph" w:customStyle="1" w:styleId="NachAbbTab">
    <w:name w:val="Nach_Abb+Tab"/>
    <w:basedOn w:val="Normal"/>
    <w:next w:val="Normal"/>
    <w:link w:val="NachAbbTabZchn"/>
    <w:qFormat/>
    <w:rsid w:val="009C7647"/>
    <w:pPr>
      <w:spacing w:before="240"/>
    </w:pPr>
  </w:style>
  <w:style w:type="character" w:customStyle="1" w:styleId="NachAbbTabZchn">
    <w:name w:val="Nach_Abb+Tab Zchn"/>
    <w:link w:val="NachAbbTab"/>
    <w:rsid w:val="009C7647"/>
    <w:rPr>
      <w:rFonts w:ascii="Calibri" w:hAnsi="Calibri"/>
      <w:sz w:val="22"/>
    </w:rPr>
  </w:style>
  <w:style w:type="character" w:styleId="CommentReference">
    <w:name w:val="annotation reference"/>
    <w:basedOn w:val="DefaultParagraphFont"/>
    <w:uiPriority w:val="99"/>
    <w:unhideWhenUsed/>
    <w:qFormat/>
    <w:rsid w:val="000155C5"/>
    <w:rPr>
      <w:sz w:val="16"/>
      <w:szCs w:val="16"/>
    </w:rPr>
  </w:style>
  <w:style w:type="paragraph" w:styleId="CommentSubject">
    <w:name w:val="annotation subject"/>
    <w:basedOn w:val="Normal"/>
    <w:next w:val="Normal"/>
    <w:link w:val="CommentSubjectChar"/>
    <w:uiPriority w:val="99"/>
    <w:unhideWhenUsed/>
    <w:rsid w:val="00D26905"/>
    <w:pPr>
      <w:spacing w:line="240" w:lineRule="auto"/>
    </w:pPr>
    <w:rPr>
      <w:b/>
      <w:bCs/>
      <w:sz w:val="20"/>
    </w:rPr>
  </w:style>
  <w:style w:type="character" w:customStyle="1" w:styleId="CommentSubjectChar">
    <w:name w:val="Comment Subject Char"/>
    <w:basedOn w:val="DefaultParagraphFont"/>
    <w:link w:val="CommentSubject"/>
    <w:uiPriority w:val="99"/>
    <w:rsid w:val="00D26905"/>
    <w:rPr>
      <w:rFonts w:ascii="Calibri" w:hAnsi="Calibri"/>
      <w:b/>
      <w:bCs/>
    </w:rPr>
  </w:style>
  <w:style w:type="character" w:customStyle="1" w:styleId="Autor">
    <w:name w:val="Autor"/>
    <w:basedOn w:val="DefaultParagraphFont"/>
    <w:qFormat/>
    <w:rsid w:val="009D59E6"/>
    <w:rPr>
      <w:rFonts w:ascii="Calibri" w:hAnsi="Calibri"/>
      <w:caps w:val="0"/>
      <w:smallCaps/>
      <w:color w:val="000000" w:themeColor="text1"/>
      <w:sz w:val="24"/>
    </w:rPr>
  </w:style>
  <w:style w:type="numbering" w:customStyle="1" w:styleId="Formatvorlage1">
    <w:name w:val="Formatvorlage1"/>
    <w:uiPriority w:val="99"/>
    <w:rsid w:val="00D614EC"/>
  </w:style>
  <w:style w:type="paragraph" w:customStyle="1" w:styleId="Liste-1">
    <w:name w:val="Liste-1"/>
    <w:basedOn w:val="Normal"/>
    <w:qFormat/>
    <w:rsid w:val="00D614EC"/>
    <w:pPr>
      <w:numPr>
        <w:numId w:val="2"/>
      </w:numPr>
      <w:tabs>
        <w:tab w:val="left" w:pos="567"/>
      </w:tabs>
      <w:spacing w:before="80"/>
    </w:pPr>
  </w:style>
  <w:style w:type="numbering" w:customStyle="1" w:styleId="Formatvorlage2">
    <w:name w:val="Formatvorlage2"/>
    <w:uiPriority w:val="99"/>
    <w:rsid w:val="00D614EC"/>
    <w:pPr>
      <w:numPr>
        <w:numId w:val="3"/>
      </w:numPr>
    </w:pPr>
  </w:style>
  <w:style w:type="numbering" w:customStyle="1" w:styleId="Formatvorlage3">
    <w:name w:val="Formatvorlage3"/>
    <w:uiPriority w:val="99"/>
    <w:rsid w:val="00D614EC"/>
    <w:pPr>
      <w:numPr>
        <w:numId w:val="4"/>
      </w:numPr>
    </w:pPr>
  </w:style>
  <w:style w:type="paragraph" w:customStyle="1" w:styleId="Liste-2">
    <w:name w:val="Liste-2"/>
    <w:basedOn w:val="Liste-1"/>
    <w:qFormat/>
    <w:rsid w:val="00D614EC"/>
    <w:pPr>
      <w:numPr>
        <w:numId w:val="6"/>
      </w:numPr>
    </w:pPr>
  </w:style>
  <w:style w:type="paragraph" w:customStyle="1" w:styleId="Liste-3">
    <w:name w:val="Liste-3"/>
    <w:basedOn w:val="Liste-2"/>
    <w:qFormat/>
    <w:rsid w:val="00D614EC"/>
    <w:pPr>
      <w:numPr>
        <w:numId w:val="7"/>
      </w:numPr>
      <w:tabs>
        <w:tab w:val="clear" w:pos="567"/>
      </w:tabs>
    </w:pPr>
  </w:style>
  <w:style w:type="character" w:styleId="FollowedHyperlink">
    <w:name w:val="FollowedHyperlink"/>
    <w:basedOn w:val="DefaultParagraphFont"/>
    <w:uiPriority w:val="99"/>
    <w:unhideWhenUsed/>
    <w:rsid w:val="009C7647"/>
    <w:rPr>
      <w:color w:val="800080" w:themeColor="followedHyperlink"/>
      <w:u w:val="single"/>
    </w:rPr>
  </w:style>
  <w:style w:type="table" w:customStyle="1" w:styleId="Thnen-Tabelle2">
    <w:name w:val="Thünen-Tabelle 2"/>
    <w:basedOn w:val="TableNormal"/>
    <w:uiPriority w:val="99"/>
    <w:rsid w:val="0096678C"/>
    <w:rPr>
      <w:rFonts w:ascii="Calibri" w:hAnsi="Calibri"/>
      <w:color w:val="000000" w:themeColor="text1"/>
    </w:rPr>
    <w:tblPr>
      <w:tblStyleRowBandSize w:val="1"/>
    </w:tblPr>
    <w:tblStylePr w:type="firstRow">
      <w:rPr>
        <w:b/>
        <w:color w:val="FFFFFF" w:themeColor="background1"/>
      </w:rPr>
      <w:tblPr/>
      <w:tcPr>
        <w:shd w:val="clear" w:color="auto" w:fill="008CD2"/>
      </w:tcPr>
    </w:tblStylePr>
    <w:tblStylePr w:type="band1Horz">
      <w:tblPr/>
      <w:tcPr>
        <w:shd w:val="clear" w:color="auto" w:fill="F2F2F2" w:themeFill="background1" w:themeFillShade="F2"/>
      </w:tcPr>
    </w:tblStylePr>
    <w:tblStylePr w:type="band2Horz">
      <w:tblPr/>
      <w:tcPr>
        <w:shd w:val="clear" w:color="auto" w:fill="D9D9D9" w:themeFill="background1" w:themeFillShade="D9"/>
      </w:tcPr>
    </w:tblStylePr>
  </w:style>
  <w:style w:type="character" w:customStyle="1" w:styleId="NichtaufgelsteErwhnung1">
    <w:name w:val="Nicht aufgelöste Erwähnung1"/>
    <w:basedOn w:val="DefaultParagraphFont"/>
    <w:uiPriority w:val="99"/>
    <w:semiHidden/>
    <w:unhideWhenUsed/>
    <w:rsid w:val="009C7647"/>
    <w:rPr>
      <w:color w:val="605E5C"/>
      <w:shd w:val="clear" w:color="auto" w:fill="E1DFDD"/>
    </w:rPr>
  </w:style>
  <w:style w:type="character" w:customStyle="1" w:styleId="berschriftohneNumZchn">
    <w:name w:val="Überschrift ohne Num. Zchn"/>
    <w:basedOn w:val="DefaultParagraphFont"/>
    <w:link w:val="berschriftohneNum"/>
    <w:rsid w:val="00730001"/>
    <w:rPr>
      <w:rFonts w:ascii="Calibri" w:hAnsi="Calibri"/>
      <w:b/>
      <w:color w:val="008CD2"/>
      <w:sz w:val="28"/>
    </w:rPr>
  </w:style>
  <w:style w:type="table" w:styleId="LightList">
    <w:name w:val="Light List"/>
    <w:basedOn w:val="TableNormal"/>
    <w:uiPriority w:val="61"/>
    <w:rsid w:val="00CC166B"/>
    <w:rPr>
      <w:rFonts w:asciiTheme="minorHAnsi" w:eastAsiaTheme="minorEastAsia"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Table6Colorful-Accent5">
    <w:name w:val="List Table 6 Colorful Accent 5"/>
    <w:basedOn w:val="TableNormal"/>
    <w:uiPriority w:val="51"/>
    <w:rsid w:val="00CC166B"/>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ghtShading-Accent1">
    <w:name w:val="Light Shading Accent 1"/>
    <w:basedOn w:val="TableNormal"/>
    <w:uiPriority w:val="60"/>
    <w:rsid w:val="00CC166B"/>
    <w:rPr>
      <w:rFonts w:asciiTheme="minorHAnsi" w:eastAsiaTheme="minorEastAsia" w:hAnsiTheme="minorHAnsi" w:cstheme="minorBidi"/>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Thnen-Tabelle1">
    <w:name w:val="Thünen-Tabelle 1"/>
    <w:basedOn w:val="TableNormal"/>
    <w:uiPriority w:val="99"/>
    <w:rsid w:val="00D26905"/>
    <w:rPr>
      <w:rFonts w:ascii="Calibri" w:hAnsi="Calibri"/>
      <w:color w:val="000000" w:themeColor="text1"/>
    </w:rPr>
    <w:tblPr>
      <w:tblBorders>
        <w:top w:val="single" w:sz="4" w:space="0" w:color="000000" w:themeColor="text1"/>
        <w:bottom w:val="single" w:sz="4" w:space="0" w:color="000000" w:themeColor="text1"/>
      </w:tblBorders>
    </w:tblPr>
    <w:tcPr>
      <w:vAlign w:val="center"/>
    </w:tcPr>
    <w:tblStylePr w:type="firstRow">
      <w:tblPr/>
      <w:tcPr>
        <w:tcBorders>
          <w:top w:val="single" w:sz="4" w:space="0" w:color="000000" w:themeColor="text1"/>
          <w:bottom w:val="single" w:sz="4" w:space="0" w:color="000000" w:themeColor="text1"/>
        </w:tcBorders>
      </w:tcPr>
    </w:tblStylePr>
  </w:style>
  <w:style w:type="paragraph" w:styleId="Caption">
    <w:name w:val="caption"/>
    <w:aliases w:val="DissCaption"/>
    <w:basedOn w:val="Normal"/>
    <w:next w:val="Normal"/>
    <w:link w:val="CaptionChar"/>
    <w:uiPriority w:val="35"/>
    <w:unhideWhenUsed/>
    <w:qFormat/>
    <w:rsid w:val="00157C13"/>
    <w:pPr>
      <w:keepNext/>
      <w:tabs>
        <w:tab w:val="left" w:pos="1418"/>
        <w:tab w:val="left" w:pos="2127"/>
      </w:tabs>
      <w:spacing w:before="0" w:after="120"/>
    </w:pPr>
    <w:rPr>
      <w:b/>
      <w:i/>
      <w:sz w:val="20"/>
    </w:rPr>
  </w:style>
  <w:style w:type="character" w:styleId="Hyperlink">
    <w:name w:val="Hyperlink"/>
    <w:basedOn w:val="DefaultParagraphFont"/>
    <w:uiPriority w:val="99"/>
    <w:unhideWhenUsed/>
    <w:rsid w:val="007274C8"/>
    <w:rPr>
      <w:color w:val="0000FF" w:themeColor="hyperlink"/>
      <w:u w:val="single"/>
    </w:rPr>
  </w:style>
  <w:style w:type="numbering" w:customStyle="1" w:styleId="NoList1">
    <w:name w:val="No List1"/>
    <w:next w:val="NoList"/>
    <w:uiPriority w:val="99"/>
    <w:semiHidden/>
    <w:unhideWhenUsed/>
    <w:rsid w:val="00A45E44"/>
  </w:style>
  <w:style w:type="paragraph" w:styleId="ListParagraph">
    <w:name w:val="List Paragraph"/>
    <w:basedOn w:val="Normal"/>
    <w:link w:val="ListParagraphChar"/>
    <w:uiPriority w:val="34"/>
    <w:qFormat/>
    <w:rsid w:val="00A45E44"/>
    <w:pPr>
      <w:suppressAutoHyphens w:val="0"/>
      <w:spacing w:before="0" w:after="120"/>
      <w:ind w:left="720"/>
      <w:contextualSpacing/>
    </w:pPr>
    <w:rPr>
      <w:rFonts w:eastAsia="Calibri" w:cs="Arial"/>
      <w:szCs w:val="22"/>
      <w:lang w:val="en-US" w:eastAsia="en-US"/>
    </w:rPr>
  </w:style>
  <w:style w:type="paragraph" w:styleId="CommentText">
    <w:name w:val="annotation text"/>
    <w:basedOn w:val="Normal"/>
    <w:link w:val="CommentTextChar"/>
    <w:uiPriority w:val="99"/>
    <w:unhideWhenUsed/>
    <w:rsid w:val="00A45E44"/>
    <w:pPr>
      <w:suppressAutoHyphens w:val="0"/>
      <w:spacing w:before="0" w:after="120" w:line="240" w:lineRule="auto"/>
    </w:pPr>
    <w:rPr>
      <w:rFonts w:eastAsia="Calibri" w:cs="Arial"/>
      <w:sz w:val="20"/>
      <w:lang w:val="en-US" w:eastAsia="en-US"/>
    </w:rPr>
  </w:style>
  <w:style w:type="character" w:customStyle="1" w:styleId="CommentTextChar">
    <w:name w:val="Comment Text Char"/>
    <w:basedOn w:val="DefaultParagraphFont"/>
    <w:link w:val="CommentText"/>
    <w:uiPriority w:val="99"/>
    <w:rsid w:val="00A45E44"/>
    <w:rPr>
      <w:rFonts w:ascii="Calibri" w:eastAsia="Calibri" w:hAnsi="Calibri" w:cs="Arial"/>
      <w:lang w:val="en-US" w:eastAsia="en-US"/>
    </w:rPr>
  </w:style>
  <w:style w:type="paragraph" w:styleId="BalloonText">
    <w:name w:val="Balloon Text"/>
    <w:basedOn w:val="Normal"/>
    <w:link w:val="BalloonTextChar"/>
    <w:uiPriority w:val="99"/>
    <w:unhideWhenUsed/>
    <w:rsid w:val="00A45E44"/>
    <w:pPr>
      <w:suppressAutoHyphens w:val="0"/>
      <w:spacing w:before="0" w:line="240" w:lineRule="auto"/>
    </w:pPr>
    <w:rPr>
      <w:rFonts w:ascii="Segoe UI" w:eastAsia="Calibri" w:hAnsi="Segoe UI" w:cs="Segoe UI"/>
      <w:sz w:val="18"/>
      <w:szCs w:val="18"/>
      <w:lang w:val="en-US" w:eastAsia="en-US"/>
    </w:rPr>
  </w:style>
  <w:style w:type="character" w:customStyle="1" w:styleId="BalloonTextChar">
    <w:name w:val="Balloon Text Char"/>
    <w:basedOn w:val="DefaultParagraphFont"/>
    <w:link w:val="BalloonText"/>
    <w:uiPriority w:val="99"/>
    <w:rsid w:val="00A45E44"/>
    <w:rPr>
      <w:rFonts w:ascii="Segoe UI" w:eastAsia="Calibri" w:hAnsi="Segoe UI" w:cs="Segoe UI"/>
      <w:sz w:val="18"/>
      <w:szCs w:val="18"/>
      <w:lang w:val="en-US" w:eastAsia="en-US"/>
    </w:rPr>
  </w:style>
  <w:style w:type="paragraph" w:styleId="NormalWeb">
    <w:name w:val="Normal (Web)"/>
    <w:basedOn w:val="Normal"/>
    <w:uiPriority w:val="99"/>
    <w:unhideWhenUsed/>
    <w:rsid w:val="00A45E44"/>
    <w:pPr>
      <w:suppressAutoHyphens w:val="0"/>
      <w:spacing w:before="100" w:beforeAutospacing="1" w:after="100" w:afterAutospacing="1" w:line="240" w:lineRule="auto"/>
    </w:pPr>
    <w:rPr>
      <w:rFonts w:ascii="Times New Roman" w:hAnsi="Times New Roman"/>
      <w:sz w:val="24"/>
      <w:szCs w:val="24"/>
    </w:rPr>
  </w:style>
  <w:style w:type="table" w:customStyle="1" w:styleId="TableGrid1">
    <w:name w:val="Table Grid1"/>
    <w:basedOn w:val="TableNormal"/>
    <w:next w:val="TableGrid"/>
    <w:uiPriority w:val="39"/>
    <w:rsid w:val="00A45E4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A45E44"/>
  </w:style>
  <w:style w:type="character" w:styleId="LineNumber">
    <w:name w:val="line number"/>
    <w:basedOn w:val="DefaultParagraphFont"/>
    <w:uiPriority w:val="99"/>
    <w:unhideWhenUsed/>
    <w:rsid w:val="00A45E44"/>
  </w:style>
  <w:style w:type="paragraph" w:customStyle="1" w:styleId="Default">
    <w:name w:val="Default"/>
    <w:rsid w:val="00A45E44"/>
    <w:pPr>
      <w:autoSpaceDE w:val="0"/>
      <w:autoSpaceDN w:val="0"/>
      <w:adjustRightInd w:val="0"/>
    </w:pPr>
    <w:rPr>
      <w:rFonts w:ascii="Arial" w:eastAsia="Calibri" w:hAnsi="Arial" w:cs="Arial"/>
      <w:color w:val="000000"/>
      <w:sz w:val="24"/>
      <w:szCs w:val="24"/>
      <w:lang w:val="en-US" w:eastAsia="en-US"/>
    </w:rPr>
  </w:style>
  <w:style w:type="character" w:customStyle="1" w:styleId="identifier">
    <w:name w:val="identifier"/>
    <w:basedOn w:val="DefaultParagraphFont"/>
    <w:rsid w:val="00A45E44"/>
  </w:style>
  <w:style w:type="character" w:customStyle="1" w:styleId="id-label">
    <w:name w:val="id-label"/>
    <w:basedOn w:val="DefaultParagraphFont"/>
    <w:rsid w:val="00A45E44"/>
  </w:style>
  <w:style w:type="character" w:styleId="UnresolvedMention">
    <w:name w:val="Unresolved Mention"/>
    <w:basedOn w:val="DefaultParagraphFont"/>
    <w:uiPriority w:val="99"/>
    <w:semiHidden/>
    <w:unhideWhenUsed/>
    <w:rsid w:val="00A45E44"/>
    <w:rPr>
      <w:color w:val="605E5C"/>
      <w:shd w:val="clear" w:color="auto" w:fill="E1DFDD"/>
    </w:rPr>
  </w:style>
  <w:style w:type="character" w:customStyle="1" w:styleId="cf01">
    <w:name w:val="cf01"/>
    <w:basedOn w:val="DefaultParagraphFont"/>
    <w:rsid w:val="00A45E44"/>
    <w:rPr>
      <w:rFonts w:ascii="Segoe UI" w:hAnsi="Segoe UI" w:cs="Segoe UI" w:hint="default"/>
      <w:sz w:val="18"/>
      <w:szCs w:val="18"/>
    </w:rPr>
  </w:style>
  <w:style w:type="character" w:styleId="Strong">
    <w:name w:val="Strong"/>
    <w:basedOn w:val="DefaultParagraphFont"/>
    <w:uiPriority w:val="22"/>
    <w:qFormat/>
    <w:rsid w:val="00A45E44"/>
    <w:rPr>
      <w:b/>
      <w:bCs/>
    </w:rPr>
  </w:style>
  <w:style w:type="character" w:styleId="HTMLCite">
    <w:name w:val="HTML Cite"/>
    <w:basedOn w:val="DefaultParagraphFont"/>
    <w:uiPriority w:val="99"/>
    <w:semiHidden/>
    <w:unhideWhenUsed/>
    <w:rsid w:val="00A45E44"/>
    <w:rPr>
      <w:i/>
      <w:iCs/>
    </w:rPr>
  </w:style>
  <w:style w:type="character" w:customStyle="1" w:styleId="author">
    <w:name w:val="author"/>
    <w:basedOn w:val="DefaultParagraphFont"/>
    <w:rsid w:val="00A45E44"/>
  </w:style>
  <w:style w:type="character" w:customStyle="1" w:styleId="pubyear">
    <w:name w:val="pubyear"/>
    <w:basedOn w:val="DefaultParagraphFont"/>
    <w:rsid w:val="00A45E44"/>
  </w:style>
  <w:style w:type="character" w:customStyle="1" w:styleId="articletitle">
    <w:name w:val="articletitle"/>
    <w:basedOn w:val="DefaultParagraphFont"/>
    <w:rsid w:val="00A45E44"/>
  </w:style>
  <w:style w:type="character" w:customStyle="1" w:styleId="journaltitle">
    <w:name w:val="journaltitle"/>
    <w:basedOn w:val="DefaultParagraphFont"/>
    <w:rsid w:val="00A45E44"/>
  </w:style>
  <w:style w:type="character" w:customStyle="1" w:styleId="vol">
    <w:name w:val="vol"/>
    <w:basedOn w:val="DefaultParagraphFont"/>
    <w:rsid w:val="00A45E44"/>
  </w:style>
  <w:style w:type="character" w:customStyle="1" w:styleId="citedissue">
    <w:name w:val="citedissue"/>
    <w:basedOn w:val="DefaultParagraphFont"/>
    <w:rsid w:val="00A45E44"/>
  </w:style>
  <w:style w:type="character" w:customStyle="1" w:styleId="pagefirst">
    <w:name w:val="pagefirst"/>
    <w:basedOn w:val="DefaultParagraphFont"/>
    <w:rsid w:val="00A45E44"/>
  </w:style>
  <w:style w:type="character" w:customStyle="1" w:styleId="pagelast">
    <w:name w:val="pagelast"/>
    <w:basedOn w:val="DefaultParagraphFont"/>
    <w:rsid w:val="00A45E44"/>
  </w:style>
  <w:style w:type="character" w:styleId="Emphasis">
    <w:name w:val="Emphasis"/>
    <w:basedOn w:val="DefaultParagraphFont"/>
    <w:uiPriority w:val="20"/>
    <w:qFormat/>
    <w:rsid w:val="00A45E44"/>
    <w:rPr>
      <w:i/>
      <w:iCs/>
    </w:rPr>
  </w:style>
  <w:style w:type="paragraph" w:styleId="Bibliography">
    <w:name w:val="Bibliography"/>
    <w:basedOn w:val="Normal"/>
    <w:next w:val="Normal"/>
    <w:uiPriority w:val="37"/>
    <w:unhideWhenUsed/>
    <w:rsid w:val="00A45E44"/>
    <w:pPr>
      <w:suppressAutoHyphens w:val="0"/>
      <w:spacing w:before="0" w:line="480" w:lineRule="auto"/>
      <w:ind w:left="720" w:hanging="720"/>
    </w:pPr>
    <w:rPr>
      <w:rFonts w:eastAsia="Calibri" w:cs="Arial"/>
      <w:szCs w:val="22"/>
      <w:lang w:val="en-US" w:eastAsia="en-US"/>
    </w:rPr>
  </w:style>
  <w:style w:type="character" w:customStyle="1" w:styleId="v1markedcontent">
    <w:name w:val="v1markedcontent"/>
    <w:basedOn w:val="DefaultParagraphFont"/>
    <w:rsid w:val="00A45E44"/>
  </w:style>
  <w:style w:type="character" w:customStyle="1" w:styleId="v1title-text">
    <w:name w:val="v1title-text"/>
    <w:basedOn w:val="DefaultParagraphFont"/>
    <w:rsid w:val="00A45E44"/>
  </w:style>
  <w:style w:type="character" w:customStyle="1" w:styleId="v1anchor-text">
    <w:name w:val="v1anchor-text"/>
    <w:basedOn w:val="DefaultParagraphFont"/>
    <w:rsid w:val="00A45E44"/>
  </w:style>
  <w:style w:type="character" w:customStyle="1" w:styleId="apple-converted-space">
    <w:name w:val="apple-converted-space"/>
    <w:basedOn w:val="DefaultParagraphFont"/>
    <w:rsid w:val="00A45E44"/>
  </w:style>
  <w:style w:type="numbering" w:customStyle="1" w:styleId="Formatvorlage11">
    <w:name w:val="Formatvorlage11"/>
    <w:uiPriority w:val="99"/>
    <w:rsid w:val="00A45E44"/>
    <w:pPr>
      <w:numPr>
        <w:numId w:val="5"/>
      </w:numPr>
    </w:pPr>
  </w:style>
  <w:style w:type="numbering" w:customStyle="1" w:styleId="Formatvorlage21">
    <w:name w:val="Formatvorlage21"/>
    <w:uiPriority w:val="99"/>
    <w:rsid w:val="00A45E44"/>
    <w:pPr>
      <w:numPr>
        <w:numId w:val="1"/>
      </w:numPr>
    </w:pPr>
  </w:style>
  <w:style w:type="numbering" w:customStyle="1" w:styleId="Formatvorlage31">
    <w:name w:val="Formatvorlage31"/>
    <w:uiPriority w:val="99"/>
    <w:rsid w:val="00A45E44"/>
    <w:pPr>
      <w:numPr>
        <w:numId w:val="2"/>
      </w:numPr>
    </w:pPr>
  </w:style>
  <w:style w:type="table" w:customStyle="1" w:styleId="Thnen-Tabelle21">
    <w:name w:val="Thünen-Tabelle 21"/>
    <w:basedOn w:val="TableNormal"/>
    <w:uiPriority w:val="99"/>
    <w:rsid w:val="00A45E44"/>
    <w:rPr>
      <w:rFonts w:ascii="Calibri" w:hAnsi="Calibri"/>
      <w:color w:val="000000"/>
    </w:rPr>
    <w:tblPr>
      <w:tblStyleRowBandSize w:val="1"/>
    </w:tblPr>
    <w:tblStylePr w:type="firstRow">
      <w:rPr>
        <w:b/>
        <w:color w:val="FFFFFF"/>
      </w:rPr>
      <w:tblPr/>
      <w:tcPr>
        <w:shd w:val="clear" w:color="auto" w:fill="008CD2"/>
      </w:tcPr>
    </w:tblStylePr>
    <w:tblStylePr w:type="band1Horz">
      <w:tblPr/>
      <w:tcPr>
        <w:shd w:val="clear" w:color="auto" w:fill="F2F2F2"/>
      </w:tcPr>
    </w:tblStylePr>
    <w:tblStylePr w:type="band2Horz">
      <w:tblPr/>
      <w:tcPr>
        <w:shd w:val="clear" w:color="auto" w:fill="D9D9D9"/>
      </w:tcPr>
    </w:tblStylePr>
  </w:style>
  <w:style w:type="table" w:customStyle="1" w:styleId="LightList1">
    <w:name w:val="Light List1"/>
    <w:basedOn w:val="TableNormal"/>
    <w:next w:val="LightList"/>
    <w:uiPriority w:val="61"/>
    <w:rsid w:val="00A45E44"/>
    <w:rPr>
      <w:rFonts w:ascii="Calibri" w:hAnsi="Calibri" w:cs="Arial"/>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Table6Colorful-Accent51">
    <w:name w:val="List Table 6 Colorful - Accent 51"/>
    <w:basedOn w:val="TableNormal"/>
    <w:next w:val="ListTable6Colorful-Accent5"/>
    <w:uiPriority w:val="51"/>
    <w:rsid w:val="00A45E44"/>
    <w:rPr>
      <w:color w:val="2E74B5"/>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ghtShading-Accent11">
    <w:name w:val="Light Shading - Accent 11"/>
    <w:basedOn w:val="TableNormal"/>
    <w:next w:val="LightShading-Accent1"/>
    <w:uiPriority w:val="60"/>
    <w:rsid w:val="00A45E44"/>
    <w:rPr>
      <w:rFonts w:ascii="Calibri" w:hAnsi="Calibri" w:cs="Arial"/>
      <w:color w:val="2F5496"/>
      <w:sz w:val="22"/>
      <w:szCs w:val="22"/>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Thnen-Tabelle11">
    <w:name w:val="Thünen-Tabelle 11"/>
    <w:basedOn w:val="TableNormal"/>
    <w:uiPriority w:val="99"/>
    <w:rsid w:val="00A45E44"/>
    <w:rPr>
      <w:rFonts w:ascii="Calibri" w:hAnsi="Calibri"/>
      <w:color w:val="000000"/>
    </w:rPr>
    <w:tblPr>
      <w:tblBorders>
        <w:top w:val="single" w:sz="4" w:space="0" w:color="000000"/>
        <w:bottom w:val="single" w:sz="4" w:space="0" w:color="000000"/>
      </w:tblBorders>
    </w:tblPr>
    <w:tcPr>
      <w:vAlign w:val="center"/>
    </w:tcPr>
    <w:tblStylePr w:type="firstRow">
      <w:tblPr/>
      <w:tcPr>
        <w:tcBorders>
          <w:top w:val="single" w:sz="4" w:space="0" w:color="000000"/>
          <w:bottom w:val="single" w:sz="4" w:space="0" w:color="000000"/>
        </w:tcBorders>
      </w:tcPr>
    </w:tblStylePr>
  </w:style>
  <w:style w:type="paragraph" w:customStyle="1" w:styleId="CitaviBibliographySubheading1">
    <w:name w:val="Citavi Bibliography Subheading 1"/>
    <w:basedOn w:val="Heading2"/>
    <w:uiPriority w:val="99"/>
    <w:rsid w:val="00A45E44"/>
    <w:pPr>
      <w:keepLines/>
      <w:numPr>
        <w:ilvl w:val="0"/>
        <w:numId w:val="8"/>
      </w:numPr>
      <w:tabs>
        <w:tab w:val="clear" w:pos="360"/>
        <w:tab w:val="left" w:pos="1004"/>
        <w:tab w:val="left" w:pos="4500"/>
      </w:tabs>
      <w:spacing w:before="200" w:after="120" w:line="240" w:lineRule="auto"/>
      <w:ind w:left="284" w:hanging="284"/>
      <w:jc w:val="both"/>
      <w:outlineLvl w:val="9"/>
    </w:pPr>
    <w:rPr>
      <w:rFonts w:eastAsia="Calibri" w:cs="TimesNewRomanPSMT"/>
      <w:b w:val="0"/>
      <w:color w:val="000000"/>
      <w:kern w:val="28"/>
      <w:szCs w:val="24"/>
      <w:lang w:eastAsia="en-US"/>
      <w14:ligatures w14:val="standardContextual"/>
    </w:rPr>
  </w:style>
  <w:style w:type="character" w:customStyle="1" w:styleId="ListParagraphChar">
    <w:name w:val="List Paragraph Char"/>
    <w:basedOn w:val="DefaultParagraphFont"/>
    <w:link w:val="ListParagraph"/>
    <w:uiPriority w:val="34"/>
    <w:rsid w:val="00A45E44"/>
    <w:rPr>
      <w:rFonts w:ascii="Calibri" w:eastAsia="Calibri" w:hAnsi="Calibri" w:cs="Arial"/>
      <w:sz w:val="22"/>
      <w:szCs w:val="22"/>
      <w:lang w:val="en-US" w:eastAsia="en-US"/>
    </w:rPr>
  </w:style>
  <w:style w:type="paragraph" w:customStyle="1" w:styleId="Source">
    <w:name w:val="Source"/>
    <w:basedOn w:val="Caption"/>
    <w:link w:val="SourceChar"/>
    <w:qFormat/>
    <w:rsid w:val="00A45E44"/>
    <w:pPr>
      <w:keepLines/>
      <w:tabs>
        <w:tab w:val="clear" w:pos="1418"/>
        <w:tab w:val="clear" w:pos="2127"/>
      </w:tabs>
      <w:suppressAutoHyphens w:val="0"/>
      <w:spacing w:before="200"/>
    </w:pPr>
    <w:rPr>
      <w:b w:val="0"/>
      <w:color w:val="000000"/>
      <w:szCs w:val="22"/>
      <w14:ligatures w14:val="standardContextual"/>
    </w:rPr>
  </w:style>
  <w:style w:type="character" w:customStyle="1" w:styleId="CaptionChar">
    <w:name w:val="Caption Char"/>
    <w:aliases w:val="DissCaption Char"/>
    <w:basedOn w:val="DefaultParagraphFont"/>
    <w:link w:val="Caption"/>
    <w:uiPriority w:val="35"/>
    <w:rsid w:val="00157C13"/>
    <w:rPr>
      <w:rFonts w:ascii="Calibri" w:hAnsi="Calibri"/>
      <w:b/>
      <w:i/>
    </w:rPr>
  </w:style>
  <w:style w:type="character" w:customStyle="1" w:styleId="SourceChar">
    <w:name w:val="Source Char"/>
    <w:basedOn w:val="CaptionChar"/>
    <w:link w:val="Source"/>
    <w:rsid w:val="00A45E44"/>
    <w:rPr>
      <w:rFonts w:ascii="Calibri" w:hAnsi="Calibri"/>
      <w:b w:val="0"/>
      <w:i/>
      <w:color w:val="000000"/>
      <w:szCs w:val="22"/>
      <w14:ligatures w14:val="standardContextual"/>
    </w:rPr>
  </w:style>
  <w:style w:type="paragraph" w:customStyle="1" w:styleId="TOC41">
    <w:name w:val="TOC 41"/>
    <w:basedOn w:val="Normal"/>
    <w:next w:val="Normal"/>
    <w:autoRedefine/>
    <w:uiPriority w:val="39"/>
    <w:unhideWhenUsed/>
    <w:rsid w:val="00A45E44"/>
    <w:pPr>
      <w:suppressAutoHyphens w:val="0"/>
      <w:spacing w:before="0"/>
      <w:ind w:left="1395" w:hanging="737"/>
    </w:pPr>
    <w:rPr>
      <w:rFonts w:eastAsia="Calibri" w:cs="Calibri"/>
      <w:sz w:val="18"/>
      <w:szCs w:val="18"/>
      <w:lang w:val="en-US" w:eastAsia="en-US"/>
    </w:rPr>
  </w:style>
  <w:style w:type="paragraph" w:customStyle="1" w:styleId="TOC51">
    <w:name w:val="TOC 51"/>
    <w:basedOn w:val="Normal"/>
    <w:next w:val="Normal"/>
    <w:autoRedefine/>
    <w:uiPriority w:val="39"/>
    <w:unhideWhenUsed/>
    <w:rsid w:val="00A45E44"/>
    <w:pPr>
      <w:suppressAutoHyphens w:val="0"/>
      <w:spacing w:before="0"/>
      <w:ind w:left="880"/>
    </w:pPr>
    <w:rPr>
      <w:rFonts w:eastAsia="Calibri" w:cs="Calibri"/>
      <w:sz w:val="18"/>
      <w:szCs w:val="18"/>
      <w:lang w:val="en-US" w:eastAsia="en-US"/>
    </w:rPr>
  </w:style>
  <w:style w:type="paragraph" w:customStyle="1" w:styleId="TOC61">
    <w:name w:val="TOC 61"/>
    <w:basedOn w:val="Normal"/>
    <w:next w:val="Normal"/>
    <w:autoRedefine/>
    <w:uiPriority w:val="39"/>
    <w:unhideWhenUsed/>
    <w:rsid w:val="00A45E44"/>
    <w:pPr>
      <w:suppressAutoHyphens w:val="0"/>
      <w:spacing w:before="0"/>
      <w:ind w:left="1100"/>
    </w:pPr>
    <w:rPr>
      <w:rFonts w:eastAsia="Calibri" w:cs="Calibri"/>
      <w:sz w:val="18"/>
      <w:szCs w:val="18"/>
      <w:lang w:val="en-US" w:eastAsia="en-US"/>
    </w:rPr>
  </w:style>
  <w:style w:type="paragraph" w:customStyle="1" w:styleId="TOC71">
    <w:name w:val="TOC 71"/>
    <w:basedOn w:val="Normal"/>
    <w:next w:val="Normal"/>
    <w:autoRedefine/>
    <w:uiPriority w:val="39"/>
    <w:unhideWhenUsed/>
    <w:rsid w:val="00A45E44"/>
    <w:pPr>
      <w:suppressAutoHyphens w:val="0"/>
      <w:spacing w:before="0"/>
      <w:ind w:left="1320"/>
    </w:pPr>
    <w:rPr>
      <w:rFonts w:eastAsia="Calibri" w:cs="Calibri"/>
      <w:sz w:val="18"/>
      <w:szCs w:val="18"/>
      <w:lang w:val="en-US" w:eastAsia="en-US"/>
    </w:rPr>
  </w:style>
  <w:style w:type="paragraph" w:customStyle="1" w:styleId="TOC81">
    <w:name w:val="TOC 81"/>
    <w:basedOn w:val="Normal"/>
    <w:next w:val="Normal"/>
    <w:autoRedefine/>
    <w:uiPriority w:val="39"/>
    <w:unhideWhenUsed/>
    <w:rsid w:val="00A45E44"/>
    <w:pPr>
      <w:suppressAutoHyphens w:val="0"/>
      <w:spacing w:before="0"/>
      <w:ind w:left="1540"/>
    </w:pPr>
    <w:rPr>
      <w:rFonts w:eastAsia="Calibri" w:cs="Calibri"/>
      <w:sz w:val="18"/>
      <w:szCs w:val="18"/>
      <w:lang w:val="en-US" w:eastAsia="en-US"/>
    </w:rPr>
  </w:style>
  <w:style w:type="paragraph" w:customStyle="1" w:styleId="TOC91">
    <w:name w:val="TOC 91"/>
    <w:basedOn w:val="Normal"/>
    <w:next w:val="Normal"/>
    <w:autoRedefine/>
    <w:uiPriority w:val="39"/>
    <w:unhideWhenUsed/>
    <w:rsid w:val="00A45E44"/>
    <w:pPr>
      <w:suppressAutoHyphens w:val="0"/>
      <w:spacing w:before="0"/>
      <w:ind w:left="1760"/>
    </w:pPr>
    <w:rPr>
      <w:rFonts w:eastAsia="Calibri" w:cs="Calibri"/>
      <w:sz w:val="18"/>
      <w:szCs w:val="18"/>
      <w:lang w:val="en-US" w:eastAsia="en-US"/>
    </w:rPr>
  </w:style>
  <w:style w:type="paragraph" w:customStyle="1" w:styleId="HeadAbstract-Englisch">
    <w:name w:val="Head Abstract-Englisch"/>
    <w:basedOn w:val="Heading1"/>
    <w:next w:val="Normal"/>
    <w:rsid w:val="00A45E44"/>
    <w:pPr>
      <w:keepLines/>
      <w:tabs>
        <w:tab w:val="left" w:pos="440"/>
        <w:tab w:val="right" w:leader="dot" w:pos="9062"/>
      </w:tabs>
      <w:spacing w:before="200" w:after="120" w:line="240" w:lineRule="auto"/>
      <w:ind w:left="431" w:hanging="431"/>
    </w:pPr>
    <w:rPr>
      <w:b w:val="0"/>
      <w:bCs/>
      <w:kern w:val="28"/>
      <w:sz w:val="24"/>
      <w:szCs w:val="24"/>
      <w:lang w:val="en-GB" w:bidi="en-US"/>
      <w14:ligatures w14:val="standardContextual"/>
    </w:rPr>
  </w:style>
  <w:style w:type="paragraph" w:customStyle="1" w:styleId="CitaviBibliographyEntry">
    <w:name w:val="Citavi Bibliography Entry"/>
    <w:basedOn w:val="Normal"/>
    <w:link w:val="CitaviBibliographyEntryChar"/>
    <w:autoRedefine/>
    <w:uiPriority w:val="99"/>
    <w:qFormat/>
    <w:rsid w:val="00A45E44"/>
    <w:pPr>
      <w:tabs>
        <w:tab w:val="left" w:pos="340"/>
      </w:tabs>
      <w:suppressAutoHyphens w:val="0"/>
      <w:spacing w:before="0" w:line="240" w:lineRule="auto"/>
      <w:ind w:left="340" w:hanging="340"/>
      <w:jc w:val="lowKashida"/>
    </w:pPr>
    <w:rPr>
      <w:kern w:val="16"/>
      <w:sz w:val="20"/>
      <w:lang w:val="en-US"/>
      <w14:ligatures w14:val="standardContextual"/>
    </w:rPr>
  </w:style>
  <w:style w:type="character" w:customStyle="1" w:styleId="CitaviBibliographyEntryChar">
    <w:name w:val="Citavi Bibliography Entry Char"/>
    <w:basedOn w:val="DefaultParagraphFont"/>
    <w:link w:val="CitaviBibliographyEntry"/>
    <w:uiPriority w:val="99"/>
    <w:rsid w:val="00A45E44"/>
    <w:rPr>
      <w:rFonts w:ascii="Calibri" w:hAnsi="Calibri"/>
      <w:kern w:val="16"/>
      <w:lang w:val="en-US"/>
      <w14:ligatures w14:val="standardContextual"/>
    </w:rPr>
  </w:style>
  <w:style w:type="paragraph" w:styleId="TableofFigures">
    <w:name w:val="table of figures"/>
    <w:basedOn w:val="Normal"/>
    <w:next w:val="Normal"/>
    <w:uiPriority w:val="99"/>
    <w:unhideWhenUsed/>
    <w:qFormat/>
    <w:rsid w:val="00A45E44"/>
  </w:style>
  <w:style w:type="character" w:styleId="EndnoteReference">
    <w:name w:val="endnote reference"/>
    <w:basedOn w:val="DefaultParagraphFont"/>
    <w:uiPriority w:val="99"/>
    <w:unhideWhenUsed/>
    <w:rsid w:val="00A45E44"/>
    <w:rPr>
      <w:vertAlign w:val="superscript"/>
    </w:rPr>
  </w:style>
  <w:style w:type="paragraph" w:customStyle="1" w:styleId="MDPI11articletype">
    <w:name w:val="MDPI_1.1_article_type"/>
    <w:next w:val="Normal"/>
    <w:qFormat/>
    <w:rsid w:val="00A45E44"/>
    <w:pPr>
      <w:adjustRightInd w:val="0"/>
      <w:snapToGrid w:val="0"/>
      <w:spacing w:before="240"/>
    </w:pPr>
    <w:rPr>
      <w:rFonts w:ascii="Palatino Linotype" w:hAnsi="Palatino Linotype"/>
      <w:i/>
      <w:snapToGrid w:val="0"/>
      <w:color w:val="000000"/>
      <w:szCs w:val="22"/>
      <w:lang w:val="en-US" w:bidi="en-US"/>
    </w:rPr>
  </w:style>
  <w:style w:type="paragraph" w:customStyle="1" w:styleId="MDPI12title">
    <w:name w:val="MDPI_1.2_title"/>
    <w:next w:val="Normal"/>
    <w:qFormat/>
    <w:rsid w:val="00A45E44"/>
    <w:pPr>
      <w:adjustRightInd w:val="0"/>
      <w:snapToGrid w:val="0"/>
      <w:spacing w:after="240" w:line="240" w:lineRule="atLeast"/>
    </w:pPr>
    <w:rPr>
      <w:rFonts w:ascii="Palatino Linotype" w:hAnsi="Palatino Linotype"/>
      <w:b/>
      <w:snapToGrid w:val="0"/>
      <w:color w:val="000000"/>
      <w:sz w:val="36"/>
      <w:lang w:val="en-US" w:bidi="en-US"/>
    </w:rPr>
  </w:style>
  <w:style w:type="paragraph" w:customStyle="1" w:styleId="MDPI13authornames">
    <w:name w:val="MDPI_1.3_authornames"/>
    <w:next w:val="Normal"/>
    <w:qFormat/>
    <w:rsid w:val="00A45E44"/>
    <w:pPr>
      <w:adjustRightInd w:val="0"/>
      <w:snapToGrid w:val="0"/>
      <w:spacing w:after="360" w:line="260" w:lineRule="atLeast"/>
    </w:pPr>
    <w:rPr>
      <w:rFonts w:ascii="Palatino Linotype" w:hAnsi="Palatino Linotype"/>
      <w:b/>
      <w:color w:val="000000"/>
      <w:szCs w:val="22"/>
      <w:lang w:val="en-US" w:bidi="en-US"/>
    </w:rPr>
  </w:style>
  <w:style w:type="paragraph" w:customStyle="1" w:styleId="MDPI14history">
    <w:name w:val="MDPI_1.4_history"/>
    <w:basedOn w:val="Normal"/>
    <w:next w:val="Normal"/>
    <w:qFormat/>
    <w:rsid w:val="00A45E44"/>
    <w:pPr>
      <w:suppressAutoHyphens w:val="0"/>
      <w:adjustRightInd w:val="0"/>
      <w:snapToGrid w:val="0"/>
      <w:spacing w:before="0" w:line="240" w:lineRule="atLeast"/>
      <w:ind w:right="113"/>
    </w:pPr>
    <w:rPr>
      <w:rFonts w:ascii="Palatino Linotype" w:hAnsi="Palatino Linotype"/>
      <w:color w:val="000000"/>
      <w:sz w:val="14"/>
      <w:lang w:val="en-US" w:bidi="en-US"/>
    </w:rPr>
  </w:style>
  <w:style w:type="paragraph" w:customStyle="1" w:styleId="MDPI16affiliation">
    <w:name w:val="MDPI_1.6_affiliation"/>
    <w:qFormat/>
    <w:rsid w:val="00A45E44"/>
    <w:pPr>
      <w:adjustRightInd w:val="0"/>
      <w:snapToGrid w:val="0"/>
      <w:spacing w:line="200" w:lineRule="atLeast"/>
      <w:ind w:left="2806" w:hanging="198"/>
    </w:pPr>
    <w:rPr>
      <w:rFonts w:ascii="Palatino Linotype" w:hAnsi="Palatino Linotype"/>
      <w:color w:val="000000"/>
      <w:sz w:val="16"/>
      <w:szCs w:val="18"/>
      <w:lang w:val="en-US" w:bidi="en-US"/>
    </w:rPr>
  </w:style>
  <w:style w:type="paragraph" w:customStyle="1" w:styleId="MDPI17abstract">
    <w:name w:val="MDPI_1.7_abstract"/>
    <w:next w:val="Normal"/>
    <w:qFormat/>
    <w:rsid w:val="00A45E44"/>
    <w:pPr>
      <w:adjustRightInd w:val="0"/>
      <w:snapToGrid w:val="0"/>
      <w:spacing w:before="240" w:line="260" w:lineRule="atLeast"/>
      <w:ind w:left="2608"/>
      <w:jc w:val="both"/>
    </w:pPr>
    <w:rPr>
      <w:rFonts w:ascii="Palatino Linotype" w:hAnsi="Palatino Linotype"/>
      <w:color w:val="000000"/>
      <w:sz w:val="18"/>
      <w:szCs w:val="22"/>
      <w:lang w:val="en-US" w:bidi="en-US"/>
    </w:rPr>
  </w:style>
  <w:style w:type="paragraph" w:customStyle="1" w:styleId="MDPI18keywords">
    <w:name w:val="MDPI_1.8_keywords"/>
    <w:next w:val="Normal"/>
    <w:qFormat/>
    <w:rsid w:val="00A45E44"/>
    <w:pPr>
      <w:adjustRightInd w:val="0"/>
      <w:snapToGrid w:val="0"/>
      <w:spacing w:before="240" w:line="260" w:lineRule="atLeast"/>
      <w:ind w:left="2608"/>
      <w:jc w:val="both"/>
    </w:pPr>
    <w:rPr>
      <w:rFonts w:ascii="Palatino Linotype" w:hAnsi="Palatino Linotype"/>
      <w:snapToGrid w:val="0"/>
      <w:color w:val="000000"/>
      <w:sz w:val="18"/>
      <w:szCs w:val="22"/>
      <w:lang w:val="en-US" w:bidi="en-US"/>
    </w:rPr>
  </w:style>
  <w:style w:type="paragraph" w:customStyle="1" w:styleId="MDPI19line">
    <w:name w:val="MDPI_1.9_line"/>
    <w:qFormat/>
    <w:rsid w:val="00A45E44"/>
    <w:pPr>
      <w:pBdr>
        <w:bottom w:val="single" w:sz="6" w:space="1" w:color="auto"/>
      </w:pBdr>
      <w:adjustRightInd w:val="0"/>
      <w:snapToGrid w:val="0"/>
      <w:spacing w:after="480" w:line="260" w:lineRule="atLeast"/>
      <w:ind w:left="2608"/>
      <w:jc w:val="both"/>
    </w:pPr>
    <w:rPr>
      <w:rFonts w:ascii="Palatino Linotype" w:hAnsi="Palatino Linotype" w:cs="Cordia New"/>
      <w:color w:val="000000"/>
      <w:szCs w:val="24"/>
      <w:lang w:val="en-US" w:bidi="en-US"/>
    </w:rPr>
  </w:style>
  <w:style w:type="table" w:customStyle="1" w:styleId="Mdeck5tablebodythreelines">
    <w:name w:val="M_deck_5_table_body_three_lines"/>
    <w:basedOn w:val="TableNormal"/>
    <w:uiPriority w:val="99"/>
    <w:rsid w:val="00A45E44"/>
    <w:pPr>
      <w:adjustRightInd w:val="0"/>
      <w:snapToGrid w:val="0"/>
      <w:spacing w:line="300" w:lineRule="exact"/>
      <w:jc w:val="center"/>
    </w:pPr>
    <w:rPr>
      <w:rFonts w:ascii="Times New Roman" w:eastAsia="SimSun" w:hAnsi="Times New Roman"/>
      <w:b/>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headerjournallogo">
    <w:name w:val="MDPI_header_journal_logo"/>
    <w:qFormat/>
    <w:rsid w:val="00A45E44"/>
    <w:pPr>
      <w:adjustRightInd w:val="0"/>
      <w:snapToGrid w:val="0"/>
      <w:spacing w:line="260" w:lineRule="atLeast"/>
      <w:jc w:val="both"/>
    </w:pPr>
    <w:rPr>
      <w:rFonts w:ascii="Palatino Linotype" w:hAnsi="Palatino Linotype"/>
      <w:i/>
      <w:color w:val="000000"/>
      <w:sz w:val="24"/>
      <w:szCs w:val="22"/>
      <w:lang w:val="en-US" w:eastAsia="de-CH"/>
    </w:rPr>
  </w:style>
  <w:style w:type="paragraph" w:customStyle="1" w:styleId="MDPI32textnoindent">
    <w:name w:val="MDPI_3.2_text_no_indent"/>
    <w:basedOn w:val="MDPI31text"/>
    <w:qFormat/>
    <w:rsid w:val="00A45E44"/>
    <w:pPr>
      <w:ind w:firstLine="0"/>
    </w:pPr>
  </w:style>
  <w:style w:type="paragraph" w:customStyle="1" w:styleId="MDPI31text">
    <w:name w:val="MDPI_3.1_text"/>
    <w:link w:val="MDPI31textZchn"/>
    <w:qFormat/>
    <w:rsid w:val="00A45E44"/>
    <w:pPr>
      <w:adjustRightInd w:val="0"/>
      <w:snapToGrid w:val="0"/>
      <w:spacing w:line="228" w:lineRule="auto"/>
      <w:ind w:left="2608" w:firstLine="425"/>
      <w:jc w:val="both"/>
    </w:pPr>
    <w:rPr>
      <w:rFonts w:ascii="Palatino Linotype" w:hAnsi="Palatino Linotype"/>
      <w:snapToGrid w:val="0"/>
      <w:color w:val="000000"/>
      <w:szCs w:val="22"/>
      <w:lang w:val="en-US" w:bidi="en-US"/>
    </w:rPr>
  </w:style>
  <w:style w:type="paragraph" w:customStyle="1" w:styleId="MDPI33textspaceafter">
    <w:name w:val="MDPI_3.3_text_space_after"/>
    <w:qFormat/>
    <w:rsid w:val="00A45E44"/>
    <w:pPr>
      <w:adjustRightInd w:val="0"/>
      <w:snapToGrid w:val="0"/>
      <w:spacing w:after="240" w:line="228" w:lineRule="auto"/>
      <w:ind w:left="2608"/>
      <w:jc w:val="both"/>
    </w:pPr>
    <w:rPr>
      <w:rFonts w:ascii="Palatino Linotype" w:hAnsi="Palatino Linotype"/>
      <w:snapToGrid w:val="0"/>
      <w:color w:val="000000"/>
      <w:szCs w:val="22"/>
      <w:lang w:val="en-US" w:bidi="en-US"/>
    </w:rPr>
  </w:style>
  <w:style w:type="paragraph" w:customStyle="1" w:styleId="MDPI34textspacebefore">
    <w:name w:val="MDPI_3.4_text_space_before"/>
    <w:qFormat/>
    <w:rsid w:val="00A45E44"/>
    <w:pPr>
      <w:adjustRightInd w:val="0"/>
      <w:snapToGrid w:val="0"/>
      <w:spacing w:before="240" w:line="228" w:lineRule="auto"/>
      <w:ind w:left="2608"/>
      <w:jc w:val="both"/>
    </w:pPr>
    <w:rPr>
      <w:rFonts w:ascii="Palatino Linotype" w:hAnsi="Palatino Linotype"/>
      <w:snapToGrid w:val="0"/>
      <w:color w:val="000000"/>
      <w:szCs w:val="22"/>
      <w:lang w:val="en-US" w:bidi="en-US"/>
    </w:rPr>
  </w:style>
  <w:style w:type="paragraph" w:customStyle="1" w:styleId="MDPI35textbeforelist">
    <w:name w:val="MDPI_3.5_text_before_list"/>
    <w:qFormat/>
    <w:rsid w:val="00A45E44"/>
    <w:pPr>
      <w:adjustRightInd w:val="0"/>
      <w:snapToGrid w:val="0"/>
      <w:spacing w:line="228" w:lineRule="auto"/>
      <w:ind w:left="2608" w:firstLine="425"/>
      <w:jc w:val="both"/>
    </w:pPr>
    <w:rPr>
      <w:rFonts w:ascii="Palatino Linotype" w:hAnsi="Palatino Linotype"/>
      <w:snapToGrid w:val="0"/>
      <w:color w:val="000000"/>
      <w:szCs w:val="22"/>
      <w:lang w:val="en-US" w:bidi="en-US"/>
    </w:rPr>
  </w:style>
  <w:style w:type="paragraph" w:customStyle="1" w:styleId="MDPI36textafterlist">
    <w:name w:val="MDPI_3.6_text_after_list"/>
    <w:qFormat/>
    <w:rsid w:val="00A45E44"/>
    <w:pPr>
      <w:adjustRightInd w:val="0"/>
      <w:snapToGrid w:val="0"/>
      <w:spacing w:before="120" w:line="228" w:lineRule="auto"/>
      <w:ind w:left="2608"/>
      <w:jc w:val="both"/>
    </w:pPr>
    <w:rPr>
      <w:rFonts w:ascii="Palatino Linotype" w:hAnsi="Palatino Linotype"/>
      <w:snapToGrid w:val="0"/>
      <w:color w:val="000000"/>
      <w:szCs w:val="22"/>
      <w:lang w:val="en-US" w:bidi="en-US"/>
    </w:rPr>
  </w:style>
  <w:style w:type="paragraph" w:customStyle="1" w:styleId="MDPI37itemize">
    <w:name w:val="MDPI_3.7_itemize"/>
    <w:qFormat/>
    <w:rsid w:val="00A45E44"/>
    <w:pPr>
      <w:numPr>
        <w:numId w:val="9"/>
      </w:numPr>
      <w:adjustRightInd w:val="0"/>
      <w:snapToGrid w:val="0"/>
      <w:spacing w:line="228" w:lineRule="auto"/>
      <w:jc w:val="both"/>
    </w:pPr>
    <w:rPr>
      <w:rFonts w:ascii="Palatino Linotype" w:hAnsi="Palatino Linotype"/>
      <w:color w:val="000000"/>
      <w:szCs w:val="22"/>
      <w:lang w:val="en-US" w:bidi="en-US"/>
    </w:rPr>
  </w:style>
  <w:style w:type="paragraph" w:customStyle="1" w:styleId="MDPI38bullet">
    <w:name w:val="MDPI_3.8_bullet"/>
    <w:qFormat/>
    <w:rsid w:val="00A45E44"/>
    <w:pPr>
      <w:numPr>
        <w:numId w:val="10"/>
      </w:numPr>
      <w:adjustRightInd w:val="0"/>
      <w:snapToGrid w:val="0"/>
      <w:spacing w:line="228" w:lineRule="auto"/>
      <w:jc w:val="both"/>
    </w:pPr>
    <w:rPr>
      <w:rFonts w:ascii="Palatino Linotype" w:hAnsi="Palatino Linotype"/>
      <w:color w:val="000000"/>
      <w:szCs w:val="22"/>
      <w:lang w:val="en-US" w:bidi="en-US"/>
    </w:rPr>
  </w:style>
  <w:style w:type="paragraph" w:customStyle="1" w:styleId="MDPI39equation">
    <w:name w:val="MDPI_3.9_equation"/>
    <w:qFormat/>
    <w:rsid w:val="00A45E44"/>
    <w:pPr>
      <w:adjustRightInd w:val="0"/>
      <w:snapToGrid w:val="0"/>
      <w:spacing w:before="120" w:after="120" w:line="260" w:lineRule="atLeast"/>
      <w:ind w:left="709"/>
      <w:jc w:val="center"/>
    </w:pPr>
    <w:rPr>
      <w:rFonts w:ascii="Palatino Linotype" w:hAnsi="Palatino Linotype"/>
      <w:snapToGrid w:val="0"/>
      <w:color w:val="000000"/>
      <w:szCs w:val="22"/>
      <w:lang w:val="en-US" w:bidi="en-US"/>
    </w:rPr>
  </w:style>
  <w:style w:type="paragraph" w:customStyle="1" w:styleId="MDPI3aequationnumber">
    <w:name w:val="MDPI_3.a_equation_number"/>
    <w:qFormat/>
    <w:rsid w:val="00A45E44"/>
    <w:pPr>
      <w:spacing w:before="120" w:after="120"/>
      <w:jc w:val="right"/>
    </w:pPr>
    <w:rPr>
      <w:rFonts w:ascii="Palatino Linotype" w:hAnsi="Palatino Linotype"/>
      <w:snapToGrid w:val="0"/>
      <w:color w:val="000000"/>
      <w:szCs w:val="22"/>
      <w:lang w:val="en-US" w:bidi="en-US"/>
    </w:rPr>
  </w:style>
  <w:style w:type="paragraph" w:customStyle="1" w:styleId="MDPI41tablecaption">
    <w:name w:val="MDPI_4.1_table_caption"/>
    <w:qFormat/>
    <w:rsid w:val="00A45E44"/>
    <w:pPr>
      <w:adjustRightInd w:val="0"/>
      <w:snapToGrid w:val="0"/>
      <w:spacing w:before="240" w:after="120" w:line="228" w:lineRule="auto"/>
      <w:ind w:left="2608"/>
    </w:pPr>
    <w:rPr>
      <w:rFonts w:ascii="Palatino Linotype" w:hAnsi="Palatino Linotype" w:cs="Arial"/>
      <w:color w:val="000000"/>
      <w:sz w:val="18"/>
      <w:szCs w:val="22"/>
      <w:lang w:val="en-US" w:bidi="en-US"/>
    </w:rPr>
  </w:style>
  <w:style w:type="paragraph" w:customStyle="1" w:styleId="MDPI42tablebody">
    <w:name w:val="MDPI_4.2_table_body"/>
    <w:qFormat/>
    <w:rsid w:val="00A45E44"/>
    <w:pPr>
      <w:adjustRightInd w:val="0"/>
      <w:snapToGrid w:val="0"/>
      <w:jc w:val="center"/>
    </w:pPr>
    <w:rPr>
      <w:rFonts w:ascii="Palatino Linotype" w:hAnsi="Palatino Linotype"/>
      <w:snapToGrid w:val="0"/>
      <w:color w:val="000000"/>
      <w:lang w:val="en-US" w:bidi="en-US"/>
    </w:rPr>
  </w:style>
  <w:style w:type="paragraph" w:customStyle="1" w:styleId="MDPI43tablefooter">
    <w:name w:val="MDPI_4.3_table_footer"/>
    <w:next w:val="MDPI31text"/>
    <w:qFormat/>
    <w:rsid w:val="00A45E44"/>
    <w:pPr>
      <w:adjustRightInd w:val="0"/>
      <w:snapToGrid w:val="0"/>
      <w:spacing w:after="240" w:line="228" w:lineRule="auto"/>
      <w:ind w:left="2608"/>
    </w:pPr>
    <w:rPr>
      <w:rFonts w:ascii="Palatino Linotype" w:hAnsi="Palatino Linotype" w:cs="Cordia New"/>
      <w:color w:val="000000"/>
      <w:sz w:val="18"/>
      <w:szCs w:val="22"/>
      <w:lang w:val="en-US" w:bidi="en-US"/>
    </w:rPr>
  </w:style>
  <w:style w:type="paragraph" w:customStyle="1" w:styleId="MDPI51figurecaption">
    <w:name w:val="MDPI_5.1_figure_caption"/>
    <w:qFormat/>
    <w:rsid w:val="00A45E44"/>
    <w:pPr>
      <w:adjustRightInd w:val="0"/>
      <w:snapToGrid w:val="0"/>
      <w:spacing w:before="120" w:after="240" w:line="228" w:lineRule="auto"/>
      <w:ind w:left="2608"/>
    </w:pPr>
    <w:rPr>
      <w:rFonts w:ascii="Palatino Linotype" w:hAnsi="Palatino Linotype"/>
      <w:color w:val="000000"/>
      <w:sz w:val="18"/>
      <w:lang w:val="en-US" w:bidi="en-US"/>
    </w:rPr>
  </w:style>
  <w:style w:type="paragraph" w:customStyle="1" w:styleId="MDPI52figure">
    <w:name w:val="MDPI_5.2_figure"/>
    <w:qFormat/>
    <w:rsid w:val="00A45E44"/>
    <w:pPr>
      <w:adjustRightInd w:val="0"/>
      <w:snapToGrid w:val="0"/>
      <w:spacing w:before="240" w:after="120"/>
      <w:jc w:val="center"/>
    </w:pPr>
    <w:rPr>
      <w:rFonts w:ascii="Palatino Linotype" w:hAnsi="Palatino Linotype"/>
      <w:snapToGrid w:val="0"/>
      <w:color w:val="000000"/>
      <w:lang w:val="en-US" w:bidi="en-US"/>
    </w:rPr>
  </w:style>
  <w:style w:type="paragraph" w:customStyle="1" w:styleId="MDPI81theorem">
    <w:name w:val="MDPI_8.1_theorem"/>
    <w:qFormat/>
    <w:rsid w:val="00A45E44"/>
    <w:pPr>
      <w:adjustRightInd w:val="0"/>
      <w:snapToGrid w:val="0"/>
      <w:spacing w:line="228" w:lineRule="auto"/>
      <w:ind w:left="2608"/>
      <w:jc w:val="both"/>
    </w:pPr>
    <w:rPr>
      <w:rFonts w:ascii="Palatino Linotype" w:hAnsi="Palatino Linotype"/>
      <w:i/>
      <w:snapToGrid w:val="0"/>
      <w:color w:val="000000"/>
      <w:szCs w:val="22"/>
      <w:lang w:val="en-US" w:bidi="en-US"/>
    </w:rPr>
  </w:style>
  <w:style w:type="paragraph" w:customStyle="1" w:styleId="MDPI82proof">
    <w:name w:val="MDPI_8.2_proof"/>
    <w:qFormat/>
    <w:rsid w:val="00A45E44"/>
    <w:pPr>
      <w:adjustRightInd w:val="0"/>
      <w:snapToGrid w:val="0"/>
      <w:spacing w:line="228" w:lineRule="auto"/>
      <w:ind w:left="2608"/>
      <w:jc w:val="both"/>
    </w:pPr>
    <w:rPr>
      <w:rFonts w:ascii="Palatino Linotype" w:hAnsi="Palatino Linotype"/>
      <w:snapToGrid w:val="0"/>
      <w:color w:val="000000"/>
      <w:szCs w:val="22"/>
      <w:lang w:val="en-US" w:bidi="en-US"/>
    </w:rPr>
  </w:style>
  <w:style w:type="paragraph" w:customStyle="1" w:styleId="MDPI23heading3">
    <w:name w:val="MDPI_2.3_heading3"/>
    <w:qFormat/>
    <w:rsid w:val="00A45E44"/>
    <w:pPr>
      <w:adjustRightInd w:val="0"/>
      <w:snapToGrid w:val="0"/>
      <w:spacing w:before="60" w:after="60" w:line="228" w:lineRule="auto"/>
      <w:ind w:left="2608"/>
      <w:outlineLvl w:val="2"/>
    </w:pPr>
    <w:rPr>
      <w:rFonts w:ascii="Palatino Linotype" w:hAnsi="Palatino Linotype"/>
      <w:snapToGrid w:val="0"/>
      <w:color w:val="000000"/>
      <w:szCs w:val="22"/>
      <w:lang w:val="en-US" w:bidi="en-US"/>
    </w:rPr>
  </w:style>
  <w:style w:type="paragraph" w:customStyle="1" w:styleId="MDPI21heading1">
    <w:name w:val="MDPI_2.1_heading1"/>
    <w:qFormat/>
    <w:rsid w:val="00A45E44"/>
    <w:pPr>
      <w:adjustRightInd w:val="0"/>
      <w:snapToGrid w:val="0"/>
      <w:spacing w:before="240" w:after="60" w:line="228" w:lineRule="auto"/>
      <w:ind w:left="2608"/>
      <w:outlineLvl w:val="0"/>
    </w:pPr>
    <w:rPr>
      <w:rFonts w:ascii="Palatino Linotype" w:hAnsi="Palatino Linotype"/>
      <w:b/>
      <w:snapToGrid w:val="0"/>
      <w:color w:val="000000"/>
      <w:szCs w:val="22"/>
      <w:lang w:val="en-US" w:bidi="en-US"/>
    </w:rPr>
  </w:style>
  <w:style w:type="paragraph" w:customStyle="1" w:styleId="MDPI22heading2">
    <w:name w:val="MDPI_2.2_heading2"/>
    <w:qFormat/>
    <w:rsid w:val="00A45E44"/>
    <w:pPr>
      <w:adjustRightInd w:val="0"/>
      <w:snapToGrid w:val="0"/>
      <w:spacing w:before="60" w:after="60" w:line="228" w:lineRule="auto"/>
      <w:ind w:left="2608"/>
      <w:outlineLvl w:val="1"/>
    </w:pPr>
    <w:rPr>
      <w:rFonts w:ascii="Palatino Linotype" w:hAnsi="Palatino Linotype"/>
      <w:i/>
      <w:noProof/>
      <w:snapToGrid w:val="0"/>
      <w:color w:val="000000"/>
      <w:szCs w:val="22"/>
      <w:lang w:val="en-US" w:bidi="en-US"/>
    </w:rPr>
  </w:style>
  <w:style w:type="paragraph" w:customStyle="1" w:styleId="MDPI71References">
    <w:name w:val="MDPI_7.1_References"/>
    <w:qFormat/>
    <w:rsid w:val="00A45E44"/>
    <w:pPr>
      <w:numPr>
        <w:numId w:val="11"/>
      </w:numPr>
      <w:adjustRightInd w:val="0"/>
      <w:snapToGrid w:val="0"/>
      <w:spacing w:line="228" w:lineRule="auto"/>
      <w:jc w:val="both"/>
    </w:pPr>
    <w:rPr>
      <w:rFonts w:ascii="Palatino Linotype" w:hAnsi="Palatino Linotype"/>
      <w:color w:val="000000"/>
      <w:sz w:val="18"/>
      <w:lang w:val="en-US" w:bidi="en-US"/>
    </w:rPr>
  </w:style>
  <w:style w:type="table" w:customStyle="1" w:styleId="MDPI41threelinetable">
    <w:name w:val="MDPI_4.1_three_line_table"/>
    <w:basedOn w:val="TableNormal"/>
    <w:uiPriority w:val="99"/>
    <w:rsid w:val="00A45E44"/>
    <w:pPr>
      <w:adjustRightInd w:val="0"/>
      <w:snapToGrid w:val="0"/>
      <w:jc w:val="center"/>
    </w:pPr>
    <w:rPr>
      <w:rFonts w:ascii="Palatino Linotype" w:hAnsi="Palatino Linotype"/>
      <w:color w:val="000000"/>
      <w:lang w:val="en-US" w:eastAsia="zh-CN"/>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customStyle="1" w:styleId="UnresolvedMention1">
    <w:name w:val="Unresolved Mention1"/>
    <w:uiPriority w:val="99"/>
    <w:semiHidden/>
    <w:unhideWhenUsed/>
    <w:rsid w:val="00A45E44"/>
    <w:rPr>
      <w:color w:val="605E5C"/>
      <w:shd w:val="clear" w:color="auto" w:fill="E1DFDD"/>
    </w:rPr>
  </w:style>
  <w:style w:type="table" w:styleId="PlainTable4">
    <w:name w:val="Plain Table 4"/>
    <w:basedOn w:val="TableNormal"/>
    <w:uiPriority w:val="44"/>
    <w:rsid w:val="00A45E44"/>
    <w:rPr>
      <w:rFonts w:ascii="Calibri" w:eastAsia="SimSun" w:hAnsi="Calibri"/>
      <w:lang w:val="en-US" w:eastAsia="zh-C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A45E44"/>
    <w:pPr>
      <w:adjustRightInd w:val="0"/>
      <w:snapToGrid w:val="0"/>
      <w:spacing w:line="240" w:lineRule="atLeast"/>
      <w:ind w:right="113"/>
    </w:pPr>
    <w:rPr>
      <w:rFonts w:ascii="Palatino Linotype" w:hAnsi="Palatino Linotype" w:cs="Arial"/>
      <w:sz w:val="14"/>
      <w:szCs w:val="22"/>
      <w:lang w:val="en-US" w:eastAsia="zh-CN"/>
    </w:rPr>
  </w:style>
  <w:style w:type="paragraph" w:customStyle="1" w:styleId="MDPI62BackMatter">
    <w:name w:val="MDPI_6.2_BackMatter"/>
    <w:qFormat/>
    <w:rsid w:val="00A45E44"/>
    <w:pPr>
      <w:adjustRightInd w:val="0"/>
      <w:snapToGrid w:val="0"/>
      <w:spacing w:after="120" w:line="228" w:lineRule="auto"/>
      <w:ind w:left="2608"/>
      <w:jc w:val="both"/>
    </w:pPr>
    <w:rPr>
      <w:rFonts w:ascii="Palatino Linotype" w:hAnsi="Palatino Linotype"/>
      <w:snapToGrid w:val="0"/>
      <w:color w:val="000000"/>
      <w:sz w:val="18"/>
      <w:lang w:val="en-US" w:eastAsia="en-US" w:bidi="en-US"/>
    </w:rPr>
  </w:style>
  <w:style w:type="paragraph" w:customStyle="1" w:styleId="MDPI63Notes">
    <w:name w:val="MDPI_6.3_Notes"/>
    <w:qFormat/>
    <w:rsid w:val="00A45E44"/>
    <w:pPr>
      <w:adjustRightInd w:val="0"/>
      <w:snapToGrid w:val="0"/>
      <w:spacing w:after="120" w:line="240" w:lineRule="atLeast"/>
      <w:ind w:right="113"/>
    </w:pPr>
    <w:rPr>
      <w:rFonts w:ascii="Palatino Linotype" w:eastAsia="SimSun" w:hAnsi="Palatino Linotype"/>
      <w:snapToGrid w:val="0"/>
      <w:color w:val="000000"/>
      <w:sz w:val="14"/>
      <w:lang w:val="en-US" w:eastAsia="en-US" w:bidi="en-US"/>
    </w:rPr>
  </w:style>
  <w:style w:type="paragraph" w:customStyle="1" w:styleId="MDPI15academiceditor">
    <w:name w:val="MDPI_1.5_academic_editor"/>
    <w:qFormat/>
    <w:rsid w:val="00A45E44"/>
    <w:pPr>
      <w:adjustRightInd w:val="0"/>
      <w:snapToGrid w:val="0"/>
      <w:spacing w:before="240" w:line="240" w:lineRule="atLeast"/>
      <w:ind w:right="113"/>
    </w:pPr>
    <w:rPr>
      <w:rFonts w:ascii="Palatino Linotype" w:hAnsi="Palatino Linotype"/>
      <w:color w:val="000000"/>
      <w:sz w:val="14"/>
      <w:szCs w:val="22"/>
      <w:lang w:val="en-US" w:bidi="en-US"/>
    </w:rPr>
  </w:style>
  <w:style w:type="paragraph" w:customStyle="1" w:styleId="MDPI19classification">
    <w:name w:val="MDPI_1.9_classification"/>
    <w:qFormat/>
    <w:rsid w:val="00A45E44"/>
    <w:pPr>
      <w:spacing w:before="240" w:line="260" w:lineRule="atLeast"/>
      <w:ind w:left="113"/>
      <w:jc w:val="both"/>
    </w:pPr>
    <w:rPr>
      <w:rFonts w:ascii="Palatino Linotype" w:hAnsi="Palatino Linotype"/>
      <w:b/>
      <w:color w:val="000000"/>
      <w:szCs w:val="22"/>
      <w:lang w:val="en-US" w:bidi="en-US"/>
    </w:rPr>
  </w:style>
  <w:style w:type="paragraph" w:customStyle="1" w:styleId="MDPI411onetablecaption">
    <w:name w:val="MDPI_4.1.1_one_table_caption"/>
    <w:qFormat/>
    <w:rsid w:val="00A45E44"/>
    <w:pPr>
      <w:adjustRightInd w:val="0"/>
      <w:snapToGrid w:val="0"/>
      <w:spacing w:before="240" w:after="120" w:line="260" w:lineRule="atLeast"/>
      <w:jc w:val="center"/>
    </w:pPr>
    <w:rPr>
      <w:rFonts w:ascii="Palatino Linotype" w:hAnsi="Palatino Linotype" w:cs="Arial"/>
      <w:noProof/>
      <w:color w:val="000000"/>
      <w:sz w:val="18"/>
      <w:szCs w:val="22"/>
      <w:lang w:val="en-US" w:eastAsia="zh-CN" w:bidi="en-US"/>
    </w:rPr>
  </w:style>
  <w:style w:type="paragraph" w:customStyle="1" w:styleId="MDPI511onefigurecaption">
    <w:name w:val="MDPI_5.1.1_one_figure_caption"/>
    <w:qFormat/>
    <w:rsid w:val="00A45E44"/>
    <w:pPr>
      <w:adjustRightInd w:val="0"/>
      <w:snapToGrid w:val="0"/>
      <w:spacing w:before="240" w:after="120" w:line="260" w:lineRule="atLeast"/>
      <w:jc w:val="center"/>
    </w:pPr>
    <w:rPr>
      <w:rFonts w:ascii="Palatino Linotype" w:hAnsi="Palatino Linotype"/>
      <w:noProof/>
      <w:color w:val="000000"/>
      <w:sz w:val="18"/>
      <w:lang w:val="en-US" w:eastAsia="zh-CN" w:bidi="en-US"/>
    </w:rPr>
  </w:style>
  <w:style w:type="paragraph" w:customStyle="1" w:styleId="MDPI72Copyright">
    <w:name w:val="MDPI_7.2_Copyright"/>
    <w:qFormat/>
    <w:rsid w:val="00A45E44"/>
    <w:pPr>
      <w:adjustRightInd w:val="0"/>
      <w:snapToGrid w:val="0"/>
      <w:spacing w:before="240" w:line="240" w:lineRule="atLeast"/>
      <w:ind w:right="113"/>
    </w:pPr>
    <w:rPr>
      <w:rFonts w:ascii="Palatino Linotype" w:hAnsi="Palatino Linotype"/>
      <w:noProof/>
      <w:snapToGrid w:val="0"/>
      <w:color w:val="000000"/>
      <w:spacing w:val="-2"/>
      <w:sz w:val="14"/>
      <w:lang w:val="en-GB" w:eastAsia="en-GB"/>
    </w:rPr>
  </w:style>
  <w:style w:type="paragraph" w:customStyle="1" w:styleId="MDPI73CopyrightImage">
    <w:name w:val="MDPI_7.3_CopyrightImage"/>
    <w:rsid w:val="00A45E44"/>
    <w:pPr>
      <w:adjustRightInd w:val="0"/>
      <w:snapToGrid w:val="0"/>
      <w:spacing w:after="100" w:line="260" w:lineRule="atLeast"/>
      <w:jc w:val="right"/>
    </w:pPr>
    <w:rPr>
      <w:rFonts w:ascii="Palatino Linotype" w:hAnsi="Palatino Linotype"/>
      <w:color w:val="000000"/>
      <w:lang w:val="en-US" w:eastAsia="de-CH"/>
    </w:rPr>
  </w:style>
  <w:style w:type="paragraph" w:customStyle="1" w:styleId="MDPIequationFram">
    <w:name w:val="MDPI_equationFram"/>
    <w:qFormat/>
    <w:rsid w:val="00A45E44"/>
    <w:pPr>
      <w:adjustRightInd w:val="0"/>
      <w:snapToGrid w:val="0"/>
      <w:spacing w:before="120" w:after="120"/>
      <w:jc w:val="center"/>
    </w:pPr>
    <w:rPr>
      <w:rFonts w:ascii="Palatino Linotype" w:hAnsi="Palatino Linotype"/>
      <w:snapToGrid w:val="0"/>
      <w:color w:val="000000"/>
      <w:szCs w:val="22"/>
      <w:lang w:val="en-US" w:bidi="en-US"/>
    </w:rPr>
  </w:style>
  <w:style w:type="paragraph" w:customStyle="1" w:styleId="MDPIfooter">
    <w:name w:val="MDPI_footer"/>
    <w:qFormat/>
    <w:rsid w:val="00A45E44"/>
    <w:pPr>
      <w:adjustRightInd w:val="0"/>
      <w:snapToGrid w:val="0"/>
      <w:spacing w:before="120" w:line="260" w:lineRule="atLeast"/>
      <w:jc w:val="center"/>
    </w:pPr>
    <w:rPr>
      <w:rFonts w:ascii="Palatino Linotype" w:hAnsi="Palatino Linotype"/>
      <w:color w:val="000000"/>
      <w:lang w:val="en-US"/>
    </w:rPr>
  </w:style>
  <w:style w:type="paragraph" w:customStyle="1" w:styleId="MDPIfooterfirstpage">
    <w:name w:val="MDPI_footer_firstpage"/>
    <w:qFormat/>
    <w:rsid w:val="00A45E44"/>
    <w:pPr>
      <w:tabs>
        <w:tab w:val="right" w:pos="8845"/>
      </w:tabs>
      <w:spacing w:line="160" w:lineRule="exact"/>
    </w:pPr>
    <w:rPr>
      <w:rFonts w:ascii="Palatino Linotype" w:hAnsi="Palatino Linotype"/>
      <w:color w:val="000000"/>
      <w:sz w:val="16"/>
      <w:lang w:val="en-US"/>
    </w:rPr>
  </w:style>
  <w:style w:type="paragraph" w:customStyle="1" w:styleId="MDPIheader">
    <w:name w:val="MDPI_header"/>
    <w:qFormat/>
    <w:rsid w:val="00A45E44"/>
    <w:pPr>
      <w:adjustRightInd w:val="0"/>
      <w:snapToGrid w:val="0"/>
      <w:spacing w:after="240" w:line="260" w:lineRule="atLeast"/>
      <w:jc w:val="both"/>
    </w:pPr>
    <w:rPr>
      <w:rFonts w:ascii="Palatino Linotype" w:hAnsi="Palatino Linotype"/>
      <w:iCs/>
      <w:color w:val="000000"/>
      <w:sz w:val="16"/>
      <w:lang w:val="en-US"/>
    </w:rPr>
  </w:style>
  <w:style w:type="paragraph" w:customStyle="1" w:styleId="MDPIheadercitation">
    <w:name w:val="MDPI_header_citation"/>
    <w:rsid w:val="00A45E44"/>
    <w:pPr>
      <w:spacing w:after="240"/>
    </w:pPr>
    <w:rPr>
      <w:rFonts w:ascii="Palatino Linotype" w:hAnsi="Palatino Linotype"/>
      <w:snapToGrid w:val="0"/>
      <w:color w:val="000000"/>
      <w:sz w:val="18"/>
      <w:lang w:val="en-US" w:bidi="en-US"/>
    </w:rPr>
  </w:style>
  <w:style w:type="paragraph" w:customStyle="1" w:styleId="MDPIheadermdpilogo">
    <w:name w:val="MDPI_header_mdpi_logo"/>
    <w:qFormat/>
    <w:rsid w:val="00A45E44"/>
    <w:pPr>
      <w:adjustRightInd w:val="0"/>
      <w:snapToGrid w:val="0"/>
      <w:spacing w:line="260" w:lineRule="atLeast"/>
      <w:jc w:val="right"/>
    </w:pPr>
    <w:rPr>
      <w:rFonts w:ascii="Palatino Linotype" w:hAnsi="Palatino Linotype"/>
      <w:color w:val="000000"/>
      <w:sz w:val="24"/>
      <w:szCs w:val="22"/>
      <w:lang w:val="en-US" w:eastAsia="de-CH"/>
    </w:rPr>
  </w:style>
  <w:style w:type="table" w:customStyle="1" w:styleId="MDPITable">
    <w:name w:val="MDPI_Table"/>
    <w:basedOn w:val="TableNormal"/>
    <w:uiPriority w:val="99"/>
    <w:rsid w:val="00A45E44"/>
    <w:rPr>
      <w:rFonts w:ascii="Palatino Linotype" w:eastAsia="SimSun" w:hAnsi="Palatino Linotype"/>
      <w:color w:val="000000"/>
      <w:lang w:val="en-CA" w:eastAsia="en-US"/>
    </w:rPr>
    <w:tblPr>
      <w:tblCellMar>
        <w:left w:w="0" w:type="dxa"/>
        <w:right w:w="0" w:type="dxa"/>
      </w:tblCellMar>
    </w:tblPr>
  </w:style>
  <w:style w:type="paragraph" w:customStyle="1" w:styleId="MDPItext">
    <w:name w:val="MDPI_text"/>
    <w:qFormat/>
    <w:rsid w:val="00A45E44"/>
    <w:pPr>
      <w:spacing w:line="260" w:lineRule="atLeast"/>
      <w:ind w:left="425" w:right="425" w:firstLine="284"/>
      <w:jc w:val="both"/>
    </w:pPr>
    <w:rPr>
      <w:rFonts w:ascii="Times New Roman" w:hAnsi="Times New Roman"/>
      <w:noProof/>
      <w:snapToGrid w:val="0"/>
      <w:color w:val="000000"/>
      <w:sz w:val="22"/>
      <w:szCs w:val="22"/>
      <w:lang w:val="en-US" w:bidi="en-US"/>
    </w:rPr>
  </w:style>
  <w:style w:type="paragraph" w:customStyle="1" w:styleId="MDPItitle">
    <w:name w:val="MDPI_title"/>
    <w:qFormat/>
    <w:rsid w:val="00A45E44"/>
    <w:pPr>
      <w:adjustRightInd w:val="0"/>
      <w:snapToGrid w:val="0"/>
      <w:spacing w:after="240" w:line="260" w:lineRule="atLeast"/>
      <w:jc w:val="both"/>
    </w:pPr>
    <w:rPr>
      <w:rFonts w:ascii="Palatino Linotype" w:hAnsi="Palatino Linotype"/>
      <w:b/>
      <w:snapToGrid w:val="0"/>
      <w:color w:val="000000"/>
      <w:sz w:val="36"/>
      <w:lang w:val="en-US" w:bidi="en-US"/>
    </w:rPr>
  </w:style>
  <w:style w:type="paragraph" w:styleId="BodyText">
    <w:name w:val="Body Text"/>
    <w:link w:val="BodyTextChar"/>
    <w:rsid w:val="00A45E44"/>
    <w:pPr>
      <w:spacing w:after="120" w:line="340" w:lineRule="atLeast"/>
      <w:jc w:val="both"/>
    </w:pPr>
    <w:rPr>
      <w:rFonts w:ascii="Palatino Linotype" w:eastAsia="SimSun" w:hAnsi="Palatino Linotype"/>
      <w:color w:val="000000"/>
      <w:sz w:val="24"/>
      <w:lang w:val="en-US"/>
    </w:rPr>
  </w:style>
  <w:style w:type="character" w:customStyle="1" w:styleId="BodyTextChar">
    <w:name w:val="Body Text Char"/>
    <w:basedOn w:val="DefaultParagraphFont"/>
    <w:link w:val="BodyText"/>
    <w:rsid w:val="00A45E44"/>
    <w:rPr>
      <w:rFonts w:ascii="Palatino Linotype" w:eastAsia="SimSun" w:hAnsi="Palatino Linotype"/>
      <w:color w:val="000000"/>
      <w:sz w:val="24"/>
      <w:lang w:val="en-US"/>
    </w:rPr>
  </w:style>
  <w:style w:type="paragraph" w:styleId="EndnoteText">
    <w:name w:val="endnote text"/>
    <w:basedOn w:val="Normal"/>
    <w:link w:val="EndnoteTextChar"/>
    <w:semiHidden/>
    <w:unhideWhenUsed/>
    <w:rsid w:val="00A45E44"/>
    <w:pPr>
      <w:suppressAutoHyphens w:val="0"/>
      <w:spacing w:before="0" w:line="240" w:lineRule="auto"/>
    </w:pPr>
    <w:rPr>
      <w:rFonts w:ascii="Palatino Linotype" w:eastAsia="SimSun" w:hAnsi="Palatino Linotype"/>
      <w:noProof/>
      <w:color w:val="000000"/>
      <w:sz w:val="20"/>
      <w:lang w:val="en-US" w:eastAsia="zh-CN"/>
    </w:rPr>
  </w:style>
  <w:style w:type="character" w:customStyle="1" w:styleId="EndnoteTextChar">
    <w:name w:val="Endnote Text Char"/>
    <w:basedOn w:val="DefaultParagraphFont"/>
    <w:link w:val="EndnoteText"/>
    <w:semiHidden/>
    <w:rsid w:val="00A45E44"/>
    <w:rPr>
      <w:rFonts w:ascii="Palatino Linotype" w:eastAsia="SimSun" w:hAnsi="Palatino Linotype"/>
      <w:noProof/>
      <w:color w:val="000000"/>
      <w:lang w:val="en-US" w:eastAsia="zh-CN"/>
    </w:rPr>
  </w:style>
  <w:style w:type="paragraph" w:customStyle="1" w:styleId="MsoFootnoteText0">
    <w:name w:val="MsoFootnoteText"/>
    <w:basedOn w:val="NormalWeb"/>
    <w:qFormat/>
    <w:rsid w:val="00A45E44"/>
    <w:pPr>
      <w:spacing w:before="0" w:beforeAutospacing="0" w:after="0" w:afterAutospacing="0" w:line="260" w:lineRule="atLeast"/>
    </w:pPr>
    <w:rPr>
      <w:rFonts w:eastAsia="SimSun"/>
      <w:noProof/>
      <w:color w:val="000000"/>
      <w:sz w:val="20"/>
      <w:lang w:val="en-US" w:eastAsia="zh-CN"/>
    </w:rPr>
  </w:style>
  <w:style w:type="character" w:styleId="PageNumber">
    <w:name w:val="page number"/>
    <w:rsid w:val="00A45E44"/>
  </w:style>
  <w:style w:type="paragraph" w:customStyle="1" w:styleId="MDPI71FootNotes">
    <w:name w:val="MDPI_7.1_FootNotes"/>
    <w:qFormat/>
    <w:rsid w:val="00A45E44"/>
    <w:pPr>
      <w:numPr>
        <w:numId w:val="12"/>
      </w:numPr>
      <w:adjustRightInd w:val="0"/>
      <w:snapToGrid w:val="0"/>
      <w:spacing w:line="228" w:lineRule="auto"/>
      <w:ind w:left="432" w:hanging="432"/>
      <w:jc w:val="both"/>
    </w:pPr>
    <w:rPr>
      <w:rFonts w:ascii="Palatino Linotype" w:hAnsi="Palatino Linotype"/>
      <w:noProof/>
      <w:color w:val="000000"/>
      <w:sz w:val="18"/>
      <w:lang w:val="en-US" w:eastAsia="zh-CN"/>
    </w:rPr>
  </w:style>
  <w:style w:type="paragraph" w:customStyle="1" w:styleId="Spiegel-1">
    <w:name w:val="Spiegel-1"/>
    <w:basedOn w:val="Normal"/>
    <w:link w:val="Spiegel-1Zchn"/>
    <w:uiPriority w:val="99"/>
    <w:rsid w:val="00A45E44"/>
    <w:pPr>
      <w:numPr>
        <w:numId w:val="13"/>
      </w:numPr>
      <w:tabs>
        <w:tab w:val="left" w:pos="357"/>
      </w:tabs>
      <w:suppressAutoHyphens w:val="0"/>
      <w:spacing w:before="120" w:line="320" w:lineRule="atLeast"/>
    </w:pPr>
    <w:rPr>
      <w:sz w:val="24"/>
      <w:lang w:val="en-GB"/>
    </w:rPr>
  </w:style>
  <w:style w:type="character" w:customStyle="1" w:styleId="Spiegel-1Zchn">
    <w:name w:val="Spiegel-1 Zchn"/>
    <w:link w:val="Spiegel-1"/>
    <w:uiPriority w:val="99"/>
    <w:rsid w:val="00A45E44"/>
    <w:rPr>
      <w:rFonts w:ascii="Calibri" w:hAnsi="Calibri"/>
      <w:sz w:val="24"/>
      <w:lang w:val="en-GB"/>
    </w:rPr>
  </w:style>
  <w:style w:type="paragraph" w:customStyle="1" w:styleId="Literaturverzeichnis1">
    <w:name w:val="Literaturverzeichnis1"/>
    <w:basedOn w:val="Normal"/>
    <w:link w:val="BibliographyZchn"/>
    <w:rsid w:val="00A45E44"/>
    <w:pPr>
      <w:tabs>
        <w:tab w:val="left" w:pos="380"/>
      </w:tabs>
      <w:suppressAutoHyphens w:val="0"/>
      <w:spacing w:before="320" w:line="240" w:lineRule="atLeast"/>
      <w:ind w:left="384" w:hanging="384"/>
    </w:pPr>
    <w:rPr>
      <w:sz w:val="24"/>
      <w:lang w:val="en-GB"/>
    </w:rPr>
  </w:style>
  <w:style w:type="character" w:customStyle="1" w:styleId="BibliographyZchn">
    <w:name w:val="Bibliography Zchn"/>
    <w:link w:val="Literaturverzeichnis1"/>
    <w:rsid w:val="00A45E44"/>
    <w:rPr>
      <w:rFonts w:ascii="Calibri" w:hAnsi="Calibri"/>
      <w:sz w:val="24"/>
      <w:lang w:val="en-GB"/>
    </w:rPr>
  </w:style>
  <w:style w:type="paragraph" w:customStyle="1" w:styleId="Literaturverzeichnis2">
    <w:name w:val="Literaturverzeichnis2"/>
    <w:basedOn w:val="Normal"/>
    <w:link w:val="BibliographyZchn1"/>
    <w:rsid w:val="00A45E44"/>
    <w:pPr>
      <w:tabs>
        <w:tab w:val="left" w:pos="380"/>
      </w:tabs>
      <w:suppressAutoHyphens w:val="0"/>
      <w:spacing w:before="0" w:line="240" w:lineRule="atLeast"/>
      <w:ind w:left="384" w:hanging="384"/>
    </w:pPr>
    <w:rPr>
      <w:rFonts w:ascii="Palatino Linotype" w:hAnsi="Palatino Linotype"/>
      <w:noProof/>
      <w:color w:val="000000"/>
      <w:sz w:val="20"/>
      <w:szCs w:val="22"/>
      <w:lang w:val="en-US" w:bidi="en-US"/>
    </w:rPr>
  </w:style>
  <w:style w:type="character" w:customStyle="1" w:styleId="MDPI31textZchn">
    <w:name w:val="MDPI_3.1_text Zchn"/>
    <w:link w:val="MDPI31text"/>
    <w:rsid w:val="00A45E44"/>
    <w:rPr>
      <w:rFonts w:ascii="Palatino Linotype" w:hAnsi="Palatino Linotype"/>
      <w:snapToGrid w:val="0"/>
      <w:color w:val="000000"/>
      <w:szCs w:val="22"/>
      <w:lang w:val="en-US" w:bidi="en-US"/>
    </w:rPr>
  </w:style>
  <w:style w:type="character" w:customStyle="1" w:styleId="BibliographyZchn1">
    <w:name w:val="Bibliography Zchn1"/>
    <w:link w:val="Literaturverzeichnis2"/>
    <w:rsid w:val="00A45E44"/>
    <w:rPr>
      <w:rFonts w:ascii="Palatino Linotype" w:hAnsi="Palatino Linotype"/>
      <w:noProof/>
      <w:color w:val="000000"/>
      <w:szCs w:val="22"/>
      <w:lang w:val="en-US" w:bidi="en-US"/>
    </w:rPr>
  </w:style>
  <w:style w:type="character" w:customStyle="1" w:styleId="jlqj4b">
    <w:name w:val="jlqj4b"/>
    <w:basedOn w:val="DefaultParagraphFont"/>
    <w:rsid w:val="00A45E44"/>
  </w:style>
  <w:style w:type="character" w:customStyle="1" w:styleId="markedcontent">
    <w:name w:val="markedcontent"/>
    <w:basedOn w:val="DefaultParagraphFont"/>
    <w:rsid w:val="00A45E44"/>
  </w:style>
  <w:style w:type="character" w:customStyle="1" w:styleId="Menzionenonrisolta1">
    <w:name w:val="Menzione non risolta1"/>
    <w:basedOn w:val="DefaultParagraphFont"/>
    <w:uiPriority w:val="99"/>
    <w:semiHidden/>
    <w:unhideWhenUsed/>
    <w:rsid w:val="00A45E44"/>
    <w:rPr>
      <w:color w:val="605E5C"/>
      <w:shd w:val="clear" w:color="auto" w:fill="E1DFDD"/>
    </w:rPr>
  </w:style>
  <w:style w:type="numbering" w:customStyle="1" w:styleId="AktuelleListe1">
    <w:name w:val="Aktuelle Liste1"/>
    <w:uiPriority w:val="99"/>
    <w:rsid w:val="00A45E44"/>
    <w:pPr>
      <w:numPr>
        <w:numId w:val="14"/>
      </w:numPr>
    </w:pPr>
  </w:style>
  <w:style w:type="numbering" w:customStyle="1" w:styleId="NoList11">
    <w:name w:val="No List11"/>
    <w:next w:val="NoList"/>
    <w:uiPriority w:val="99"/>
    <w:semiHidden/>
    <w:unhideWhenUsed/>
    <w:rsid w:val="00A45E44"/>
  </w:style>
  <w:style w:type="table" w:customStyle="1" w:styleId="Vorlage1">
    <w:name w:val="Vorlage1"/>
    <w:basedOn w:val="TableNormal"/>
    <w:next w:val="TableGrid"/>
    <w:uiPriority w:val="39"/>
    <w:rsid w:val="00A45E44"/>
    <w:rPr>
      <w:rFonts w:ascii="Calibri" w:eastAsia="Calibri" w:hAnsi="Calibri" w:cs="Arial"/>
      <w:sz w:val="22"/>
      <w:szCs w:val="22"/>
      <w:lang w:val="en-US" w:eastAsia="en-US"/>
    </w:rPr>
    <w:tblPr>
      <w:tblStyleRowBandSize w:val="1"/>
    </w:tblPr>
    <w:tcPr>
      <w:shd w:val="clear" w:color="auto" w:fill="auto"/>
    </w:tcPr>
    <w:tblStylePr w:type="firstRow">
      <w:tblPr/>
      <w:tcPr>
        <w:shd w:val="clear" w:color="auto" w:fill="002060"/>
      </w:tcPr>
    </w:tblStylePr>
    <w:tblStylePr w:type="band2Horz">
      <w:tblPr/>
      <w:tcPr>
        <w:shd w:val="clear" w:color="auto" w:fill="F2F2F2"/>
      </w:tcPr>
    </w:tblStylePr>
  </w:style>
  <w:style w:type="paragraph" w:customStyle="1" w:styleId="Bildbeschreibung">
    <w:name w:val="Bildbeschreibung"/>
    <w:basedOn w:val="Caption"/>
    <w:qFormat/>
    <w:rsid w:val="00A45E44"/>
    <w:pPr>
      <w:tabs>
        <w:tab w:val="clear" w:pos="1418"/>
        <w:tab w:val="clear" w:pos="2127"/>
      </w:tabs>
      <w:suppressAutoHyphens w:val="0"/>
      <w:spacing w:after="200" w:line="240" w:lineRule="auto"/>
      <w:jc w:val="left"/>
    </w:pPr>
    <w:rPr>
      <w:rFonts w:eastAsia="Calibri" w:cs="Calibri"/>
      <w:i w:val="0"/>
      <w:iCs/>
      <w:color w:val="44546A"/>
      <w:sz w:val="18"/>
      <w:szCs w:val="18"/>
      <w:lang w:eastAsia="en-US"/>
    </w:rPr>
  </w:style>
  <w:style w:type="table" w:customStyle="1" w:styleId="Tabellenraster1">
    <w:name w:val="Tabellenraster1"/>
    <w:basedOn w:val="TableNormal"/>
    <w:next w:val="TableGrid"/>
    <w:uiPriority w:val="39"/>
    <w:rsid w:val="00A45E4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ktuelleListe2">
    <w:name w:val="Aktuelle Liste2"/>
    <w:uiPriority w:val="99"/>
    <w:rsid w:val="00A45E44"/>
    <w:pPr>
      <w:numPr>
        <w:numId w:val="15"/>
      </w:numPr>
    </w:pPr>
  </w:style>
  <w:style w:type="numbering" w:customStyle="1" w:styleId="AktuelleListe3">
    <w:name w:val="Aktuelle Liste3"/>
    <w:uiPriority w:val="99"/>
    <w:rsid w:val="00A45E44"/>
    <w:pPr>
      <w:numPr>
        <w:numId w:val="16"/>
      </w:numPr>
    </w:pPr>
  </w:style>
  <w:style w:type="numbering" w:customStyle="1" w:styleId="AktuelleListe4">
    <w:name w:val="Aktuelle Liste4"/>
    <w:uiPriority w:val="99"/>
    <w:rsid w:val="00A45E44"/>
    <w:pPr>
      <w:numPr>
        <w:numId w:val="17"/>
      </w:numPr>
    </w:pPr>
  </w:style>
  <w:style w:type="character" w:customStyle="1" w:styleId="VerbatimChar">
    <w:name w:val="Verbatim Char"/>
    <w:rsid w:val="00A45E44"/>
    <w:rPr>
      <w:rFonts w:ascii="Consolas" w:hAnsi="Consolas"/>
      <w:sz w:val="22"/>
    </w:rPr>
  </w:style>
  <w:style w:type="character" w:customStyle="1" w:styleId="katex-mathml">
    <w:name w:val="katex-mathml"/>
    <w:basedOn w:val="DefaultParagraphFont"/>
    <w:rsid w:val="00A45E44"/>
  </w:style>
  <w:style w:type="character" w:customStyle="1" w:styleId="mop">
    <w:name w:val="mop"/>
    <w:basedOn w:val="DefaultParagraphFont"/>
    <w:rsid w:val="00A45E44"/>
  </w:style>
  <w:style w:type="character" w:customStyle="1" w:styleId="mclose">
    <w:name w:val="mclose"/>
    <w:basedOn w:val="DefaultParagraphFont"/>
    <w:rsid w:val="00A45E44"/>
  </w:style>
  <w:style w:type="table" w:customStyle="1" w:styleId="TableGrid11">
    <w:name w:val="Table Grid11"/>
    <w:basedOn w:val="TableNormal"/>
    <w:next w:val="TableGrid"/>
    <w:rsid w:val="00A45E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A45E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31">
    <w:name w:val="Grid Table 6 Colorful - Accent 31"/>
    <w:basedOn w:val="TableNormal"/>
    <w:next w:val="GridTable6Colorful-Accent3"/>
    <w:uiPriority w:val="51"/>
    <w:rsid w:val="00A45E44"/>
    <w:rPr>
      <w:rFonts w:ascii="Calibri" w:eastAsia="Calibri" w:hAnsi="Calibri" w:cs="Arial"/>
      <w:color w:val="7B7B7B"/>
      <w:sz w:val="22"/>
      <w:szCs w:val="22"/>
      <w:lang w:val="en-US"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bottom w:val="single" w:sz="12" w:space="0" w:color="C9C9C9"/>
        </w:tcBorders>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numbering" w:customStyle="1" w:styleId="NoList2">
    <w:name w:val="No List2"/>
    <w:next w:val="NoList"/>
    <w:uiPriority w:val="99"/>
    <w:semiHidden/>
    <w:unhideWhenUsed/>
    <w:rsid w:val="00A45E44"/>
  </w:style>
  <w:style w:type="table" w:customStyle="1" w:styleId="Vorlage2">
    <w:name w:val="Vorlage2"/>
    <w:basedOn w:val="TableNormal"/>
    <w:next w:val="TableGrid"/>
    <w:uiPriority w:val="39"/>
    <w:rsid w:val="00A45E44"/>
    <w:rPr>
      <w:rFonts w:ascii="Calibri" w:eastAsia="Calibri" w:hAnsi="Calibri" w:cs="Arial"/>
      <w:sz w:val="22"/>
      <w:szCs w:val="22"/>
      <w:lang w:val="en-US" w:eastAsia="en-US"/>
    </w:rPr>
    <w:tblPr>
      <w:tblStyleRowBandSize w:val="1"/>
    </w:tblPr>
    <w:tcPr>
      <w:shd w:val="clear" w:color="auto" w:fill="auto"/>
    </w:tcPr>
    <w:tblStylePr w:type="firstRow">
      <w:tblPr/>
      <w:tcPr>
        <w:shd w:val="clear" w:color="auto" w:fill="002060"/>
      </w:tcPr>
    </w:tblStylePr>
    <w:tblStylePr w:type="band2Horz">
      <w:tblPr/>
      <w:tcPr>
        <w:shd w:val="clear" w:color="auto" w:fill="F2F2F2"/>
      </w:tcPr>
    </w:tblStylePr>
  </w:style>
  <w:style w:type="table" w:customStyle="1" w:styleId="Tabellenraster11">
    <w:name w:val="Tabellenraster11"/>
    <w:basedOn w:val="TableNormal"/>
    <w:next w:val="TableGrid"/>
    <w:uiPriority w:val="39"/>
    <w:rsid w:val="00A45E4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rsid w:val="00A45E4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A45E44"/>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next w:val="PlainTable1"/>
    <w:uiPriority w:val="41"/>
    <w:rsid w:val="00A45E44"/>
    <w:rPr>
      <w:rFonts w:ascii="Calibri" w:eastAsia="Calibri" w:hAnsi="Calibri" w:cs="Arial"/>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GridTable6Colorful-Accent3">
    <w:name w:val="Grid Table 6 Colorful Accent 3"/>
    <w:basedOn w:val="TableNormal"/>
    <w:uiPriority w:val="51"/>
    <w:rsid w:val="00A45E44"/>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PlainTable1">
    <w:name w:val="Plain Table 1"/>
    <w:basedOn w:val="TableNormal"/>
    <w:uiPriority w:val="41"/>
    <w:rsid w:val="00A45E4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79989">
      <w:bodyDiv w:val="1"/>
      <w:marLeft w:val="0"/>
      <w:marRight w:val="0"/>
      <w:marTop w:val="0"/>
      <w:marBottom w:val="0"/>
      <w:divBdr>
        <w:top w:val="none" w:sz="0" w:space="0" w:color="auto"/>
        <w:left w:val="none" w:sz="0" w:space="0" w:color="auto"/>
        <w:bottom w:val="none" w:sz="0" w:space="0" w:color="auto"/>
        <w:right w:val="none" w:sz="0" w:space="0" w:color="auto"/>
      </w:divBdr>
    </w:div>
    <w:div w:id="491875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2F3F3970-C036-449A-9106-4F5499EB2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9462</Words>
  <Characters>50054</Characters>
  <Application>Microsoft Office Word</Application>
  <DocSecurity>0</DocSecurity>
  <Lines>1726</Lines>
  <Paragraphs>783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Th</dc:creator>
  <cp:keywords/>
  <dc:description/>
  <cp:lastModifiedBy>F Th</cp:lastModifiedBy>
  <cp:revision>43</cp:revision>
  <cp:lastPrinted>2021-10-06T11:18:00Z</cp:lastPrinted>
  <dcterms:created xsi:type="dcterms:W3CDTF">2025-06-06T19:18:00Z</dcterms:created>
  <dcterms:modified xsi:type="dcterms:W3CDTF">2025-08-06T14:26:00Z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79f22637-3eeb-45c2-b03e-4cdb83a00537</vt:lpwstr>
  </property>
  <property fmtid="{D5CDD505-2E9C-101B-9397-08002B2CF9AE}" pid="3" name="ZOTERO_PREF_1">
    <vt:lpwstr>&lt;data data-version="3" zotero-version="6.0.36"&gt;&lt;session id="8ES3r75M"/&gt;&lt;style id="http://www.zotero.org/styles/apa" locale="de-DE" hasBibliography="1" bibliographyStyleHasBeenSet="1"/&gt;&lt;prefs&gt;&lt;pref name="fieldType" value="Field"/&gt;&lt;/prefs&gt;&lt;/data&gt;</vt:lpwstr>
  </property>
</Properties>
</file>