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261A" w14:textId="215CDD71" w:rsidR="00382A3A" w:rsidRDefault="00AD280E" w:rsidP="00AD280E">
      <w:pPr>
        <w:pStyle w:val="1"/>
      </w:pPr>
      <w:r>
        <w:rPr>
          <w:rFonts w:hint="eastAsia"/>
        </w:rPr>
        <w:t>Appendix A</w:t>
      </w:r>
    </w:p>
    <w:p w14:paraId="7F96051E" w14:textId="2830E322" w:rsidR="00AD280E" w:rsidRDefault="00AD280E" w:rsidP="00AD280E">
      <w:pPr>
        <w:ind w:firstLineChars="200" w:firstLine="440"/>
        <w:rPr>
          <w:rFonts w:ascii="Arial" w:hAnsi="Arial" w:cs="Arial"/>
        </w:rPr>
      </w:pPr>
      <w:r>
        <w:rPr>
          <w:rFonts w:ascii="Arial" w:hAnsi="Arial" w:cs="Arial" w:hint="eastAsia"/>
        </w:rPr>
        <w:t>T</w:t>
      </w:r>
      <w:r w:rsidRPr="00AD280E">
        <w:rPr>
          <w:rFonts w:ascii="Arial" w:hAnsi="Arial" w:cs="Arial"/>
        </w:rPr>
        <w:t xml:space="preserve">he list of the </w:t>
      </w:r>
      <w:r>
        <w:rPr>
          <w:rFonts w:ascii="Arial" w:hAnsi="Arial" w:cs="Arial" w:hint="eastAsia"/>
        </w:rPr>
        <w:t>seven</w:t>
      </w:r>
      <w:r w:rsidRPr="00AD280E">
        <w:rPr>
          <w:rFonts w:ascii="Arial" w:hAnsi="Arial" w:cs="Arial"/>
        </w:rPr>
        <w:t xml:space="preserve"> batches of Cross-border E-commerce Comprehensive Pilot Zones approved by the State Council of China</w:t>
      </w:r>
      <w:r>
        <w:rPr>
          <w:rFonts w:ascii="Arial" w:hAnsi="Arial" w:cs="Arial" w:hint="eastAsia"/>
        </w:rPr>
        <w:t>.</w:t>
      </w:r>
    </w:p>
    <w:p w14:paraId="1B791D01" w14:textId="4EA6315C" w:rsidR="00AD280E" w:rsidRPr="00AD280E" w:rsidRDefault="00AD280E" w:rsidP="00AD280E">
      <w:pPr>
        <w:spacing w:after="0" w:line="240" w:lineRule="auto"/>
        <w:ind w:firstLineChars="200" w:firstLine="440"/>
        <w:jc w:val="center"/>
        <w:rPr>
          <w:rFonts w:ascii="Arial" w:hAnsi="Arial" w:cs="Arial" w:hint="eastAsia"/>
          <w:b/>
          <w:bCs/>
        </w:rPr>
      </w:pPr>
      <w:r w:rsidRPr="00AD280E">
        <w:rPr>
          <w:rFonts w:ascii="Arial" w:hAnsi="Arial" w:cs="Arial" w:hint="eastAsia"/>
          <w:b/>
          <w:bCs/>
        </w:rPr>
        <w:t xml:space="preserve">Table </w:t>
      </w:r>
      <w:r>
        <w:rPr>
          <w:rFonts w:ascii="Arial" w:hAnsi="Arial" w:cs="Arial" w:hint="eastAsia"/>
          <w:b/>
          <w:bCs/>
        </w:rPr>
        <w:t>1. The lists of pilot zones</w:t>
      </w:r>
    </w:p>
    <w:tbl>
      <w:tblPr>
        <w:tblStyle w:val="af2"/>
        <w:tblW w:w="872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746"/>
      </w:tblGrid>
      <w:tr w:rsidR="00AD280E" w:rsidRPr="00AD280E" w14:paraId="76850645" w14:textId="77777777" w:rsidTr="00AD280E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059B8A2" w14:textId="49D680F2" w:rsidR="00AD280E" w:rsidRPr="00AD280E" w:rsidRDefault="00AD280E" w:rsidP="00AD280E">
            <w:pPr>
              <w:rPr>
                <w:rFonts w:ascii="Arial" w:hAnsi="Arial" w:cs="Arial"/>
                <w:b/>
                <w:bCs/>
                <w:sz w:val="20"/>
                <w:szCs w:val="21"/>
              </w:rPr>
            </w:pPr>
            <w:r w:rsidRPr="00AD280E">
              <w:rPr>
                <w:rFonts w:ascii="Arial" w:hAnsi="Arial" w:cs="Arial" w:hint="eastAsia"/>
                <w:b/>
                <w:bCs/>
                <w:sz w:val="20"/>
                <w:szCs w:val="21"/>
              </w:rPr>
              <w:t>Date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14:paraId="7D0CFE4F" w14:textId="56012FD5" w:rsidR="00AD280E" w:rsidRPr="00AD280E" w:rsidRDefault="00AD280E" w:rsidP="00AD280E">
            <w:pPr>
              <w:jc w:val="center"/>
              <w:rPr>
                <w:rFonts w:ascii="Arial" w:hAnsi="Arial" w:cs="Arial" w:hint="eastAsia"/>
                <w:b/>
                <w:bCs/>
                <w:sz w:val="20"/>
                <w:szCs w:val="21"/>
              </w:rPr>
            </w:pPr>
            <w:r w:rsidRPr="00AD280E">
              <w:rPr>
                <w:rFonts w:ascii="Arial" w:hAnsi="Arial" w:cs="Arial" w:hint="eastAsia"/>
                <w:b/>
                <w:bCs/>
                <w:sz w:val="20"/>
                <w:szCs w:val="21"/>
              </w:rPr>
              <w:t>City</w:t>
            </w:r>
          </w:p>
        </w:tc>
      </w:tr>
      <w:tr w:rsidR="00AD280E" w:rsidRPr="00AD280E" w14:paraId="1D24FB71" w14:textId="77777777" w:rsidTr="00AD280E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753AF1AD" w14:textId="72E5EE30" w:rsidR="00AD280E" w:rsidRPr="00AD280E" w:rsidRDefault="00AD280E" w:rsidP="00AD280E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March 7, 2015</w:t>
            </w:r>
          </w:p>
        </w:tc>
        <w:tc>
          <w:tcPr>
            <w:tcW w:w="6746" w:type="dxa"/>
            <w:tcBorders>
              <w:top w:val="single" w:sz="4" w:space="0" w:color="auto"/>
              <w:bottom w:val="nil"/>
            </w:tcBorders>
          </w:tcPr>
          <w:p w14:paraId="71567720" w14:textId="104EACE9" w:rsidR="00AD280E" w:rsidRPr="00AD280E" w:rsidRDefault="00AD280E" w:rsidP="00AD280E">
            <w:pPr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 w:hint="eastAsia"/>
                <w:sz w:val="20"/>
                <w:szCs w:val="21"/>
              </w:rPr>
              <w:t>Hangzhou</w:t>
            </w:r>
          </w:p>
        </w:tc>
      </w:tr>
      <w:tr w:rsidR="00AD280E" w:rsidRPr="00AD280E" w14:paraId="5EEEC8CF" w14:textId="77777777" w:rsidTr="00AD280E">
        <w:trPr>
          <w:jc w:val="center"/>
        </w:trPr>
        <w:tc>
          <w:tcPr>
            <w:tcW w:w="1980" w:type="dxa"/>
            <w:tcBorders>
              <w:top w:val="nil"/>
            </w:tcBorders>
          </w:tcPr>
          <w:p w14:paraId="2ECED86C" w14:textId="7DF7D9C9" w:rsidR="00AD280E" w:rsidRPr="00AD280E" w:rsidRDefault="00AD280E" w:rsidP="00AD280E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January 6, 2016</w:t>
            </w:r>
          </w:p>
        </w:tc>
        <w:tc>
          <w:tcPr>
            <w:tcW w:w="6746" w:type="dxa"/>
            <w:tcBorders>
              <w:top w:val="nil"/>
            </w:tcBorders>
          </w:tcPr>
          <w:p w14:paraId="50516DD1" w14:textId="797CD450" w:rsidR="00AD280E" w:rsidRPr="00AD280E" w:rsidRDefault="00AD280E" w:rsidP="00AD280E">
            <w:pPr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Tianjin, Shanghai, Chongqing, Hefei, Zhengzhou, Guangzhou, Chengdu, Dalian, Ningbo, Qingdao, Shenzhen, and Suzhou</w:t>
            </w:r>
          </w:p>
        </w:tc>
      </w:tr>
      <w:tr w:rsidR="00AD280E" w:rsidRPr="00AD280E" w14:paraId="4A351E61" w14:textId="77777777" w:rsidTr="00AD280E">
        <w:trPr>
          <w:jc w:val="center"/>
        </w:trPr>
        <w:tc>
          <w:tcPr>
            <w:tcW w:w="1980" w:type="dxa"/>
          </w:tcPr>
          <w:p w14:paraId="099A9DE5" w14:textId="72259A73" w:rsidR="00AD280E" w:rsidRPr="00AD280E" w:rsidRDefault="00AD280E" w:rsidP="00AD280E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July 24, 2018</w:t>
            </w:r>
          </w:p>
        </w:tc>
        <w:tc>
          <w:tcPr>
            <w:tcW w:w="6746" w:type="dxa"/>
          </w:tcPr>
          <w:p w14:paraId="0BA814DD" w14:textId="781F1957" w:rsidR="00AD280E" w:rsidRPr="00AD280E" w:rsidRDefault="00AD280E" w:rsidP="00AD280E">
            <w:pPr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Beijing, Hohhot, Shenyang, Changchun, Harbin, Nanjing, Nanchang, Wuhan, Changsha, Nanning, Haikou, Guiyang, Kunming, Xi’an, Lanzhou, Xiamen, Tangshan, Wuxi, Weihai, Zhuhai, Dongguan, and Yiwu</w:t>
            </w:r>
          </w:p>
        </w:tc>
      </w:tr>
      <w:tr w:rsidR="00AD280E" w:rsidRPr="00AD280E" w14:paraId="513807BA" w14:textId="77777777" w:rsidTr="00AD280E">
        <w:trPr>
          <w:jc w:val="center"/>
        </w:trPr>
        <w:tc>
          <w:tcPr>
            <w:tcW w:w="1980" w:type="dxa"/>
          </w:tcPr>
          <w:p w14:paraId="72DB3CA3" w14:textId="3EB674E7" w:rsidR="00AD280E" w:rsidRPr="00AD280E" w:rsidRDefault="00AD280E" w:rsidP="00AD280E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December 15, 2019</w:t>
            </w:r>
          </w:p>
        </w:tc>
        <w:tc>
          <w:tcPr>
            <w:tcW w:w="6746" w:type="dxa"/>
          </w:tcPr>
          <w:p w14:paraId="5FB22B67" w14:textId="205249E5" w:rsidR="00AD280E" w:rsidRPr="00AD280E" w:rsidRDefault="00AD280E" w:rsidP="00AD280E">
            <w:pPr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 xml:space="preserve">Shijiazhuang, Taiyuan, Chifeng, Fushun,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Hunchun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Suifenhe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Xuzhou, Nantong, Wenzhou, Shaoxing, Wuhu, Fuzhou, Quanzhou, Ganzhou, Jinan, Yantai, Luoyang,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Huangshi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Yueyang, Shantou, Foshan,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Luzhou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>, Haidong, and Yinchuan</w:t>
            </w:r>
          </w:p>
        </w:tc>
      </w:tr>
      <w:tr w:rsidR="00AD280E" w:rsidRPr="00AD280E" w14:paraId="0951EA21" w14:textId="77777777" w:rsidTr="00AD280E">
        <w:trPr>
          <w:jc w:val="center"/>
        </w:trPr>
        <w:tc>
          <w:tcPr>
            <w:tcW w:w="1980" w:type="dxa"/>
          </w:tcPr>
          <w:p w14:paraId="6D8D4754" w14:textId="55AE1D3D" w:rsidR="00AD280E" w:rsidRPr="00AD280E" w:rsidRDefault="00AD280E" w:rsidP="00AD280E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April 27, 2020</w:t>
            </w:r>
          </w:p>
        </w:tc>
        <w:tc>
          <w:tcPr>
            <w:tcW w:w="6746" w:type="dxa"/>
          </w:tcPr>
          <w:p w14:paraId="5FF65CC5" w14:textId="42B9014F" w:rsidR="00AD280E" w:rsidRPr="00AD280E" w:rsidRDefault="00AD280E" w:rsidP="00AD280E">
            <w:pPr>
              <w:rPr>
                <w:rFonts w:ascii="Arial" w:hAnsi="Arial" w:cs="Arial"/>
                <w:sz w:val="20"/>
                <w:szCs w:val="21"/>
              </w:rPr>
            </w:pP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Xiong’an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 New Area, Datong,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Manzhouli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Yingkou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Panjin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Jilin,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Heihe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Changzhou, Lianyungang, Huai’an, Yancheng, Suqian, Huzhou, Jiaxing,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Quzhou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Taizhou (Zhejiang),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Lishui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Anqing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Zhangzhou,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Putian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Longyan, Jiujiang,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Dongying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Weifang, Linyi, Nanyang, Yichang, Xiangtan,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Chenzhou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Meizhou, Huizhou, Zhongshan, Jiangmen, Zhanjiang, Maoming,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Zhaoqing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Chongzuo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Sanya,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Deyang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Mianyang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Zunyi,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Dehong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 Dai and Jingpo Autonomous Prefecture,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Yan’an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Tianshui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>, Xining, and Ürümqi</w:t>
            </w:r>
          </w:p>
        </w:tc>
      </w:tr>
      <w:tr w:rsidR="00AD280E" w:rsidRPr="00AD280E" w14:paraId="3A9FE7C4" w14:textId="77777777" w:rsidTr="00AD280E">
        <w:trPr>
          <w:jc w:val="center"/>
        </w:trPr>
        <w:tc>
          <w:tcPr>
            <w:tcW w:w="1980" w:type="dxa"/>
          </w:tcPr>
          <w:p w14:paraId="268FB16E" w14:textId="0E03E64C" w:rsidR="00AD280E" w:rsidRPr="00AD280E" w:rsidRDefault="00AD280E" w:rsidP="00AD280E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>January 22, 2022</w:t>
            </w:r>
          </w:p>
        </w:tc>
        <w:tc>
          <w:tcPr>
            <w:tcW w:w="6746" w:type="dxa"/>
          </w:tcPr>
          <w:p w14:paraId="7196A0B3" w14:textId="7FEBDB71" w:rsidR="00AD280E" w:rsidRPr="00AD280E" w:rsidRDefault="00AD280E" w:rsidP="00AD280E">
            <w:pPr>
              <w:rPr>
                <w:rFonts w:ascii="Arial" w:hAnsi="Arial" w:cs="Arial"/>
                <w:sz w:val="20"/>
                <w:szCs w:val="21"/>
              </w:rPr>
            </w:pPr>
            <w:r w:rsidRPr="00AD280E">
              <w:rPr>
                <w:rFonts w:ascii="Arial" w:hAnsi="Arial" w:cs="Arial"/>
                <w:sz w:val="20"/>
                <w:szCs w:val="21"/>
              </w:rPr>
              <w:t xml:space="preserve">Ordos, Yangzhou, Zhenjiang, Taizhou (Jiangsu), Jinhua, Zhoushan,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Ma’anshan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Xuancheng, Jingdezhen,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Shangrao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Zibo, Rizhao, Xiangyang,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Shaoguan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Shanwei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Heyuan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Yangjiang, Qingyuan, Chaozhou,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Jieyang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Yunfu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Nanchong, Meishan,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Honghe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 Hani and Yi Autonomous Prefecture, Baoji,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Kashgar</w:t>
            </w:r>
            <w:proofErr w:type="spellEnd"/>
            <w:r w:rsidRPr="00AD280E">
              <w:rPr>
                <w:rFonts w:ascii="Arial" w:hAnsi="Arial" w:cs="Arial"/>
                <w:sz w:val="20"/>
                <w:szCs w:val="21"/>
              </w:rPr>
              <w:t xml:space="preserve">, and </w:t>
            </w:r>
            <w:proofErr w:type="spellStart"/>
            <w:r w:rsidRPr="00AD280E">
              <w:rPr>
                <w:rFonts w:ascii="Arial" w:hAnsi="Arial" w:cs="Arial"/>
                <w:sz w:val="20"/>
                <w:szCs w:val="21"/>
              </w:rPr>
              <w:t>Alashankou</w:t>
            </w:r>
            <w:proofErr w:type="spellEnd"/>
          </w:p>
        </w:tc>
      </w:tr>
    </w:tbl>
    <w:p w14:paraId="19A0DF8A" w14:textId="77777777" w:rsidR="00AD280E" w:rsidRDefault="00AD280E">
      <w:pPr>
        <w:rPr>
          <w:rFonts w:ascii="Arial" w:hAnsi="Arial" w:cs="Arial"/>
        </w:rPr>
      </w:pPr>
    </w:p>
    <w:p w14:paraId="3387B936" w14:textId="77777777" w:rsidR="00AD280E" w:rsidRPr="00AD280E" w:rsidRDefault="00AD280E">
      <w:pPr>
        <w:rPr>
          <w:rFonts w:ascii="Arial" w:hAnsi="Arial" w:cs="Arial" w:hint="eastAsia"/>
        </w:rPr>
      </w:pPr>
    </w:p>
    <w:sectPr w:rsidR="00AD280E" w:rsidRPr="00AD2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423A" w14:textId="77777777" w:rsidR="000D3A31" w:rsidRDefault="000D3A31" w:rsidP="00AD280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D7361F" w14:textId="77777777" w:rsidR="000D3A31" w:rsidRDefault="000D3A31" w:rsidP="00AD280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F109" w14:textId="77777777" w:rsidR="000D3A31" w:rsidRDefault="000D3A31" w:rsidP="00AD280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0DFFF6" w14:textId="77777777" w:rsidR="000D3A31" w:rsidRDefault="000D3A31" w:rsidP="00AD280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3A"/>
    <w:rsid w:val="000D3A31"/>
    <w:rsid w:val="00382A3A"/>
    <w:rsid w:val="00594EDF"/>
    <w:rsid w:val="00A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4D516"/>
  <w15:chartTrackingRefBased/>
  <w15:docId w15:val="{71D34568-4731-4F9A-B4BB-13B5DABC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80E"/>
    <w:pPr>
      <w:keepNext/>
      <w:keepLines/>
      <w:spacing w:after="0" w:line="360" w:lineRule="auto"/>
      <w:outlineLvl w:val="0"/>
    </w:pPr>
    <w:rPr>
      <w:rFonts w:ascii="Arial" w:eastAsia="Arial" w:hAnsi="Arial" w:cstheme="majorBidi"/>
      <w:b/>
      <w:color w:val="000000" w:themeColor="text1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80E"/>
    <w:rPr>
      <w:rFonts w:ascii="Arial" w:eastAsia="Arial" w:hAnsi="Arial" w:cstheme="majorBidi"/>
      <w:b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A3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280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28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280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280E"/>
    <w:rPr>
      <w:sz w:val="18"/>
      <w:szCs w:val="18"/>
    </w:rPr>
  </w:style>
  <w:style w:type="table" w:styleId="af2">
    <w:name w:val="Table Grid"/>
    <w:basedOn w:val="a1"/>
    <w:uiPriority w:val="39"/>
    <w:rsid w:val="00AD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1104</Characters>
  <Application>Microsoft Office Word</Application>
  <DocSecurity>0</DocSecurity>
  <Lines>110</Lines>
  <Paragraphs>105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L</dc:creator>
  <cp:keywords/>
  <dc:description/>
  <cp:lastModifiedBy>ing L</cp:lastModifiedBy>
  <cp:revision>2</cp:revision>
  <dcterms:created xsi:type="dcterms:W3CDTF">2025-06-29T07:10:00Z</dcterms:created>
  <dcterms:modified xsi:type="dcterms:W3CDTF">2025-06-29T07:18:00Z</dcterms:modified>
</cp:coreProperties>
</file>