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B15F1">
      <w:pPr>
        <w:pStyle w:val="2"/>
        <w:widowControl/>
        <w:jc w:val="center"/>
        <w:rPr>
          <w:rFonts w:hint="eastAsia" w:ascii="Times New Roman" w:hAnsi="Times New Roman" w:eastAsiaTheme="minorEastAsia"/>
          <w:lang w:eastAsia="zh-CN"/>
        </w:rPr>
      </w:pPr>
      <w:r>
        <w:rPr>
          <w:rFonts w:hint="eastAsia" w:ascii="Times New Roman" w:hAnsi="Times New Roman" w:eastAsiaTheme="minorEastAsia"/>
          <w:lang w:eastAsia="zh-CN"/>
        </w:rPr>
        <w:drawing>
          <wp:inline distT="0" distB="0" distL="114300" distR="114300">
            <wp:extent cx="4582160" cy="4062730"/>
            <wp:effectExtent l="0" t="0" r="2540" b="1270"/>
            <wp:docPr id="6" name="图片 6" descr="英文流程图2621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英文流程图2621.drawio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16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2669C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Figure 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>S</w:t>
      </w:r>
      <w:r>
        <w:rPr>
          <w:rFonts w:ascii="Times New Roman" w:hAnsi="Times New Roman"/>
          <w:b/>
          <w:bCs/>
          <w:sz w:val="18"/>
          <w:szCs w:val="18"/>
        </w:rPr>
        <w:t xml:space="preserve">1 </w:t>
      </w:r>
      <w:r>
        <w:rPr>
          <w:rFonts w:ascii="Times New Roman" w:hAnsi="Times New Roman"/>
          <w:sz w:val="18"/>
          <w:szCs w:val="18"/>
        </w:rPr>
        <w:t>Flowchart of the participants’ selection from NHANES 2017</w:t>
      </w:r>
      <w:r>
        <w:rPr>
          <w:rFonts w:hint="eastAsia" w:ascii="Times New Roman" w:hAnsi="Times New Roman"/>
          <w:sz w:val="18"/>
          <w:szCs w:val="18"/>
        </w:rPr>
        <w:t>-</w:t>
      </w:r>
      <w:r>
        <w:rPr>
          <w:rFonts w:ascii="Times New Roman" w:hAnsi="Times New Roman"/>
          <w:sz w:val="18"/>
          <w:szCs w:val="18"/>
        </w:rPr>
        <w:t>2020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>.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br w:type="textWrapping"/>
      </w:r>
      <w:r>
        <w:rPr>
          <w:rFonts w:hint="eastAsia" w:ascii="Times New Roman" w:hAnsi="Times New Roman"/>
          <w:sz w:val="18"/>
          <w:szCs w:val="18"/>
        </w:rPr>
        <w:t>Abbreviations: NHANES, National Health and Nutrition Examination Survey; CAP, Controlled Attenuation Parameter; UACR, Urinary Albumin-to-Creatinine Ratio; MASLD, Metabolic dysfunction-associated steatotic liver disease.</w:t>
      </w:r>
    </w:p>
    <w:p w14:paraId="40AAE737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1122DA04">
      <w:pPr>
        <w:pStyle w:val="2"/>
        <w:widowControl/>
        <w:jc w:val="both"/>
        <w:rPr>
          <w:rFonts w:hint="eastAsia" w:ascii="Times New Roman" w:hAnsi="Times New Roman" w:eastAsiaTheme="minorEastAsia"/>
          <w:sz w:val="21"/>
          <w:szCs w:val="21"/>
          <w:lang w:eastAsia="zh-CN"/>
        </w:rPr>
      </w:pP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drawing>
          <wp:inline distT="0" distB="0" distL="114300" distR="114300">
            <wp:extent cx="4855845" cy="4163060"/>
            <wp:effectExtent l="0" t="0" r="8255" b="2540"/>
            <wp:docPr id="4" name="图片 4" descr="CKD_Prevalence_by_LSM_Quartiles_Optimize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KD_Prevalence_by_LSM_Quartiles_Optimized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55845" cy="41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CE134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/>
          <w:sz w:val="18"/>
          <w:szCs w:val="18"/>
          <w:lang w:val="en-US" w:eastAsia="zh-CN"/>
        </w:rPr>
      </w:pPr>
      <w:bookmarkStart w:id="0" w:name="_GoBack"/>
      <w:r>
        <w:rPr>
          <w:rFonts w:ascii="Times New Roman" w:hAnsi="Times New Roman"/>
          <w:b/>
          <w:bCs/>
          <w:sz w:val="18"/>
          <w:szCs w:val="18"/>
        </w:rPr>
        <w:t xml:space="preserve">Figure 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/>
          <w:b/>
          <w:bCs/>
          <w:sz w:val="18"/>
          <w:szCs w:val="18"/>
        </w:rPr>
        <w:t>2</w:t>
      </w:r>
      <w:r>
        <w:rPr>
          <w:rFonts w:hint="eastAsia" w:ascii="Times New Roman" w:hAnsi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/>
          <w:sz w:val="18"/>
          <w:szCs w:val="18"/>
        </w:rPr>
        <w:t xml:space="preserve">Weighted prevelance of CKD by LSM 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>quartile.The bars represent the weighted prevalence (%) of CKD, and the error bars indicate the 95% confidence intervals (CIs).The ranges for LSM quartiles are as follows: Q1 (2.7-4.5 kPa), Q2 (4.5-5.6 kPa), Q3 (5.6-7.1 kPa), and Q4 (7.1-32.7 kPa)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br w:type="textWrapping"/>
      </w:r>
      <w:r>
        <w:rPr>
          <w:rFonts w:hint="default" w:ascii="Times New Roman" w:hAnsi="Times New Roman"/>
          <w:sz w:val="18"/>
          <w:szCs w:val="18"/>
          <w:lang w:val="en-US" w:eastAsia="zh-CN"/>
        </w:rPr>
        <w:t>Abbreviations: CKD, chronic kidney disease; CI, confidence interval; LSM, liver stiffness measurement.</w:t>
      </w:r>
    </w:p>
    <w:bookmarkEnd w:id="0"/>
    <w:p w14:paraId="0EF681FC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7D3C1397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3E855E79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34325AE7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6FE03192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0998B8DB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14EA2D22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39DDAD5E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6985A3A9">
      <w:pPr>
        <w:pStyle w:val="2"/>
        <w:widowControl/>
        <w:jc w:val="left"/>
        <w:rPr>
          <w:rFonts w:hint="eastAsia" w:ascii="Times New Roman" w:hAnsi="Times New Roman"/>
          <w:sz w:val="18"/>
          <w:szCs w:val="18"/>
        </w:rPr>
      </w:pPr>
    </w:p>
    <w:p w14:paraId="37CBA6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S1 </w:t>
      </w:r>
      <w:r>
        <w:rPr>
          <w:rFonts w:ascii="Times New Roman" w:hAnsi="Times New Roman" w:cs="Times New Roman"/>
        </w:rPr>
        <w:t>Single-factor to Multi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ascii="Times New Roman" w:hAnsi="Times New Roman" w:cs="Times New Roman"/>
        </w:rPr>
        <w:t>factor Logistic Regression Analysis</w:t>
      </w:r>
    </w:p>
    <w:tbl>
      <w:tblPr>
        <w:tblStyle w:val="3"/>
        <w:tblW w:w="501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2226"/>
        <w:gridCol w:w="1571"/>
        <w:gridCol w:w="2"/>
        <w:gridCol w:w="1573"/>
      </w:tblGrid>
      <w:tr w14:paraId="35B96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34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A9F3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Characteristic</w:t>
            </w:r>
          </w:p>
        </w:tc>
        <w:tc>
          <w:tcPr>
            <w:tcW w:w="258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035168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OR</w:t>
            </w:r>
          </w:p>
        </w:tc>
        <w:tc>
          <w:tcPr>
            <w:tcW w:w="1825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14AA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95% CI</w:t>
            </w:r>
          </w:p>
        </w:tc>
        <w:tc>
          <w:tcPr>
            <w:tcW w:w="18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2BED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p-value</w:t>
            </w:r>
          </w:p>
        </w:tc>
      </w:tr>
      <w:tr w14:paraId="579C0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90974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Age</w:t>
            </w:r>
          </w:p>
        </w:tc>
        <w:tc>
          <w:tcPr>
            <w:tcW w:w="258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190B7C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1.05</w:t>
            </w:r>
          </w:p>
        </w:tc>
        <w:tc>
          <w:tcPr>
            <w:tcW w:w="182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26AA31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1.04, 1.06</w:t>
            </w:r>
          </w:p>
        </w:tc>
        <w:tc>
          <w:tcPr>
            <w:tcW w:w="1827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03526F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5951B6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6E1A02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Sex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386D7B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48A008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8EBB64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319A4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23A2F4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Male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AF75D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0781B4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809A86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351FD0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85BCF1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Female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F0CAE7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1.04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586276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0.78, 1.40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1B826B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0.8</w:t>
            </w:r>
          </w:p>
        </w:tc>
      </w:tr>
      <w:tr w14:paraId="231D7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D5CFE5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Race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3CA5E2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299CBE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131439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05160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6A8869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Hispanic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D60970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A5DE6C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8A945F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033602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9F1515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Non-Hispanic White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F53147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1.23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B75783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0.88, 1.71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295D72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0.2</w:t>
            </w:r>
          </w:p>
        </w:tc>
      </w:tr>
      <w:tr w14:paraId="3B285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FE8034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Non-Hispanic Black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BB1540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1.46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5EBD67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0.89, 2.40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648AE6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0.13</w:t>
            </w:r>
          </w:p>
        </w:tc>
      </w:tr>
      <w:tr w14:paraId="6741A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244F0A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Non-Hispanic Asian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F4F7B5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1.26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542859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0.95, 1.69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D72BFD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0.11</w:t>
            </w:r>
          </w:p>
        </w:tc>
      </w:tr>
      <w:tr w14:paraId="38AC7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296CB7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Other Race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0CA82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1.71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222044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0.95, 3.07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A2FF89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0.071</w:t>
            </w:r>
          </w:p>
        </w:tc>
      </w:tr>
      <w:tr w14:paraId="76EDA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34EA25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Education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21656C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CB0F52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938240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6B900E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62C38E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Less than High school/GED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6AE54E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DEAAB3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3CFD50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477E5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1AAFB2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left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High school graduate/some college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729CDE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0.70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DEA2A8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0.50, 0.98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5EDF71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0.041</w:t>
            </w:r>
          </w:p>
        </w:tc>
      </w:tr>
      <w:tr w14:paraId="017F9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2F2CDB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left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College graduate or above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481CE9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0.37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498D57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0.25, 0.57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FE7B5E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08566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C4629A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BMI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3F7B61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1.01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02D458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0.99, 1.03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E98264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0.4</w:t>
            </w:r>
          </w:p>
        </w:tc>
      </w:tr>
      <w:tr w14:paraId="66827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561842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Waist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1D06BF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1.01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BD64CA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1.00, 1.02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0495F0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0.013</w:t>
            </w:r>
          </w:p>
        </w:tc>
      </w:tr>
      <w:tr w14:paraId="3FF44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3EE33B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/>
              </w:rPr>
              <w:t>PIR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0A4DEA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0.91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AD04A2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0.83, 0.99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54DD49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0.023</w:t>
            </w:r>
          </w:p>
        </w:tc>
      </w:tr>
      <w:tr w14:paraId="3B86C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1DFEB6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Hypertension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3B4473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29008B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0814DF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3A136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E42E1E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9D9042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CE731E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CDC848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60D09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FA5D32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E3EC03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2.88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7277A0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2.19, 3.79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E8CEF6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6C5DF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2EA7B1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Diabetes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8E0757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9532AB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903606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47F64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0EDC8F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CE862E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E213DD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6BE145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62781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67E230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5E6283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4.02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247530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2.98, 5.43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AC1FF9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0A68A6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0293A9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Statin_use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D0B181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0D89B4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841D0D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3066E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6188AF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75261B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2F8F76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3FC38D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502C8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CCF6FB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B2F2B1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2.30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1FBA59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1.71, 3.10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F626A7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04F24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A4CB7F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Current_smoker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D5A712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DCF950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777FA7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14C58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5A973E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No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BAF1B6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60001A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E5D6CE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580A8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C9F210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Yes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65825C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0.97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AB4F0E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0.71, 1.33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97B111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</w:t>
            </w:r>
          </w:p>
        </w:tc>
      </w:tr>
      <w:tr w14:paraId="6D87B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4527D2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leftChars="0" w:right="100" w:rightChars="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LSM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9C743E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leftChars="0" w:right="100" w:rightChars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1.05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267D46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leftChars="0" w:right="100" w:rightChars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1.01, 1.09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C046A3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leftChars="0" w:right="100" w:rightChars="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0.013</w:t>
            </w:r>
          </w:p>
        </w:tc>
      </w:tr>
      <w:tr w14:paraId="4D7EC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667943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val="en-US" w:eastAsia="zh-CN"/>
              </w:rPr>
              <w:t xml:space="preserve">SM </w:t>
            </w: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stage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0B5F5C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0185F9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F9395B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195B6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F8637B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lsm&lt;8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7B7F24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Ref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B0D32A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FFFF9B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3959D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E01921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lsm&gt;=8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0E0DDF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2.05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21F71F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1.36, 3.10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76BF01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0.001</w:t>
            </w:r>
          </w:p>
        </w:tc>
      </w:tr>
      <w:tr w14:paraId="45E58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25C199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val="en-US" w:eastAsia="zh-CN"/>
              </w:rPr>
              <w:t>LSM_quartile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3EF624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D7D5EE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438AF7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31806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D0B99"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Q1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 (LSM≤4.5)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BB2164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8EC25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—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22058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</w:p>
        </w:tc>
      </w:tr>
      <w:tr w14:paraId="45013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6C7D8">
            <w:pPr>
              <w:keepNext w:val="0"/>
              <w:keepLines w:val="0"/>
              <w:widowControl/>
              <w:suppressLineNumbers w:val="0"/>
              <w:ind w:firstLine="180" w:firstLineChars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Q2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 (4.5&lt;LSM≤5.6)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D894A5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A84B3F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0.72, 1.39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715164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0" w:firstLineChars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&gt;0.9</w:t>
            </w:r>
          </w:p>
        </w:tc>
      </w:tr>
      <w:tr w14:paraId="2C427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1FF20">
            <w:pPr>
              <w:keepNext w:val="0"/>
              <w:keepLines w:val="0"/>
              <w:widowControl/>
              <w:suppressLineNumbers w:val="0"/>
              <w:ind w:firstLine="181" w:firstLine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Q3</w:t>
            </w:r>
            <w:r>
              <w:rPr>
                <w:rFonts w:hint="eastAsia" w:ascii="Times New Roman" w:hAnsi="Times New Roman" w:eastAsia="宋体" w:cs="Times New Roman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 (5.6&lt;LSM≤7.1)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12145B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1.56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D45DF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1.11, 2.19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E53E20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0.013</w:t>
            </w:r>
          </w:p>
        </w:tc>
      </w:tr>
      <w:tr w14:paraId="2BD3A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F77D2">
            <w:pPr>
              <w:keepNext w:val="0"/>
              <w:keepLines w:val="0"/>
              <w:widowControl/>
              <w:suppressLineNumbers w:val="0"/>
              <w:ind w:firstLine="181" w:firstLineChars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Q4</w:t>
            </w:r>
            <w:r>
              <w:rPr>
                <w:rFonts w:hint="eastAsia" w:ascii="Times New Roman" w:hAnsi="Times New Roman" w:eastAsia="宋体" w:cs="Times New Roman"/>
                <w:b/>
                <w:bCs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 xml:space="preserve"> (LSM&gt;7.1)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811F3D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2.38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46C0E3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1.70, 3.33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E0EF6D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 w:firstLine="181" w:firstLineChars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36C6F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DB511F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val="en-US" w:eastAsia="zh-CN"/>
              </w:rPr>
              <w:t>TC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962E69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9DA131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0.99, 1.00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54A2BF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0.4</w:t>
            </w:r>
          </w:p>
        </w:tc>
      </w:tr>
      <w:tr w14:paraId="65995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CBDBBF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HDL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/>
              </w:rPr>
              <w:t>-C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978184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0.98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7B5C70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0.97, 1.00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8661099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0.036</w:t>
            </w:r>
          </w:p>
        </w:tc>
      </w:tr>
      <w:tr w14:paraId="71C2B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6F90A6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T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val="en-US" w:eastAsia="zh-CN"/>
              </w:rPr>
              <w:t>G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EAA944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6A2039C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1.00, 1.00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893923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401BA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CE8B58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CAP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4AC1ABD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FCC835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1.00, 1.01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F24CE88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olor w:val="000000"/>
                <w:kern w:val="2"/>
                <w:sz w:val="18"/>
                <w:szCs w:val="18"/>
                <w:lang w:eastAsia="zh-CN"/>
              </w:rPr>
              <w:t>0.026</w:t>
            </w:r>
          </w:p>
        </w:tc>
      </w:tr>
      <w:tr w14:paraId="4C957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1F1022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HbA1c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181F94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1.65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271C240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1.50, 1.81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5CD2954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51376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EF114F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AST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FB6B6B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6C9BA3CD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0.98, 1.02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B6A3F0E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&gt;0.9</w:t>
            </w:r>
          </w:p>
        </w:tc>
      </w:tr>
      <w:tr w14:paraId="67645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69D22D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ALT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7ABBE1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0.99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B8B0E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0.98, 1.00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F08E3D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0.11</w:t>
            </w:r>
          </w:p>
        </w:tc>
      </w:tr>
      <w:tr w14:paraId="0A2C12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2CD3F01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hs-CRP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D2774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1.03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0D0F4A7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1.01, 1.05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6BBB9F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0.017</w:t>
            </w:r>
          </w:p>
        </w:tc>
      </w:tr>
      <w:tr w14:paraId="4F0B66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84A2ED5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eGDR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7E97BAD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0.75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D2E9E36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0.68, 0.82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3D11BC3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18"/>
                <w:szCs w:val="18"/>
                <w:lang w:eastAsia="zh-CN"/>
              </w:rPr>
              <w:t>&lt;0.001</w:t>
            </w:r>
          </w:p>
        </w:tc>
      </w:tr>
      <w:tr w14:paraId="25F06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42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8537162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left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val="en-US" w:eastAsia="zh-CN"/>
              </w:rPr>
              <w:t>TB</w:t>
            </w:r>
          </w:p>
        </w:tc>
        <w:tc>
          <w:tcPr>
            <w:tcW w:w="258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top"/>
          </w:tcPr>
          <w:p w14:paraId="3078D9CB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1.29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F43E7DF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0.72, 2.32</w:t>
            </w:r>
          </w:p>
        </w:tc>
        <w:tc>
          <w:tcPr>
            <w:tcW w:w="1827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C5EE38A">
            <w:pPr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100" w:right="100"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2"/>
                <w:sz w:val="18"/>
                <w:szCs w:val="18"/>
                <w:lang w:eastAsia="zh-CN"/>
              </w:rPr>
              <w:t>0.4</w:t>
            </w:r>
          </w:p>
        </w:tc>
      </w:tr>
    </w:tbl>
    <w:p w14:paraId="53AA47AE">
      <w:pPr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A</w:t>
      </w:r>
      <w:r>
        <w:rPr>
          <w:rFonts w:hint="eastAsia" w:ascii="Times New Roman" w:hAnsi="Times New Roman" w:cs="Times New Roman"/>
          <w:sz w:val="18"/>
          <w:szCs w:val="18"/>
        </w:rPr>
        <w:t>bbreviation: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 xml:space="preserve">OR,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o</w:t>
      </w:r>
      <w:r>
        <w:rPr>
          <w:rFonts w:hint="eastAsia" w:ascii="Times New Roman" w:hAnsi="Times New Roman" w:cs="Times New Roman"/>
          <w:sz w:val="18"/>
          <w:szCs w:val="18"/>
        </w:rPr>
        <w:t xml:space="preserve">dds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r</w:t>
      </w:r>
      <w:r>
        <w:rPr>
          <w:rFonts w:hint="eastAsia" w:ascii="Times New Roman" w:hAnsi="Times New Roman" w:cs="Times New Roman"/>
          <w:sz w:val="18"/>
          <w:szCs w:val="18"/>
        </w:rPr>
        <w:t xml:space="preserve">atio; CI,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c</w:t>
      </w:r>
      <w:r>
        <w:rPr>
          <w:rFonts w:hint="eastAsia" w:ascii="Times New Roman" w:hAnsi="Times New Roman" w:cs="Times New Roman"/>
          <w:sz w:val="18"/>
          <w:szCs w:val="18"/>
        </w:rPr>
        <w:t xml:space="preserve">onfidence Interval;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Ref</w:t>
      </w:r>
      <w:r>
        <w:rPr>
          <w:rFonts w:hint="eastAsia" w:ascii="Times New Roman" w:hAnsi="Times New Roman" w:cs="Times New Roman"/>
          <w:sz w:val="18"/>
          <w:szCs w:val="18"/>
        </w:rPr>
        <w:t xml:space="preserve">,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r</w:t>
      </w:r>
      <w:r>
        <w:rPr>
          <w:rFonts w:hint="eastAsia" w:ascii="Times New Roman" w:hAnsi="Times New Roman" w:cs="Times New Roman"/>
          <w:sz w:val="18"/>
          <w:szCs w:val="18"/>
        </w:rPr>
        <w:t>eference group; PIR, poverty income ratio; LSM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 l</w:t>
      </w:r>
      <w:r>
        <w:rPr>
          <w:rFonts w:hint="eastAsia" w:ascii="Times New Roman" w:hAnsi="Times New Roman" w:cs="Times New Roman"/>
          <w:sz w:val="18"/>
          <w:szCs w:val="18"/>
        </w:rPr>
        <w:t xml:space="preserve">iver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s</w:t>
      </w:r>
      <w:r>
        <w:rPr>
          <w:rFonts w:hint="eastAsia" w:ascii="Times New Roman" w:hAnsi="Times New Roman" w:cs="Times New Roman"/>
          <w:sz w:val="18"/>
          <w:szCs w:val="18"/>
        </w:rPr>
        <w:t xml:space="preserve">tiffness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m</w:t>
      </w:r>
      <w:r>
        <w:rPr>
          <w:rFonts w:hint="eastAsia" w:ascii="Times New Roman" w:hAnsi="Times New Roman" w:cs="Times New Roman"/>
          <w:sz w:val="18"/>
          <w:szCs w:val="18"/>
        </w:rPr>
        <w:t xml:space="preserve">easurement; TC, total cholesterol; HDL-C, high-density lipoprotein cholesterol; TG, triglycerides; CAP, controlled attenuation parameter; HbA1c, glycated hemoglobin;AST, aspartate aminotransferase; ALT, alanine aminotransferase; hs-CRP, high-sensitivity c-reactive protein; 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eGDR, estimated glucose disposal rate; TB, total bilirubin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 w14:paraId="219211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A06EA"/>
    <w:rsid w:val="18DA06EA"/>
    <w:rsid w:val="2800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2025-10-15T13:09:00Z</dcterms:created>
  <dc:creator>邓诚昭</dc:creator>
  <cp:lastModifiedBy>邓诚昭</cp:lastModifiedBy>
  <dcterms:modified xsi:type="dcterms:W3CDTF">2025-11-17T07:38:18Z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D7144F2FE3E14F9A87414F1A1470B4E0_11</vt:lpwstr>
  </property>
</Properties>
</file>