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B2F06" w14:textId="7F3120E7" w:rsidR="00732DA8" w:rsidRPr="00D16AB0" w:rsidRDefault="00906B5A" w:rsidP="00D82C02">
      <w:pPr>
        <w:pStyle w:val="SMText"/>
        <w:ind w:firstLine="0"/>
        <w:rPr>
          <w:rFonts w:ascii="Arial" w:hAnsi="Arial" w:cs="Arial"/>
          <w:sz w:val="21"/>
          <w:szCs w:val="21"/>
          <w:lang w:val="en-GB"/>
        </w:rPr>
      </w:pPr>
      <w:bookmarkStart w:id="0" w:name="_Toc214984828"/>
      <w:r>
        <w:rPr>
          <w:rFonts w:ascii="Arial" w:hAnsi="Arial" w:cs="Arial"/>
          <w:sz w:val="21"/>
          <w:szCs w:val="21"/>
          <w:lang w:val="en-GB"/>
        </w:rPr>
        <w:t xml:space="preserve">Supplementary </w:t>
      </w:r>
      <w:r w:rsidR="00B85C08">
        <w:rPr>
          <w:rFonts w:ascii="Arial" w:hAnsi="Arial" w:cs="Arial"/>
          <w:sz w:val="21"/>
          <w:szCs w:val="21"/>
          <w:lang w:val="en-GB"/>
        </w:rPr>
        <w:t>I</w:t>
      </w:r>
      <w:r w:rsidR="004B0037" w:rsidRPr="00D16AB0">
        <w:rPr>
          <w:rFonts w:ascii="Arial" w:hAnsi="Arial" w:cs="Arial"/>
          <w:sz w:val="21"/>
          <w:szCs w:val="21"/>
          <w:lang w:val="en-GB"/>
        </w:rPr>
        <w:t xml:space="preserve">nformation </w:t>
      </w:r>
      <w:r w:rsidR="00D21A84" w:rsidRPr="00D16AB0">
        <w:rPr>
          <w:rFonts w:ascii="Arial" w:hAnsi="Arial" w:cs="Arial"/>
          <w:sz w:val="21"/>
          <w:szCs w:val="21"/>
          <w:lang w:val="en-GB"/>
        </w:rPr>
        <w:t>for the manuscript</w:t>
      </w:r>
      <w:r w:rsidR="00A22DBF" w:rsidRPr="00D16AB0">
        <w:rPr>
          <w:rFonts w:ascii="Arial" w:hAnsi="Arial" w:cs="Arial"/>
          <w:sz w:val="21"/>
          <w:szCs w:val="21"/>
          <w:lang w:val="en-GB"/>
        </w:rPr>
        <w:t>:</w:t>
      </w:r>
      <w:bookmarkEnd w:id="0"/>
    </w:p>
    <w:p w14:paraId="043E0F97" w14:textId="77777777" w:rsidR="00D21A84" w:rsidRPr="00D16AB0" w:rsidRDefault="00D21A84" w:rsidP="00D82C02">
      <w:pPr>
        <w:pStyle w:val="SMText"/>
        <w:rPr>
          <w:rFonts w:ascii="Arial" w:hAnsi="Arial" w:cs="Arial"/>
          <w:sz w:val="21"/>
          <w:szCs w:val="21"/>
          <w:lang w:val="en-GB"/>
        </w:rPr>
      </w:pPr>
    </w:p>
    <w:p w14:paraId="1E4650B2" w14:textId="6ECA15E5" w:rsidR="00F34626" w:rsidRPr="00D16AB0" w:rsidRDefault="00F34626" w:rsidP="00A22AFF">
      <w:pPr>
        <w:pStyle w:val="SMText"/>
        <w:jc w:val="center"/>
        <w:rPr>
          <w:rFonts w:ascii="Arial" w:hAnsi="Arial" w:cs="Arial"/>
          <w:b/>
          <w:bCs/>
          <w:sz w:val="22"/>
          <w:szCs w:val="22"/>
          <w:lang w:val="en-GB"/>
        </w:rPr>
      </w:pPr>
      <w:r w:rsidRPr="00D16AB0">
        <w:rPr>
          <w:rFonts w:ascii="Arial" w:hAnsi="Arial" w:cs="Arial"/>
          <w:b/>
          <w:bCs/>
          <w:sz w:val="22"/>
          <w:szCs w:val="22"/>
          <w:lang w:val="en-GB"/>
        </w:rPr>
        <w:t>An alternative way to mitigate non-additionality risks of carbon credits</w:t>
      </w:r>
    </w:p>
    <w:p w14:paraId="6985025A" w14:textId="77777777" w:rsidR="00B16F99" w:rsidRPr="00D16AB0" w:rsidRDefault="00B16F99" w:rsidP="00D82C02">
      <w:pPr>
        <w:pStyle w:val="SMText"/>
        <w:rPr>
          <w:rFonts w:ascii="Arial" w:hAnsi="Arial" w:cs="Arial"/>
          <w:sz w:val="21"/>
          <w:szCs w:val="21"/>
          <w:lang w:val="en-GB"/>
        </w:rPr>
      </w:pPr>
    </w:p>
    <w:p w14:paraId="082F48CE" w14:textId="7BC89A2B" w:rsidR="007C255D" w:rsidRPr="00D16AB0" w:rsidRDefault="007C255D" w:rsidP="001F4266">
      <w:pPr>
        <w:pStyle w:val="SMText"/>
        <w:jc w:val="center"/>
        <w:rPr>
          <w:rFonts w:ascii="Arial" w:hAnsi="Arial" w:cs="Arial"/>
          <w:sz w:val="21"/>
          <w:szCs w:val="21"/>
          <w:lang w:val="en-GB" w:eastAsia="zh-CN"/>
        </w:rPr>
      </w:pPr>
      <w:r w:rsidRPr="00D16AB0">
        <w:rPr>
          <w:rFonts w:ascii="Arial" w:hAnsi="Arial" w:cs="Arial"/>
          <w:sz w:val="21"/>
          <w:szCs w:val="21"/>
          <w:lang w:val="en-GB"/>
        </w:rPr>
        <w:t>Min Ruan</w:t>
      </w:r>
      <w:r w:rsidRPr="00D16AB0">
        <w:rPr>
          <w:rFonts w:ascii="Arial" w:hAnsi="Arial" w:cs="Arial"/>
          <w:sz w:val="21"/>
          <w:szCs w:val="21"/>
          <w:vertAlign w:val="superscript"/>
          <w:lang w:val="en-GB" w:eastAsia="zh-CN"/>
        </w:rPr>
        <w:t>1</w:t>
      </w:r>
      <w:r w:rsidRPr="00D16AB0">
        <w:rPr>
          <w:rFonts w:ascii="Arial" w:hAnsi="Arial" w:cs="Arial"/>
          <w:sz w:val="21"/>
          <w:szCs w:val="21"/>
          <w:lang w:val="en-GB"/>
        </w:rPr>
        <w:t>, Sam Fankhauser</w:t>
      </w:r>
      <w:r w:rsidRPr="00D16AB0">
        <w:rPr>
          <w:rFonts w:ascii="Arial" w:hAnsi="Arial" w:cs="Arial"/>
          <w:sz w:val="21"/>
          <w:szCs w:val="21"/>
          <w:vertAlign w:val="superscript"/>
          <w:lang w:val="en-GB" w:eastAsia="zh-CN"/>
        </w:rPr>
        <w:t>1</w:t>
      </w:r>
      <w:r w:rsidRPr="00D16AB0">
        <w:rPr>
          <w:rFonts w:ascii="Arial" w:hAnsi="Arial" w:cs="Arial"/>
          <w:sz w:val="21"/>
          <w:szCs w:val="21"/>
          <w:lang w:val="en-GB"/>
        </w:rPr>
        <w:t>, Pedro Moura Costa</w:t>
      </w:r>
      <w:r w:rsidRPr="00D16AB0">
        <w:rPr>
          <w:rFonts w:ascii="Arial" w:hAnsi="Arial" w:cs="Arial"/>
          <w:sz w:val="21"/>
          <w:szCs w:val="21"/>
          <w:vertAlign w:val="superscript"/>
          <w:lang w:val="en-GB" w:eastAsia="zh-CN"/>
        </w:rPr>
        <w:t>1</w:t>
      </w:r>
      <w:r w:rsidRPr="00D16AB0">
        <w:rPr>
          <w:rFonts w:ascii="Arial" w:hAnsi="Arial" w:cs="Arial"/>
          <w:sz w:val="21"/>
          <w:szCs w:val="21"/>
          <w:vertAlign w:val="superscript"/>
          <w:lang w:eastAsia="zh-CN"/>
        </w:rPr>
        <w:t>,</w:t>
      </w:r>
      <w:r w:rsidRPr="00D16AB0">
        <w:rPr>
          <w:rFonts w:ascii="Arial" w:hAnsi="Arial" w:cs="Arial"/>
          <w:sz w:val="21"/>
          <w:szCs w:val="21"/>
          <w:vertAlign w:val="superscript"/>
          <w:lang w:val="en-GB" w:eastAsia="zh-CN"/>
        </w:rPr>
        <w:t>2</w:t>
      </w:r>
      <w:r w:rsidRPr="00D16AB0">
        <w:rPr>
          <w:rFonts w:ascii="Arial" w:hAnsi="Arial" w:cs="Arial"/>
          <w:sz w:val="21"/>
          <w:szCs w:val="21"/>
          <w:lang w:val="en-GB"/>
        </w:rPr>
        <w:t>, Stephen M. Smith</w:t>
      </w:r>
      <w:r w:rsidRPr="00D16AB0">
        <w:rPr>
          <w:rFonts w:ascii="Arial" w:hAnsi="Arial" w:cs="Arial"/>
          <w:sz w:val="21"/>
          <w:szCs w:val="21"/>
          <w:vertAlign w:val="superscript"/>
          <w:lang w:val="en-GB" w:eastAsia="zh-CN"/>
        </w:rPr>
        <w:t>1</w:t>
      </w:r>
    </w:p>
    <w:p w14:paraId="147D6AE5" w14:textId="77777777" w:rsidR="007C255D" w:rsidRPr="00D16AB0" w:rsidRDefault="007C255D" w:rsidP="00D82C02">
      <w:pPr>
        <w:pStyle w:val="SMText"/>
        <w:rPr>
          <w:rFonts w:ascii="Arial" w:hAnsi="Arial" w:cs="Arial"/>
          <w:sz w:val="21"/>
          <w:szCs w:val="21"/>
          <w:vertAlign w:val="superscript"/>
          <w:lang w:val="en-GB"/>
        </w:rPr>
      </w:pPr>
    </w:p>
    <w:p w14:paraId="06C98235" w14:textId="0D88EBF3" w:rsidR="00380AA3" w:rsidRPr="00D16AB0" w:rsidRDefault="007C255D" w:rsidP="001F4266">
      <w:pPr>
        <w:pStyle w:val="SMText"/>
        <w:numPr>
          <w:ilvl w:val="0"/>
          <w:numId w:val="23"/>
        </w:numPr>
        <w:jc w:val="center"/>
        <w:rPr>
          <w:rFonts w:ascii="Arial" w:hAnsi="Arial" w:cs="Arial"/>
          <w:sz w:val="21"/>
          <w:szCs w:val="21"/>
          <w:lang w:val="en-GB"/>
        </w:rPr>
      </w:pPr>
      <w:r w:rsidRPr="00D16AB0">
        <w:rPr>
          <w:rFonts w:ascii="Arial" w:hAnsi="Arial" w:cs="Arial"/>
          <w:sz w:val="21"/>
          <w:szCs w:val="21"/>
          <w:lang w:val="en-GB"/>
        </w:rPr>
        <w:t xml:space="preserve">Smith School of Enterprise and the Environment, University of Oxford, </w:t>
      </w:r>
      <w:r w:rsidR="00693F4E" w:rsidRPr="00D16AB0">
        <w:rPr>
          <w:rFonts w:ascii="Arial" w:hAnsi="Arial" w:cs="Arial"/>
          <w:sz w:val="21"/>
          <w:szCs w:val="21"/>
          <w:lang w:val="en-GB"/>
        </w:rPr>
        <w:t>OX1 3QY,</w:t>
      </w:r>
      <w:r w:rsidR="00693F4E">
        <w:rPr>
          <w:rFonts w:ascii="Arial" w:hAnsi="Arial" w:cs="Arial"/>
          <w:sz w:val="21"/>
          <w:szCs w:val="21"/>
          <w:lang w:val="en-GB"/>
        </w:rPr>
        <w:t xml:space="preserve"> </w:t>
      </w:r>
      <w:r w:rsidRPr="00D16AB0">
        <w:rPr>
          <w:rFonts w:ascii="Arial" w:hAnsi="Arial" w:cs="Arial"/>
          <w:sz w:val="21"/>
          <w:szCs w:val="21"/>
          <w:lang w:val="en-GB"/>
        </w:rPr>
        <w:t>UK.</w:t>
      </w:r>
    </w:p>
    <w:p w14:paraId="7FB68719" w14:textId="62C7F844" w:rsidR="007C255D" w:rsidRPr="00D16AB0" w:rsidRDefault="00AC40BA" w:rsidP="001F4266">
      <w:pPr>
        <w:pStyle w:val="SMText"/>
        <w:numPr>
          <w:ilvl w:val="0"/>
          <w:numId w:val="23"/>
        </w:numPr>
        <w:jc w:val="center"/>
        <w:rPr>
          <w:rFonts w:ascii="Arial" w:hAnsi="Arial" w:cs="Arial"/>
          <w:sz w:val="21"/>
          <w:szCs w:val="21"/>
          <w:lang w:val="en-GB"/>
        </w:rPr>
      </w:pPr>
      <w:proofErr w:type="spellStart"/>
      <w:r w:rsidRPr="00D16AB0">
        <w:rPr>
          <w:rFonts w:ascii="Arial" w:hAnsi="Arial" w:cs="Arial"/>
          <w:sz w:val="21"/>
          <w:szCs w:val="21"/>
          <w:lang w:val="en-GB"/>
        </w:rPr>
        <w:t>BVRio</w:t>
      </w:r>
      <w:proofErr w:type="spellEnd"/>
      <w:r w:rsidRPr="00D16AB0">
        <w:rPr>
          <w:rFonts w:ascii="Arial" w:hAnsi="Arial" w:cs="Arial"/>
          <w:sz w:val="21"/>
          <w:szCs w:val="21"/>
          <w:lang w:val="en-GB"/>
        </w:rPr>
        <w:t> </w:t>
      </w:r>
      <w:r w:rsidRPr="00D16AB0">
        <w:rPr>
          <w:rFonts w:ascii="Arial" w:hAnsi="Arial" w:cs="Arial"/>
          <w:sz w:val="21"/>
          <w:szCs w:val="21"/>
          <w:lang w:val="en-GB" w:eastAsia="zh-CN"/>
        </w:rPr>
        <w:t>Institute</w:t>
      </w:r>
      <w:r w:rsidR="007C255D" w:rsidRPr="00D16AB0">
        <w:rPr>
          <w:rFonts w:ascii="Arial" w:hAnsi="Arial" w:cs="Arial"/>
          <w:sz w:val="21"/>
          <w:szCs w:val="21"/>
          <w:lang w:val="en-GB"/>
        </w:rPr>
        <w:t>, 46 Woodstock Rd, OX2 6HT, Oxford, UK</w:t>
      </w:r>
    </w:p>
    <w:p w14:paraId="1EBDE992" w14:textId="77777777" w:rsidR="000F0DCE" w:rsidRPr="00D16AB0" w:rsidRDefault="000F0DCE" w:rsidP="00D82C02">
      <w:pPr>
        <w:pStyle w:val="SMText"/>
        <w:rPr>
          <w:rFonts w:ascii="Arial" w:hAnsi="Arial" w:cs="Arial"/>
          <w:sz w:val="21"/>
          <w:szCs w:val="21"/>
          <w:lang w:val="en-GB"/>
        </w:rPr>
      </w:pPr>
    </w:p>
    <w:p w14:paraId="76B63DA2" w14:textId="79E9D194" w:rsidR="00943C3C" w:rsidRPr="00D16AB0" w:rsidRDefault="001D5BEF" w:rsidP="00D82C02">
      <w:pPr>
        <w:pStyle w:val="SMText"/>
        <w:rPr>
          <w:rFonts w:ascii="Arial" w:hAnsi="Arial" w:cs="Arial"/>
          <w:sz w:val="21"/>
          <w:szCs w:val="21"/>
          <w:lang w:val="en-GB" w:eastAsia="zh-CN"/>
        </w:rPr>
      </w:pPr>
      <w:r w:rsidRPr="00D16AB0">
        <w:rPr>
          <w:rFonts w:ascii="Arial" w:hAnsi="Arial" w:cs="Arial"/>
          <w:sz w:val="21"/>
          <w:szCs w:val="21"/>
          <w:lang w:val="en-GB" w:eastAsia="zh-CN"/>
        </w:rPr>
        <w:t>Min Ruan</w:t>
      </w:r>
    </w:p>
    <w:p w14:paraId="41FAE993" w14:textId="3C0A2B9A" w:rsidR="002C030F" w:rsidRPr="00D16AB0" w:rsidRDefault="00943C3C" w:rsidP="00D82C02">
      <w:pPr>
        <w:pStyle w:val="SMText"/>
        <w:rPr>
          <w:rFonts w:ascii="Arial" w:hAnsi="Arial" w:cs="Arial"/>
          <w:sz w:val="21"/>
          <w:szCs w:val="21"/>
          <w:lang w:val="en-GB" w:eastAsia="zh-CN"/>
        </w:rPr>
      </w:pPr>
      <w:r w:rsidRPr="00D16AB0">
        <w:rPr>
          <w:rFonts w:ascii="Arial" w:hAnsi="Arial" w:cs="Arial"/>
          <w:sz w:val="21"/>
          <w:szCs w:val="21"/>
          <w:lang w:val="en-GB"/>
        </w:rPr>
        <w:t>Email:</w:t>
      </w:r>
      <w:r w:rsidR="004779CB" w:rsidRPr="00D16AB0">
        <w:rPr>
          <w:rFonts w:ascii="Arial" w:hAnsi="Arial" w:cs="Arial"/>
          <w:sz w:val="21"/>
          <w:szCs w:val="21"/>
          <w:lang w:val="en-GB"/>
        </w:rPr>
        <w:t xml:space="preserve"> </w:t>
      </w:r>
      <w:hyperlink r:id="rId8" w:history="1">
        <w:r w:rsidR="0087152A" w:rsidRPr="00D16AB0">
          <w:rPr>
            <w:rStyle w:val="affff5"/>
            <w:rFonts w:ascii="Arial" w:hAnsi="Arial" w:cs="Arial"/>
            <w:sz w:val="21"/>
            <w:szCs w:val="21"/>
            <w:lang w:val="en-GB" w:eastAsia="zh-CN"/>
          </w:rPr>
          <w:t>min.ruan@reuben.ox.ac.uk</w:t>
        </w:r>
      </w:hyperlink>
    </w:p>
    <w:p w14:paraId="05F01A67" w14:textId="7FEB6545" w:rsidR="0087152A" w:rsidRPr="00D16AB0" w:rsidRDefault="0067151B" w:rsidP="00D82C02">
      <w:pPr>
        <w:pStyle w:val="SMText"/>
        <w:rPr>
          <w:rFonts w:ascii="Arial" w:hAnsi="Arial" w:cs="Arial"/>
          <w:sz w:val="21"/>
          <w:szCs w:val="21"/>
          <w:lang w:val="en-GB"/>
        </w:rPr>
      </w:pPr>
      <w:r w:rsidRPr="00D16AB0">
        <w:rPr>
          <w:rFonts w:ascii="Arial" w:hAnsi="Arial" w:cs="Arial"/>
          <w:sz w:val="21"/>
          <w:szCs w:val="21"/>
          <w:lang w:val="en-GB"/>
        </w:rPr>
        <w:t>ORCID Identifier:</w:t>
      </w:r>
      <w:r w:rsidR="00FB55FA" w:rsidRPr="00D16AB0">
        <w:rPr>
          <w:rFonts w:ascii="Arial" w:hAnsi="Arial" w:cs="Arial"/>
          <w:sz w:val="21"/>
          <w:szCs w:val="21"/>
        </w:rPr>
        <w:t xml:space="preserve"> </w:t>
      </w:r>
      <w:r w:rsidR="00FB55FA" w:rsidRPr="00D16AB0">
        <w:rPr>
          <w:rFonts w:ascii="Arial" w:hAnsi="Arial" w:cs="Arial"/>
          <w:sz w:val="21"/>
          <w:szCs w:val="21"/>
          <w:lang w:val="en-GB"/>
        </w:rPr>
        <w:t>https://orcid.org/0009-0003-0919-3814</w:t>
      </w:r>
    </w:p>
    <w:p w14:paraId="24CE0811" w14:textId="77777777" w:rsidR="0067151B" w:rsidRPr="00D16AB0" w:rsidRDefault="0067151B" w:rsidP="00D82C02">
      <w:pPr>
        <w:pStyle w:val="SMText"/>
        <w:rPr>
          <w:rFonts w:ascii="Arial" w:hAnsi="Arial" w:cs="Arial"/>
          <w:sz w:val="21"/>
          <w:szCs w:val="21"/>
          <w:lang w:val="en-GB"/>
        </w:rPr>
      </w:pPr>
    </w:p>
    <w:p w14:paraId="52C1AEC1" w14:textId="111D239A" w:rsidR="0055549E" w:rsidRPr="00D16AB0" w:rsidRDefault="0055549E" w:rsidP="00D82C02">
      <w:pPr>
        <w:pStyle w:val="SMText"/>
        <w:rPr>
          <w:rFonts w:ascii="Arial" w:hAnsi="Arial" w:cs="Arial"/>
          <w:sz w:val="21"/>
          <w:szCs w:val="21"/>
          <w:lang w:val="en-GB" w:eastAsia="zh-CN"/>
        </w:rPr>
      </w:pPr>
      <w:r w:rsidRPr="00D16AB0">
        <w:rPr>
          <w:rFonts w:ascii="Arial" w:hAnsi="Arial" w:cs="Arial"/>
          <w:sz w:val="21"/>
          <w:szCs w:val="21"/>
          <w:lang w:val="en-GB"/>
        </w:rPr>
        <w:t>Sam Fankhauser</w:t>
      </w:r>
    </w:p>
    <w:p w14:paraId="51D1CBFE" w14:textId="59F9EAAB" w:rsidR="00B343AC" w:rsidRPr="00D16AB0" w:rsidRDefault="00B343AC" w:rsidP="00D82C02">
      <w:pPr>
        <w:pStyle w:val="SMText"/>
        <w:rPr>
          <w:rFonts w:ascii="Arial" w:hAnsi="Arial" w:cs="Arial"/>
          <w:sz w:val="21"/>
          <w:szCs w:val="21"/>
          <w:lang w:eastAsia="zh-CN"/>
        </w:rPr>
      </w:pPr>
      <w:r w:rsidRPr="00D16AB0">
        <w:rPr>
          <w:rFonts w:ascii="Arial" w:hAnsi="Arial" w:cs="Arial"/>
          <w:sz w:val="21"/>
          <w:szCs w:val="21"/>
          <w:lang w:val="en-GB"/>
        </w:rPr>
        <w:t xml:space="preserve">Email: </w:t>
      </w:r>
      <w:hyperlink r:id="rId9" w:history="1">
        <w:r w:rsidR="006E577D" w:rsidRPr="00D16AB0">
          <w:rPr>
            <w:rStyle w:val="affff5"/>
            <w:rFonts w:ascii="Arial" w:hAnsi="Arial" w:cs="Arial"/>
            <w:sz w:val="21"/>
            <w:szCs w:val="21"/>
            <w:lang w:val="en-GB" w:eastAsia="zh-CN"/>
          </w:rPr>
          <w:t>sam.fankhauser@smithschool.ox.ac.uk</w:t>
        </w:r>
      </w:hyperlink>
    </w:p>
    <w:p w14:paraId="788BBFBD" w14:textId="6B71FB17" w:rsidR="00B343AC" w:rsidRPr="00D16AB0" w:rsidRDefault="00B343AC" w:rsidP="00D82C02">
      <w:pPr>
        <w:pStyle w:val="SMText"/>
        <w:rPr>
          <w:rFonts w:ascii="Arial" w:hAnsi="Arial" w:cs="Arial"/>
          <w:sz w:val="21"/>
          <w:szCs w:val="21"/>
          <w:lang w:val="en-GB"/>
        </w:rPr>
      </w:pPr>
      <w:r w:rsidRPr="00D16AB0">
        <w:rPr>
          <w:rFonts w:ascii="Arial" w:hAnsi="Arial" w:cs="Arial"/>
          <w:sz w:val="21"/>
          <w:szCs w:val="21"/>
          <w:lang w:val="en-GB"/>
        </w:rPr>
        <w:t>ORCID Identifier:</w:t>
      </w:r>
      <w:r w:rsidR="002702B9" w:rsidRPr="00D16AB0">
        <w:rPr>
          <w:rFonts w:ascii="Arial" w:hAnsi="Arial" w:cs="Arial"/>
          <w:sz w:val="21"/>
          <w:szCs w:val="21"/>
          <w:lang w:val="en-GB"/>
        </w:rPr>
        <w:t xml:space="preserve"> https://orcid.org/0000-0003-2100-7888</w:t>
      </w:r>
    </w:p>
    <w:p w14:paraId="2EE0CA62" w14:textId="77777777" w:rsidR="0067151B" w:rsidRPr="00D16AB0" w:rsidRDefault="0067151B" w:rsidP="00D82C02">
      <w:pPr>
        <w:pStyle w:val="SMText"/>
        <w:rPr>
          <w:rFonts w:ascii="Arial" w:hAnsi="Arial" w:cs="Arial"/>
          <w:sz w:val="21"/>
          <w:szCs w:val="21"/>
          <w:lang w:val="en-GB"/>
        </w:rPr>
      </w:pPr>
    </w:p>
    <w:p w14:paraId="16C4B84E" w14:textId="48A65FF7" w:rsidR="0055549E" w:rsidRPr="00D16AB0" w:rsidRDefault="0055549E" w:rsidP="00D82C02">
      <w:pPr>
        <w:pStyle w:val="SMText"/>
        <w:rPr>
          <w:rFonts w:ascii="Arial" w:hAnsi="Arial" w:cs="Arial"/>
          <w:sz w:val="21"/>
          <w:szCs w:val="21"/>
          <w:lang w:val="en-GB"/>
        </w:rPr>
      </w:pPr>
      <w:r w:rsidRPr="00D16AB0">
        <w:rPr>
          <w:rFonts w:ascii="Arial" w:hAnsi="Arial" w:cs="Arial"/>
          <w:sz w:val="21"/>
          <w:szCs w:val="21"/>
          <w:lang w:val="en-GB"/>
        </w:rPr>
        <w:t>Pedro Moura Costa</w:t>
      </w:r>
    </w:p>
    <w:p w14:paraId="77421BCF" w14:textId="63AC9416" w:rsidR="00B343AC" w:rsidRPr="00D16AB0" w:rsidRDefault="00B343AC" w:rsidP="00D82C02">
      <w:pPr>
        <w:pStyle w:val="SMText"/>
        <w:rPr>
          <w:rFonts w:ascii="Arial" w:hAnsi="Arial" w:cs="Arial"/>
          <w:sz w:val="21"/>
          <w:szCs w:val="21"/>
          <w:lang w:val="en-GB" w:eastAsia="zh-CN"/>
        </w:rPr>
      </w:pPr>
      <w:r w:rsidRPr="00D16AB0">
        <w:rPr>
          <w:rFonts w:ascii="Arial" w:hAnsi="Arial" w:cs="Arial"/>
          <w:sz w:val="21"/>
          <w:szCs w:val="21"/>
          <w:lang w:val="en-GB"/>
        </w:rPr>
        <w:t xml:space="preserve">Email: </w:t>
      </w:r>
      <w:hyperlink r:id="rId10" w:history="1">
        <w:r w:rsidR="00EF0963" w:rsidRPr="00D16AB0">
          <w:rPr>
            <w:rStyle w:val="affff5"/>
            <w:rFonts w:ascii="Arial" w:hAnsi="Arial" w:cs="Arial"/>
            <w:sz w:val="21"/>
            <w:szCs w:val="21"/>
            <w:lang w:val="en-GB" w:eastAsia="zh-CN"/>
          </w:rPr>
          <w:t>pedro.mouracosta@bvrio.org</w:t>
        </w:r>
      </w:hyperlink>
    </w:p>
    <w:p w14:paraId="3E31BEAC" w14:textId="3192B9DC" w:rsidR="00B343AC" w:rsidRPr="00D16AB0" w:rsidRDefault="00B343AC" w:rsidP="00D82C02">
      <w:pPr>
        <w:pStyle w:val="SMText"/>
        <w:rPr>
          <w:rFonts w:ascii="Arial" w:hAnsi="Arial" w:cs="Arial"/>
          <w:sz w:val="21"/>
          <w:szCs w:val="21"/>
          <w:lang w:val="en-GB"/>
        </w:rPr>
      </w:pPr>
      <w:r w:rsidRPr="00D16AB0">
        <w:rPr>
          <w:rFonts w:ascii="Arial" w:hAnsi="Arial" w:cs="Arial"/>
          <w:sz w:val="21"/>
          <w:szCs w:val="21"/>
          <w:lang w:val="en-GB"/>
        </w:rPr>
        <w:t>ORCID Identifier:</w:t>
      </w:r>
      <w:r w:rsidR="00775E46" w:rsidRPr="00D16AB0">
        <w:rPr>
          <w:rFonts w:ascii="Arial" w:hAnsi="Arial" w:cs="Arial"/>
          <w:sz w:val="21"/>
          <w:szCs w:val="21"/>
          <w:lang w:val="en-GB"/>
        </w:rPr>
        <w:t xml:space="preserve"> https://orcid.org/0000-0002-7569-3660</w:t>
      </w:r>
    </w:p>
    <w:p w14:paraId="6C0AA89F" w14:textId="77777777" w:rsidR="00B343AC" w:rsidRPr="00D16AB0" w:rsidRDefault="00B343AC" w:rsidP="00D82C02">
      <w:pPr>
        <w:pStyle w:val="SMText"/>
        <w:rPr>
          <w:rFonts w:ascii="Arial" w:hAnsi="Arial" w:cs="Arial"/>
          <w:sz w:val="21"/>
          <w:szCs w:val="21"/>
          <w:lang w:val="en-GB"/>
        </w:rPr>
      </w:pPr>
    </w:p>
    <w:p w14:paraId="16B268CC" w14:textId="77777777" w:rsidR="0055549E" w:rsidRPr="00D16AB0" w:rsidRDefault="0055549E" w:rsidP="00D82C02">
      <w:pPr>
        <w:pStyle w:val="SMText"/>
        <w:rPr>
          <w:rFonts w:ascii="Arial" w:hAnsi="Arial" w:cs="Arial"/>
          <w:sz w:val="21"/>
          <w:szCs w:val="21"/>
          <w:lang w:val="en-GB"/>
        </w:rPr>
      </w:pPr>
      <w:r w:rsidRPr="00D16AB0">
        <w:rPr>
          <w:rFonts w:ascii="Arial" w:hAnsi="Arial" w:cs="Arial"/>
          <w:sz w:val="21"/>
          <w:szCs w:val="21"/>
          <w:lang w:val="en-GB"/>
        </w:rPr>
        <w:t xml:space="preserve">Stephen M. Smith </w:t>
      </w:r>
    </w:p>
    <w:p w14:paraId="5CF07EFB" w14:textId="6EB9F465" w:rsidR="00B343AC" w:rsidRPr="00D16AB0" w:rsidRDefault="00B343AC" w:rsidP="00D82C02">
      <w:pPr>
        <w:pStyle w:val="SMText"/>
        <w:rPr>
          <w:rFonts w:ascii="Arial" w:hAnsi="Arial" w:cs="Arial"/>
          <w:sz w:val="21"/>
          <w:szCs w:val="21"/>
          <w:lang w:val="en-GB" w:eastAsia="zh-CN"/>
        </w:rPr>
      </w:pPr>
      <w:r w:rsidRPr="00D16AB0">
        <w:rPr>
          <w:rFonts w:ascii="Arial" w:hAnsi="Arial" w:cs="Arial"/>
          <w:sz w:val="21"/>
          <w:szCs w:val="21"/>
          <w:lang w:val="en-GB"/>
        </w:rPr>
        <w:t xml:space="preserve">Email: </w:t>
      </w:r>
      <w:hyperlink r:id="rId11" w:history="1">
        <w:r w:rsidR="00D160AA" w:rsidRPr="00D16AB0">
          <w:rPr>
            <w:rStyle w:val="affff5"/>
            <w:rFonts w:ascii="Arial" w:hAnsi="Arial" w:cs="Arial"/>
            <w:sz w:val="21"/>
            <w:szCs w:val="21"/>
            <w:lang w:val="en-GB"/>
          </w:rPr>
          <w:t>stephen.smith@smithschool.ox.ac.uk</w:t>
        </w:r>
      </w:hyperlink>
    </w:p>
    <w:p w14:paraId="114448DD" w14:textId="65923BBA" w:rsidR="00B343AC" w:rsidRPr="00D16AB0" w:rsidRDefault="00B343AC" w:rsidP="00D82C02">
      <w:pPr>
        <w:pStyle w:val="SMText"/>
        <w:rPr>
          <w:rFonts w:ascii="Arial" w:hAnsi="Arial" w:cs="Arial"/>
          <w:sz w:val="21"/>
          <w:szCs w:val="21"/>
          <w:lang w:val="en-GB"/>
        </w:rPr>
      </w:pPr>
      <w:r w:rsidRPr="00D16AB0">
        <w:rPr>
          <w:rFonts w:ascii="Arial" w:hAnsi="Arial" w:cs="Arial"/>
          <w:sz w:val="21"/>
          <w:szCs w:val="21"/>
          <w:lang w:val="en-GB"/>
        </w:rPr>
        <w:t>ORCID Identifier:</w:t>
      </w:r>
      <w:r w:rsidR="00323BD7" w:rsidRPr="00D16AB0">
        <w:rPr>
          <w:rFonts w:ascii="Arial" w:hAnsi="Arial" w:cs="Arial"/>
          <w:sz w:val="21"/>
          <w:szCs w:val="21"/>
        </w:rPr>
        <w:t xml:space="preserve"> </w:t>
      </w:r>
      <w:r w:rsidR="00323BD7" w:rsidRPr="00D16AB0">
        <w:rPr>
          <w:rFonts w:ascii="Arial" w:hAnsi="Arial" w:cs="Arial"/>
          <w:sz w:val="21"/>
          <w:szCs w:val="21"/>
          <w:lang w:val="en-GB"/>
        </w:rPr>
        <w:t>https://orcid.org/0000-0002-5737-0155</w:t>
      </w:r>
    </w:p>
    <w:p w14:paraId="47CAF67D" w14:textId="4EB3325A" w:rsidR="001F1208" w:rsidRPr="00D16AB0" w:rsidRDefault="00B73A1C" w:rsidP="00D82C02">
      <w:pPr>
        <w:pStyle w:val="SMText"/>
        <w:rPr>
          <w:rFonts w:ascii="Arial" w:hAnsi="Arial" w:cs="Arial"/>
          <w:sz w:val="21"/>
          <w:szCs w:val="21"/>
          <w:lang w:val="en-GB"/>
        </w:rPr>
      </w:pPr>
      <w:r w:rsidRPr="00D16AB0">
        <w:rPr>
          <w:rFonts w:ascii="Arial" w:hAnsi="Arial" w:cs="Arial"/>
          <w:sz w:val="21"/>
          <w:szCs w:val="21"/>
          <w:lang w:val="en-GB"/>
        </w:rPr>
        <w:br w:type="page"/>
      </w:r>
    </w:p>
    <w:p w14:paraId="47FB58A6" w14:textId="36AA835D" w:rsidR="00180613" w:rsidRDefault="0045704E" w:rsidP="003F4CF9">
      <w:pPr>
        <w:jc w:val="center"/>
        <w:rPr>
          <w:rFonts w:ascii="Arial" w:hAnsi="Arial" w:cs="Arial"/>
          <w:b/>
          <w:bCs/>
          <w:sz w:val="21"/>
          <w:szCs w:val="21"/>
          <w:lang w:val="en-GB" w:eastAsia="zh-CN"/>
        </w:rPr>
      </w:pPr>
      <w:r w:rsidRPr="00D16AB0">
        <w:rPr>
          <w:rFonts w:ascii="Arial" w:hAnsi="Arial" w:cs="Arial"/>
          <w:b/>
          <w:bCs/>
          <w:sz w:val="21"/>
          <w:szCs w:val="21"/>
          <w:lang w:val="en-GB" w:eastAsia="zh-CN"/>
        </w:rPr>
        <w:lastRenderedPageBreak/>
        <w:t>Content</w:t>
      </w:r>
    </w:p>
    <w:p w14:paraId="758247A5" w14:textId="77777777" w:rsidR="0036212E" w:rsidRPr="00D16AB0" w:rsidRDefault="0036212E" w:rsidP="003F4CF9">
      <w:pPr>
        <w:jc w:val="center"/>
        <w:rPr>
          <w:rFonts w:ascii="Arial" w:hAnsi="Arial" w:cs="Arial"/>
          <w:b/>
          <w:bCs/>
          <w:sz w:val="21"/>
          <w:szCs w:val="21"/>
          <w:lang w:val="en-GB" w:eastAsia="zh-CN"/>
        </w:rPr>
      </w:pPr>
    </w:p>
    <w:p w14:paraId="57AC130C" w14:textId="27C9DEC9" w:rsidR="007A1FBB" w:rsidRPr="00D16AB0" w:rsidRDefault="007A1FBB" w:rsidP="00831DBC">
      <w:pPr>
        <w:pStyle w:val="TOC1"/>
        <w:tabs>
          <w:tab w:val="left" w:pos="480"/>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r w:rsidRPr="00D16AB0">
        <w:rPr>
          <w:rFonts w:ascii="Arial" w:hAnsi="Arial" w:cs="Arial"/>
          <w:b w:val="0"/>
          <w:bCs w:val="0"/>
          <w:iCs w:val="0"/>
          <w:sz w:val="21"/>
          <w:szCs w:val="21"/>
          <w:lang w:eastAsia="zh-CN"/>
        </w:rPr>
        <w:fldChar w:fldCharType="begin"/>
      </w:r>
      <w:r w:rsidRPr="00D16AB0">
        <w:rPr>
          <w:rFonts w:ascii="Arial" w:hAnsi="Arial" w:cs="Arial"/>
          <w:b w:val="0"/>
          <w:bCs w:val="0"/>
          <w:iCs w:val="0"/>
          <w:sz w:val="21"/>
          <w:szCs w:val="21"/>
          <w:lang w:eastAsia="zh-CN"/>
        </w:rPr>
        <w:instrText xml:space="preserve"> TOC \o "1-2" \h \z \t "SM Subheading,2" </w:instrText>
      </w:r>
      <w:r w:rsidRPr="00D16AB0">
        <w:rPr>
          <w:rFonts w:ascii="Arial" w:hAnsi="Arial" w:cs="Arial"/>
          <w:b w:val="0"/>
          <w:bCs w:val="0"/>
          <w:iCs w:val="0"/>
          <w:sz w:val="21"/>
          <w:szCs w:val="21"/>
          <w:lang w:eastAsia="zh-CN"/>
        </w:rPr>
        <w:fldChar w:fldCharType="separate"/>
      </w:r>
      <w:hyperlink w:anchor="_Toc214986959" w:history="1">
        <w:r w:rsidRPr="00D16AB0">
          <w:rPr>
            <w:rStyle w:val="affff5"/>
            <w:rFonts w:ascii="Arial" w:hAnsi="Arial" w:cs="Arial"/>
            <w:b w:val="0"/>
            <w:bCs w:val="0"/>
            <w:noProof/>
            <w:sz w:val="21"/>
            <w:szCs w:val="21"/>
            <w:lang w:val="en-GB"/>
          </w:rPr>
          <w:t>1.</w:t>
        </w:r>
        <w:r w:rsidRPr="00D16AB0">
          <w:rPr>
            <w:rFonts w:ascii="Arial" w:hAnsi="Arial" w:cs="Arial"/>
            <w:b w:val="0"/>
            <w:bCs w:val="0"/>
            <w:i w:val="0"/>
            <w:iCs w:val="0"/>
            <w:noProof/>
            <w:kern w:val="2"/>
            <w:sz w:val="21"/>
            <w:szCs w:val="21"/>
            <w:lang w:eastAsia="zh-CN"/>
            <w14:ligatures w14:val="standardContextual"/>
          </w:rPr>
          <w:tab/>
        </w:r>
        <w:r w:rsidRPr="00D16AB0">
          <w:rPr>
            <w:rStyle w:val="affff5"/>
            <w:rFonts w:ascii="Arial" w:hAnsi="Arial" w:cs="Arial"/>
            <w:b w:val="0"/>
            <w:bCs w:val="0"/>
            <w:noProof/>
            <w:sz w:val="21"/>
            <w:szCs w:val="21"/>
            <w:lang w:val="en-GB"/>
          </w:rPr>
          <w:t>Policy Review</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_Toc214986959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3</w:t>
        </w:r>
        <w:r w:rsidRPr="00D16AB0">
          <w:rPr>
            <w:rFonts w:ascii="Arial" w:hAnsi="Arial" w:cs="Arial"/>
            <w:b w:val="0"/>
            <w:bCs w:val="0"/>
            <w:noProof/>
            <w:webHidden/>
            <w:sz w:val="21"/>
            <w:szCs w:val="21"/>
          </w:rPr>
          <w:fldChar w:fldCharType="end"/>
        </w:r>
      </w:hyperlink>
    </w:p>
    <w:p w14:paraId="7F63851A" w14:textId="213ACEDB"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60" w:history="1">
        <w:r w:rsidRPr="000C46E7">
          <w:rPr>
            <w:rStyle w:val="affff5"/>
            <w:rFonts w:ascii="Arial" w:hAnsi="Arial" w:cs="Arial"/>
            <w:b w:val="0"/>
            <w:bCs w:val="0"/>
            <w:noProof/>
            <w:sz w:val="20"/>
            <w:szCs w:val="20"/>
            <w:lang w:val="en-GB"/>
          </w:rPr>
          <w:t>1.1</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Background</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_Toc214986960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w:t>
        </w:r>
        <w:r w:rsidRPr="000C46E7">
          <w:rPr>
            <w:rFonts w:ascii="Arial" w:hAnsi="Arial" w:cs="Arial"/>
            <w:b w:val="0"/>
            <w:bCs w:val="0"/>
            <w:noProof/>
            <w:webHidden/>
            <w:sz w:val="20"/>
            <w:szCs w:val="20"/>
          </w:rPr>
          <w:fldChar w:fldCharType="end"/>
        </w:r>
      </w:hyperlink>
    </w:p>
    <w:p w14:paraId="27F63D2B" w14:textId="6F46BD8F"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61" w:history="1">
        <w:r w:rsidRPr="000C46E7">
          <w:rPr>
            <w:rStyle w:val="affff5"/>
            <w:rFonts w:ascii="Arial" w:hAnsi="Arial" w:cs="Arial"/>
            <w:b w:val="0"/>
            <w:bCs w:val="0"/>
            <w:noProof/>
            <w:sz w:val="20"/>
            <w:szCs w:val="20"/>
            <w:lang w:val="en-GB"/>
          </w:rPr>
          <w:t>1.2</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Certification regimes</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_Toc214986961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4</w:t>
        </w:r>
        <w:r w:rsidRPr="000C46E7">
          <w:rPr>
            <w:rFonts w:ascii="Arial" w:hAnsi="Arial" w:cs="Arial"/>
            <w:b w:val="0"/>
            <w:bCs w:val="0"/>
            <w:noProof/>
            <w:webHidden/>
            <w:sz w:val="20"/>
            <w:szCs w:val="20"/>
          </w:rPr>
          <w:fldChar w:fldCharType="end"/>
        </w:r>
      </w:hyperlink>
    </w:p>
    <w:p w14:paraId="2C9564BA" w14:textId="2DF6452D"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62" w:history="1">
        <w:r w:rsidRPr="000C46E7">
          <w:rPr>
            <w:rStyle w:val="affff5"/>
            <w:rFonts w:ascii="Arial" w:hAnsi="Arial" w:cs="Arial"/>
            <w:b w:val="0"/>
            <w:bCs w:val="0"/>
            <w:noProof/>
            <w:sz w:val="20"/>
            <w:szCs w:val="20"/>
            <w:lang w:val="en-GB"/>
          </w:rPr>
          <w:t>1.3</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Additionality tests</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_Toc214986962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5</w:t>
        </w:r>
        <w:r w:rsidRPr="000C46E7">
          <w:rPr>
            <w:rFonts w:ascii="Arial" w:hAnsi="Arial" w:cs="Arial"/>
            <w:b w:val="0"/>
            <w:bCs w:val="0"/>
            <w:noProof/>
            <w:webHidden/>
            <w:sz w:val="20"/>
            <w:szCs w:val="20"/>
          </w:rPr>
          <w:fldChar w:fldCharType="end"/>
        </w:r>
      </w:hyperlink>
    </w:p>
    <w:p w14:paraId="7A45FFB2" w14:textId="3885F0D9" w:rsidR="007A1FBB" w:rsidRPr="00D16AB0" w:rsidRDefault="007A1FBB" w:rsidP="00831DBC">
      <w:pPr>
        <w:pStyle w:val="TOC1"/>
        <w:tabs>
          <w:tab w:val="left" w:pos="480"/>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hyperlink w:anchor="_Toc214986963" w:history="1">
        <w:r w:rsidRPr="00D16AB0">
          <w:rPr>
            <w:rStyle w:val="affff5"/>
            <w:rFonts w:ascii="Arial" w:hAnsi="Arial" w:cs="Arial"/>
            <w:b w:val="0"/>
            <w:bCs w:val="0"/>
            <w:noProof/>
            <w:sz w:val="21"/>
            <w:szCs w:val="21"/>
            <w:lang w:val="en-GB"/>
          </w:rPr>
          <w:t>2.</w:t>
        </w:r>
        <w:r w:rsidRPr="00D16AB0">
          <w:rPr>
            <w:rFonts w:ascii="Arial" w:hAnsi="Arial" w:cs="Arial"/>
            <w:b w:val="0"/>
            <w:bCs w:val="0"/>
            <w:i w:val="0"/>
            <w:iCs w:val="0"/>
            <w:noProof/>
            <w:kern w:val="2"/>
            <w:sz w:val="21"/>
            <w:szCs w:val="21"/>
            <w:lang w:eastAsia="zh-CN"/>
            <w14:ligatures w14:val="standardContextual"/>
          </w:rPr>
          <w:tab/>
        </w:r>
        <w:r w:rsidRPr="00D16AB0">
          <w:rPr>
            <w:rStyle w:val="affff5"/>
            <w:rFonts w:ascii="Arial" w:hAnsi="Arial" w:cs="Arial"/>
            <w:b w:val="0"/>
            <w:bCs w:val="0"/>
            <w:noProof/>
            <w:sz w:val="21"/>
            <w:szCs w:val="21"/>
            <w:lang w:val="en-GB"/>
          </w:rPr>
          <w:t>Literature Review</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_Toc214986963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7</w:t>
        </w:r>
        <w:r w:rsidRPr="00D16AB0">
          <w:rPr>
            <w:rFonts w:ascii="Arial" w:hAnsi="Arial" w:cs="Arial"/>
            <w:b w:val="0"/>
            <w:bCs w:val="0"/>
            <w:noProof/>
            <w:webHidden/>
            <w:sz w:val="21"/>
            <w:szCs w:val="21"/>
          </w:rPr>
          <w:fldChar w:fldCharType="end"/>
        </w:r>
      </w:hyperlink>
    </w:p>
    <w:p w14:paraId="6A6F3E7B" w14:textId="08EF59AB"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64" w:history="1">
        <w:r w:rsidRPr="000C46E7">
          <w:rPr>
            <w:rStyle w:val="affff5"/>
            <w:rFonts w:ascii="Arial" w:hAnsi="Arial" w:cs="Arial"/>
            <w:b w:val="0"/>
            <w:bCs w:val="0"/>
            <w:noProof/>
            <w:sz w:val="20"/>
            <w:szCs w:val="20"/>
            <w:lang w:val="en-GB"/>
          </w:rPr>
          <w:t>2.1</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Criticisms of carbon offsets</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_Toc214986964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7</w:t>
        </w:r>
        <w:r w:rsidRPr="000C46E7">
          <w:rPr>
            <w:rFonts w:ascii="Arial" w:hAnsi="Arial" w:cs="Arial"/>
            <w:b w:val="0"/>
            <w:bCs w:val="0"/>
            <w:noProof/>
            <w:webHidden/>
            <w:sz w:val="20"/>
            <w:szCs w:val="20"/>
          </w:rPr>
          <w:fldChar w:fldCharType="end"/>
        </w:r>
      </w:hyperlink>
    </w:p>
    <w:p w14:paraId="48BCE766" w14:textId="4B2B82EA"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65" w:history="1">
        <w:r w:rsidRPr="000C46E7">
          <w:rPr>
            <w:rStyle w:val="affff5"/>
            <w:rFonts w:ascii="Arial" w:hAnsi="Arial" w:cs="Arial"/>
            <w:b w:val="0"/>
            <w:bCs w:val="0"/>
            <w:noProof/>
            <w:sz w:val="20"/>
            <w:szCs w:val="20"/>
            <w:lang w:val="en-GB"/>
          </w:rPr>
          <w:t>2.2</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Beyond additionality</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_Toc214986965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8</w:t>
        </w:r>
        <w:r w:rsidRPr="000C46E7">
          <w:rPr>
            <w:rFonts w:ascii="Arial" w:hAnsi="Arial" w:cs="Arial"/>
            <w:b w:val="0"/>
            <w:bCs w:val="0"/>
            <w:noProof/>
            <w:webHidden/>
            <w:sz w:val="20"/>
            <w:szCs w:val="20"/>
          </w:rPr>
          <w:fldChar w:fldCharType="end"/>
        </w:r>
      </w:hyperlink>
    </w:p>
    <w:p w14:paraId="1206116B" w14:textId="39521791" w:rsidR="007A1FBB" w:rsidRPr="00D16AB0" w:rsidRDefault="007A1FBB" w:rsidP="00831DBC">
      <w:pPr>
        <w:pStyle w:val="TOC1"/>
        <w:tabs>
          <w:tab w:val="left" w:pos="480"/>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hyperlink w:anchor="_Toc214986966" w:history="1">
        <w:r w:rsidRPr="00D16AB0">
          <w:rPr>
            <w:rStyle w:val="affff5"/>
            <w:rFonts w:ascii="Arial" w:hAnsi="Arial" w:cs="Arial"/>
            <w:b w:val="0"/>
            <w:bCs w:val="0"/>
            <w:noProof/>
            <w:sz w:val="21"/>
            <w:szCs w:val="21"/>
            <w:lang w:val="en-GB"/>
          </w:rPr>
          <w:t>3.</w:t>
        </w:r>
        <w:r w:rsidRPr="00D16AB0">
          <w:rPr>
            <w:rFonts w:ascii="Arial" w:hAnsi="Arial" w:cs="Arial"/>
            <w:b w:val="0"/>
            <w:bCs w:val="0"/>
            <w:i w:val="0"/>
            <w:iCs w:val="0"/>
            <w:noProof/>
            <w:kern w:val="2"/>
            <w:sz w:val="21"/>
            <w:szCs w:val="21"/>
            <w:lang w:eastAsia="zh-CN"/>
            <w14:ligatures w14:val="standardContextual"/>
          </w:rPr>
          <w:tab/>
        </w:r>
        <w:r w:rsidRPr="00D16AB0">
          <w:rPr>
            <w:rStyle w:val="affff5"/>
            <w:rFonts w:ascii="Arial" w:hAnsi="Arial" w:cs="Arial"/>
            <w:b w:val="0"/>
            <w:bCs w:val="0"/>
            <w:noProof/>
            <w:sz w:val="21"/>
            <w:szCs w:val="21"/>
            <w:lang w:val="en-GB"/>
          </w:rPr>
          <w:t>Introducing a Simplified Additionality Regime</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_Toc214986966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9</w:t>
        </w:r>
        <w:r w:rsidRPr="00D16AB0">
          <w:rPr>
            <w:rFonts w:ascii="Arial" w:hAnsi="Arial" w:cs="Arial"/>
            <w:b w:val="0"/>
            <w:bCs w:val="0"/>
            <w:noProof/>
            <w:webHidden/>
            <w:sz w:val="21"/>
            <w:szCs w:val="21"/>
          </w:rPr>
          <w:fldChar w:fldCharType="end"/>
        </w:r>
      </w:hyperlink>
    </w:p>
    <w:p w14:paraId="0DD6F5CA" w14:textId="5D28D75C" w:rsidR="007A1FBB" w:rsidRPr="00D16AB0" w:rsidRDefault="007A1FBB" w:rsidP="00831DBC">
      <w:pPr>
        <w:pStyle w:val="TOC1"/>
        <w:tabs>
          <w:tab w:val="left" w:pos="480"/>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hyperlink w:anchor="_Toc214986967" w:history="1">
        <w:r w:rsidRPr="00D16AB0">
          <w:rPr>
            <w:rStyle w:val="affff5"/>
            <w:rFonts w:ascii="Arial" w:hAnsi="Arial" w:cs="Arial"/>
            <w:b w:val="0"/>
            <w:bCs w:val="0"/>
            <w:noProof/>
            <w:sz w:val="21"/>
            <w:szCs w:val="21"/>
            <w:lang w:val="en-GB"/>
          </w:rPr>
          <w:t>4.</w:t>
        </w:r>
        <w:r w:rsidRPr="00D16AB0">
          <w:rPr>
            <w:rFonts w:ascii="Arial" w:hAnsi="Arial" w:cs="Arial"/>
            <w:b w:val="0"/>
            <w:bCs w:val="0"/>
            <w:i w:val="0"/>
            <w:iCs w:val="0"/>
            <w:noProof/>
            <w:kern w:val="2"/>
            <w:sz w:val="21"/>
            <w:szCs w:val="21"/>
            <w:lang w:eastAsia="zh-CN"/>
            <w14:ligatures w14:val="standardContextual"/>
          </w:rPr>
          <w:tab/>
        </w:r>
        <w:r w:rsidRPr="00D16AB0">
          <w:rPr>
            <w:rStyle w:val="affff5"/>
            <w:rFonts w:ascii="Arial" w:hAnsi="Arial" w:cs="Arial"/>
            <w:b w:val="0"/>
            <w:bCs w:val="0"/>
            <w:noProof/>
            <w:sz w:val="21"/>
            <w:szCs w:val="21"/>
            <w:lang w:val="en-GB"/>
          </w:rPr>
          <w:t>Simulating Regulatory Performance</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_Toc214986967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10</w:t>
        </w:r>
        <w:r w:rsidRPr="00D16AB0">
          <w:rPr>
            <w:rFonts w:ascii="Arial" w:hAnsi="Arial" w:cs="Arial"/>
            <w:b w:val="0"/>
            <w:bCs w:val="0"/>
            <w:noProof/>
            <w:webHidden/>
            <w:sz w:val="21"/>
            <w:szCs w:val="21"/>
          </w:rPr>
          <w:fldChar w:fldCharType="end"/>
        </w:r>
      </w:hyperlink>
    </w:p>
    <w:p w14:paraId="0A9FF78A" w14:textId="1C35085A"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68" w:history="1">
        <w:r w:rsidRPr="000C46E7">
          <w:rPr>
            <w:rStyle w:val="affff5"/>
            <w:rFonts w:ascii="Arial" w:hAnsi="Arial" w:cs="Arial"/>
            <w:b w:val="0"/>
            <w:bCs w:val="0"/>
            <w:noProof/>
            <w:sz w:val="20"/>
            <w:szCs w:val="20"/>
            <w:lang w:val="en-GB"/>
          </w:rPr>
          <w:t>4.1</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Construction of a synthetic project pool</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_Toc214986968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10</w:t>
        </w:r>
        <w:r w:rsidRPr="000C46E7">
          <w:rPr>
            <w:rFonts w:ascii="Arial" w:hAnsi="Arial" w:cs="Arial"/>
            <w:b w:val="0"/>
            <w:bCs w:val="0"/>
            <w:noProof/>
            <w:webHidden/>
            <w:sz w:val="20"/>
            <w:szCs w:val="20"/>
          </w:rPr>
          <w:fldChar w:fldCharType="end"/>
        </w:r>
      </w:hyperlink>
    </w:p>
    <w:p w14:paraId="35E8229B" w14:textId="1CB507FB"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69" w:history="1">
        <w:r w:rsidRPr="000C46E7">
          <w:rPr>
            <w:rStyle w:val="affff5"/>
            <w:rFonts w:ascii="Arial" w:hAnsi="Arial" w:cs="Arial"/>
            <w:b w:val="0"/>
            <w:bCs w:val="0"/>
            <w:noProof/>
            <w:sz w:val="20"/>
            <w:szCs w:val="20"/>
            <w:lang w:val="en-GB"/>
          </w:rPr>
          <w:t>4.2</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Decisions by project developers</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_Toc214986969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12</w:t>
        </w:r>
        <w:r w:rsidRPr="000C46E7">
          <w:rPr>
            <w:rFonts w:ascii="Arial" w:hAnsi="Arial" w:cs="Arial"/>
            <w:b w:val="0"/>
            <w:bCs w:val="0"/>
            <w:noProof/>
            <w:webHidden/>
            <w:sz w:val="20"/>
            <w:szCs w:val="20"/>
          </w:rPr>
          <w:fldChar w:fldCharType="end"/>
        </w:r>
      </w:hyperlink>
    </w:p>
    <w:p w14:paraId="25845400" w14:textId="5CFF7B0C"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70" w:history="1">
        <w:r w:rsidRPr="000C46E7">
          <w:rPr>
            <w:rStyle w:val="affff5"/>
            <w:rFonts w:ascii="Arial" w:hAnsi="Arial" w:cs="Arial"/>
            <w:b w:val="0"/>
            <w:bCs w:val="0"/>
            <w:noProof/>
            <w:sz w:val="20"/>
            <w:szCs w:val="20"/>
            <w:lang w:val="en-GB"/>
          </w:rPr>
          <w:t>4.3</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Decisions by the regulator</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_Toc214986970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14</w:t>
        </w:r>
        <w:r w:rsidRPr="000C46E7">
          <w:rPr>
            <w:rFonts w:ascii="Arial" w:hAnsi="Arial" w:cs="Arial"/>
            <w:b w:val="0"/>
            <w:bCs w:val="0"/>
            <w:noProof/>
            <w:webHidden/>
            <w:sz w:val="20"/>
            <w:szCs w:val="20"/>
          </w:rPr>
          <w:fldChar w:fldCharType="end"/>
        </w:r>
      </w:hyperlink>
    </w:p>
    <w:p w14:paraId="6097469C" w14:textId="07FAA2F5"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71" w:history="1">
        <w:r w:rsidRPr="000C46E7">
          <w:rPr>
            <w:rStyle w:val="affff5"/>
            <w:rFonts w:ascii="Arial" w:hAnsi="Arial" w:cs="Arial"/>
            <w:b w:val="0"/>
            <w:bCs w:val="0"/>
            <w:noProof/>
            <w:sz w:val="20"/>
            <w:szCs w:val="20"/>
            <w:lang w:val="en-GB"/>
          </w:rPr>
          <w:t>4.4</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Project outcomes</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_Toc214986971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15</w:t>
        </w:r>
        <w:r w:rsidRPr="000C46E7">
          <w:rPr>
            <w:rFonts w:ascii="Arial" w:hAnsi="Arial" w:cs="Arial"/>
            <w:b w:val="0"/>
            <w:bCs w:val="0"/>
            <w:noProof/>
            <w:webHidden/>
            <w:sz w:val="20"/>
            <w:szCs w:val="20"/>
          </w:rPr>
          <w:fldChar w:fldCharType="end"/>
        </w:r>
      </w:hyperlink>
    </w:p>
    <w:p w14:paraId="267CBADF" w14:textId="7AD64F83" w:rsidR="007A1FBB" w:rsidRPr="00D16AB0" w:rsidRDefault="007A1FBB" w:rsidP="00831DBC">
      <w:pPr>
        <w:pStyle w:val="TOC1"/>
        <w:tabs>
          <w:tab w:val="left" w:pos="480"/>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hyperlink w:anchor="_Toc214986972" w:history="1">
        <w:r w:rsidRPr="00D16AB0">
          <w:rPr>
            <w:rStyle w:val="affff5"/>
            <w:rFonts w:ascii="Arial" w:hAnsi="Arial" w:cs="Arial"/>
            <w:b w:val="0"/>
            <w:bCs w:val="0"/>
            <w:noProof/>
            <w:sz w:val="21"/>
            <w:szCs w:val="21"/>
            <w:lang w:val="en-GB"/>
          </w:rPr>
          <w:t>5.</w:t>
        </w:r>
        <w:r w:rsidRPr="00D16AB0">
          <w:rPr>
            <w:rFonts w:ascii="Arial" w:hAnsi="Arial" w:cs="Arial"/>
            <w:b w:val="0"/>
            <w:bCs w:val="0"/>
            <w:i w:val="0"/>
            <w:iCs w:val="0"/>
            <w:noProof/>
            <w:kern w:val="2"/>
            <w:sz w:val="21"/>
            <w:szCs w:val="21"/>
            <w:lang w:eastAsia="zh-CN"/>
            <w14:ligatures w14:val="standardContextual"/>
          </w:rPr>
          <w:tab/>
        </w:r>
        <w:r w:rsidRPr="00D16AB0">
          <w:rPr>
            <w:rStyle w:val="affff5"/>
            <w:rFonts w:ascii="Arial" w:hAnsi="Arial" w:cs="Arial"/>
            <w:b w:val="0"/>
            <w:bCs w:val="0"/>
            <w:noProof/>
            <w:sz w:val="21"/>
            <w:szCs w:val="21"/>
            <w:lang w:val="en-GB"/>
          </w:rPr>
          <w:t>Model Calibration</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_Toc214986972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16</w:t>
        </w:r>
        <w:r w:rsidRPr="00D16AB0">
          <w:rPr>
            <w:rFonts w:ascii="Arial" w:hAnsi="Arial" w:cs="Arial"/>
            <w:b w:val="0"/>
            <w:bCs w:val="0"/>
            <w:noProof/>
            <w:webHidden/>
            <w:sz w:val="21"/>
            <w:szCs w:val="21"/>
          </w:rPr>
          <w:fldChar w:fldCharType="end"/>
        </w:r>
      </w:hyperlink>
    </w:p>
    <w:p w14:paraId="1A19BB94" w14:textId="66E7DF7F" w:rsidR="007A1FBB" w:rsidRPr="00E44A84"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73" w:history="1">
        <w:r w:rsidRPr="00E44A84">
          <w:rPr>
            <w:rStyle w:val="affff5"/>
            <w:rFonts w:ascii="Arial" w:hAnsi="Arial" w:cs="Arial"/>
            <w:b w:val="0"/>
            <w:bCs w:val="0"/>
            <w:noProof/>
            <w:sz w:val="20"/>
            <w:szCs w:val="20"/>
            <w:lang w:val="en-GB"/>
          </w:rPr>
          <w:t>5.1</w:t>
        </w:r>
        <w:r w:rsidRPr="00E44A84">
          <w:rPr>
            <w:rFonts w:ascii="Arial" w:hAnsi="Arial" w:cs="Arial"/>
            <w:b w:val="0"/>
            <w:bCs w:val="0"/>
            <w:noProof/>
            <w:kern w:val="2"/>
            <w:sz w:val="20"/>
            <w:szCs w:val="20"/>
            <w:lang w:eastAsia="zh-CN"/>
            <w14:ligatures w14:val="standardContextual"/>
          </w:rPr>
          <w:tab/>
        </w:r>
        <w:r w:rsidRPr="00E44A84">
          <w:rPr>
            <w:rStyle w:val="affff5"/>
            <w:rFonts w:ascii="Arial" w:hAnsi="Arial" w:cs="Arial"/>
            <w:b w:val="0"/>
            <w:bCs w:val="0"/>
            <w:noProof/>
            <w:sz w:val="20"/>
            <w:szCs w:val="20"/>
            <w:lang w:val="en-GB"/>
          </w:rPr>
          <w:t>CDM Pipeline and voluntary registry offsets database</w:t>
        </w:r>
        <w:r w:rsidRPr="00E44A84">
          <w:rPr>
            <w:rFonts w:ascii="Arial" w:hAnsi="Arial" w:cs="Arial"/>
            <w:b w:val="0"/>
            <w:bCs w:val="0"/>
            <w:noProof/>
            <w:webHidden/>
            <w:sz w:val="20"/>
            <w:szCs w:val="20"/>
          </w:rPr>
          <w:tab/>
        </w:r>
        <w:r w:rsidRPr="00E44A84">
          <w:rPr>
            <w:rFonts w:ascii="Arial" w:hAnsi="Arial" w:cs="Arial"/>
            <w:b w:val="0"/>
            <w:bCs w:val="0"/>
            <w:noProof/>
            <w:webHidden/>
            <w:sz w:val="20"/>
            <w:szCs w:val="20"/>
          </w:rPr>
          <w:fldChar w:fldCharType="begin"/>
        </w:r>
        <w:r w:rsidRPr="00E44A84">
          <w:rPr>
            <w:rFonts w:ascii="Arial" w:hAnsi="Arial" w:cs="Arial"/>
            <w:b w:val="0"/>
            <w:bCs w:val="0"/>
            <w:noProof/>
            <w:webHidden/>
            <w:sz w:val="20"/>
            <w:szCs w:val="20"/>
          </w:rPr>
          <w:instrText xml:space="preserve"> PAGEREF _Toc214986973 \h </w:instrText>
        </w:r>
        <w:r w:rsidRPr="00E44A84">
          <w:rPr>
            <w:rFonts w:ascii="Arial" w:hAnsi="Arial" w:cs="Arial"/>
            <w:b w:val="0"/>
            <w:bCs w:val="0"/>
            <w:noProof/>
            <w:webHidden/>
            <w:sz w:val="20"/>
            <w:szCs w:val="20"/>
          </w:rPr>
        </w:r>
        <w:r w:rsidRPr="00E44A84">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16</w:t>
        </w:r>
        <w:r w:rsidRPr="00E44A84">
          <w:rPr>
            <w:rFonts w:ascii="Arial" w:hAnsi="Arial" w:cs="Arial"/>
            <w:b w:val="0"/>
            <w:bCs w:val="0"/>
            <w:noProof/>
            <w:webHidden/>
            <w:sz w:val="20"/>
            <w:szCs w:val="20"/>
          </w:rPr>
          <w:fldChar w:fldCharType="end"/>
        </w:r>
      </w:hyperlink>
    </w:p>
    <w:p w14:paraId="683DE9F1" w14:textId="0E65366B" w:rsidR="007A1FBB" w:rsidRPr="00E44A84"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74" w:history="1">
        <w:r w:rsidRPr="00E44A84">
          <w:rPr>
            <w:rStyle w:val="affff5"/>
            <w:rFonts w:ascii="Arial" w:hAnsi="Arial" w:cs="Arial"/>
            <w:b w:val="0"/>
            <w:bCs w:val="0"/>
            <w:noProof/>
            <w:sz w:val="20"/>
            <w:szCs w:val="20"/>
            <w:lang w:val="en-GB"/>
          </w:rPr>
          <w:t>5.2</w:t>
        </w:r>
        <w:r w:rsidRPr="00E44A84">
          <w:rPr>
            <w:rFonts w:ascii="Arial" w:hAnsi="Arial" w:cs="Arial"/>
            <w:b w:val="0"/>
            <w:bCs w:val="0"/>
            <w:noProof/>
            <w:kern w:val="2"/>
            <w:sz w:val="20"/>
            <w:szCs w:val="20"/>
            <w:lang w:eastAsia="zh-CN"/>
            <w14:ligatures w14:val="standardContextual"/>
          </w:rPr>
          <w:tab/>
        </w:r>
        <w:r w:rsidRPr="00E44A84">
          <w:rPr>
            <w:rStyle w:val="affff5"/>
            <w:rFonts w:ascii="Arial" w:hAnsi="Arial" w:cs="Arial"/>
            <w:b w:val="0"/>
            <w:bCs w:val="0"/>
            <w:noProof/>
            <w:sz w:val="20"/>
            <w:szCs w:val="20"/>
            <w:lang w:val="en-GB"/>
          </w:rPr>
          <w:t>Parameter Calibration</w:t>
        </w:r>
        <w:r w:rsidRPr="00E44A84">
          <w:rPr>
            <w:rFonts w:ascii="Arial" w:hAnsi="Arial" w:cs="Arial"/>
            <w:b w:val="0"/>
            <w:bCs w:val="0"/>
            <w:noProof/>
            <w:webHidden/>
            <w:sz w:val="20"/>
            <w:szCs w:val="20"/>
          </w:rPr>
          <w:tab/>
        </w:r>
        <w:r w:rsidRPr="00E44A84">
          <w:rPr>
            <w:rFonts w:ascii="Arial" w:hAnsi="Arial" w:cs="Arial"/>
            <w:b w:val="0"/>
            <w:bCs w:val="0"/>
            <w:noProof/>
            <w:webHidden/>
            <w:sz w:val="20"/>
            <w:szCs w:val="20"/>
          </w:rPr>
          <w:fldChar w:fldCharType="begin"/>
        </w:r>
        <w:r w:rsidRPr="00E44A84">
          <w:rPr>
            <w:rFonts w:ascii="Arial" w:hAnsi="Arial" w:cs="Arial"/>
            <w:b w:val="0"/>
            <w:bCs w:val="0"/>
            <w:noProof/>
            <w:webHidden/>
            <w:sz w:val="20"/>
            <w:szCs w:val="20"/>
          </w:rPr>
          <w:instrText xml:space="preserve"> PAGEREF _Toc214986974 \h </w:instrText>
        </w:r>
        <w:r w:rsidRPr="00E44A84">
          <w:rPr>
            <w:rFonts w:ascii="Arial" w:hAnsi="Arial" w:cs="Arial"/>
            <w:b w:val="0"/>
            <w:bCs w:val="0"/>
            <w:noProof/>
            <w:webHidden/>
            <w:sz w:val="20"/>
            <w:szCs w:val="20"/>
          </w:rPr>
        </w:r>
        <w:r w:rsidRPr="00E44A84">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18</w:t>
        </w:r>
        <w:r w:rsidRPr="00E44A84">
          <w:rPr>
            <w:rFonts w:ascii="Arial" w:hAnsi="Arial" w:cs="Arial"/>
            <w:b w:val="0"/>
            <w:bCs w:val="0"/>
            <w:noProof/>
            <w:webHidden/>
            <w:sz w:val="20"/>
            <w:szCs w:val="20"/>
          </w:rPr>
          <w:fldChar w:fldCharType="end"/>
        </w:r>
      </w:hyperlink>
    </w:p>
    <w:p w14:paraId="2A449FD7" w14:textId="086EBE04" w:rsidR="007A1FBB" w:rsidRPr="00D16AB0" w:rsidRDefault="007A1FBB" w:rsidP="00831DBC">
      <w:pPr>
        <w:pStyle w:val="TOC1"/>
        <w:tabs>
          <w:tab w:val="left" w:pos="480"/>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hyperlink w:anchor="_Toc214986975" w:history="1">
        <w:r w:rsidRPr="00D16AB0">
          <w:rPr>
            <w:rStyle w:val="affff5"/>
            <w:rFonts w:ascii="Arial" w:hAnsi="Arial" w:cs="Arial"/>
            <w:b w:val="0"/>
            <w:bCs w:val="0"/>
            <w:noProof/>
            <w:sz w:val="21"/>
            <w:szCs w:val="21"/>
            <w:lang w:val="en-GB"/>
          </w:rPr>
          <w:t>6.</w:t>
        </w:r>
        <w:r w:rsidRPr="00D16AB0">
          <w:rPr>
            <w:rFonts w:ascii="Arial" w:hAnsi="Arial" w:cs="Arial"/>
            <w:b w:val="0"/>
            <w:bCs w:val="0"/>
            <w:i w:val="0"/>
            <w:iCs w:val="0"/>
            <w:noProof/>
            <w:kern w:val="2"/>
            <w:sz w:val="21"/>
            <w:szCs w:val="21"/>
            <w:lang w:eastAsia="zh-CN"/>
            <w14:ligatures w14:val="standardContextual"/>
          </w:rPr>
          <w:tab/>
        </w:r>
        <w:r w:rsidRPr="00D16AB0">
          <w:rPr>
            <w:rStyle w:val="affff5"/>
            <w:rFonts w:ascii="Arial" w:hAnsi="Arial" w:cs="Arial"/>
            <w:b w:val="0"/>
            <w:bCs w:val="0"/>
            <w:noProof/>
            <w:sz w:val="21"/>
            <w:szCs w:val="21"/>
            <w:lang w:val="en-GB"/>
          </w:rPr>
          <w:t>Scenario analysis</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_Toc214986975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20</w:t>
        </w:r>
        <w:r w:rsidRPr="00D16AB0">
          <w:rPr>
            <w:rFonts w:ascii="Arial" w:hAnsi="Arial" w:cs="Arial"/>
            <w:b w:val="0"/>
            <w:bCs w:val="0"/>
            <w:noProof/>
            <w:webHidden/>
            <w:sz w:val="21"/>
            <w:szCs w:val="21"/>
          </w:rPr>
          <w:fldChar w:fldCharType="end"/>
        </w:r>
      </w:hyperlink>
    </w:p>
    <w:p w14:paraId="25B4B40E" w14:textId="0D5AD10E" w:rsidR="007A1FBB" w:rsidRPr="00D16AB0"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76" w:history="1">
        <w:r w:rsidRPr="00D16AB0">
          <w:rPr>
            <w:rStyle w:val="affff5"/>
            <w:rFonts w:ascii="Arial" w:hAnsi="Arial" w:cs="Arial"/>
            <w:b w:val="0"/>
            <w:bCs w:val="0"/>
            <w:noProof/>
            <w:sz w:val="20"/>
            <w:szCs w:val="20"/>
            <w:lang w:val="en-GB"/>
          </w:rPr>
          <w:t>6.1</w:t>
        </w:r>
        <w:r w:rsidRPr="00D16AB0">
          <w:rPr>
            <w:rFonts w:ascii="Arial" w:hAnsi="Arial" w:cs="Arial"/>
            <w:b w:val="0"/>
            <w:bCs w:val="0"/>
            <w:noProof/>
            <w:kern w:val="2"/>
            <w:sz w:val="20"/>
            <w:szCs w:val="20"/>
            <w:lang w:eastAsia="zh-CN"/>
            <w14:ligatures w14:val="standardContextual"/>
          </w:rPr>
          <w:tab/>
        </w:r>
        <w:r w:rsidRPr="00D16AB0">
          <w:rPr>
            <w:rStyle w:val="affff5"/>
            <w:rFonts w:ascii="Arial" w:hAnsi="Arial" w:cs="Arial"/>
            <w:b w:val="0"/>
            <w:bCs w:val="0"/>
            <w:noProof/>
            <w:sz w:val="20"/>
            <w:szCs w:val="20"/>
            <w:lang w:val="en-GB"/>
          </w:rPr>
          <w:t>The main scenario</w:t>
        </w:r>
        <w:r w:rsidRPr="00D16AB0">
          <w:rPr>
            <w:rFonts w:ascii="Arial" w:hAnsi="Arial" w:cs="Arial"/>
            <w:b w:val="0"/>
            <w:bCs w:val="0"/>
            <w:noProof/>
            <w:webHidden/>
            <w:sz w:val="20"/>
            <w:szCs w:val="20"/>
          </w:rPr>
          <w:tab/>
        </w:r>
        <w:r w:rsidRPr="00D16AB0">
          <w:rPr>
            <w:rFonts w:ascii="Arial" w:hAnsi="Arial" w:cs="Arial"/>
            <w:b w:val="0"/>
            <w:bCs w:val="0"/>
            <w:noProof/>
            <w:webHidden/>
            <w:sz w:val="20"/>
            <w:szCs w:val="20"/>
          </w:rPr>
          <w:fldChar w:fldCharType="begin"/>
        </w:r>
        <w:r w:rsidRPr="00D16AB0">
          <w:rPr>
            <w:rFonts w:ascii="Arial" w:hAnsi="Arial" w:cs="Arial"/>
            <w:b w:val="0"/>
            <w:bCs w:val="0"/>
            <w:noProof/>
            <w:webHidden/>
            <w:sz w:val="20"/>
            <w:szCs w:val="20"/>
          </w:rPr>
          <w:instrText xml:space="preserve"> PAGEREF _Toc214986976 \h </w:instrText>
        </w:r>
        <w:r w:rsidRPr="00D16AB0">
          <w:rPr>
            <w:rFonts w:ascii="Arial" w:hAnsi="Arial" w:cs="Arial"/>
            <w:b w:val="0"/>
            <w:bCs w:val="0"/>
            <w:noProof/>
            <w:webHidden/>
            <w:sz w:val="20"/>
            <w:szCs w:val="20"/>
          </w:rPr>
        </w:r>
        <w:r w:rsidRPr="00D16AB0">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20</w:t>
        </w:r>
        <w:r w:rsidRPr="00D16AB0">
          <w:rPr>
            <w:rFonts w:ascii="Arial" w:hAnsi="Arial" w:cs="Arial"/>
            <w:b w:val="0"/>
            <w:bCs w:val="0"/>
            <w:noProof/>
            <w:webHidden/>
            <w:sz w:val="20"/>
            <w:szCs w:val="20"/>
          </w:rPr>
          <w:fldChar w:fldCharType="end"/>
        </w:r>
      </w:hyperlink>
    </w:p>
    <w:p w14:paraId="206C325D" w14:textId="1C25DB4D" w:rsidR="007A1FBB" w:rsidRPr="00D16AB0"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77" w:history="1">
        <w:r w:rsidRPr="00D16AB0">
          <w:rPr>
            <w:rStyle w:val="affff5"/>
            <w:rFonts w:ascii="Arial" w:hAnsi="Arial" w:cs="Arial"/>
            <w:b w:val="0"/>
            <w:bCs w:val="0"/>
            <w:noProof/>
            <w:sz w:val="20"/>
            <w:szCs w:val="20"/>
            <w:lang w:val="en-GB"/>
          </w:rPr>
          <w:t>6.2</w:t>
        </w:r>
        <w:r w:rsidRPr="00D16AB0">
          <w:rPr>
            <w:rFonts w:ascii="Arial" w:hAnsi="Arial" w:cs="Arial"/>
            <w:b w:val="0"/>
            <w:bCs w:val="0"/>
            <w:noProof/>
            <w:kern w:val="2"/>
            <w:sz w:val="20"/>
            <w:szCs w:val="20"/>
            <w:lang w:eastAsia="zh-CN"/>
            <w14:ligatures w14:val="standardContextual"/>
          </w:rPr>
          <w:tab/>
        </w:r>
        <w:r w:rsidRPr="00D16AB0">
          <w:rPr>
            <w:rStyle w:val="affff5"/>
            <w:rFonts w:ascii="Arial" w:hAnsi="Arial" w:cs="Arial"/>
            <w:b w:val="0"/>
            <w:bCs w:val="0"/>
            <w:noProof/>
            <w:sz w:val="20"/>
            <w:szCs w:val="20"/>
            <w:lang w:val="en-GB"/>
          </w:rPr>
          <w:t>Other scenarios</w:t>
        </w:r>
        <w:r w:rsidRPr="00D16AB0">
          <w:rPr>
            <w:rFonts w:ascii="Arial" w:hAnsi="Arial" w:cs="Arial"/>
            <w:b w:val="0"/>
            <w:bCs w:val="0"/>
            <w:noProof/>
            <w:webHidden/>
            <w:sz w:val="20"/>
            <w:szCs w:val="20"/>
          </w:rPr>
          <w:tab/>
        </w:r>
        <w:r w:rsidRPr="00D16AB0">
          <w:rPr>
            <w:rFonts w:ascii="Arial" w:hAnsi="Arial" w:cs="Arial"/>
            <w:b w:val="0"/>
            <w:bCs w:val="0"/>
            <w:noProof/>
            <w:webHidden/>
            <w:sz w:val="20"/>
            <w:szCs w:val="20"/>
          </w:rPr>
          <w:fldChar w:fldCharType="begin"/>
        </w:r>
        <w:r w:rsidRPr="00D16AB0">
          <w:rPr>
            <w:rFonts w:ascii="Arial" w:hAnsi="Arial" w:cs="Arial"/>
            <w:b w:val="0"/>
            <w:bCs w:val="0"/>
            <w:noProof/>
            <w:webHidden/>
            <w:sz w:val="20"/>
            <w:szCs w:val="20"/>
          </w:rPr>
          <w:instrText xml:space="preserve"> PAGEREF _Toc214986977 \h </w:instrText>
        </w:r>
        <w:r w:rsidRPr="00D16AB0">
          <w:rPr>
            <w:rFonts w:ascii="Arial" w:hAnsi="Arial" w:cs="Arial"/>
            <w:b w:val="0"/>
            <w:bCs w:val="0"/>
            <w:noProof/>
            <w:webHidden/>
            <w:sz w:val="20"/>
            <w:szCs w:val="20"/>
          </w:rPr>
        </w:r>
        <w:r w:rsidRPr="00D16AB0">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20</w:t>
        </w:r>
        <w:r w:rsidRPr="00D16AB0">
          <w:rPr>
            <w:rFonts w:ascii="Arial" w:hAnsi="Arial" w:cs="Arial"/>
            <w:b w:val="0"/>
            <w:bCs w:val="0"/>
            <w:noProof/>
            <w:webHidden/>
            <w:sz w:val="20"/>
            <w:szCs w:val="20"/>
          </w:rPr>
          <w:fldChar w:fldCharType="end"/>
        </w:r>
      </w:hyperlink>
    </w:p>
    <w:p w14:paraId="71D4D2E1" w14:textId="013EFCF7" w:rsidR="007A1FBB" w:rsidRPr="00D16AB0" w:rsidRDefault="007A1FBB" w:rsidP="00831DBC">
      <w:pPr>
        <w:pStyle w:val="TOC1"/>
        <w:tabs>
          <w:tab w:val="left" w:pos="480"/>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hyperlink w:anchor="_Toc214986978" w:history="1">
        <w:r w:rsidRPr="00D16AB0">
          <w:rPr>
            <w:rStyle w:val="affff5"/>
            <w:rFonts w:ascii="Arial" w:hAnsi="Arial" w:cs="Arial"/>
            <w:b w:val="0"/>
            <w:bCs w:val="0"/>
            <w:noProof/>
            <w:sz w:val="21"/>
            <w:szCs w:val="21"/>
            <w:lang w:val="en-GB"/>
          </w:rPr>
          <w:t>7.</w:t>
        </w:r>
        <w:r w:rsidRPr="00D16AB0">
          <w:rPr>
            <w:rFonts w:ascii="Arial" w:hAnsi="Arial" w:cs="Arial"/>
            <w:b w:val="0"/>
            <w:bCs w:val="0"/>
            <w:i w:val="0"/>
            <w:iCs w:val="0"/>
            <w:noProof/>
            <w:kern w:val="2"/>
            <w:sz w:val="21"/>
            <w:szCs w:val="21"/>
            <w:lang w:eastAsia="zh-CN"/>
            <w14:ligatures w14:val="standardContextual"/>
          </w:rPr>
          <w:tab/>
        </w:r>
        <w:r w:rsidRPr="00D16AB0">
          <w:rPr>
            <w:rStyle w:val="affff5"/>
            <w:rFonts w:ascii="Arial" w:hAnsi="Arial" w:cs="Arial"/>
            <w:b w:val="0"/>
            <w:bCs w:val="0"/>
            <w:noProof/>
            <w:sz w:val="21"/>
            <w:szCs w:val="21"/>
            <w:lang w:val="en-GB"/>
          </w:rPr>
          <w:t>Sensitivity analysis</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_Toc214986978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21</w:t>
        </w:r>
        <w:r w:rsidRPr="00D16AB0">
          <w:rPr>
            <w:rFonts w:ascii="Arial" w:hAnsi="Arial" w:cs="Arial"/>
            <w:b w:val="0"/>
            <w:bCs w:val="0"/>
            <w:noProof/>
            <w:webHidden/>
            <w:sz w:val="21"/>
            <w:szCs w:val="21"/>
          </w:rPr>
          <w:fldChar w:fldCharType="end"/>
        </w:r>
      </w:hyperlink>
    </w:p>
    <w:p w14:paraId="0CAAEB51" w14:textId="5C01D799"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79" w:history="1">
        <w:r w:rsidRPr="000C46E7">
          <w:rPr>
            <w:rStyle w:val="affff5"/>
            <w:rFonts w:ascii="Arial" w:hAnsi="Arial" w:cs="Arial"/>
            <w:b w:val="0"/>
            <w:bCs w:val="0"/>
            <w:noProof/>
            <w:sz w:val="20"/>
            <w:szCs w:val="20"/>
            <w:lang w:val="en-GB"/>
          </w:rPr>
          <w:t>7.1</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Differences in regulatory performance</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_Toc214986979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21</w:t>
        </w:r>
        <w:r w:rsidRPr="000C46E7">
          <w:rPr>
            <w:rFonts w:ascii="Arial" w:hAnsi="Arial" w:cs="Arial"/>
            <w:b w:val="0"/>
            <w:bCs w:val="0"/>
            <w:noProof/>
            <w:webHidden/>
            <w:sz w:val="20"/>
            <w:szCs w:val="20"/>
          </w:rPr>
          <w:fldChar w:fldCharType="end"/>
        </w:r>
      </w:hyperlink>
    </w:p>
    <w:p w14:paraId="1412335B" w14:textId="4ADB637F"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80" w:history="1">
        <w:r w:rsidRPr="000C46E7">
          <w:rPr>
            <w:rStyle w:val="affff5"/>
            <w:rFonts w:ascii="Arial" w:hAnsi="Arial" w:cs="Arial"/>
            <w:b w:val="0"/>
            <w:bCs w:val="0"/>
            <w:noProof/>
            <w:sz w:val="20"/>
            <w:szCs w:val="20"/>
            <w:lang w:val="en-GB"/>
          </w:rPr>
          <w:t>7.2</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Over-crediting</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_Toc214986980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21</w:t>
        </w:r>
        <w:r w:rsidRPr="000C46E7">
          <w:rPr>
            <w:rFonts w:ascii="Arial" w:hAnsi="Arial" w:cs="Arial"/>
            <w:b w:val="0"/>
            <w:bCs w:val="0"/>
            <w:noProof/>
            <w:webHidden/>
            <w:sz w:val="20"/>
            <w:szCs w:val="20"/>
          </w:rPr>
          <w:fldChar w:fldCharType="end"/>
        </w:r>
      </w:hyperlink>
    </w:p>
    <w:p w14:paraId="1948F4FD" w14:textId="4FA6BC69"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81" w:history="1">
        <w:r w:rsidRPr="000C46E7">
          <w:rPr>
            <w:rStyle w:val="affff5"/>
            <w:rFonts w:ascii="Arial" w:hAnsi="Arial" w:cs="Arial"/>
            <w:b w:val="0"/>
            <w:bCs w:val="0"/>
            <w:noProof/>
            <w:sz w:val="20"/>
            <w:szCs w:val="20"/>
            <w:lang w:val="en-GB"/>
          </w:rPr>
          <w:t>7.3</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Differences in project characteristics</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_Toc214986981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22</w:t>
        </w:r>
        <w:r w:rsidRPr="000C46E7">
          <w:rPr>
            <w:rFonts w:ascii="Arial" w:hAnsi="Arial" w:cs="Arial"/>
            <w:b w:val="0"/>
            <w:bCs w:val="0"/>
            <w:noProof/>
            <w:webHidden/>
            <w:sz w:val="20"/>
            <w:szCs w:val="20"/>
          </w:rPr>
          <w:fldChar w:fldCharType="end"/>
        </w:r>
      </w:hyperlink>
    </w:p>
    <w:p w14:paraId="1EEB59F7" w14:textId="1982310F" w:rsidR="007A1FBB" w:rsidRPr="000C46E7" w:rsidRDefault="007A1FBB" w:rsidP="00831DBC">
      <w:pPr>
        <w:pStyle w:val="TOC2"/>
        <w:tabs>
          <w:tab w:val="left" w:pos="960"/>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82" w:history="1">
        <w:r w:rsidRPr="000C46E7">
          <w:rPr>
            <w:rStyle w:val="affff5"/>
            <w:rFonts w:ascii="Arial" w:hAnsi="Arial" w:cs="Arial"/>
            <w:b w:val="0"/>
            <w:bCs w:val="0"/>
            <w:noProof/>
            <w:sz w:val="20"/>
            <w:szCs w:val="20"/>
            <w:lang w:val="en-GB"/>
          </w:rPr>
          <w:t>7.4</w:t>
        </w:r>
        <w:r w:rsidRPr="000C46E7">
          <w:rPr>
            <w:rFonts w:ascii="Arial" w:hAnsi="Arial" w:cs="Arial"/>
            <w:b w:val="0"/>
            <w:bCs w:val="0"/>
            <w:noProof/>
            <w:kern w:val="2"/>
            <w:sz w:val="20"/>
            <w:szCs w:val="20"/>
            <w:lang w:eastAsia="zh-CN"/>
            <w14:ligatures w14:val="standardContextual"/>
          </w:rPr>
          <w:tab/>
        </w:r>
        <w:r w:rsidRPr="000C46E7">
          <w:rPr>
            <w:rStyle w:val="affff5"/>
            <w:rFonts w:ascii="Arial" w:hAnsi="Arial" w:cs="Arial"/>
            <w:b w:val="0"/>
            <w:bCs w:val="0"/>
            <w:noProof/>
            <w:sz w:val="20"/>
            <w:szCs w:val="20"/>
            <w:lang w:val="en-GB"/>
          </w:rPr>
          <w:t>Summary</w:t>
        </w:r>
        <w:r w:rsidRPr="000C46E7">
          <w:rPr>
            <w:rFonts w:ascii="Arial" w:hAnsi="Arial" w:cs="Arial"/>
            <w:b w:val="0"/>
            <w:bCs w:val="0"/>
            <w:noProof/>
            <w:webHidden/>
            <w:sz w:val="20"/>
            <w:szCs w:val="20"/>
          </w:rPr>
          <w:tab/>
        </w:r>
        <w:r w:rsidRPr="000C46E7">
          <w:rPr>
            <w:rFonts w:ascii="Arial" w:hAnsi="Arial" w:cs="Arial"/>
            <w:b w:val="0"/>
            <w:bCs w:val="0"/>
            <w:noProof/>
            <w:webHidden/>
            <w:sz w:val="20"/>
            <w:szCs w:val="20"/>
          </w:rPr>
          <w:fldChar w:fldCharType="begin"/>
        </w:r>
        <w:r w:rsidRPr="000C46E7">
          <w:rPr>
            <w:rFonts w:ascii="Arial" w:hAnsi="Arial" w:cs="Arial"/>
            <w:b w:val="0"/>
            <w:bCs w:val="0"/>
            <w:noProof/>
            <w:webHidden/>
            <w:sz w:val="20"/>
            <w:szCs w:val="20"/>
          </w:rPr>
          <w:instrText xml:space="preserve"> PAGEREF _Toc214986982 \h </w:instrText>
        </w:r>
        <w:r w:rsidRPr="000C46E7">
          <w:rPr>
            <w:rFonts w:ascii="Arial" w:hAnsi="Arial" w:cs="Arial"/>
            <w:b w:val="0"/>
            <w:bCs w:val="0"/>
            <w:noProof/>
            <w:webHidden/>
            <w:sz w:val="20"/>
            <w:szCs w:val="20"/>
          </w:rPr>
        </w:r>
        <w:r w:rsidRPr="000C46E7">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22</w:t>
        </w:r>
        <w:r w:rsidRPr="000C46E7">
          <w:rPr>
            <w:rFonts w:ascii="Arial" w:hAnsi="Arial" w:cs="Arial"/>
            <w:b w:val="0"/>
            <w:bCs w:val="0"/>
            <w:noProof/>
            <w:webHidden/>
            <w:sz w:val="20"/>
            <w:szCs w:val="20"/>
          </w:rPr>
          <w:fldChar w:fldCharType="end"/>
        </w:r>
      </w:hyperlink>
    </w:p>
    <w:p w14:paraId="45E71A38" w14:textId="5C0F5758" w:rsidR="007A1FBB" w:rsidRPr="00D16AB0" w:rsidRDefault="007A1FBB" w:rsidP="00831DBC">
      <w:pPr>
        <w:pStyle w:val="TOC1"/>
        <w:tabs>
          <w:tab w:val="left" w:pos="480"/>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hyperlink w:anchor="_Toc214986983" w:history="1">
        <w:r w:rsidRPr="00D16AB0">
          <w:rPr>
            <w:rStyle w:val="affff5"/>
            <w:rFonts w:ascii="Arial" w:hAnsi="Arial" w:cs="Arial"/>
            <w:b w:val="0"/>
            <w:bCs w:val="0"/>
            <w:noProof/>
            <w:sz w:val="21"/>
            <w:szCs w:val="21"/>
            <w:lang w:val="en-GB"/>
          </w:rPr>
          <w:t>8.</w:t>
        </w:r>
        <w:r w:rsidRPr="00D16AB0">
          <w:rPr>
            <w:rFonts w:ascii="Arial" w:hAnsi="Arial" w:cs="Arial"/>
            <w:b w:val="0"/>
            <w:bCs w:val="0"/>
            <w:i w:val="0"/>
            <w:iCs w:val="0"/>
            <w:noProof/>
            <w:kern w:val="2"/>
            <w:sz w:val="21"/>
            <w:szCs w:val="21"/>
            <w:lang w:eastAsia="zh-CN"/>
            <w14:ligatures w14:val="standardContextual"/>
          </w:rPr>
          <w:tab/>
        </w:r>
        <w:r w:rsidRPr="00D16AB0">
          <w:rPr>
            <w:rStyle w:val="affff5"/>
            <w:rFonts w:ascii="Arial" w:hAnsi="Arial" w:cs="Arial"/>
            <w:b w:val="0"/>
            <w:bCs w:val="0"/>
            <w:noProof/>
            <w:sz w:val="21"/>
            <w:szCs w:val="21"/>
            <w:lang w:val="en-GB"/>
          </w:rPr>
          <w:t>Datasets and Software</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_Toc214986983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23</w:t>
        </w:r>
        <w:r w:rsidRPr="00D16AB0">
          <w:rPr>
            <w:rFonts w:ascii="Arial" w:hAnsi="Arial" w:cs="Arial"/>
            <w:b w:val="0"/>
            <w:bCs w:val="0"/>
            <w:noProof/>
            <w:webHidden/>
            <w:sz w:val="21"/>
            <w:szCs w:val="21"/>
          </w:rPr>
          <w:fldChar w:fldCharType="end"/>
        </w:r>
      </w:hyperlink>
    </w:p>
    <w:p w14:paraId="4DE5A6BE" w14:textId="59E09575" w:rsidR="007A1FBB" w:rsidRPr="00D16AB0" w:rsidRDefault="007A1FBB" w:rsidP="00831DBC">
      <w:pPr>
        <w:pStyle w:val="TOC1"/>
        <w:tabs>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hyperlink w:anchor="_Toc214986984" w:history="1">
        <w:r w:rsidRPr="00D16AB0">
          <w:rPr>
            <w:rStyle w:val="affff5"/>
            <w:rFonts w:ascii="Arial" w:hAnsi="Arial" w:cs="Arial"/>
            <w:b w:val="0"/>
            <w:bCs w:val="0"/>
            <w:noProof/>
            <w:sz w:val="21"/>
            <w:szCs w:val="21"/>
            <w:lang w:val="en-GB"/>
          </w:rPr>
          <w:t>Figures</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_Toc214986984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24</w:t>
        </w:r>
        <w:r w:rsidRPr="00D16AB0">
          <w:rPr>
            <w:rFonts w:ascii="Arial" w:hAnsi="Arial" w:cs="Arial"/>
            <w:b w:val="0"/>
            <w:bCs w:val="0"/>
            <w:noProof/>
            <w:webHidden/>
            <w:sz w:val="21"/>
            <w:szCs w:val="21"/>
          </w:rPr>
          <w:fldChar w:fldCharType="end"/>
        </w:r>
      </w:hyperlink>
    </w:p>
    <w:p w14:paraId="7E3A9D0A" w14:textId="059A8F64"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85" w:history="1">
        <w:r w:rsidRPr="00965159">
          <w:rPr>
            <w:rStyle w:val="affff5"/>
            <w:rFonts w:ascii="Arial" w:hAnsi="Arial" w:cs="Arial"/>
            <w:b w:val="0"/>
            <w:bCs w:val="0"/>
            <w:noProof/>
            <w:sz w:val="20"/>
            <w:szCs w:val="20"/>
            <w:lang w:val="en-GB"/>
          </w:rPr>
          <w:t xml:space="preserve">Figure </w:t>
        </w:r>
        <w:r w:rsidR="00F27CBB">
          <w:rPr>
            <w:rStyle w:val="affff5"/>
            <w:rFonts w:ascii="Arial" w:hAnsi="Arial" w:cs="Arial"/>
            <w:b w:val="0"/>
            <w:bCs w:val="0"/>
            <w:noProof/>
            <w:sz w:val="20"/>
            <w:szCs w:val="20"/>
            <w:lang w:val="en-GB"/>
          </w:rPr>
          <w:t>1</w:t>
        </w:r>
        <w:r w:rsidRPr="00965159">
          <w:rPr>
            <w:rStyle w:val="affff5"/>
            <w:rFonts w:ascii="Arial" w:hAnsi="Arial" w:cs="Arial"/>
            <w:b w:val="0"/>
            <w:bCs w:val="0"/>
            <w:noProof/>
            <w:sz w:val="20"/>
            <w:szCs w:val="20"/>
            <w:lang w:val="en-GB"/>
          </w:rPr>
          <w:t>. Visualisation of global carbon offset markets</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_Toc214986985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24</w:t>
        </w:r>
        <w:r w:rsidRPr="00965159">
          <w:rPr>
            <w:rFonts w:ascii="Arial" w:hAnsi="Arial" w:cs="Arial"/>
            <w:b w:val="0"/>
            <w:bCs w:val="0"/>
            <w:noProof/>
            <w:webHidden/>
            <w:sz w:val="20"/>
            <w:szCs w:val="20"/>
          </w:rPr>
          <w:fldChar w:fldCharType="end"/>
        </w:r>
      </w:hyperlink>
    </w:p>
    <w:p w14:paraId="29A7768E" w14:textId="41867D00"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86" w:history="1">
        <w:r w:rsidRPr="00965159">
          <w:rPr>
            <w:rStyle w:val="affff5"/>
            <w:rFonts w:ascii="Arial" w:hAnsi="Arial" w:cs="Arial"/>
            <w:b w:val="0"/>
            <w:bCs w:val="0"/>
            <w:noProof/>
            <w:sz w:val="20"/>
            <w:szCs w:val="20"/>
            <w:lang w:val="en-GB"/>
          </w:rPr>
          <w:t xml:space="preserve">Figure </w:t>
        </w:r>
        <w:r w:rsidR="00F27CBB">
          <w:rPr>
            <w:rStyle w:val="affff5"/>
            <w:rFonts w:ascii="Arial" w:hAnsi="Arial" w:cs="Arial"/>
            <w:b w:val="0"/>
            <w:bCs w:val="0"/>
            <w:noProof/>
            <w:sz w:val="20"/>
            <w:szCs w:val="20"/>
            <w:lang w:val="en-GB"/>
          </w:rPr>
          <w:t>2</w:t>
        </w:r>
        <w:r w:rsidRPr="00965159">
          <w:rPr>
            <w:rStyle w:val="affff5"/>
            <w:rFonts w:ascii="Arial" w:hAnsi="Arial" w:cs="Arial"/>
            <w:b w:val="0"/>
            <w:bCs w:val="0"/>
            <w:noProof/>
            <w:sz w:val="20"/>
            <w:szCs w:val="20"/>
            <w:lang w:val="en-GB"/>
          </w:rPr>
          <w:t>. Summary of existing additionality tests</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_Toc214986986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25</w:t>
        </w:r>
        <w:r w:rsidRPr="00965159">
          <w:rPr>
            <w:rFonts w:ascii="Arial" w:hAnsi="Arial" w:cs="Arial"/>
            <w:b w:val="0"/>
            <w:bCs w:val="0"/>
            <w:noProof/>
            <w:webHidden/>
            <w:sz w:val="20"/>
            <w:szCs w:val="20"/>
          </w:rPr>
          <w:fldChar w:fldCharType="end"/>
        </w:r>
      </w:hyperlink>
    </w:p>
    <w:p w14:paraId="187BEB0C" w14:textId="58F18CA0"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87" w:history="1">
        <w:r w:rsidRPr="00965159">
          <w:rPr>
            <w:rStyle w:val="affff5"/>
            <w:rFonts w:ascii="Arial" w:hAnsi="Arial" w:cs="Arial"/>
            <w:b w:val="0"/>
            <w:bCs w:val="0"/>
            <w:noProof/>
            <w:sz w:val="20"/>
            <w:szCs w:val="20"/>
            <w:lang w:val="en-GB"/>
          </w:rPr>
          <w:t xml:space="preserve">Figure </w:t>
        </w:r>
        <w:r w:rsidR="00F27CBB">
          <w:rPr>
            <w:rStyle w:val="affff5"/>
            <w:rFonts w:ascii="Arial" w:hAnsi="Arial" w:cs="Arial"/>
            <w:b w:val="0"/>
            <w:bCs w:val="0"/>
            <w:noProof/>
            <w:sz w:val="20"/>
            <w:szCs w:val="20"/>
            <w:lang w:val="en-GB"/>
          </w:rPr>
          <w:t>3</w:t>
        </w:r>
        <w:r w:rsidRPr="00965159">
          <w:rPr>
            <w:rStyle w:val="affff5"/>
            <w:rFonts w:ascii="Arial" w:hAnsi="Arial" w:cs="Arial"/>
            <w:b w:val="0"/>
            <w:bCs w:val="0"/>
            <w:noProof/>
            <w:sz w:val="20"/>
            <w:szCs w:val="20"/>
            <w:lang w:val="en-GB"/>
          </w:rPr>
          <w:t>. Comparison of the existing regime and the proposed regime</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_Toc214986987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26</w:t>
        </w:r>
        <w:r w:rsidRPr="00965159">
          <w:rPr>
            <w:rFonts w:ascii="Arial" w:hAnsi="Arial" w:cs="Arial"/>
            <w:b w:val="0"/>
            <w:bCs w:val="0"/>
            <w:noProof/>
            <w:webHidden/>
            <w:sz w:val="20"/>
            <w:szCs w:val="20"/>
          </w:rPr>
          <w:fldChar w:fldCharType="end"/>
        </w:r>
      </w:hyperlink>
    </w:p>
    <w:p w14:paraId="64F4ED72" w14:textId="11459619"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88" w:history="1">
        <w:r w:rsidRPr="00965159">
          <w:rPr>
            <w:rStyle w:val="affff5"/>
            <w:rFonts w:ascii="Arial" w:hAnsi="Arial" w:cs="Arial"/>
            <w:b w:val="0"/>
            <w:bCs w:val="0"/>
            <w:noProof/>
            <w:sz w:val="20"/>
            <w:szCs w:val="20"/>
            <w:lang w:val="en-GB"/>
          </w:rPr>
          <w:t xml:space="preserve">Figure </w:t>
        </w:r>
        <w:r w:rsidR="00F27CBB">
          <w:rPr>
            <w:rStyle w:val="affff5"/>
            <w:rFonts w:ascii="Arial" w:hAnsi="Arial" w:cs="Arial"/>
            <w:b w:val="0"/>
            <w:bCs w:val="0"/>
            <w:noProof/>
            <w:sz w:val="20"/>
            <w:szCs w:val="20"/>
            <w:lang w:val="en-GB"/>
          </w:rPr>
          <w:t>4</w:t>
        </w:r>
        <w:r w:rsidRPr="00965159">
          <w:rPr>
            <w:rStyle w:val="affff5"/>
            <w:rFonts w:ascii="Arial" w:hAnsi="Arial" w:cs="Arial"/>
            <w:b w:val="0"/>
            <w:bCs w:val="0"/>
            <w:noProof/>
            <w:sz w:val="20"/>
            <w:szCs w:val="20"/>
            <w:lang w:val="en-GB"/>
          </w:rPr>
          <w:t>. Histograms of key characteristics for the CDM’s wind projects in China</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_Toc214986988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27</w:t>
        </w:r>
        <w:r w:rsidRPr="00965159">
          <w:rPr>
            <w:rFonts w:ascii="Arial" w:hAnsi="Arial" w:cs="Arial"/>
            <w:b w:val="0"/>
            <w:bCs w:val="0"/>
            <w:noProof/>
            <w:webHidden/>
            <w:sz w:val="20"/>
            <w:szCs w:val="20"/>
          </w:rPr>
          <w:fldChar w:fldCharType="end"/>
        </w:r>
      </w:hyperlink>
    </w:p>
    <w:p w14:paraId="23461033" w14:textId="3B90824D"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89" w:history="1">
        <w:r w:rsidRPr="00965159">
          <w:rPr>
            <w:rStyle w:val="affff5"/>
            <w:rFonts w:ascii="Arial" w:hAnsi="Arial" w:cs="Arial"/>
            <w:b w:val="0"/>
            <w:bCs w:val="0"/>
            <w:noProof/>
            <w:sz w:val="20"/>
            <w:szCs w:val="20"/>
            <w:lang w:val="en-GB"/>
          </w:rPr>
          <w:t xml:space="preserve">Figure </w:t>
        </w:r>
        <w:r w:rsidR="00F27CBB">
          <w:rPr>
            <w:rStyle w:val="affff5"/>
            <w:rFonts w:ascii="Arial" w:hAnsi="Arial" w:cs="Arial"/>
            <w:b w:val="0"/>
            <w:bCs w:val="0"/>
            <w:noProof/>
            <w:sz w:val="20"/>
            <w:szCs w:val="20"/>
            <w:lang w:val="en-GB"/>
          </w:rPr>
          <w:t>5</w:t>
        </w:r>
        <w:r w:rsidRPr="00965159">
          <w:rPr>
            <w:rStyle w:val="affff5"/>
            <w:rFonts w:ascii="Arial" w:hAnsi="Arial" w:cs="Arial"/>
            <w:b w:val="0"/>
            <w:bCs w:val="0"/>
            <w:noProof/>
            <w:sz w:val="20"/>
            <w:szCs w:val="20"/>
            <w:lang w:val="en-GB"/>
          </w:rPr>
          <w:t>. Correlogram of key parameters for the CDM’s wind projects in China</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_Toc214986989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28</w:t>
        </w:r>
        <w:r w:rsidRPr="00965159">
          <w:rPr>
            <w:rFonts w:ascii="Arial" w:hAnsi="Arial" w:cs="Arial"/>
            <w:b w:val="0"/>
            <w:bCs w:val="0"/>
            <w:noProof/>
            <w:webHidden/>
            <w:sz w:val="20"/>
            <w:szCs w:val="20"/>
          </w:rPr>
          <w:fldChar w:fldCharType="end"/>
        </w:r>
      </w:hyperlink>
    </w:p>
    <w:p w14:paraId="51E82993" w14:textId="03B9EB48"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90" w:history="1">
        <w:r w:rsidRPr="00965159">
          <w:rPr>
            <w:rStyle w:val="affff5"/>
            <w:rFonts w:ascii="Arial" w:hAnsi="Arial" w:cs="Arial"/>
            <w:b w:val="0"/>
            <w:bCs w:val="0"/>
            <w:noProof/>
            <w:sz w:val="20"/>
            <w:szCs w:val="20"/>
            <w:lang w:val="en-GB"/>
          </w:rPr>
          <w:t xml:space="preserve">Figure </w:t>
        </w:r>
        <w:r w:rsidR="00F27CBB">
          <w:rPr>
            <w:rStyle w:val="affff5"/>
            <w:rFonts w:ascii="Arial" w:hAnsi="Arial" w:cs="Arial"/>
            <w:b w:val="0"/>
            <w:bCs w:val="0"/>
            <w:noProof/>
            <w:sz w:val="20"/>
            <w:szCs w:val="20"/>
            <w:lang w:val="en-GB"/>
          </w:rPr>
          <w:t>6</w:t>
        </w:r>
        <w:r w:rsidRPr="00965159">
          <w:rPr>
            <w:rStyle w:val="affff5"/>
            <w:rFonts w:ascii="Arial" w:hAnsi="Arial" w:cs="Arial"/>
            <w:b w:val="0"/>
            <w:bCs w:val="0"/>
            <w:noProof/>
            <w:sz w:val="20"/>
            <w:szCs w:val="20"/>
            <w:lang w:val="en-GB"/>
          </w:rPr>
          <w:t>. Comparison of observed and actual IRRs without and with credit revenues</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_Toc214986990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29</w:t>
        </w:r>
        <w:r w:rsidRPr="00965159">
          <w:rPr>
            <w:rFonts w:ascii="Arial" w:hAnsi="Arial" w:cs="Arial"/>
            <w:b w:val="0"/>
            <w:bCs w:val="0"/>
            <w:noProof/>
            <w:webHidden/>
            <w:sz w:val="20"/>
            <w:szCs w:val="20"/>
          </w:rPr>
          <w:fldChar w:fldCharType="end"/>
        </w:r>
      </w:hyperlink>
    </w:p>
    <w:p w14:paraId="528FDD52" w14:textId="74B998C0"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91" w:history="1">
        <w:r w:rsidRPr="00965159">
          <w:rPr>
            <w:rStyle w:val="affff5"/>
            <w:rFonts w:ascii="Arial" w:hAnsi="Arial" w:cs="Arial"/>
            <w:b w:val="0"/>
            <w:bCs w:val="0"/>
            <w:noProof/>
            <w:sz w:val="20"/>
            <w:szCs w:val="20"/>
            <w:lang w:val="en-GB"/>
          </w:rPr>
          <w:t xml:space="preserve">Figure </w:t>
        </w:r>
        <w:r w:rsidR="00F27CBB">
          <w:rPr>
            <w:rStyle w:val="affff5"/>
            <w:rFonts w:ascii="Arial" w:hAnsi="Arial" w:cs="Arial"/>
            <w:b w:val="0"/>
            <w:bCs w:val="0"/>
            <w:noProof/>
            <w:sz w:val="20"/>
            <w:szCs w:val="20"/>
            <w:lang w:val="en-GB"/>
          </w:rPr>
          <w:t>7</w:t>
        </w:r>
        <w:r w:rsidRPr="00965159">
          <w:rPr>
            <w:rStyle w:val="affff5"/>
            <w:rFonts w:ascii="Arial" w:hAnsi="Arial" w:cs="Arial"/>
            <w:b w:val="0"/>
            <w:bCs w:val="0"/>
            <w:noProof/>
            <w:sz w:val="20"/>
            <w:szCs w:val="20"/>
            <w:lang w:val="en-GB"/>
          </w:rPr>
          <w:t>. Different levels of regulatory quality and project outcomes under the current regime</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_Toc214986991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30</w:t>
        </w:r>
        <w:r w:rsidRPr="00965159">
          <w:rPr>
            <w:rFonts w:ascii="Arial" w:hAnsi="Arial" w:cs="Arial"/>
            <w:b w:val="0"/>
            <w:bCs w:val="0"/>
            <w:noProof/>
            <w:webHidden/>
            <w:sz w:val="20"/>
            <w:szCs w:val="20"/>
          </w:rPr>
          <w:fldChar w:fldCharType="end"/>
        </w:r>
      </w:hyperlink>
    </w:p>
    <w:p w14:paraId="742A625C" w14:textId="40C59D37" w:rsidR="007A1FBB" w:rsidRPr="00D16AB0" w:rsidRDefault="007A1FBB" w:rsidP="00831DBC">
      <w:pPr>
        <w:pStyle w:val="TOC1"/>
        <w:tabs>
          <w:tab w:val="right" w:leader="dot" w:pos="9350"/>
        </w:tabs>
        <w:spacing w:before="0" w:line="276" w:lineRule="auto"/>
        <w:rPr>
          <w:rFonts w:ascii="Arial" w:hAnsi="Arial" w:cs="Arial"/>
          <w:b w:val="0"/>
          <w:bCs w:val="0"/>
          <w:i w:val="0"/>
          <w:iCs w:val="0"/>
          <w:noProof/>
          <w:kern w:val="2"/>
          <w:sz w:val="21"/>
          <w:szCs w:val="21"/>
          <w:lang w:eastAsia="zh-CN"/>
          <w14:ligatures w14:val="standardContextual"/>
        </w:rPr>
      </w:pPr>
      <w:hyperlink w:anchor="_Toc214986992" w:history="1">
        <w:r w:rsidRPr="00D16AB0">
          <w:rPr>
            <w:rStyle w:val="affff5"/>
            <w:rFonts w:ascii="Arial" w:hAnsi="Arial" w:cs="Arial"/>
            <w:b w:val="0"/>
            <w:bCs w:val="0"/>
            <w:noProof/>
            <w:sz w:val="21"/>
            <w:szCs w:val="21"/>
            <w:lang w:val="en-GB"/>
          </w:rPr>
          <w:t>Tables</w:t>
        </w:r>
        <w:r w:rsidRPr="00D16AB0">
          <w:rPr>
            <w:rFonts w:ascii="Arial" w:hAnsi="Arial" w:cs="Arial"/>
            <w:b w:val="0"/>
            <w:bCs w:val="0"/>
            <w:noProof/>
            <w:webHidden/>
            <w:sz w:val="21"/>
            <w:szCs w:val="21"/>
          </w:rPr>
          <w:tab/>
        </w:r>
        <w:r w:rsidRPr="00D16AB0">
          <w:rPr>
            <w:rFonts w:ascii="Arial" w:hAnsi="Arial" w:cs="Arial"/>
            <w:b w:val="0"/>
            <w:bCs w:val="0"/>
            <w:noProof/>
            <w:webHidden/>
            <w:sz w:val="21"/>
            <w:szCs w:val="21"/>
          </w:rPr>
          <w:fldChar w:fldCharType="begin"/>
        </w:r>
        <w:r w:rsidRPr="00D16AB0">
          <w:rPr>
            <w:rFonts w:ascii="Arial" w:hAnsi="Arial" w:cs="Arial"/>
            <w:b w:val="0"/>
            <w:bCs w:val="0"/>
            <w:noProof/>
            <w:webHidden/>
            <w:sz w:val="21"/>
            <w:szCs w:val="21"/>
          </w:rPr>
          <w:instrText xml:space="preserve"> PAGEREF _Toc214986992 \h </w:instrText>
        </w:r>
        <w:r w:rsidRPr="00D16AB0">
          <w:rPr>
            <w:rFonts w:ascii="Arial" w:hAnsi="Arial" w:cs="Arial"/>
            <w:b w:val="0"/>
            <w:bCs w:val="0"/>
            <w:noProof/>
            <w:webHidden/>
            <w:sz w:val="21"/>
            <w:szCs w:val="21"/>
          </w:rPr>
        </w:r>
        <w:r w:rsidRPr="00D16AB0">
          <w:rPr>
            <w:rFonts w:ascii="Arial" w:hAnsi="Arial" w:cs="Arial"/>
            <w:b w:val="0"/>
            <w:bCs w:val="0"/>
            <w:noProof/>
            <w:webHidden/>
            <w:sz w:val="21"/>
            <w:szCs w:val="21"/>
          </w:rPr>
          <w:fldChar w:fldCharType="separate"/>
        </w:r>
        <w:r w:rsidR="00490D2B">
          <w:rPr>
            <w:rFonts w:ascii="Arial" w:hAnsi="Arial" w:cs="Arial"/>
            <w:b w:val="0"/>
            <w:bCs w:val="0"/>
            <w:noProof/>
            <w:webHidden/>
            <w:sz w:val="21"/>
            <w:szCs w:val="21"/>
          </w:rPr>
          <w:t>31</w:t>
        </w:r>
        <w:r w:rsidRPr="00D16AB0">
          <w:rPr>
            <w:rFonts w:ascii="Arial" w:hAnsi="Arial" w:cs="Arial"/>
            <w:b w:val="0"/>
            <w:bCs w:val="0"/>
            <w:noProof/>
            <w:webHidden/>
            <w:sz w:val="21"/>
            <w:szCs w:val="21"/>
          </w:rPr>
          <w:fldChar w:fldCharType="end"/>
        </w:r>
      </w:hyperlink>
    </w:p>
    <w:p w14:paraId="190C5FE1" w14:textId="77EBF777"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93" w:history="1">
        <w:r w:rsidRPr="00965159">
          <w:rPr>
            <w:rStyle w:val="affff5"/>
            <w:rFonts w:ascii="Arial" w:hAnsi="Arial" w:cs="Arial"/>
            <w:b w:val="0"/>
            <w:bCs w:val="0"/>
            <w:noProof/>
            <w:sz w:val="20"/>
            <w:szCs w:val="20"/>
            <w:lang w:val="en-GB"/>
          </w:rPr>
          <w:t xml:space="preserve">Table </w:t>
        </w:r>
        <w:r w:rsidR="00F27CBB">
          <w:rPr>
            <w:rStyle w:val="affff5"/>
            <w:rFonts w:ascii="Arial" w:hAnsi="Arial" w:cs="Arial"/>
            <w:b w:val="0"/>
            <w:bCs w:val="0"/>
            <w:noProof/>
            <w:sz w:val="20"/>
            <w:szCs w:val="20"/>
            <w:lang w:val="en-GB"/>
          </w:rPr>
          <w:t>1</w:t>
        </w:r>
        <w:r w:rsidRPr="00965159">
          <w:rPr>
            <w:rStyle w:val="affff5"/>
            <w:rFonts w:ascii="Arial" w:hAnsi="Arial" w:cs="Arial"/>
            <w:b w:val="0"/>
            <w:bCs w:val="0"/>
            <w:noProof/>
            <w:sz w:val="20"/>
            <w:szCs w:val="20"/>
            <w:lang w:val="en-GB"/>
          </w:rPr>
          <w:t>. Symbol and description of model parameters</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_Toc214986993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31</w:t>
        </w:r>
        <w:r w:rsidRPr="00965159">
          <w:rPr>
            <w:rFonts w:ascii="Arial" w:hAnsi="Arial" w:cs="Arial"/>
            <w:b w:val="0"/>
            <w:bCs w:val="0"/>
            <w:noProof/>
            <w:webHidden/>
            <w:sz w:val="20"/>
            <w:szCs w:val="20"/>
          </w:rPr>
          <w:fldChar w:fldCharType="end"/>
        </w:r>
      </w:hyperlink>
    </w:p>
    <w:p w14:paraId="0AC70957" w14:textId="2D6C9CA5"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94" w:history="1">
        <w:r w:rsidRPr="00965159">
          <w:rPr>
            <w:rStyle w:val="affff5"/>
            <w:rFonts w:ascii="Arial" w:hAnsi="Arial" w:cs="Arial"/>
            <w:b w:val="0"/>
            <w:bCs w:val="0"/>
            <w:noProof/>
            <w:sz w:val="20"/>
            <w:szCs w:val="20"/>
            <w:lang w:val="en-GB"/>
          </w:rPr>
          <w:t xml:space="preserve">Table </w:t>
        </w:r>
        <w:r w:rsidR="00F27CBB">
          <w:rPr>
            <w:rStyle w:val="affff5"/>
            <w:rFonts w:ascii="Arial" w:hAnsi="Arial" w:cs="Arial"/>
            <w:b w:val="0"/>
            <w:bCs w:val="0"/>
            <w:noProof/>
            <w:sz w:val="20"/>
            <w:szCs w:val="20"/>
            <w:lang w:val="en-GB"/>
          </w:rPr>
          <w:t>2</w:t>
        </w:r>
        <w:r w:rsidRPr="00965159">
          <w:rPr>
            <w:rStyle w:val="affff5"/>
            <w:rFonts w:ascii="Arial" w:hAnsi="Arial" w:cs="Arial"/>
            <w:b w:val="0"/>
            <w:bCs w:val="0"/>
            <w:noProof/>
            <w:sz w:val="20"/>
            <w:szCs w:val="20"/>
            <w:lang w:val="en-GB"/>
          </w:rPr>
          <w:t>. The categories of cases under the current and proposed regimes</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_Toc214986994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32</w:t>
        </w:r>
        <w:r w:rsidRPr="00965159">
          <w:rPr>
            <w:rFonts w:ascii="Arial" w:hAnsi="Arial" w:cs="Arial"/>
            <w:b w:val="0"/>
            <w:bCs w:val="0"/>
            <w:noProof/>
            <w:webHidden/>
            <w:sz w:val="20"/>
            <w:szCs w:val="20"/>
          </w:rPr>
          <w:fldChar w:fldCharType="end"/>
        </w:r>
      </w:hyperlink>
    </w:p>
    <w:p w14:paraId="10BE16D7" w14:textId="46ABA922"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95" w:history="1">
        <w:r w:rsidRPr="00965159">
          <w:rPr>
            <w:rStyle w:val="affff5"/>
            <w:rFonts w:ascii="Arial" w:hAnsi="Arial" w:cs="Arial"/>
            <w:b w:val="0"/>
            <w:bCs w:val="0"/>
            <w:noProof/>
            <w:sz w:val="20"/>
            <w:szCs w:val="20"/>
            <w:lang w:val="en-GB"/>
          </w:rPr>
          <w:t xml:space="preserve">Table </w:t>
        </w:r>
        <w:r w:rsidR="00F27CBB">
          <w:rPr>
            <w:rStyle w:val="affff5"/>
            <w:rFonts w:ascii="Arial" w:hAnsi="Arial" w:cs="Arial"/>
            <w:b w:val="0"/>
            <w:bCs w:val="0"/>
            <w:noProof/>
            <w:sz w:val="20"/>
            <w:szCs w:val="20"/>
            <w:lang w:val="en-GB"/>
          </w:rPr>
          <w:t>3</w:t>
        </w:r>
        <w:r w:rsidRPr="00965159">
          <w:rPr>
            <w:rStyle w:val="affff5"/>
            <w:rFonts w:ascii="Arial" w:hAnsi="Arial" w:cs="Arial"/>
            <w:b w:val="0"/>
            <w:bCs w:val="0"/>
            <w:noProof/>
            <w:sz w:val="20"/>
            <w:szCs w:val="20"/>
            <w:lang w:val="en-GB"/>
          </w:rPr>
          <w:t>. The summary statistics of categorical variables in CDM Pipeline database</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_Toc214986995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33</w:t>
        </w:r>
        <w:r w:rsidRPr="00965159">
          <w:rPr>
            <w:rFonts w:ascii="Arial" w:hAnsi="Arial" w:cs="Arial"/>
            <w:b w:val="0"/>
            <w:bCs w:val="0"/>
            <w:noProof/>
            <w:webHidden/>
            <w:sz w:val="20"/>
            <w:szCs w:val="20"/>
          </w:rPr>
          <w:fldChar w:fldCharType="end"/>
        </w:r>
      </w:hyperlink>
    </w:p>
    <w:p w14:paraId="677EED7A" w14:textId="0C4C50A2"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96" w:history="1">
        <w:r w:rsidRPr="00965159">
          <w:rPr>
            <w:rStyle w:val="affff5"/>
            <w:rFonts w:ascii="Arial" w:hAnsi="Arial" w:cs="Arial"/>
            <w:b w:val="0"/>
            <w:bCs w:val="0"/>
            <w:noProof/>
            <w:sz w:val="20"/>
            <w:szCs w:val="20"/>
            <w:lang w:val="en-GB"/>
          </w:rPr>
          <w:t xml:space="preserve">Table </w:t>
        </w:r>
        <w:r w:rsidR="00F27CBB">
          <w:rPr>
            <w:rStyle w:val="affff5"/>
            <w:rFonts w:ascii="Arial" w:hAnsi="Arial" w:cs="Arial"/>
            <w:b w:val="0"/>
            <w:bCs w:val="0"/>
            <w:noProof/>
            <w:sz w:val="20"/>
            <w:szCs w:val="20"/>
            <w:lang w:val="en-GB"/>
          </w:rPr>
          <w:t>4</w:t>
        </w:r>
        <w:r w:rsidRPr="00965159">
          <w:rPr>
            <w:rStyle w:val="affff5"/>
            <w:rFonts w:ascii="Arial" w:hAnsi="Arial" w:cs="Arial"/>
            <w:b w:val="0"/>
            <w:bCs w:val="0"/>
            <w:noProof/>
            <w:sz w:val="20"/>
            <w:szCs w:val="20"/>
            <w:lang w:val="en-GB"/>
          </w:rPr>
          <w:t xml:space="preserve">. The summary statistics of </w:t>
        </w:r>
        <w:r w:rsidR="00490D2B">
          <w:rPr>
            <w:rStyle w:val="affff5"/>
            <w:rFonts w:ascii="Arial" w:hAnsi="Arial" w:cs="Arial"/>
            <w:b w:val="0"/>
            <w:bCs w:val="0"/>
            <w:noProof/>
            <w:sz w:val="20"/>
            <w:szCs w:val="20"/>
            <w:lang w:val="en-GB"/>
          </w:rPr>
          <w:t>numerical</w:t>
        </w:r>
        <w:r w:rsidRPr="00965159">
          <w:rPr>
            <w:rStyle w:val="affff5"/>
            <w:rFonts w:ascii="Arial" w:hAnsi="Arial" w:cs="Arial"/>
            <w:b w:val="0"/>
            <w:bCs w:val="0"/>
            <w:noProof/>
            <w:sz w:val="20"/>
            <w:szCs w:val="20"/>
            <w:lang w:val="en-GB"/>
          </w:rPr>
          <w:t xml:space="preserve"> variables in CDM Pipeline database</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_Toc214986996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34</w:t>
        </w:r>
        <w:r w:rsidRPr="00965159">
          <w:rPr>
            <w:rFonts w:ascii="Arial" w:hAnsi="Arial" w:cs="Arial"/>
            <w:b w:val="0"/>
            <w:bCs w:val="0"/>
            <w:noProof/>
            <w:webHidden/>
            <w:sz w:val="20"/>
            <w:szCs w:val="20"/>
          </w:rPr>
          <w:fldChar w:fldCharType="end"/>
        </w:r>
      </w:hyperlink>
    </w:p>
    <w:p w14:paraId="0B694414" w14:textId="3E15B047"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97" w:history="1">
        <w:r w:rsidRPr="00965159">
          <w:rPr>
            <w:rStyle w:val="affff5"/>
            <w:rFonts w:ascii="Arial" w:hAnsi="Arial" w:cs="Arial"/>
            <w:b w:val="0"/>
            <w:bCs w:val="0"/>
            <w:noProof/>
            <w:sz w:val="20"/>
            <w:szCs w:val="20"/>
            <w:lang w:val="en-GB"/>
          </w:rPr>
          <w:t xml:space="preserve">Table </w:t>
        </w:r>
        <w:r w:rsidR="00F27CBB">
          <w:rPr>
            <w:rStyle w:val="affff5"/>
            <w:rFonts w:ascii="Arial" w:hAnsi="Arial" w:cs="Arial"/>
            <w:b w:val="0"/>
            <w:bCs w:val="0"/>
            <w:noProof/>
            <w:sz w:val="20"/>
            <w:szCs w:val="20"/>
            <w:lang w:val="en-GB"/>
          </w:rPr>
          <w:t>5</w:t>
        </w:r>
        <w:r w:rsidRPr="00965159">
          <w:rPr>
            <w:rStyle w:val="affff5"/>
            <w:rFonts w:ascii="Arial" w:hAnsi="Arial" w:cs="Arial"/>
            <w:b w:val="0"/>
            <w:bCs w:val="0"/>
            <w:noProof/>
            <w:sz w:val="20"/>
            <w:szCs w:val="20"/>
            <w:lang w:val="en-GB"/>
          </w:rPr>
          <w:t>. The summary statistics of important variables in voluntary registry offset database</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_Toc214986997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35</w:t>
        </w:r>
        <w:r w:rsidRPr="00965159">
          <w:rPr>
            <w:rFonts w:ascii="Arial" w:hAnsi="Arial" w:cs="Arial"/>
            <w:b w:val="0"/>
            <w:bCs w:val="0"/>
            <w:noProof/>
            <w:webHidden/>
            <w:sz w:val="20"/>
            <w:szCs w:val="20"/>
          </w:rPr>
          <w:fldChar w:fldCharType="end"/>
        </w:r>
      </w:hyperlink>
    </w:p>
    <w:p w14:paraId="6065762D" w14:textId="7F63E657"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98" w:history="1">
        <w:r w:rsidRPr="00965159">
          <w:rPr>
            <w:rStyle w:val="affff5"/>
            <w:rFonts w:ascii="Arial" w:hAnsi="Arial" w:cs="Arial"/>
            <w:b w:val="0"/>
            <w:bCs w:val="0"/>
            <w:noProof/>
            <w:sz w:val="20"/>
            <w:szCs w:val="20"/>
            <w:lang w:val="en-GB"/>
          </w:rPr>
          <w:t xml:space="preserve">Table </w:t>
        </w:r>
        <w:r w:rsidR="00F27CBB">
          <w:rPr>
            <w:rStyle w:val="affff5"/>
            <w:rFonts w:ascii="Arial" w:hAnsi="Arial" w:cs="Arial"/>
            <w:b w:val="0"/>
            <w:bCs w:val="0"/>
            <w:noProof/>
            <w:sz w:val="20"/>
            <w:szCs w:val="20"/>
            <w:lang w:val="en-GB"/>
          </w:rPr>
          <w:t>6</w:t>
        </w:r>
        <w:r w:rsidRPr="00965159">
          <w:rPr>
            <w:rStyle w:val="affff5"/>
            <w:rFonts w:ascii="Arial" w:hAnsi="Arial" w:cs="Arial"/>
            <w:b w:val="0"/>
            <w:bCs w:val="0"/>
            <w:noProof/>
            <w:sz w:val="20"/>
            <w:szCs w:val="20"/>
            <w:lang w:val="en-GB"/>
          </w:rPr>
          <w:t>. The distribution and number of benchmark IRR by host country and project type</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_Toc214986998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36</w:t>
        </w:r>
        <w:r w:rsidRPr="00965159">
          <w:rPr>
            <w:rFonts w:ascii="Arial" w:hAnsi="Arial" w:cs="Arial"/>
            <w:b w:val="0"/>
            <w:bCs w:val="0"/>
            <w:noProof/>
            <w:webHidden/>
            <w:sz w:val="20"/>
            <w:szCs w:val="20"/>
          </w:rPr>
          <w:fldChar w:fldCharType="end"/>
        </w:r>
      </w:hyperlink>
    </w:p>
    <w:p w14:paraId="2F737E0E" w14:textId="32D57F1F"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6999" w:history="1">
        <w:r w:rsidRPr="00965159">
          <w:rPr>
            <w:rStyle w:val="affff5"/>
            <w:rFonts w:ascii="Arial" w:hAnsi="Arial" w:cs="Arial"/>
            <w:b w:val="0"/>
            <w:bCs w:val="0"/>
            <w:noProof/>
            <w:sz w:val="20"/>
            <w:szCs w:val="20"/>
            <w:lang w:val="en-GB"/>
          </w:rPr>
          <w:t xml:space="preserve">Table </w:t>
        </w:r>
        <w:r w:rsidR="00F27CBB">
          <w:rPr>
            <w:rStyle w:val="affff5"/>
            <w:rFonts w:ascii="Arial" w:hAnsi="Arial" w:cs="Arial"/>
            <w:b w:val="0"/>
            <w:bCs w:val="0"/>
            <w:noProof/>
            <w:sz w:val="20"/>
            <w:szCs w:val="20"/>
            <w:lang w:val="en-GB"/>
          </w:rPr>
          <w:t>7</w:t>
        </w:r>
        <w:r w:rsidRPr="00965159">
          <w:rPr>
            <w:rStyle w:val="affff5"/>
            <w:rFonts w:ascii="Arial" w:hAnsi="Arial" w:cs="Arial"/>
            <w:b w:val="0"/>
            <w:bCs w:val="0"/>
            <w:noProof/>
            <w:sz w:val="20"/>
            <w:szCs w:val="20"/>
            <w:lang w:val="en-GB"/>
          </w:rPr>
          <w:t>. The number of CDM projects and registration rate by host country and project type</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_Toc214986999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37</w:t>
        </w:r>
        <w:r w:rsidRPr="00965159">
          <w:rPr>
            <w:rFonts w:ascii="Arial" w:hAnsi="Arial" w:cs="Arial"/>
            <w:b w:val="0"/>
            <w:bCs w:val="0"/>
            <w:noProof/>
            <w:webHidden/>
            <w:sz w:val="20"/>
            <w:szCs w:val="20"/>
          </w:rPr>
          <w:fldChar w:fldCharType="end"/>
        </w:r>
      </w:hyperlink>
    </w:p>
    <w:p w14:paraId="7CB7B387" w14:textId="4F48580B" w:rsidR="007A1FBB" w:rsidRPr="00965159" w:rsidRDefault="007A1FBB" w:rsidP="00831DBC">
      <w:pPr>
        <w:pStyle w:val="TOC2"/>
        <w:tabs>
          <w:tab w:val="right" w:leader="dot" w:pos="9350"/>
        </w:tabs>
        <w:spacing w:before="0" w:line="276" w:lineRule="auto"/>
        <w:rPr>
          <w:rFonts w:ascii="Arial" w:hAnsi="Arial" w:cs="Arial"/>
          <w:b w:val="0"/>
          <w:bCs w:val="0"/>
          <w:noProof/>
          <w:kern w:val="2"/>
          <w:sz w:val="20"/>
          <w:szCs w:val="20"/>
          <w:lang w:eastAsia="zh-CN"/>
          <w14:ligatures w14:val="standardContextual"/>
        </w:rPr>
      </w:pPr>
      <w:hyperlink w:anchor="_Toc214987000" w:history="1">
        <w:r w:rsidRPr="00965159">
          <w:rPr>
            <w:rStyle w:val="affff5"/>
            <w:rFonts w:ascii="Arial" w:hAnsi="Arial" w:cs="Arial"/>
            <w:b w:val="0"/>
            <w:bCs w:val="0"/>
            <w:noProof/>
            <w:sz w:val="20"/>
            <w:szCs w:val="20"/>
            <w:lang w:val="en-GB"/>
          </w:rPr>
          <w:t xml:space="preserve">Table </w:t>
        </w:r>
        <w:r w:rsidR="00F27CBB">
          <w:rPr>
            <w:rStyle w:val="affff5"/>
            <w:rFonts w:ascii="Arial" w:hAnsi="Arial" w:cs="Arial"/>
            <w:b w:val="0"/>
            <w:bCs w:val="0"/>
            <w:noProof/>
            <w:sz w:val="20"/>
            <w:szCs w:val="20"/>
            <w:lang w:val="en-GB"/>
          </w:rPr>
          <w:t>8</w:t>
        </w:r>
        <w:r w:rsidRPr="00965159">
          <w:rPr>
            <w:rStyle w:val="affff5"/>
            <w:rFonts w:ascii="Arial" w:hAnsi="Arial" w:cs="Arial"/>
            <w:b w:val="0"/>
            <w:bCs w:val="0"/>
            <w:noProof/>
            <w:sz w:val="20"/>
            <w:szCs w:val="20"/>
            <w:lang w:val="en-GB"/>
          </w:rPr>
          <w:t>. The number of VCM projects and registration rates by host country and project type</w:t>
        </w:r>
        <w:r w:rsidRPr="00965159">
          <w:rPr>
            <w:rFonts w:ascii="Arial" w:hAnsi="Arial" w:cs="Arial"/>
            <w:b w:val="0"/>
            <w:bCs w:val="0"/>
            <w:noProof/>
            <w:webHidden/>
            <w:sz w:val="20"/>
            <w:szCs w:val="20"/>
          </w:rPr>
          <w:tab/>
        </w:r>
        <w:r w:rsidRPr="00965159">
          <w:rPr>
            <w:rFonts w:ascii="Arial" w:hAnsi="Arial" w:cs="Arial"/>
            <w:b w:val="0"/>
            <w:bCs w:val="0"/>
            <w:noProof/>
            <w:webHidden/>
            <w:sz w:val="20"/>
            <w:szCs w:val="20"/>
          </w:rPr>
          <w:fldChar w:fldCharType="begin"/>
        </w:r>
        <w:r w:rsidRPr="00965159">
          <w:rPr>
            <w:rFonts w:ascii="Arial" w:hAnsi="Arial" w:cs="Arial"/>
            <w:b w:val="0"/>
            <w:bCs w:val="0"/>
            <w:noProof/>
            <w:webHidden/>
            <w:sz w:val="20"/>
            <w:szCs w:val="20"/>
          </w:rPr>
          <w:instrText xml:space="preserve"> PAGEREF _Toc214987000 \h </w:instrText>
        </w:r>
        <w:r w:rsidRPr="00965159">
          <w:rPr>
            <w:rFonts w:ascii="Arial" w:hAnsi="Arial" w:cs="Arial"/>
            <w:b w:val="0"/>
            <w:bCs w:val="0"/>
            <w:noProof/>
            <w:webHidden/>
            <w:sz w:val="20"/>
            <w:szCs w:val="20"/>
          </w:rPr>
        </w:r>
        <w:r w:rsidRPr="00965159">
          <w:rPr>
            <w:rFonts w:ascii="Arial" w:hAnsi="Arial" w:cs="Arial"/>
            <w:b w:val="0"/>
            <w:bCs w:val="0"/>
            <w:noProof/>
            <w:webHidden/>
            <w:sz w:val="20"/>
            <w:szCs w:val="20"/>
          </w:rPr>
          <w:fldChar w:fldCharType="separate"/>
        </w:r>
        <w:r w:rsidR="00490D2B">
          <w:rPr>
            <w:rFonts w:ascii="Arial" w:hAnsi="Arial" w:cs="Arial"/>
            <w:b w:val="0"/>
            <w:bCs w:val="0"/>
            <w:noProof/>
            <w:webHidden/>
            <w:sz w:val="20"/>
            <w:szCs w:val="20"/>
          </w:rPr>
          <w:t>38</w:t>
        </w:r>
        <w:r w:rsidRPr="00965159">
          <w:rPr>
            <w:rFonts w:ascii="Arial" w:hAnsi="Arial" w:cs="Arial"/>
            <w:b w:val="0"/>
            <w:bCs w:val="0"/>
            <w:noProof/>
            <w:webHidden/>
            <w:sz w:val="20"/>
            <w:szCs w:val="20"/>
          </w:rPr>
          <w:fldChar w:fldCharType="end"/>
        </w:r>
      </w:hyperlink>
    </w:p>
    <w:p w14:paraId="5251DA34" w14:textId="77777777" w:rsidR="001146FB" w:rsidRDefault="007A1FBB" w:rsidP="001146FB">
      <w:pPr>
        <w:pStyle w:val="SMText"/>
        <w:ind w:firstLine="0"/>
        <w:rPr>
          <w:rFonts w:ascii="Arial" w:hAnsi="Arial" w:cs="Arial"/>
          <w:sz w:val="21"/>
          <w:szCs w:val="21"/>
          <w:highlight w:val="lightGray"/>
          <w:lang w:val="en-GB"/>
        </w:rPr>
      </w:pPr>
      <w:r w:rsidRPr="00D16AB0">
        <w:rPr>
          <w:rFonts w:ascii="Arial" w:hAnsi="Arial" w:cs="Arial"/>
          <w:b/>
          <w:bCs/>
          <w:iCs/>
          <w:sz w:val="21"/>
          <w:szCs w:val="21"/>
          <w:lang w:eastAsia="zh-CN"/>
        </w:rPr>
        <w:fldChar w:fldCharType="end"/>
      </w:r>
      <w:bookmarkStart w:id="1" w:name="_Toc214982025"/>
      <w:bookmarkStart w:id="2" w:name="_Toc214984249"/>
      <w:bookmarkStart w:id="3" w:name="_Toc214984275"/>
      <w:bookmarkStart w:id="4" w:name="_Toc214984829"/>
      <w:bookmarkStart w:id="5" w:name="_Toc214985817"/>
      <w:bookmarkStart w:id="6" w:name="_Toc214986959"/>
    </w:p>
    <w:p w14:paraId="3A923A73" w14:textId="77777777" w:rsidR="001146FB" w:rsidRDefault="001146FB">
      <w:pPr>
        <w:rPr>
          <w:rFonts w:ascii="Arial" w:hAnsi="Arial" w:cs="Arial"/>
          <w:b/>
          <w:bCs/>
          <w:kern w:val="32"/>
          <w:sz w:val="21"/>
          <w:szCs w:val="21"/>
          <w:highlight w:val="lightGray"/>
          <w:lang w:val="en-GB"/>
        </w:rPr>
      </w:pPr>
      <w:r>
        <w:rPr>
          <w:rFonts w:ascii="Arial" w:hAnsi="Arial" w:cs="Arial"/>
          <w:sz w:val="21"/>
          <w:szCs w:val="21"/>
          <w:highlight w:val="lightGray"/>
          <w:lang w:val="en-GB"/>
        </w:rPr>
        <w:br w:type="page"/>
      </w:r>
    </w:p>
    <w:p w14:paraId="3E029552" w14:textId="72F74233" w:rsidR="00CD0E25" w:rsidRPr="00D16AB0" w:rsidRDefault="008D324B" w:rsidP="005B39B8">
      <w:pPr>
        <w:pStyle w:val="SMHeading"/>
        <w:numPr>
          <w:ilvl w:val="0"/>
          <w:numId w:val="25"/>
        </w:numPr>
        <w:spacing w:beforeLines="50" w:before="120" w:afterLines="50" w:after="120" w:line="276" w:lineRule="auto"/>
        <w:rPr>
          <w:rFonts w:ascii="Arial" w:hAnsi="Arial" w:cs="Arial"/>
          <w:sz w:val="21"/>
          <w:szCs w:val="21"/>
          <w:lang w:val="en-GB"/>
        </w:rPr>
      </w:pPr>
      <w:r w:rsidRPr="00D16AB0">
        <w:rPr>
          <w:rFonts w:ascii="Arial" w:hAnsi="Arial" w:cs="Arial"/>
          <w:sz w:val="21"/>
          <w:szCs w:val="21"/>
          <w:lang w:val="en-GB"/>
        </w:rPr>
        <w:lastRenderedPageBreak/>
        <w:t>Policy Review</w:t>
      </w:r>
      <w:bookmarkEnd w:id="1"/>
      <w:bookmarkEnd w:id="2"/>
      <w:bookmarkEnd w:id="3"/>
      <w:bookmarkEnd w:id="4"/>
      <w:bookmarkEnd w:id="5"/>
      <w:bookmarkEnd w:id="6"/>
    </w:p>
    <w:p w14:paraId="333549D7" w14:textId="609C6044" w:rsidR="000C1502" w:rsidRPr="00D16AB0" w:rsidRDefault="00594701" w:rsidP="008D27E1">
      <w:pPr>
        <w:pStyle w:val="SMText"/>
        <w:spacing w:beforeLines="50" w:before="120" w:afterLines="50" w:after="120" w:line="276" w:lineRule="auto"/>
        <w:ind w:firstLine="0"/>
        <w:rPr>
          <w:rFonts w:ascii="Arial" w:hAnsi="Arial" w:cs="Arial"/>
          <w:sz w:val="21"/>
          <w:szCs w:val="21"/>
          <w:lang w:val="en-GB" w:eastAsia="zh-CN"/>
        </w:rPr>
      </w:pPr>
      <w:bookmarkStart w:id="7" w:name="_Toc214984830"/>
      <w:r w:rsidRPr="00D16AB0">
        <w:rPr>
          <w:rFonts w:ascii="Arial" w:hAnsi="Arial" w:cs="Arial"/>
          <w:sz w:val="21"/>
          <w:szCs w:val="21"/>
          <w:lang w:val="en-GB"/>
        </w:rPr>
        <w:t>In this section, we review the background of the carbon offset mechanism, certification regimes of main carbon offset registries, and existing additionality tests.</w:t>
      </w:r>
      <w:bookmarkEnd w:id="7"/>
    </w:p>
    <w:p w14:paraId="5FD02B2F" w14:textId="298360B8" w:rsidR="00E65EB3" w:rsidRPr="00D16AB0" w:rsidRDefault="00591E2D"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8" w:name="_Toc214984831"/>
      <w:bookmarkStart w:id="9" w:name="_Toc214985818"/>
      <w:bookmarkStart w:id="10" w:name="_Toc214986960"/>
      <w:r w:rsidRPr="00D16AB0">
        <w:rPr>
          <w:rFonts w:ascii="Arial" w:hAnsi="Arial" w:cs="Arial"/>
          <w:b/>
          <w:bCs/>
          <w:sz w:val="21"/>
          <w:szCs w:val="21"/>
          <w:u w:val="none"/>
          <w:lang w:val="en-GB"/>
        </w:rPr>
        <w:t>Background</w:t>
      </w:r>
      <w:bookmarkEnd w:id="8"/>
      <w:bookmarkEnd w:id="9"/>
      <w:bookmarkEnd w:id="10"/>
    </w:p>
    <w:p w14:paraId="08CAAD74" w14:textId="67360F53" w:rsidR="005D088E" w:rsidRPr="00D16AB0" w:rsidRDefault="00005521" w:rsidP="00770FCB">
      <w:pPr>
        <w:pStyle w:val="SMText"/>
        <w:spacing w:beforeLines="50" w:before="120" w:afterLines="50" w:after="120" w:line="276" w:lineRule="auto"/>
        <w:ind w:firstLine="0"/>
        <w:rPr>
          <w:rFonts w:ascii="Arial" w:hAnsi="Arial" w:cs="Arial"/>
          <w:sz w:val="21"/>
          <w:szCs w:val="21"/>
          <w:lang w:val="en-GB"/>
        </w:rPr>
      </w:pPr>
      <w:bookmarkStart w:id="11" w:name="_Toc214984832"/>
      <w:r w:rsidRPr="00D16AB0">
        <w:rPr>
          <w:rFonts w:ascii="Arial" w:hAnsi="Arial" w:cs="Arial"/>
          <w:sz w:val="21"/>
          <w:szCs w:val="21"/>
          <w:lang w:val="en-GB"/>
        </w:rPr>
        <w:t>Carbon offset credits have been a tool to mitigate global climate change over the past two decades. Different from cap-and-trade markets that exchange emissions allowances between polluters, offset markets entail the transfer of credits from clean projects (i.e., carbon emissions reduction</w:t>
      </w:r>
      <w:r w:rsidR="00DE0B63" w:rsidRPr="00D16AB0">
        <w:rPr>
          <w:rFonts w:ascii="Arial" w:hAnsi="Arial" w:cs="Arial"/>
          <w:sz w:val="21"/>
          <w:szCs w:val="21"/>
          <w:lang w:val="en-GB"/>
        </w:rPr>
        <w:t xml:space="preserve"> and </w:t>
      </w:r>
      <w:r w:rsidRPr="00D16AB0">
        <w:rPr>
          <w:rFonts w:ascii="Arial" w:hAnsi="Arial" w:cs="Arial"/>
          <w:sz w:val="21"/>
          <w:szCs w:val="21"/>
          <w:lang w:val="en-GB"/>
        </w:rPr>
        <w:t xml:space="preserve">removal) that compensate for, or offset, emissions by </w:t>
      </w:r>
      <w:r w:rsidR="004C18E0" w:rsidRPr="00D16AB0">
        <w:rPr>
          <w:rFonts w:ascii="Arial" w:hAnsi="Arial" w:cs="Arial"/>
          <w:sz w:val="21"/>
          <w:szCs w:val="21"/>
          <w:lang w:val="en-GB"/>
        </w:rPr>
        <w:t>polluters</w:t>
      </w:r>
      <w:r w:rsidR="004C18E0" w:rsidRPr="00D16AB0">
        <w:rPr>
          <w:rFonts w:ascii="Arial" w:hAnsi="Arial" w:cs="Arial"/>
          <w:sz w:val="21"/>
          <w:szCs w:val="21"/>
          <w:vertAlign w:val="superscript"/>
          <w:lang w:val="en-GB"/>
        </w:rPr>
        <w:fldChar w:fldCharType="begin"/>
      </w:r>
      <w:r w:rsidR="001A6C96" w:rsidRPr="00D16AB0">
        <w:rPr>
          <w:rFonts w:ascii="Arial" w:hAnsi="Arial" w:cs="Arial"/>
          <w:sz w:val="21"/>
          <w:szCs w:val="21"/>
          <w:vertAlign w:val="superscript"/>
          <w:lang w:val="en-GB"/>
        </w:rPr>
        <w:instrText xml:space="preserve"> ADDIN ZOTERO_ITEM CSL_CITATION {"citationID":"dB3l0M6h","properties":{"formattedCitation":"\\super 1\\nosupersub{}","plainCitation":"1","noteIndex":0},"citationItems":[{"id":"ZthMjOpd/VNrBP54k","uris":["http://zotero.org/users/9291085/items/AYSSZJZ9"],"itemData":{"id":1513,"type":"article-journal","container-title":"Scientific American","ISSN":"0036-8733","issue":"6","note":"publisher: Scientific American, a division of Nature America, Inc.","page":"70-77","source":"JSTOR","title":"Making Carbon Markets Work","volume":"297","author":[{"family":"Victor","given":"David G."},{"family":"Cullenward","given":"Danny"}],"issued":{"date-parts":[["2007"]]}}}],"schema":"https://github.com/citation-style-language/schema/raw/master/csl-citation.json"} </w:instrText>
      </w:r>
      <w:r w:rsidR="004C18E0" w:rsidRPr="00D16AB0">
        <w:rPr>
          <w:rFonts w:ascii="Arial" w:hAnsi="Arial" w:cs="Arial"/>
          <w:sz w:val="21"/>
          <w:szCs w:val="21"/>
          <w:vertAlign w:val="superscript"/>
          <w:lang w:val="en-GB"/>
        </w:rPr>
        <w:fldChar w:fldCharType="separate"/>
      </w:r>
      <w:r w:rsidR="001A6C96" w:rsidRPr="00D16AB0">
        <w:rPr>
          <w:rFonts w:ascii="Arial" w:hAnsi="Arial" w:cs="Arial"/>
          <w:sz w:val="21"/>
          <w:szCs w:val="21"/>
          <w:vertAlign w:val="superscript"/>
          <w:lang w:val="en-GB"/>
        </w:rPr>
        <w:t>1</w:t>
      </w:r>
      <w:r w:rsidR="004C18E0" w:rsidRPr="00D16AB0">
        <w:rPr>
          <w:rFonts w:ascii="Arial" w:hAnsi="Arial" w:cs="Arial"/>
          <w:sz w:val="21"/>
          <w:szCs w:val="21"/>
          <w:vertAlign w:val="superscript"/>
          <w:lang w:val="en-GB"/>
        </w:rPr>
        <w:fldChar w:fldCharType="end"/>
      </w:r>
      <w:r w:rsidR="004C18E0" w:rsidRPr="00D16AB0">
        <w:rPr>
          <w:rFonts w:ascii="Arial" w:hAnsi="Arial" w:cs="Arial"/>
          <w:sz w:val="21"/>
          <w:szCs w:val="21"/>
          <w:lang w:val="en-GB"/>
        </w:rPr>
        <w:t>.</w:t>
      </w:r>
      <w:bookmarkEnd w:id="11"/>
    </w:p>
    <w:p w14:paraId="0F84BDF3" w14:textId="6BB1046A" w:rsidR="00E3228F" w:rsidRPr="00D16AB0" w:rsidRDefault="00B01B1B"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 xml:space="preserve">There are two main types of carbon offset programmes in terms of regulatory framework, participation requirements, and objectives. Compliance programmes are run by international or governmental regulatory bodies, for example, the Clean Development Mechanism (CDM) of the 1997 Kyoto Protocol. To fulfil legally mandated obligations, participating countries or entities must adhere to the established ‘baseline-and-credit’ rules and cap-and-trade </w:t>
      </w:r>
      <w:r w:rsidR="00F07E49" w:rsidRPr="00D16AB0">
        <w:rPr>
          <w:rFonts w:ascii="Arial" w:hAnsi="Arial" w:cs="Arial"/>
          <w:sz w:val="21"/>
          <w:szCs w:val="21"/>
          <w:lang w:val="en-GB"/>
        </w:rPr>
        <w:t>systems</w:t>
      </w:r>
      <w:r w:rsidR="00F07E49" w:rsidRPr="00D16AB0">
        <w:rPr>
          <w:rFonts w:ascii="Arial" w:hAnsi="Arial" w:cs="Arial"/>
          <w:sz w:val="21"/>
          <w:szCs w:val="21"/>
          <w:vertAlign w:val="superscript"/>
          <w:lang w:val="en-GB"/>
        </w:rPr>
        <w:fldChar w:fldCharType="begin"/>
      </w:r>
      <w:r w:rsidR="001A6C96" w:rsidRPr="00D16AB0">
        <w:rPr>
          <w:rFonts w:ascii="Arial" w:hAnsi="Arial" w:cs="Arial"/>
          <w:sz w:val="21"/>
          <w:szCs w:val="21"/>
          <w:vertAlign w:val="superscript"/>
          <w:lang w:val="en-GB"/>
        </w:rPr>
        <w:instrText xml:space="preserve"> ADDIN ZOTERO_ITEM CSL_CITATION {"citationID":"a2fv25segqg","properties":{"formattedCitation":"\\super 2\\nosupersub{}","plainCitation":"2","noteIndex":0},"citationItems":[{"id":3571,"uris":["http://zotero.org/groups/4647276/items/AGK3U2Y8"],"itemData":{"id":3571,"type":"article-journal","abstract":"Over the past two decades, the emergence of multiple carbon market segments has led to fragmentation of governance of international carbon markets. International baseline-and-credit systems for greenhouse gas mitigation have been repeatedly expected to wither away, but show significant resilience. Still, Parties to the Paris Agreement have struggled to finalize rules for market-based cooperation under Article 6, which are still being negotiated. Generally, there is tension between international top-down and bottom-up governance. The former was pioneered through the Clean Development Mechanism under the Kyoto Protocol and is likely to be utilized for the Article 6.4 mechanism, while the latter was used for the first track of Joint Implementation and will be applied for Article 6.2. Voluntary carbon markets governed bottom-up and outside the Kyoto Protocol by private institutions have recently gained importance by offering complementary project types and methodological approaches. The clear intention of some Parties to use market-based cooperation in order to reach their nationally determined contributions to the Paris Agreement have led to an ongoing process of navigating the alignment of these fragmented carbon market instruments with the implementation of nationally determined contributions and Paris Agreement’s governance architecture. We discuss emerging features of international carbon market governance in the public and private domain, including political and technical issues. Fragmented governance is characterized by different degrees of transparency, centralization, and scales. We assess the crunch issues in the Article 6 negotiations through the lens of these governance features and their effectiveness, focusing on governance principles and their operationalization to ensure environmental integrity and avoid double counting.","container-title":"Politics and Governance","DOI":"10.17645/pag.v10i1.4759","ISSN":"2183-2463","issue":"1","language":"eng","license":"info:eu-repo/semantics/openAccess","note":"number: 1\npublisher: Cogitatio Press","page":"4759","source":"www.zora.uzh.ch","title":"Governance of fragmented compliance and voluntary carbon markets under the Paris Agreement","volume":"10","author":[{"family":"Ahonen","given":"Hanna-Mari"},{"family":"Kessler","given":"Juliana"},{"family":"Michaelowa","given":"Axel"},{"family":"Espelage","given":"Aglaja"},{"family":"Hoch","given":"Stephan"}],"issued":{"date-parts":[["2022",3,17]]}}}],"schema":"https://github.com/citation-style-language/schema/raw/master/csl-citation.json"} </w:instrText>
      </w:r>
      <w:r w:rsidR="00F07E49" w:rsidRPr="00D16AB0">
        <w:rPr>
          <w:rFonts w:ascii="Arial" w:hAnsi="Arial" w:cs="Arial"/>
          <w:sz w:val="21"/>
          <w:szCs w:val="21"/>
          <w:vertAlign w:val="superscript"/>
          <w:lang w:val="en-GB"/>
        </w:rPr>
        <w:fldChar w:fldCharType="separate"/>
      </w:r>
      <w:r w:rsidR="001A6C96" w:rsidRPr="00D16AB0">
        <w:rPr>
          <w:rFonts w:ascii="Arial" w:hAnsi="Arial" w:cs="Arial"/>
          <w:sz w:val="21"/>
          <w:szCs w:val="21"/>
          <w:vertAlign w:val="superscript"/>
          <w:lang w:val="en-GB"/>
        </w:rPr>
        <w:t>2</w:t>
      </w:r>
      <w:r w:rsidR="00F07E49" w:rsidRPr="00D16AB0">
        <w:rPr>
          <w:rFonts w:ascii="Arial" w:hAnsi="Arial" w:cs="Arial"/>
          <w:sz w:val="21"/>
          <w:szCs w:val="21"/>
          <w:vertAlign w:val="superscript"/>
          <w:lang w:val="en-GB"/>
        </w:rPr>
        <w:fldChar w:fldCharType="end"/>
      </w:r>
      <w:r w:rsidRPr="00D16AB0">
        <w:rPr>
          <w:rFonts w:ascii="Arial" w:hAnsi="Arial" w:cs="Arial"/>
          <w:sz w:val="21"/>
          <w:szCs w:val="21"/>
          <w:lang w:val="en-GB"/>
        </w:rPr>
        <w:t xml:space="preserve">, as exemplified by the European Union Emissions Trading System (EU ETS), China ETS, California Cap-and-Trade Program, and Regional Greenhouse Gas Initiative (RGGI) in the United States (US). In contrast, voluntary programmes are run by independent non-governmental organizations (NGOs), including the Verified Carbon Standard (VCS) initiated in 2005 and re-named as Verra now, the Gold Standard (GS) created by Worldwide Fund for Nature (WWF) in 2006, the American Carbon Registry (ACR) as the first private voluntary greenhouse gas (GHG) registry founded in 1996 and re-branded in 2008, and the Climate Action Reserve (CAR) established in </w:t>
      </w:r>
      <w:r w:rsidR="00233C47" w:rsidRPr="00D16AB0">
        <w:rPr>
          <w:rFonts w:ascii="Arial" w:hAnsi="Arial" w:cs="Arial"/>
          <w:sz w:val="21"/>
          <w:szCs w:val="21"/>
          <w:lang w:val="en-GB"/>
        </w:rPr>
        <w:t>2001</w:t>
      </w:r>
      <w:r w:rsidR="00233C47"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{"citationID":"a1dieireh6g","properties":{"unsorted":false,"formattedCitation":"\\super 3\\uc0\\u8211{}5\\nosupersub{}","plainCitation":"3–5","noteIndex":0},"citationItems":[{"id":2794,"uris":["http://zotero.org/groups/4647276/items/NIQTGZ5U"],"itemData":{"id":2794,"type":"document","abstract":"Carbon offset credits are not a simple commodity. As with many products whose quality is difficult for casual buyers to assess, standard-setting organizations have been established to provide quality assurance for carbon offsets. These carbon offset programs[1] range from international...","language":"en","publisher":"Greenhouse Gas Management Institute &amp; the Stockholm Environment Institute","title":"Securing climate benefit: A guide to using carbon offsets","URL":"https://www.offsetguide.org/pdf-download/","author":[{"family":"Broekhof","given":"Derik"},{"family":"Gillenwater","given":"Michael"},{"family":"Colbert-Sangree","given":"Tani"},{"family":"Cage","given":"Patrick"}],"accessed":{"date-parts":[["2023",6,13]]},"issued":{"date-parts":[["2019",11,13]]}}},{"id":"ZthMjOpd/nSCpgX4T","uris":["http://zotero.org/users/9291085/items/F8I9QEGN"],"itemData":{"id":"bEu3RGN8/vGKLB437","type":"article-journal","abstract":"This article examines the governance of international carbon offsets, analyzing the political economy of the origins and governance of offsets. We examine how the governance structures of the Kyoto Protocol’s Clean Development Mechanism and unregulated voluntary carbon offsets differ in regulation and in complexity of the chain that links consumers and reducers of carbon, with specific consequences for carbon reductions, development, and the ability to provide “accumulation by decarbonization.” We show how carbon offsets represent capital-accumulation strategies that devolve governance over the atmosphere to supranational and nonstate actors and to the market.","container-title":"Economic Geography","DOI":"10.1111/j.1944-8287.2008.tb00401.x","ISSN":"0013-0095","issue":"2","note":"publisher: Routledge\n_eprint: https://www.tandfonline.com/doi/pdf/10.1111/j.1944-8287.2008.tb00401.x","page":"127-155","source":"Taylor and Francis+NEJM","title":"Accumulation by Decarbonization and the Governance of Carbon Offsets","volume":"84","author":[{"family":"Bumpus","given":"Adam G."},{"family":"Liverman","given":"Diana M."}],"issued":{"date-parts":[["2008",4,1]]}}},{"id":3582,"uris":["http://zotero.org/groups/4647276/items/KUXSB5J7"],"itemData":{"id":3582,"type":"article-journal","abstract":"Carbon offsets are produced and sold under the international climate change regime (the United Nations Kyoto Protocol) and also within an expanding voluntary offset market in which companies and individuals can voluntarily opt to compensate for their greenhouse gas emissions. The volume of carbon produced and consumed within compliance and voluntary markets has grown dramatically in the last 5 years, raising a number of governance challenges. This Focus Article gives an overview of the governance of the compliance and voluntary carbon offset markets, and considers the implications of their different governance structures for addressing climate change. It assesses recent changes in the governance of the voluntary carbon offset market in response to concerns about the credibility and robustness of voluntary carbon offsets. Several voluntary offset standards were launched in 2007–2009, including the Voluntary Carbon Standard and the Gold Standard. National governments have also taken regulatory action on voluntary offsets, notably the UK government who took the controversial decision in early 2009 to endorse only compliance carbon offsets for use in the UK voluntary market. The UK government's attempt to regulate the voluntary offset market provides a useful case through which to explore some of the inherent tensions in effectively governing the carbon offset market. Copyright © 2010 John Wiley &amp; Sons, Ltd. This article is categorized under: Policy and Governance &gt; Private Governance of Climate Change","container-title":"WIREs Climate Change","DOI":"10.1002/wcc.43","ISSN":"1757-7799","issue":"3","language":"en","license":"Copyright © 2010 John Wiley &amp; Sons, Ltd.","note":"_eprint: https://onlinelibrary.wiley.com/doi/pdf/10.1002/wcc.43","page":"353-362","source":"Wiley Online Library","title":"Governing the carbon offset market","volume":"1","author":[{"family":"Lovell","given":"Heather C."}],"issued":{"date-parts":[["2010"]]}}}],"schema":"https://github.com/citation-style-language/schema/raw/master/csl-citation.json"} </w:instrText>
      </w:r>
      <w:r w:rsidR="00233C47"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3–5</w:t>
      </w:r>
      <w:r w:rsidR="00233C47" w:rsidRPr="00D16AB0">
        <w:rPr>
          <w:rFonts w:ascii="Arial" w:hAnsi="Arial" w:cs="Arial"/>
          <w:sz w:val="21"/>
          <w:szCs w:val="21"/>
          <w:lang w:val="en-GB"/>
        </w:rPr>
        <w:fldChar w:fldCharType="end"/>
      </w:r>
      <w:r w:rsidRPr="00D16AB0">
        <w:rPr>
          <w:rFonts w:ascii="Arial" w:hAnsi="Arial" w:cs="Arial"/>
          <w:sz w:val="21"/>
          <w:szCs w:val="21"/>
          <w:lang w:val="en-GB"/>
        </w:rPr>
        <w:t>. Organizations or individuals can choose to offset their emissions as part of broader corporate social responsibility (CSR) efforts or personal initiatives.</w:t>
      </w:r>
    </w:p>
    <w:p w14:paraId="6AAB6D54" w14:textId="0103513F" w:rsidR="001629F9" w:rsidRPr="00D16AB0" w:rsidRDefault="00B01B1B"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 xml:space="preserve">Different voluntary carbon offset registries vary in terms of methodology, scope, geographical reach and alignment with compliance systems. The GS was designed to set a higher bar for voluntary offsets and emphasized the co-benefits, not limited to climate mitigation, under the framework of the United Nations’ sustainable development goals (SDGs). Each verified GS project is required to align with GS </w:t>
      </w:r>
      <w:r w:rsidR="00B53D9F" w:rsidRPr="00D16AB0">
        <w:rPr>
          <w:rFonts w:ascii="Arial" w:hAnsi="Arial" w:cs="Arial"/>
          <w:sz w:val="21"/>
          <w:szCs w:val="21"/>
          <w:lang w:val="en-GB"/>
        </w:rPr>
        <w:t>methodologies</w:t>
      </w:r>
      <w:r w:rsidR="00B53D9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{"citationID":"a1d969nd0qh","properties":{"formattedCitation":"\\super 6\\nosupersub{}","plainCitation":"6","noteIndex":0},"citationItems":[{"id":3557,"uris":["http://zotero.org/groups/4647276/items/PFUJG2HC"],"itemData":{"id":3557,"type":"webpage","abstract":"The certification process under Gold Standard for the Global Goals is set-up to help you design your project for maximum positive impact. The application of conservative and considered methodologies ensures accurate quantification of impact, a unique approach to stakeholder inclusivity helps support long term project success, and the assurance process uses approved third-party validation and verification bodies (VVBs) to audit the projects and ensure verified impacts - resulting in high quality projects with credible claims that can attract premium prices.  Click here to download the step-by-step certification process.","container-title":"Gold Standard","language":"en","title":"Certification Process Step-by-Step","URL":"https://www.goldstandard.org/publications/certification-process-stepbystep","accessed":{"date-parts":[["2024",12,25]]}}}],"schema":"https://github.com/citation-style-language/schema/raw/master/csl-citation.json"} </w:instrText>
      </w:r>
      <w:r w:rsidR="00B53D9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w:t>
      </w:r>
      <w:r w:rsidR="00B53D9F" w:rsidRPr="00D16AB0">
        <w:rPr>
          <w:rFonts w:ascii="Arial" w:hAnsi="Arial" w:cs="Arial"/>
          <w:sz w:val="21"/>
          <w:szCs w:val="21"/>
          <w:lang w:val="en-GB"/>
        </w:rPr>
        <w:fldChar w:fldCharType="end"/>
      </w:r>
      <w:r w:rsidRPr="00D16AB0">
        <w:rPr>
          <w:rFonts w:ascii="Arial" w:hAnsi="Arial" w:cs="Arial"/>
          <w:sz w:val="21"/>
          <w:szCs w:val="21"/>
          <w:lang w:val="en-GB"/>
        </w:rPr>
        <w:t xml:space="preserve"> and contribute to at least three of the </w:t>
      </w:r>
      <w:r w:rsidR="00B53D9F" w:rsidRPr="00D16AB0">
        <w:rPr>
          <w:rFonts w:ascii="Arial" w:hAnsi="Arial" w:cs="Arial"/>
          <w:sz w:val="21"/>
          <w:szCs w:val="21"/>
          <w:lang w:val="en-GB"/>
        </w:rPr>
        <w:t>SDGs</w:t>
      </w:r>
      <w:r w:rsidR="00B53D9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{"citationID":"a2be4t5584k","properties":{"formattedCitation":"\\super 7\\nosupersub{}","plainCitation":"7","noteIndex":0},"citationItems":[{"id":3579,"uris":["http://zotero.org/groups/4647276/items/GVS9AIZV"],"itemData":{"id":3579,"type":"webpage","abstract":"Gold Standard Marketplace","container-title":"Gold Standard Marketplace","language":"en","title":"Projects","URL":"https://marketplace.goldstandard.org/collections/projects","accessed":{"date-parts":[["2024",12,31]]}}}],"schema":"https://github.com/citation-style-language/schema/raw/master/csl-citation.json"} </w:instrText>
      </w:r>
      <w:r w:rsidR="00B53D9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7</w:t>
      </w:r>
      <w:r w:rsidR="00B53D9F" w:rsidRPr="00D16AB0">
        <w:rPr>
          <w:rFonts w:ascii="Arial" w:hAnsi="Arial" w:cs="Arial"/>
          <w:sz w:val="21"/>
          <w:szCs w:val="21"/>
          <w:lang w:val="en-GB"/>
        </w:rPr>
        <w:fldChar w:fldCharType="end"/>
      </w:r>
      <w:r w:rsidRPr="00D16AB0">
        <w:rPr>
          <w:rFonts w:ascii="Arial" w:hAnsi="Arial" w:cs="Arial"/>
          <w:sz w:val="21"/>
          <w:szCs w:val="21"/>
          <w:lang w:val="en-GB"/>
        </w:rPr>
        <w:t>. Different from the GS, project developers under the Verra can select an applicable methodology under any other approved GHG programme or even propose their own methodologies</w:t>
      </w:r>
      <w:r w:rsidR="00B53D9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{"citationID":"a1bmh8fe7i0","properties":{"formattedCitation":"\\super 8\\nosupersub{}","plainCitation":"8","noteIndex":0},"citationItems":[{"id":3559,"uris":["http://zotero.org/groups/4647276/items/E77X7N3Q"],"itemData":{"id":3559,"type":"webpage","container-title":"Verra","language":"en","title":"Develop a Verified Carbon Standard (VCS) Project","URL":"https://verra.org/programs/verified-carbon-standard/develop-a-vcs-project/","accessed":{"date-parts":[["2024",12,25]]}}}],"schema":"https://github.com/citation-style-language/schema/raw/master/csl-citation.json"} </w:instrText>
      </w:r>
      <w:r w:rsidR="00B53D9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8</w:t>
      </w:r>
      <w:r w:rsidR="00B53D9F" w:rsidRPr="00D16AB0">
        <w:rPr>
          <w:rFonts w:ascii="Arial" w:hAnsi="Arial" w:cs="Arial"/>
          <w:sz w:val="21"/>
          <w:szCs w:val="21"/>
          <w:lang w:val="en-GB"/>
        </w:rPr>
        <w:fldChar w:fldCharType="end"/>
      </w:r>
      <w:r w:rsidRPr="00D16AB0">
        <w:rPr>
          <w:rFonts w:ascii="Arial" w:hAnsi="Arial" w:cs="Arial"/>
          <w:sz w:val="21"/>
          <w:szCs w:val="21"/>
          <w:lang w:val="en-GB"/>
        </w:rPr>
        <w:t xml:space="preserve">. As such, the Verra has covered a broader range of project types across forestry and land use, energy, industrial and transportation sectors globally, including REDD+ (Reducing Emissions from Deforestation and Forest Degradation) and ozone depleting substances (ODS) recovery &amp; </w:t>
      </w:r>
      <w:r w:rsidR="0044066E" w:rsidRPr="00D16AB0">
        <w:rPr>
          <w:rFonts w:ascii="Arial" w:hAnsi="Arial" w:cs="Arial"/>
          <w:sz w:val="21"/>
          <w:szCs w:val="21"/>
          <w:lang w:val="en-GB"/>
        </w:rPr>
        <w:t>destruction</w:t>
      </w:r>
      <w:r w:rsidR="0044066E"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{"citationID":"a2o2hqno1cu","properties":{"formattedCitation":"\\super 9\\nosupersub{}","plainCitation":"9","noteIndex":0},"citationItems":[{"id":3580,"uris":["http://zotero.org/groups/4647276/items/I59JJFDG"],"itemData":{"id":3580,"type":"post-weblog","abstract":"ACR pioneers science-based methodologies for activities that reduce and remove greenhouse gas emissions across a broad range of sectors.","container-title":"ACR","language":"en-US","title":"Setting the Bar for Carbon Credit Quality","URL":"https://acrcarbon.org/acr-program/","accessed":{"date-parts":[["2024",12,31]]}}}],"schema":"https://github.com/citation-style-language/schema/raw/master/csl-citation.json"} </w:instrText>
      </w:r>
      <w:r w:rsidR="0044066E"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9</w:t>
      </w:r>
      <w:r w:rsidR="0044066E" w:rsidRPr="00D16AB0">
        <w:rPr>
          <w:rFonts w:ascii="Arial" w:hAnsi="Arial" w:cs="Arial"/>
          <w:sz w:val="21"/>
          <w:szCs w:val="21"/>
          <w:lang w:val="en-GB"/>
        </w:rPr>
        <w:fldChar w:fldCharType="end"/>
      </w:r>
      <w:r w:rsidRPr="00D16AB0">
        <w:rPr>
          <w:rFonts w:ascii="Arial" w:hAnsi="Arial" w:cs="Arial"/>
          <w:sz w:val="21"/>
          <w:szCs w:val="21"/>
          <w:lang w:val="en-GB"/>
        </w:rPr>
        <w:t>; The Verra Registry has also been approved by the California Air Resource Board (ARB) to bridge compliance and voluntary markets since 2014</w:t>
      </w:r>
      <w:r w:rsidR="0044066E"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{"citationID":"a3kue3pgl4","properties":{"formattedCitation":"\\super 10,11\\nosupersub{}","plainCitation":"10,11","noteIndex":0},"citationItems":[{"id":3581,"uris":["http://zotero.org/groups/4647276/items/LUJUNIUA"],"itemData":{"id":3581,"type":"webpage","title":"Offset Project Registries | California Air Resources Board","URL":"https://ww2.arb.ca.gov/our-work/programs/compliance-offset-program/offset-project-registries","accessed":{"date-parts":[["2024",12,31]]}}},{"id":3583,"uris":["http://zotero.org/groups/4647276/items/WS6QADLL"],"itemData":{"id":3583,"type":"webpage","abstract":"As you well know, the eyes of the international carbon community are focused on California as the emissions trading system enabled by AB32 continues to ramp up. With this in mind, we at the VCS are excited to announce that the California Air Resources Board (ARB) has approved the VCS as an Offset Project Registry","container-title":"Verra","language":"en-US","title":"California Here We Come!","URL":"https://verra.org/vcs-approved-as-offset-project-registry-in-california/","accessed":{"date-parts":[["2025",1,1]]},"issued":{"date-parts":[["2014",8,7]]}}}],"schema":"https://github.com/citation-style-language/schema/raw/master/csl-citation.json"} </w:instrText>
      </w:r>
      <w:r w:rsidR="0044066E"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10,11</w:t>
      </w:r>
      <w:r w:rsidR="0044066E" w:rsidRPr="00D16AB0">
        <w:rPr>
          <w:rFonts w:ascii="Arial" w:hAnsi="Arial" w:cs="Arial"/>
          <w:sz w:val="21"/>
          <w:szCs w:val="21"/>
          <w:lang w:val="en-GB"/>
        </w:rPr>
        <w:fldChar w:fldCharType="end"/>
      </w:r>
      <w:r w:rsidRPr="00D16AB0">
        <w:rPr>
          <w:rFonts w:ascii="Arial" w:hAnsi="Arial" w:cs="Arial"/>
          <w:sz w:val="21"/>
          <w:szCs w:val="21"/>
          <w:lang w:val="en-GB"/>
        </w:rPr>
        <w:t>. Besides Verra, ACR and CAR are the other two registries approved by the California ARB, but they focus on carbon offset projects mainly in North America</w:t>
      </w:r>
      <w:r w:rsidR="0044066E"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{"citationID":"anidhbed2t","properties":{"formattedCitation":"\\super 5,10\\nosupersub{}","plainCitation":"5,10","noteIndex":0},"citationItems":[{"id":3582,"uris":["http://zotero.org/groups/4647276/items/KUXSB5J7"],"itemData":{"id":3582,"type":"article-journal","abstract":"Carbon offsets are produced and sold under the international climate change regime (the United Nations Kyoto Protocol) and also within an expanding voluntary offset market in which companies and individuals can voluntarily opt to compensate for their greenhouse gas emissions. The volume of carbon produced and consumed within compliance and voluntary markets has grown dramatically in the last 5 years, raising a number of governance challenges. This Focus Article gives an overview of the governance of the compliance and voluntary carbon offset markets, and considers the implications of their different governance structures for addressing climate change. It assesses recent changes in the governance of the voluntary carbon offset market in response to concerns about the credibility and robustness of voluntary carbon offsets. Several voluntary offset standards were launched in 2007–2009, including the Voluntary Carbon Standard and the Gold Standard. National governments have also taken regulatory action on voluntary offsets, notably the UK government who took the controversial decision in early 2009 to endorse only compliance carbon offsets for use in the UK voluntary market. The UK government's attempt to regulate the voluntary offset market provides a useful case through which to explore some of the inherent tensions in effectively governing the carbon offset market. Copyright © 2010 John Wiley &amp; Sons, Ltd. This article is categorized under: Policy and Governance &gt; Private Governance of Climate Change","container-title":"WIREs Climate Change","DOI":"10.1002/wcc.43","ISSN":"1757-7799","issue":"3","language":"en","license":"Copyright © 2010 John Wiley &amp; Sons, Ltd.","note":"_eprint: https://onlinelibrary.wiley.com/doi/pdf/10.1002/wcc.43","page":"353-362","source":"Wiley Online Library","title":"Governing the carbon offset market","volume":"1","author":[{"family":"Lovell","given":"Heather C."}],"issued":{"date-parts":[["2010"]]}}},{"id":3581,"uris":["http://zotero.org/groups/4647276/items/LUJUNIUA"],"itemData":{"id":3581,"type":"webpage","title":"Offset Project Registries | California Air Resources Board","URL":"https://ww2.arb.ca.gov/our-work/programs/compliance-offset-program/offset-project-registries","accessed":{"date-parts":[["2024",12,31]]}}}],"schema":"https://github.com/citation-style-language/schema/raw/master/csl-citation.json"} </w:instrText>
      </w:r>
      <w:r w:rsidR="0044066E"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5,10</w:t>
      </w:r>
      <w:r w:rsidR="0044066E" w:rsidRPr="00D16AB0">
        <w:rPr>
          <w:rFonts w:ascii="Arial" w:hAnsi="Arial" w:cs="Arial"/>
          <w:sz w:val="21"/>
          <w:szCs w:val="21"/>
          <w:lang w:val="en-GB"/>
        </w:rPr>
        <w:fldChar w:fldCharType="end"/>
      </w:r>
      <w:r w:rsidRPr="00D16AB0">
        <w:rPr>
          <w:rFonts w:ascii="Arial" w:hAnsi="Arial" w:cs="Arial"/>
          <w:sz w:val="21"/>
          <w:szCs w:val="21"/>
          <w:lang w:val="en-GB"/>
        </w:rPr>
        <w:t xml:space="preserve"> and issue offset credits that can be used in the California cap-and-trade programme.</w:t>
      </w:r>
    </w:p>
    <w:p w14:paraId="0DCA753C" w14:textId="77507F3A" w:rsidR="00E14E0E" w:rsidRPr="00D16AB0" w:rsidRDefault="00B01B1B"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Yet one common requirement across both compliance and voluntary programmes is that all carbon offset credits, representing 1 tonne of reduced or removed CO2 or its GHG equivalent, must meet certain quality standards, get verified by a third-party auditor before issuance, and be tracked during transfer and retirement by an independent carbon credit registry</w:t>
      </w:r>
      <w:r w:rsidR="004E797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{"citationID":"agpvdp4cbr","properties":{"unsorted":false,"formattedCitation":"\\super 3\\nosupersub{}","plainCitation":"3","noteIndex":0},"citationItems":[{"id":2794,"uris":["http://zotero.org/groups/4647276/items/NIQTGZ5U"],"itemData":{"id":2794,"type":"document","abstract":"Carbon offset credits are not a simple commodity. As with many products whose quality is difficult for casual buyers to assess, standard-setting organizations have been established to provide quality assurance for carbon offsets. These carbon offset programs[1] range from international...","language":"en","publisher":"Greenhouse Gas Management Institute &amp; the Stockholm Environment Institute","title":"Securing climate benefit: A guide to using carbon offsets","URL":"https://www.offsetguide.org/pdf-download/","author":[{"family":"Broekhof","given":"Derik"},{"family":"Gillenwater","given":"Michael"},{"family":"Colbert-Sangree","given":"Tani"},{"family":"Cage","given":"Patrick"}],"accessed":{"date-parts":[["2023",6,13]]},"issued":{"date-parts":[["2019",11,13]]}}}],"schema":"https://github.com/citation-style-language/schema/raw/master/csl-citation.json"} </w:instrText>
      </w:r>
      <w:r w:rsidR="004E797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w:t>
      </w:r>
      <w:r w:rsidR="004E7978" w:rsidRPr="00D16AB0">
        <w:rPr>
          <w:rFonts w:ascii="Arial" w:hAnsi="Arial" w:cs="Arial"/>
          <w:sz w:val="21"/>
          <w:szCs w:val="21"/>
          <w:lang w:val="en-GB"/>
        </w:rPr>
        <w:fldChar w:fldCharType="end"/>
      </w:r>
      <w:r w:rsidRPr="00D16AB0">
        <w:rPr>
          <w:rFonts w:ascii="Arial" w:hAnsi="Arial" w:cs="Arial"/>
          <w:sz w:val="21"/>
          <w:szCs w:val="21"/>
          <w:lang w:val="en-GB"/>
        </w:rPr>
        <w:t>.</w:t>
      </w:r>
    </w:p>
    <w:p w14:paraId="69CA0071" w14:textId="22E0F454" w:rsidR="001E7D53" w:rsidRPr="00D16AB0" w:rsidRDefault="00B01B1B"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Carbon offsets have experienced two cycles of rapid growth over the last three decades</w:t>
      </w:r>
      <w:r w:rsidR="00935B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{"citationID":"a1sfb310qiu","properties":{"formattedCitation":"\\super 12\\nosupersub{}","plainCitation":"12","noteIndex":0},"citationItems":[{"id":3309,"uris":["http://zotero.org/groups/4647276/items/4K4XMYFG"],"itemData":{"id":3309,"type":"report","event-place":"Oxford","language":"en","page":"1-28","publisher":"Smith School of Enterprise and the Environment","publisher-place":"Oxford","title":"Oxford principles for net zero aligned carbon offsetting (revised 2024)","URL":"https://www.smithschool.ox.ac.uk/sites/default/files/2024-02/Oxford-Principles-for-Net-Zero-Aligned-Carbon-Offsetting-revised-2024.pdf","author":[{"family":"Axelsson","given":"Kaya"},{"family":"Wagner","given":"Audrey"},{"family":"Johnstone","given":"Injy"},{"family":"Allen","given":"Myles"},{"family":"Caldecott","given":"Ben"},{"family":"Eyre","given":"Nick"},{"family":"Fankhauser","given":"Sam"},{"family":"Hale","given":"Thomas"},{"family":"Hepburn","given":"Cameron"},{"family":"Hickey","given":"Conor"},{"family":"Khosla","given":"Radhika"},{"family":"Lezak","given":"Stephen"},{"family":"Mitchell-Larson","given":"Eli"},{"family":"Malhi","given":"Yadvinder"},{"family":"Seddon","given":"Nathalie"},{"family":"Smith","given":"Alison"},{"family":"M. Smith","given":"Stephen"}],"accessed":{"date-parts":[["2024",11,1]]},"issued":{"date-parts":[["2024",2]]}}}],"schema":"https://github.com/citation-style-language/schema/raw/master/csl-citation.json"} </w:instrText>
      </w:r>
      <w:r w:rsidR="00935B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12</w:t>
      </w:r>
      <w:r w:rsidR="00935B68" w:rsidRPr="00D16AB0">
        <w:rPr>
          <w:rFonts w:ascii="Arial" w:hAnsi="Arial" w:cs="Arial"/>
          <w:sz w:val="21"/>
          <w:szCs w:val="21"/>
          <w:lang w:val="en-GB"/>
        </w:rPr>
        <w:fldChar w:fldCharType="end"/>
      </w:r>
      <w:r w:rsidRPr="00D16AB0">
        <w:rPr>
          <w:rFonts w:ascii="Arial" w:hAnsi="Arial" w:cs="Arial"/>
          <w:sz w:val="21"/>
          <w:szCs w:val="21"/>
          <w:lang w:val="en-GB"/>
        </w:rPr>
        <w:t xml:space="preserve">. </w:t>
      </w:r>
      <w:r w:rsidR="00D96680" w:rsidRPr="00D16AB0">
        <w:rPr>
          <w:rFonts w:ascii="Arial" w:hAnsi="Arial" w:cs="Arial"/>
          <w:sz w:val="21"/>
          <w:szCs w:val="21"/>
          <w:lang w:val="en-GB"/>
        </w:rPr>
        <w:t>Figure</w:t>
      </w:r>
      <w:r w:rsidR="00D73554" w:rsidRPr="00D16AB0">
        <w:rPr>
          <w:rFonts w:ascii="Arial" w:hAnsi="Arial" w:cs="Arial"/>
          <w:sz w:val="21"/>
          <w:szCs w:val="21"/>
          <w:lang w:val="en-GB"/>
        </w:rPr>
        <w:t xml:space="preserve"> </w:t>
      </w:r>
      <w:r w:rsidR="00F27CBB">
        <w:rPr>
          <w:rFonts w:ascii="Arial" w:hAnsi="Arial" w:cs="Arial"/>
          <w:sz w:val="21"/>
          <w:szCs w:val="21"/>
          <w:lang w:val="en-GB"/>
        </w:rPr>
        <w:t>1</w:t>
      </w:r>
      <w:r w:rsidR="001F1702" w:rsidRPr="00D16AB0">
        <w:rPr>
          <w:rFonts w:ascii="Arial" w:hAnsi="Arial" w:cs="Arial"/>
          <w:sz w:val="21"/>
          <w:szCs w:val="21"/>
          <w:lang w:val="en-GB"/>
        </w:rPr>
        <w:t xml:space="preserve"> </w:t>
      </w:r>
      <w:r w:rsidR="00577AE3" w:rsidRPr="00D16AB0">
        <w:rPr>
          <w:rFonts w:ascii="Arial" w:hAnsi="Arial" w:cs="Arial"/>
          <w:sz w:val="21"/>
          <w:szCs w:val="21"/>
          <w:lang w:val="en-GB"/>
        </w:rPr>
        <w:t>presents</w:t>
      </w:r>
      <w:r w:rsidR="008357AC" w:rsidRPr="00D16AB0">
        <w:rPr>
          <w:rFonts w:ascii="Arial" w:hAnsi="Arial" w:cs="Arial"/>
          <w:sz w:val="21"/>
          <w:szCs w:val="21"/>
          <w:lang w:val="en-GB"/>
        </w:rPr>
        <w:t xml:space="preserve"> the </w:t>
      </w:r>
      <w:r w:rsidR="0056171D" w:rsidRPr="00D16AB0">
        <w:rPr>
          <w:rFonts w:ascii="Arial" w:hAnsi="Arial" w:cs="Arial"/>
          <w:sz w:val="21"/>
          <w:szCs w:val="21"/>
          <w:lang w:val="en-GB"/>
        </w:rPr>
        <w:t>distribution</w:t>
      </w:r>
      <w:r w:rsidR="00295DF0" w:rsidRPr="00D16AB0">
        <w:rPr>
          <w:rFonts w:ascii="Arial" w:hAnsi="Arial" w:cs="Arial"/>
          <w:sz w:val="21"/>
          <w:szCs w:val="21"/>
          <w:lang w:val="en-GB"/>
        </w:rPr>
        <w:t xml:space="preserve"> of </w:t>
      </w:r>
      <w:r w:rsidR="000200C4" w:rsidRPr="00D16AB0">
        <w:rPr>
          <w:rFonts w:ascii="Arial" w:hAnsi="Arial" w:cs="Arial"/>
          <w:sz w:val="21"/>
          <w:szCs w:val="21"/>
          <w:lang w:val="en-GB"/>
        </w:rPr>
        <w:t>projects and credits</w:t>
      </w:r>
      <w:r w:rsidR="0056171D" w:rsidRPr="00D16AB0">
        <w:rPr>
          <w:rFonts w:ascii="Arial" w:hAnsi="Arial" w:cs="Arial"/>
          <w:sz w:val="21"/>
          <w:szCs w:val="21"/>
          <w:lang w:val="en-GB"/>
        </w:rPr>
        <w:t xml:space="preserve"> </w:t>
      </w:r>
      <w:r w:rsidR="009B751D" w:rsidRPr="00D16AB0">
        <w:rPr>
          <w:rFonts w:ascii="Arial" w:hAnsi="Arial" w:cs="Arial"/>
          <w:sz w:val="21"/>
          <w:szCs w:val="21"/>
          <w:lang w:val="en-GB"/>
        </w:rPr>
        <w:t xml:space="preserve">global </w:t>
      </w:r>
      <w:r w:rsidR="00215B43" w:rsidRPr="00D16AB0">
        <w:rPr>
          <w:rFonts w:ascii="Arial" w:hAnsi="Arial" w:cs="Arial"/>
          <w:sz w:val="21"/>
          <w:szCs w:val="21"/>
          <w:lang w:val="en-GB"/>
        </w:rPr>
        <w:t>carbon offsets market.</w:t>
      </w:r>
      <w:r w:rsidR="00D73554" w:rsidRPr="00D16AB0">
        <w:rPr>
          <w:rFonts w:ascii="Arial" w:hAnsi="Arial" w:cs="Arial"/>
          <w:sz w:val="21"/>
          <w:szCs w:val="21"/>
          <w:lang w:val="en-GB"/>
        </w:rPr>
        <w:t xml:space="preserve"> </w:t>
      </w:r>
      <w:r w:rsidRPr="00D16AB0">
        <w:rPr>
          <w:rFonts w:ascii="Arial" w:hAnsi="Arial" w:cs="Arial"/>
          <w:sz w:val="21"/>
          <w:szCs w:val="21"/>
          <w:lang w:val="en-GB"/>
        </w:rPr>
        <w:t xml:space="preserve">The first boom in the 2000s was driven by the CDM. As the largest compliance offset programme, CDM grew fast </w:t>
      </w:r>
      <w:r w:rsidRPr="00D16AB0">
        <w:rPr>
          <w:rFonts w:ascii="Arial" w:hAnsi="Arial" w:cs="Arial"/>
          <w:sz w:val="21"/>
          <w:szCs w:val="21"/>
          <w:lang w:val="en-GB"/>
        </w:rPr>
        <w:lastRenderedPageBreak/>
        <w:t>between 2005 and 2012</w:t>
      </w:r>
      <w:r w:rsidR="00C8516A" w:rsidRPr="00D16AB0">
        <w:rPr>
          <w:rFonts w:ascii="Arial" w:hAnsi="Arial" w:cs="Arial"/>
          <w:sz w:val="21"/>
          <w:szCs w:val="21"/>
          <w:lang w:val="en-GB"/>
        </w:rPr>
        <w:t>,</w:t>
      </w:r>
      <w:r w:rsidRPr="00D16AB0">
        <w:rPr>
          <w:rFonts w:ascii="Arial" w:hAnsi="Arial" w:cs="Arial"/>
          <w:sz w:val="21"/>
          <w:szCs w:val="21"/>
          <w:lang w:val="en-GB"/>
        </w:rPr>
        <w:t xml:space="preserve"> and the number of issued offset credits called Certified Emissions Reductions (CERs) to clean projects in developing countries has exceeded 1 billion within a few </w:t>
      </w:r>
      <w:r w:rsidR="00935B68" w:rsidRPr="00D16AB0">
        <w:rPr>
          <w:rFonts w:ascii="Arial" w:hAnsi="Arial" w:cs="Arial"/>
          <w:sz w:val="21"/>
          <w:szCs w:val="21"/>
          <w:lang w:val="en-GB"/>
        </w:rPr>
        <w:t>years</w:t>
      </w:r>
      <w:r w:rsidR="00935B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{"citationID":"a222rrloe5m","properties":{"formattedCitation":"\\super 13\\nosupersub{}","plainCitation":"13","noteIndex":0},"citationItems":[{"id":3573,"uris":["http://zotero.org/groups/4647276/items/UIRYQYDY"],"itemData":{"id":3573,"type":"thesis","abstract":"Carbon offsetting has been an institutionalised response to climate change for over a decade. Over this period, climate change has become more severe and calls for climate justice have become increasingly insistent. Yet the normative controversies of carbon offsetting remain unresolved, as debates about the environmental quality, development impacts and ethical implications of carbon offsetting continue. This thesis explores the relationship between morality and carbon offsetting in three domains. First it provides an evaluation of the ethics of offsetting. Second it gives an account of the 'lay normativity' of the market, describing how carbon market actors interpret and act upon issues of moral concern. And third, it explains offsetting's moral economy. First, the thesis examines the moral rationales for and problems of offsetting in order to clarify the bases of criticisms levelled at offsets by researchers concerned about trends in neoliberal environmental governance. In evaluation of the ethics of offsetting, the PhD recognises some limited rationales, but mainly highlights widespread problems including lack of environmental integrity and failure to produce 'sustainable development'. The structure of the market is shown to create opportunities for malpractice and difficulties for reform. Second, building on work in cultural political economy, the research describes carbon offsetting's lay normativity. The account is based on interviews with over sixty carbon offset market actors including project developers, consultants, auditors, regulators, retailers and buyers in the UK, continental Europe, and in India. Findings show that the market is founded on ethical principles: offsetting is nothing without notions of environmental and developmental care. Critiques of, and reforms to, offsetting are also grounded in principled debate. But carbon market actors often use their power to further commercial interests that are not aligned with production of environmental or developmental value. And yet, even as rationales are ignored and problems are amplified, market actors maintain a discursive semblance of moral behaviour through forms of justification, story-telling and identity work. Third, the thesis explains how principles, profit and power combine to affect the governance of offsetting. It shows that the concentration of power among profit-seeking actors drives the production of offsetting's moral problems in the stages of project development, regulation and retail. Commercial interests in the politics of knowledge lead to manipulation of the discursive framings through which people come to understand offsets. Ethical narratives are deployed to sustain the market in states of dysfunction, enabling privileged groups to gain exchange value at the expense of climate protection and sustainable development. Through this explanatory work, the PhD contributes an original application of ideas about moral political economy to the case of climate change and carbon trading, demonstrating that powerful actors can shape culture and alter our perceptions of right and wrong.","genre":"Ph.D.","language":"en","license":"Database copyright ProQuest LLC; ProQuest does not claim copyright in the individual underlying works.","note":"ISBN: 9781073940097","number-of-pages":"18","publisher":"University of Manchester","source":"ProQuest","title":"The moral economy of carbon offsetting: ethics, power and the search for legitimacy in a new market","title-short":"The moral economy of carbon offsetting","URL":"https://www.proquest.com/docview/1947638053/abstract/C9E98E2C81814374PQ/1","author":[{"family":"Watt","given":"Robert"}],"accessed":{"date-parts":[["2024",12,31]]},"issued":{"date-parts":[["2017"]]}}}],"schema":"https://github.com/citation-style-language/schema/raw/master/csl-citation.json"} </w:instrText>
      </w:r>
      <w:r w:rsidR="00935B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13</w:t>
      </w:r>
      <w:r w:rsidR="00935B68" w:rsidRPr="00D16AB0">
        <w:rPr>
          <w:rFonts w:ascii="Arial" w:hAnsi="Arial" w:cs="Arial"/>
          <w:sz w:val="21"/>
          <w:szCs w:val="21"/>
          <w:lang w:val="en-GB"/>
        </w:rPr>
        <w:fldChar w:fldCharType="end"/>
      </w:r>
      <w:r w:rsidRPr="00D16AB0">
        <w:rPr>
          <w:rFonts w:ascii="Arial" w:hAnsi="Arial" w:cs="Arial"/>
          <w:sz w:val="21"/>
          <w:szCs w:val="21"/>
          <w:lang w:val="en-GB"/>
        </w:rPr>
        <w:t>. Yet this momentum faded in the early 2010s as scepticism grew over project quality and additionality</w:t>
      </w:r>
      <w:r w:rsidR="00935B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{"citationID":"a196lnbltma","properties":{"unsorted":true,"formattedCitation":"\\super 14\\uc0\\u8211{}16\\nosupersub{}","plainCitation":"14–16","noteIndex":0},"citationItems":[{"id":4890,"uris":["http://zotero.org/groups/4647276/items/N9VYBI9G"],"itemData":{"id":4890,"type":"article-journal","abstract":"We develop and implement a new method for identifying wasted subsidies and use it to provide systematic evidence of the misallocation of carbon offsets in the Clean Development Mechanism—the world's largest carbon offset program. Using newly constructed data on the locations and characteristics of over 1,000 wind farms in India, we estimate that at least 52 percent of approved carbon offsets were allocated to projects that would very likely have been built anyway. We estimate that the sale of these offsets to regulated polluters resulted in substantially higher global carbon dioxide emissions.(JEL H23, O13, Q42, Q54, Q58)","container-title":"American Economic Journal: Applied Economics","DOI":"10.1257/app.20230052","ISSN":"1945-7782, 1945-7790","issue":"1","journalAbbreviation":"American Economic Journal: Applied Economics","language":"en","page":"1-40","source":"DOI.org (Crossref)","title":"Do carbon offsets offset carbon?","volume":"17","author":[{"family":"Calel","given":"Raphael"},{"family":"Colmer","given":"Jonathan"},{"family":"Dechezleprêtre","given":"Antoine"},{"family":"Glachant","given":"Matthieu"}],"issued":{"date-parts":[["2025",1,1]]}}},{"id":2766,"uris":["http://zotero.org/groups/4647276/items/5GSLR8T7","http://zotero.org/groups/4647276/items/5D3HAUKQ"],"itemData":{"id":2766,"type":"article-journal","abstract":"Carbon offsets are a frequently discussed tool for reducing the costs of an emissions reduction policy. However, offsets have a basic problem stemming from asymmetric information. Sellers of offsets have private information about their opportunity costs, leading to concerns about whether offsets are additional. Non-additional offsets can undermine a cap-and-trade program or, if the government purchases them directly, result in enormous government expenditures. We analyze contracts for carbon sequestration in forests that mitigate the asymmetric information problem. Landowners are offered a menu of two-part contracts that induces them to reveal their type. Under this scheme, the government is able to identify ex post how much additional forest each landowner contributes and minimize ex ante its expenditures on carbon sequestration. To explore the performance of the contracting scheme, we conduct a national-scale simulation using an econometric model of land-use change. The results indicate that for an increase in forest area of 61 million acres, government expenditures are $5.3 billion lower under the contracting approach compared to a uniform subsidy offered to all landowners. This compares to an increase in private opportunity costs of just $110 million dollars under the contracts. Thus, the contracting scheme is preferable from society's perspective.","container-title":"Journal of Environmental Economics and Management","DOI":"10.1016/j.jeem.2013.02.003","ISSN":"0095-0696","issue":"1","journalAbbreviation":"Journal of Environmental Economics and Management","language":"en","page":"1-14","source":"ScienceDirect","title":"The additionality problem with offsets: Optimal contracts for carbon sequestration in forests","title-short":"The additionality problem with offsets","volume":"66","author":[{"family":"Mason","given":"Charles F."},{"family":"Plantinga","given":"Andrew J."}],"issued":{"date-parts":[["2013",7,1]]}}},{"id":2764,"uris":["http://zotero.org/groups/4647276/items/9AG42NB3"],"itemData":{"id":2764,"type":"article-journal","abstract":"The Clean Development Mechanism (CDM) allows industrialized countries to comply with the Kyoto Protocol by using carbon offsets from developing countries. There are two puzzles within this carbon market: additionality (the proposed activity would not have occurred in its absence) and co-benefits (the project has other environmental benefits besides climate mitigation). This paper proposes an econometric approach to evaluate the CDM effect on sulfur dioxide emission reductions and assess its additionality indirectly. Our empirical model is applied to China's emissions at the prefecture level. We found that the CDM does not have a statistically significant effect in lowering sulfur dioxide emissions. This result casts doubt on additionality of these CDM activities, that is, they would have happened anyway.","container-title":"Journal of Environmental Economics and Management","DOI":"10.1016/j.jeem.2011.03.003","ISSN":"0095-0696","issue":"2","journalAbbreviation":"Journal of Environmental Economics and Management","language":"en","page":"140-154","source":"ScienceDirect","title":"Co-benefits and additionality of the Clean Development Mechanism: An empirical analysis","title-short":"Co-benefits and additionality of the clean development mechanism","volume":"62","author":[{"family":"Zhang","given":"Junjie"},{"family":"Wang","given":"Can"}],"issued":{"date-parts":[["2011",9,1]]}}}],"schema":"https://github.com/citation-style-language/schema/raw/master/csl-citation.json"} </w:instrText>
      </w:r>
      <w:r w:rsidR="00935B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14–16</w:t>
      </w:r>
      <w:r w:rsidR="00935B68" w:rsidRPr="00D16AB0">
        <w:rPr>
          <w:rFonts w:ascii="Arial" w:hAnsi="Arial" w:cs="Arial"/>
          <w:sz w:val="21"/>
          <w:szCs w:val="21"/>
          <w:lang w:val="en-GB"/>
        </w:rPr>
        <w:fldChar w:fldCharType="end"/>
      </w:r>
      <w:r w:rsidRPr="00D16AB0">
        <w:rPr>
          <w:rFonts w:ascii="Arial" w:hAnsi="Arial" w:cs="Arial"/>
          <w:sz w:val="21"/>
          <w:szCs w:val="21"/>
          <w:lang w:val="en-GB"/>
        </w:rPr>
        <w:t>. In November 2012, the CDM Registry introduced the voluntary cancellation of CERs and about 13.2 million CERs had been cancelled on the platform by project participants</w:t>
      </w:r>
      <w:r w:rsidR="003A6B7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{"citationID":"a1dj5jagug6","properties":{"formattedCitation":"\\super 17\\nosupersub{}","plainCitation":"17","noteIndex":0},"citationItems":[{"id":3574,"uris":["http://zotero.org/groups/4647276/items/W4VEEAPG"],"itemData":{"id":3574,"type":"webpage","title":"CDM: CDM Registry","URL":"https://cdm.unfccc.int/Registry/index.html","accessed":{"date-parts":[["2024",12,31]]}}}],"schema":"https://github.com/citation-style-language/schema/raw/master/csl-citation.json"} </w:instrText>
      </w:r>
      <w:r w:rsidR="003A6B7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17</w:t>
      </w:r>
      <w:r w:rsidR="003A6B7F" w:rsidRPr="00D16AB0">
        <w:rPr>
          <w:rFonts w:ascii="Arial" w:hAnsi="Arial" w:cs="Arial"/>
          <w:sz w:val="21"/>
          <w:szCs w:val="21"/>
          <w:lang w:val="en-GB"/>
        </w:rPr>
        <w:fldChar w:fldCharType="end"/>
      </w:r>
      <w:r w:rsidRPr="00D16AB0">
        <w:rPr>
          <w:rFonts w:ascii="Arial" w:hAnsi="Arial" w:cs="Arial"/>
          <w:sz w:val="21"/>
          <w:szCs w:val="21"/>
          <w:lang w:val="en-GB"/>
        </w:rPr>
        <w:t xml:space="preserve"> to prevent circulation of non-additional credits as of August 2024. Following the Paris Agreement in 2015 and net zero commitments around 2020, compliance and voluntary carbon markets under the Article 6 of the Agreement rebounded and reached a new </w:t>
      </w:r>
      <w:r w:rsidR="00935B68" w:rsidRPr="00D16AB0">
        <w:rPr>
          <w:rFonts w:ascii="Arial" w:hAnsi="Arial" w:cs="Arial"/>
          <w:sz w:val="21"/>
          <w:szCs w:val="21"/>
          <w:lang w:val="en-GB"/>
        </w:rPr>
        <w:t>peak</w:t>
      </w:r>
      <w:r w:rsidR="00935B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{"citationID":"a22uatsp71k","properties":{"formattedCitation":"\\super 18\\nosupersub{}","plainCitation":"18","noteIndex":0},"citationItems":[{"id":3311,"uris":["http://zotero.org/groups/4647276/items/6HA3KE2V"],"itemData":{"id":3311,"type":"article-journal","abstract":"Efforts to avert dangerous climate change by conserving and restoring natural habitats are hampered by concerns over the credibility of methods used to quantify their long-term impacts. Here we develop a flexible framework for estimating the net social benefit of impermanent nature-based interventions that integrates three substantial advances: (1) conceptualizing the permanence of a project’s impact as its additionality over time; (2) risk-averse estimation of the social cost of future reversals of carbon gains; and (3) post-credit monitoring to correct errors in deliberately pessimistic release forecasts. Our framework generates incentives for safeguarding already credited carbon while enabling would-be investors to make like-for-like comparisons of diverse carbon projects. Preliminary analyses suggest nature-derived credits may be competitively priced even after adjusting for impermanence.","container-title":"Nature Climate Change","DOI":"10.1038/s41558-023-01815-0","ISSN":"1758-6798","issue":"11","language":"en","license":"2023 Springer Nature Limited","note":"publisher: Nature Publishing Group","page":"1172-1178","source":"www.nature.com","title":"Realizing the social value of impermanent carbon credits","volume":"13","author":[{"family":"Balmford","given":"Andrew"},{"family":"Keshav","given":"Srinivasan"},{"family":"Venmans","given":"Frank"},{"family":"Coomes","given":"David"},{"family":"Groom","given":"Ben"},{"family":"Madhavapeddy","given":"Anil"},{"family":"Swinfield","given":"Tom"}],"issued":{"date-parts":[["2023",11]]}}}],"schema":"https://github.com/citation-style-language/schema/raw/master/csl-citation.json"} </w:instrText>
      </w:r>
      <w:r w:rsidR="00935B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18</w:t>
      </w:r>
      <w:r w:rsidR="00935B68" w:rsidRPr="00D16AB0">
        <w:rPr>
          <w:rFonts w:ascii="Arial" w:hAnsi="Arial" w:cs="Arial"/>
          <w:sz w:val="21"/>
          <w:szCs w:val="21"/>
          <w:lang w:val="en-GB"/>
        </w:rPr>
        <w:fldChar w:fldCharType="end"/>
      </w:r>
      <w:r w:rsidRPr="00D16AB0">
        <w:rPr>
          <w:rFonts w:ascii="Arial" w:hAnsi="Arial" w:cs="Arial"/>
          <w:sz w:val="21"/>
          <w:szCs w:val="21"/>
          <w:lang w:val="en-GB"/>
        </w:rPr>
        <w:t xml:space="preserve">. The market scale of VCS first boomed and the value of voluntary carbon market (VCM) activities grew more than tenfold from 2017 to </w:t>
      </w:r>
      <w:r w:rsidR="00935B68" w:rsidRPr="00D16AB0">
        <w:rPr>
          <w:rFonts w:ascii="Arial" w:hAnsi="Arial" w:cs="Arial"/>
          <w:sz w:val="21"/>
          <w:szCs w:val="21"/>
          <w:lang w:val="en-GB"/>
        </w:rPr>
        <w:t>202</w:t>
      </w:r>
      <w:r w:rsidR="00543C6E" w:rsidRPr="00D16AB0">
        <w:rPr>
          <w:rFonts w:ascii="Arial" w:hAnsi="Arial" w:cs="Arial"/>
          <w:sz w:val="21"/>
          <w:szCs w:val="21"/>
          <w:lang w:val="en-GB"/>
        </w:rPr>
        <w:t>1</w:t>
      </w:r>
      <w:r w:rsidR="00935B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{"citationID":"a2lcu63li5u","properties":{"formattedCitation":"\\super 19\\nosupersub{}","plainCitation":"19","noteIndex":0},"citationItems":[{"id":3589,"uris":["http://zotero.org/groups/4647276/items/M6QDNS5G"],"itemData":{"id":3589,"type":"webpage","abstract":"This paper investigates the interplay between voluntary and compliance carbon markets, with a focus on the environmental integrity implications, in particular mitigation of greenhouse gases. It explores different types of carbon credit markets and the different ways that these markets can, and could, interact. Furthermore, the paper examines how developments in voluntary and compliance carbon markets can impact the mitigation effectiveness of carbon credit markets, including on both the supply and demand sides. The analysis finds that while carbon credit markets could unlock mitigation ambition and action, they also have significant environmental integrity risks that merit government attention. The paper suggests some guiding principles for governments in identifying how to engage with different carbon markets, and recommends that they take strategic, focused and collaborative action. The paper also highlights potential policies that could enhance environmental integrity across carbon markets. In addition to domestic carbon markets, governments could monitor how international and self-regulatory carbon market frameworks evolve. Governments can also assess the role that carbon credit markets play in achieving their climate objectives, and identify opportunities to enhance their mitigation effectiveness.","container-title":"OECD","language":"en","title":"The interplay between voluntary and compliance carbon markets","URL":"https://www.oecd.org/en/publications/the-interplay-between-voluntary-and-compliance-carbon-markets_500198e1-en.html","accessed":{"date-parts":[["2025",1,1]]},"issued":{"date-parts":[["2024",7,18]]}}}],"schema":"https://github.com/citation-style-language/schema/raw/master/csl-citation.json"} </w:instrText>
      </w:r>
      <w:r w:rsidR="00935B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19</w:t>
      </w:r>
      <w:r w:rsidR="00935B68" w:rsidRPr="00D16AB0">
        <w:rPr>
          <w:rFonts w:ascii="Arial" w:hAnsi="Arial" w:cs="Arial"/>
          <w:sz w:val="21"/>
          <w:szCs w:val="21"/>
          <w:lang w:val="en-GB"/>
        </w:rPr>
        <w:fldChar w:fldCharType="end"/>
      </w:r>
      <w:r w:rsidRPr="00D16AB0">
        <w:rPr>
          <w:rFonts w:ascii="Arial" w:hAnsi="Arial" w:cs="Arial"/>
          <w:sz w:val="21"/>
          <w:szCs w:val="21"/>
          <w:lang w:val="en-GB"/>
        </w:rPr>
        <w:t xml:space="preserve">. However, concerns over </w:t>
      </w:r>
      <w:r w:rsidR="00935B68" w:rsidRPr="00D16AB0">
        <w:rPr>
          <w:rFonts w:ascii="Arial" w:hAnsi="Arial" w:cs="Arial"/>
          <w:sz w:val="21"/>
          <w:szCs w:val="21"/>
          <w:lang w:val="en-GB"/>
        </w:rPr>
        <w:t>non-additionality</w:t>
      </w:r>
      <w:r w:rsidR="00935B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{"citationID":"ado4ols4cm","properties":{"unsorted":false,"formattedCitation":"\\super 20\\nosupersub{}","plainCitation":"20","noteIndex":0},"citationItems":[{"id":2817,"uris":["http://zotero.org/groups/4647276/items/IANNQYK9"],"itemData":{"id":2817,"type":"article-journal","abstract":"Carbon offsets allow greenhouse gas emitters to comply with an emissions cap by paying others outside of the capped sectors to reduce emissions. The first major carbon offset programme, the United Nations’ Clean Development Mechanism (CDM), has been criticized for generating a large number of credits from projects that do not actually reduce emissions. Following the controversial CDM experience, California pioneered a second-generation compliance offset programme that shifts the focus of quality control from assessments of individual projects to the development of offset protocols, which define project type-specific eligibility criteria and methods for estimating emissions reductions. We assess the ability of California’s ‘standardized approach’ to mitigate the risk of over-crediting greenhouse gas reductions by reviewing the development of two California offset protocols – Mine Methane Capture and Rice Cultivation. We examine the regulator’s treatment of three sources of over-crediting under the CDM: non-additional projects, inflated counterfactual baseline scenarios, and perverse incentives that inadvertently increase emissions. We find that the standardized approach offers the ability to reduce, but not eliminate, the risk of over-crediting. This requires careful protocol-scale analysis, conservative methods for estimating reductions, ongoing monitoring of programme outcomes, and restricting participation to project types with manageable levels of uncertainty in emission reductions. However, several of these elements are missing from California’s regime, and even best practices result in significant uncertainty in true emission reductions. Relying on carbon offsets to lower compliance costs risks lessening total emission reductions and increases uncertainty in whether an emissions target has been met.Key policy insights Substantial and ongoing oversight by offset programme administrators is needed to contain uncertainty and avoid over-crediting. California’s Mine Methane Capture Protocol may have influenced federal decisions not to regulate methane emissions from coal mines on federally-owned lands.Government priorities and methodological choices drive outcomes in carbon pricing policies with large offset programmes, contrary to the common perception that these policies delegate decision-making to private actors.Offsets are better understood as a way for regulated emitters to invest in an incentive programme that achieves difficult-to-estimate emission reductions, than as accurately quantified tons of reductions.","container-title":"Climate Policy","DOI":"10.1080/14693062.2020.1781035","ISSN":"1469-3062","issue":"9","note":"publisher: Taylor &amp; Francis\n_eprint: https://doi.org/10.1080/14693062.2020.1781035","page":"1112-1126","source":"Taylor and Francis+NEJM","title":"Managing uncertainty in carbon offsets: insights from California’s standardized approach","title-short":"Managing uncertainty in carbon offsets","volume":"20","author":[{"family":"Haya","given":"Barbara"},{"family":"Cullenward","given":"Danny"},{"family":"Strong","given":"Aaron L."},{"family":"Grubert","given":"Emily"},{"family":"Heilmayr","given":"Robert"},{"family":"Sivas","given":"Deborah A."},{"family":"Wara","given":"Michael"}],"issued":{"date-parts":[["2020",10,20]]}}}],"schema":"https://github.com/citation-style-language/schema/raw/master/csl-citation.json"} </w:instrText>
      </w:r>
      <w:r w:rsidR="00935B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20</w:t>
      </w:r>
      <w:r w:rsidR="00935B68" w:rsidRPr="00D16AB0">
        <w:rPr>
          <w:rFonts w:ascii="Arial" w:hAnsi="Arial" w:cs="Arial"/>
          <w:sz w:val="21"/>
          <w:szCs w:val="21"/>
          <w:lang w:val="en-GB"/>
        </w:rPr>
        <w:fldChar w:fldCharType="end"/>
      </w:r>
      <w:r w:rsidR="00935B68" w:rsidRPr="00D16AB0">
        <w:rPr>
          <w:rFonts w:ascii="Arial" w:hAnsi="Arial" w:cs="Arial"/>
          <w:sz w:val="21"/>
          <w:szCs w:val="21"/>
          <w:lang w:val="en-GB"/>
        </w:rPr>
        <w:t>, leakage</w:t>
      </w:r>
      <w:bookmarkStart w:id="12" w:name="_Hlk205309020"/>
      <w:r w:rsidR="00935B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{"citationID":"a8kh9fd4pf","properties":{"unsorted":false,"formattedCitation":"\\super 21\\nosupersub{}","plainCitation":"21","noteIndex":0},"citationItems":[{"id":2836,"uris":["http://zotero.org/groups/4647276/items/TGYKIILC"],"itemData":{"id":2836,"type":"article-journal","container-title":"Environmental Research Letters","DOI":"10.1088/1748-9326/ac18e8","ISSN":"1748-9326","issue":"9","journalAbbreviation":"Environ. Res. Lett.","language":"en","note":"publisher: IOP Publishing","page":"091001","source":"Institute of Physics","title":"Environmental integrity of emissions reductions depends on scale and systemic changes, not sector of origin","volume":"16","author":[{"family":"Schwartzman","given":"Stephan"},{"family":"Lubowski","given":"Ruben N."},{"family":"Pacala","given":"Stephen W."},{"family":"Keohane","given":"Nathaniel O."},{"family":"Kerr","given":"Suzi"},{"family":"Oppenheimer","given":"Michael"},{"family":"Hamburg","given":"Steven P."}],"issued":{"date-parts":[["2021",8]]}}}],"schema":"https://github.com/citation-style-language/schema/raw/master/csl-citation.json"} </w:instrText>
      </w:r>
      <w:r w:rsidR="00935B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21</w:t>
      </w:r>
      <w:r w:rsidR="00935B68" w:rsidRPr="00D16AB0">
        <w:rPr>
          <w:rFonts w:ascii="Arial" w:hAnsi="Arial" w:cs="Arial"/>
          <w:sz w:val="21"/>
          <w:szCs w:val="21"/>
          <w:lang w:val="en-GB"/>
        </w:rPr>
        <w:fldChar w:fldCharType="end"/>
      </w:r>
      <w:bookmarkEnd w:id="12"/>
      <w:r w:rsidR="00935B68" w:rsidRPr="00D16AB0">
        <w:rPr>
          <w:rFonts w:ascii="Arial" w:hAnsi="Arial" w:cs="Arial"/>
          <w:sz w:val="21"/>
          <w:szCs w:val="21"/>
          <w:lang w:val="en-GB"/>
        </w:rPr>
        <w:t>, and systematic over-crediting</w:t>
      </w:r>
      <w:r w:rsidR="00935B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{"citationID":"a2907sa0rfb","properties":{"unsorted":false,"formattedCitation":"\\super 22\\uc0\\u8211{}24\\nosupersub{}","plainCitation":"22–24","noteIndex":0},"citationItems":[{"id":2809,"uris":["http://zotero.org/groups/4647276/items/M532Q8AQ"],"itemData":{"id":2809,"type":"article-journal","container-title":"Global Change Biology","DOI":"10.1111/gcb.15943","ISSN":"1354-1013, 1365-2486","issue":"4","journalAbbreviation":"Global Change Biology","language":"en","page":"1433-1445","source":"DOI.org (Crossref)","title":"Systematic over</w:instrText>
      </w:r>
      <w:r w:rsidR="001A6C96" w:rsidRPr="00D16AB0">
        <w:rPr>
          <w:rFonts w:ascii="Cambria Math" w:hAnsi="Cambria Math" w:cs="Cambria Math"/>
          <w:sz w:val="21"/>
          <w:szCs w:val="21"/>
          <w:lang w:val="en-GB"/>
        </w:rPr>
        <w:instrText>‐</w:instrText>
      </w:r>
      <w:r w:rsidR="001A6C96" w:rsidRPr="00D16AB0">
        <w:rPr>
          <w:rFonts w:ascii="Arial" w:hAnsi="Arial" w:cs="Arial"/>
          <w:sz w:val="21"/>
          <w:szCs w:val="21"/>
          <w:lang w:val="en-GB"/>
        </w:rPr>
        <w:instrText xml:space="preserve">crediting in California's forest carbon offsets program","volume":"28","author":[{"family":"Badgley","given":"Grayson"},{"family":"Freeman","given":"Jeremy"},{"family":"Hamman","given":"Joseph J."},{"family":"Haya","given":"Barbara"},{"family":"Trugman","given":"Anna T."},{"family":"Anderegg","given":"William R. L."},{"family":"Cullenward","given":"Danny"}],"issued":{"date-parts":[["2022",2]]}}},{"id":2782,"uris":["http://zotero.org/groups/4647276/items/DEXRMRRV"],"itemData":{"id":2782,"type":"article-journal","abstract":"Reducing emissions from deforestation and forest degradation (REDD+) has gained international attention over the past decade, as manifested in both United Nations policy discussions and hundreds of voluntary projects launched to earn carbon-offset credits. There are ongoing discussions about whether and how projects should be integrated into national climate change mitigation efforts under the Paris Agreement. One consideration is whether these projects have generated additional impacts over and above national policies and other measures. To help inform these discussions, we compare the crediting baselines established ex-ante by voluntary REDD+ projects in the Brazilian Amazon to counterfactuals constructed ex-post based on the quasi-experimental synthetic control method. We find that the crediting baselines assume consistently higher deforestation than counterfactual forest loss in synthetic control sites. This gap is partially due to decreased deforestation in the Brazilian Amazon during the early implementation phase of the REDD+ projects considered here. This suggests that forest carbon finance must strike a balance between controlling conservation investment risk and ensuring the environmental integrity of carbon emission offsets. Relatedly, our results point to the need to better align project- and national-level carbon accounting.","container-title":"Proceedings of the National Academy of Sciences","DOI":"10.1073/pnas.2004334117","issue":"39","note":"publisher: Proceedings of the National Academy of Sciences","page":"24188-24194","source":"pnas.org (Atypon)","title":"Overstated carbon emission reductions from voluntary REDD+ projects in the Brazilian Amazon","volume":"117","author":[{"family":"West","given":"Thales A. P."},{"family":"Börner","given":"Jan"},{"family":"Sills","given":"Erin O."},{"family":"Kontoleon","given":"Andreas"}],"issued":{"date-parts":[["2020",9,29]]}}},{"id":3308,"uris":["http://zotero.org/groups/4647276/items/QYELHNA2"],"itemData":{"id":3308,"type":"article-journal","abstract":"Carbon offsets from voluntary avoided-deforestation projects are generated on the basis of performance in relation to ex ante deforestation baselines. We examined the effects of 26 such project sites in six countries on three continents using synthetic control methods for causal inference. We found that most projects have not significantly reduced deforestation. For projects that did, reductions were substantially lower than claimed. This reflects differences between the project ex ante baselines and ex post counterfactuals according to observed deforestation in control areas. Methodologies used to construct deforestation baselines for carbon offset interventions need urgent revisions to correctly attribute reduced deforestation to the projects, thus maintaining both incentives for forest conservation and the integrity of global carbon accounting.","container-title":"Science","DOI":"10.1126/science.ade3535","issue":"6660","note":"publisher: American Association for the Advancement of Science","page":"873-877","source":"science.org (Atypon)","title":"Action needed to make carbon offsets from forest conservation work for climate change mitigation","volume":"381","author":[{"family":"West","given":"Thales A. P."},{"family":"Wunder","given":"Sven"},{"family":"Sills","given":"Erin O."},{"family":"Börner","given":"Jan"},{"family":"Rifai","given":"Sami W."},{"family":"Neidermeier","given":"Alexandra N."},{"family":"Frey","given":"Gabriel P."},{"family":"Kontoleon","given":"Andreas"}],"issued":{"date-parts":[["2023",8,25]]}}}],"schema":"https://github.com/citation-style-language/schema/raw/master/csl-citation.json"} </w:instrText>
      </w:r>
      <w:r w:rsidR="00935B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22–24</w:t>
      </w:r>
      <w:r w:rsidR="00935B68" w:rsidRPr="00D16AB0">
        <w:rPr>
          <w:rFonts w:ascii="Arial" w:hAnsi="Arial" w:cs="Arial"/>
          <w:sz w:val="21"/>
          <w:szCs w:val="21"/>
          <w:lang w:val="en-GB"/>
        </w:rPr>
        <w:fldChar w:fldCharType="end"/>
      </w:r>
      <w:r w:rsidRPr="00D16AB0">
        <w:rPr>
          <w:rFonts w:ascii="Arial" w:hAnsi="Arial" w:cs="Arial"/>
          <w:sz w:val="21"/>
          <w:szCs w:val="21"/>
          <w:lang w:val="en-GB"/>
        </w:rPr>
        <w:t xml:space="preserve"> are again casting doubts on the integrity of carbon </w:t>
      </w:r>
      <w:r w:rsidR="00935B68" w:rsidRPr="00D16AB0">
        <w:rPr>
          <w:rFonts w:ascii="Arial" w:hAnsi="Arial" w:cs="Arial"/>
          <w:sz w:val="21"/>
          <w:szCs w:val="21"/>
          <w:lang w:val="en-GB"/>
        </w:rPr>
        <w:t>offsets</w:t>
      </w:r>
      <w:r w:rsidR="00935B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{"citationID":"ate168jvpa","properties":{"formattedCitation":"\\super 25\\nosupersub{}","plainCitation":"25","noteIndex":0},"citationItems":[{"id":3359,"uris":["http://zotero.org/groups/4647276/items/TCNM3HKB"],"itemData":{"id":3359,"type":"article-journal","abstract":"Most companies include carbon offsets in their net-zero strategy. However, many offset projects are poor quality and fail to reduce emissions as claimed. Here we focus on the twenty companies retiring the most offsets from the voluntary carbon market over 2020–2023. We examine if their offsets could be considered high quality and likely to benefit the climate. We curate an original company-level dataset to examine quality and climate benefits across four dimensions: (1) use of offsets from low/high-risk project types; (2) age of projects and credits; (3) price of credits; and (4) country of implementation. We find that companies have predominantly sourced low-quality, cheap offsets: 87% carry a high risk of not providing real and additional emissions reductions, with most offsets originating from forest conservation and renewable energy projects. Further, most offsets do not meet industry standards regarding age and country of implementation. These findings provide further evidence that the voluntary carbon market is not supporting effective climate mitigation. Particularly, we show that its persisting quality issues are exacerbated by the demand for low-quality offsets by individual companies.","container-title":"Nature Communications","DOI":"10.1038/s41467-024-51151-w","ISSN":"2041-1723","issue":"1","language":"en","license":"2024 The Author(s)","note":"publisher: Nature Publishing Group","page":"6863","source":"www.nature.com","title":"Demand for low-quality offsets by major companies undermines climate integrity of the voluntary carbon market","volume":"15","author":[{"family":"Trencher","given":"Gregory"},{"family":"Nick","given":"Sascha"},{"family":"Carlson","given":"Jordan"},{"family":"Johnson","given":"Matthew"}],"issued":{"date-parts":[["2024",8,10]]}}}],"schema":"https://github.com/citation-style-language/schema/raw/master/csl-citation.json"} </w:instrText>
      </w:r>
      <w:r w:rsidR="00935B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25</w:t>
      </w:r>
      <w:r w:rsidR="00935B68" w:rsidRPr="00D16AB0">
        <w:rPr>
          <w:rFonts w:ascii="Arial" w:hAnsi="Arial" w:cs="Arial"/>
          <w:sz w:val="21"/>
          <w:szCs w:val="21"/>
          <w:lang w:val="en-GB"/>
        </w:rPr>
        <w:fldChar w:fldCharType="end"/>
      </w:r>
      <w:r w:rsidRPr="00D16AB0">
        <w:rPr>
          <w:rFonts w:ascii="Arial" w:hAnsi="Arial" w:cs="Arial"/>
          <w:sz w:val="21"/>
          <w:szCs w:val="21"/>
          <w:lang w:val="en-GB"/>
        </w:rPr>
        <w:t>. In November 2024, COP29 held in Baku, Azerbaijan, adopted the decisions that aimed to further facilitate the operation of a global carbon market with stricter rules for carbon removals, methodologies and reversal risk management.</w:t>
      </w:r>
    </w:p>
    <w:p w14:paraId="733F6F70" w14:textId="017CD61A" w:rsidR="005B12E3" w:rsidRDefault="00B01B1B"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rPr>
        <w:t xml:space="preserve">The carbon market now stands at a critical juncture. There is an ongoing discussion about how to transition the methodologies under the existing programmes to Article 6 of the </w:t>
      </w:r>
      <w:r w:rsidR="003915AF" w:rsidRPr="00D16AB0">
        <w:rPr>
          <w:rFonts w:ascii="Arial" w:hAnsi="Arial" w:cs="Arial"/>
          <w:sz w:val="21"/>
          <w:szCs w:val="21"/>
          <w:lang w:val="en-GB"/>
        </w:rPr>
        <w:t>Agreement</w:t>
      </w:r>
      <w:bookmarkStart w:id="13" w:name="_Hlk205310379"/>
      <w:r w:rsidR="003915A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{"citationID":"a23kke1ad28","properties":{"unsorted":false,"formattedCitation":"\\super 26\\nosupersub{}","plainCitation":"26","noteIndex":0},"citationItems":[{"id":2777,"uris":["http://zotero.org/groups/4647276/items/28E9QKTZ"],"itemData":{"id":2777,"type":"report","publisher":"Perspectives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003915A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26</w:t>
      </w:r>
      <w:r w:rsidR="003915AF" w:rsidRPr="00D16AB0">
        <w:rPr>
          <w:rFonts w:ascii="Arial" w:hAnsi="Arial" w:cs="Arial"/>
          <w:sz w:val="21"/>
          <w:szCs w:val="21"/>
          <w:lang w:val="en-GB"/>
        </w:rPr>
        <w:fldChar w:fldCharType="end"/>
      </w:r>
      <w:bookmarkEnd w:id="13"/>
      <w:r w:rsidRPr="00D16AB0">
        <w:rPr>
          <w:rFonts w:ascii="Arial" w:hAnsi="Arial" w:cs="Arial"/>
          <w:sz w:val="21"/>
          <w:szCs w:val="21"/>
          <w:lang w:val="en-GB"/>
        </w:rPr>
        <w:t xml:space="preserve"> to establish a robust and reliable offset regime. Meanwhile, the fragmented governance of both compliance and voluntary offset markets indicates the urgent need for coordination, standardisation, and transparency to avoid double </w:t>
      </w:r>
      <w:r w:rsidR="003915AF" w:rsidRPr="00D16AB0">
        <w:rPr>
          <w:rFonts w:ascii="Arial" w:hAnsi="Arial" w:cs="Arial"/>
          <w:sz w:val="21"/>
          <w:szCs w:val="21"/>
          <w:lang w:val="en-GB"/>
        </w:rPr>
        <w:t>counting</w:t>
      </w:r>
      <w:r w:rsidR="003915A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{"citationID":"t0E8OaRT","properties":{"formattedCitation":"\\super 27\\nosupersub{}","plainCitation":"27","noteIndex":0},"citationItems":[{"id":"ZthMjOpd/U5gLTOuR","uris":["http://zotero.org/users/9291085/items/FSIPZBLB"],"itemData":{"id":2723,"type":"article-journal","abstract":"The Paris Agreement heralds a new era in international climate governance. Yet, the Agreement's implementation rulebook is still under negotiation. During this transition, from the Kyoto Protocol to the new regime under the Paris Agreement, many non-state actors are facing a high level of uncertainty. In particular, actors in the voluntary carbon market are struggling to define their new role. The business model of producing carbon credits in developing countries and selling them elsewhere is threatened. Although its financial significance and achieved emission reductions are limited, the voluntary market's role as an incubator for innovation has made it a prominent representative of non-state mitigation mechanisms. Therefore, we ask: What effects will the regime change to the Paris Agreement have on the voluntary carbon offset market (VCM) and how does it react to these effects? This study analyses perceptions of, and reactions to, the new regulatory environment within the VCM. We apply the Discursive Agency Approach to scrutinize the institutions, discourses and influential agents involved in the VCM, and the strategic practices they apply to manage the transition towards the Paris regime. We find two dominant coping strategies: to align the voluntary offsetting mechanism with the Paris Agreement, and to re-invent its overall purpose as a tool to deliver sustainable development rather than solely emission reductions. Based on these results, we outline ‘thought spaces’ for a future VCM: (1) voluntary and non-party offsetting beyond nationally determined contributions (NDCs), (2) results-based financing for emission reductions and sustainable development, and (3) private climate action under international oversight. Key policy insights The Paris Agreement threatens the VCM's business model, prompting market agents to frame and legitimize their work in new ways.The voluntary market's viability depends on the future accounting rules for emission reductions under Paris Agreement Article 6. Discursive struggles surround the risks of double counting and NDC ambitions.Based on an understanding of the past, we can draw lessons from agents’ attempts to re-legitimize their role under the new Paris Agreement; their future visions will shape the debates about this nascent regime. The Paris Agreement threatens the VCM's business model, prompting market agents to frame and legitimize their work in new ways. The voluntary market's viability depends on the future accounting rules for emission reductions under Paris Agreement Article 6. Discursive struggles surround the risks of double counting and NDC ambitions. Based on an understanding of the past, we can draw lessons from agents’ attempts to re-legitimize their role under the new Paris Agreement; their future visions will shape the debates about this nascent regime.","container-title":"Climate Policy","DOI":"10.1080/14693062.2018.1556152","ISSN":"1469-3062","issue":"4","note":"publisher: Taylor &amp; Francis\n_eprint: https://doi.org/10.1080/14693062.2018.1556152","page":"414–426","source":"Taylor and Francis+NEJM","title":"What future for the voluntary carbon offset market after Paris? An explorative study based on the Discursive Agency Approach","title-short":"What future for the voluntary carbon offset market after Paris?","volume":"19","author":[{"family":"Lang","given":"Sebastian"},{"family":"Blum","given":"Mareike"},{"family":"Leipold","given":"Sina"}],"issued":{"date-parts":[["2019",4,21]]}}}],"schema":"https://github.com/citation-style-language/schema/raw/master/csl-citation.json"} </w:instrText>
      </w:r>
      <w:r w:rsidR="003915A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27</w:t>
      </w:r>
      <w:r w:rsidR="003915AF" w:rsidRPr="00D16AB0">
        <w:rPr>
          <w:rFonts w:ascii="Arial" w:hAnsi="Arial" w:cs="Arial"/>
          <w:sz w:val="21"/>
          <w:szCs w:val="21"/>
          <w:lang w:val="en-GB"/>
        </w:rPr>
        <w:fldChar w:fldCharType="end"/>
      </w:r>
      <w:r w:rsidRPr="00D16AB0">
        <w:rPr>
          <w:rFonts w:ascii="Arial" w:hAnsi="Arial" w:cs="Arial"/>
          <w:sz w:val="21"/>
          <w:szCs w:val="21"/>
          <w:lang w:val="en-GB"/>
        </w:rPr>
        <w:t xml:space="preserve"> and ensure environmental </w:t>
      </w:r>
      <w:r w:rsidR="003915AF" w:rsidRPr="00D16AB0">
        <w:rPr>
          <w:rFonts w:ascii="Arial" w:hAnsi="Arial" w:cs="Arial"/>
          <w:sz w:val="21"/>
          <w:szCs w:val="21"/>
          <w:lang w:val="en-GB"/>
        </w:rPr>
        <w:t>integrity</w:t>
      </w:r>
      <w:r w:rsidR="003915A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{"citationID":"a2ao3uj7tlm","properties":{"formattedCitation":"\\super 2\\nosupersub{}","plainCitation":"2","noteIndex":0},"citationItems":[{"id":3571,"uris":["http://zotero.org/groups/4647276/items/AGK3U2Y8"],"itemData":{"id":3571,"type":"article-journal","abstract":"Over the past two decades, the emergence of multiple carbon market segments has led to fragmentation of governance of international carbon markets. International baseline-and-credit systems for greenhouse gas mitigation have been repeatedly expected to wither away, but show significant resilience. Still, Parties to the Paris Agreement have struggled to finalize rules for market-based cooperation under Article 6, which are still being negotiated. Generally, there is tension between international top-down and bottom-up governance. The former was pioneered through the Clean Development Mechanism under the Kyoto Protocol and is likely to be utilized for the Article 6.4 mechanism, while the latter was used for the first track of Joint Implementation and will be applied for Article 6.2. Voluntary carbon markets governed bottom-up and outside the Kyoto Protocol by private institutions have recently gained importance by offering complementary project types and methodological approaches. The clear intention of some Parties to use market-based cooperation in order to reach their nationally determined contributions to the Paris Agreement have led to an ongoing process of navigating the alignment of these fragmented carbon market instruments with the implementation of nationally determined contributions and Paris Agreement’s governance architecture. We discuss emerging features of international carbon market governance in the public and private domain, including political and technical issues. Fragmented governance is characterized by different degrees of transparency, centralization, and scales. We assess the crunch issues in the Article 6 negotiations through the lens of these governance features and their effectiveness, focusing on governance principles and their operationalization to ensure environmental integrity and avoid double counting.","container-title":"Politics and Governance","DOI":"10.17645/pag.v10i1.4759","ISSN":"2183-2463","issue":"1","language":"eng","license":"info:eu-repo/semantics/openAccess","note":"number: 1\npublisher: Cogitatio Press","page":"4759","source":"www.zora.uzh.ch","title":"Governance of fragmented compliance and voluntary carbon markets under the Paris Agreement","volume":"10","author":[{"family":"Ahonen","given":"Hanna-Mari"},{"family":"Kessler","given":"Juliana"},{"family":"Michaelowa","given":"Axel"},{"family":"Espelage","given":"Aglaja"},{"family":"Hoch","given":"Stephan"}],"issued":{"date-parts":[["2022",3,17]]}}}],"schema":"https://github.com/citation-style-language/schema/raw/master/csl-citation.json"} </w:instrText>
      </w:r>
      <w:r w:rsidR="003915A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w:t>
      </w:r>
      <w:r w:rsidR="003915AF" w:rsidRPr="00D16AB0">
        <w:rPr>
          <w:rFonts w:ascii="Arial" w:hAnsi="Arial" w:cs="Arial"/>
          <w:sz w:val="21"/>
          <w:szCs w:val="21"/>
          <w:lang w:val="en-GB"/>
        </w:rPr>
        <w:fldChar w:fldCharType="end"/>
      </w:r>
      <w:r w:rsidRPr="00D16AB0">
        <w:rPr>
          <w:rFonts w:ascii="Arial" w:hAnsi="Arial" w:cs="Arial"/>
          <w:sz w:val="21"/>
          <w:szCs w:val="21"/>
          <w:lang w:val="en-GB"/>
        </w:rPr>
        <w:t>.</w:t>
      </w:r>
    </w:p>
    <w:p w14:paraId="61A32053" w14:textId="77777777" w:rsidR="00AB1B69" w:rsidRPr="00D16AB0" w:rsidRDefault="00AB1B69" w:rsidP="00961066">
      <w:pPr>
        <w:pStyle w:val="SMText"/>
        <w:spacing w:beforeLines="50" w:before="120" w:afterLines="50" w:after="120" w:line="276" w:lineRule="auto"/>
        <w:ind w:firstLine="0"/>
        <w:rPr>
          <w:rFonts w:ascii="Arial" w:hAnsi="Arial" w:cs="Arial"/>
          <w:sz w:val="21"/>
          <w:szCs w:val="21"/>
          <w:lang w:val="en-GB" w:eastAsia="zh-CN"/>
        </w:rPr>
      </w:pPr>
    </w:p>
    <w:p w14:paraId="31794022" w14:textId="5018D275" w:rsidR="00BD3F61" w:rsidRPr="00D16AB0" w:rsidRDefault="00AB37DF"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14" w:name="_Toc214984833"/>
      <w:bookmarkStart w:id="15" w:name="_Toc214985819"/>
      <w:bookmarkStart w:id="16" w:name="_Toc214986961"/>
      <w:r w:rsidRPr="00D16AB0">
        <w:rPr>
          <w:rFonts w:ascii="Arial" w:hAnsi="Arial" w:cs="Arial"/>
          <w:b/>
          <w:bCs/>
          <w:sz w:val="21"/>
          <w:szCs w:val="21"/>
          <w:u w:val="none"/>
          <w:lang w:val="en-GB"/>
        </w:rPr>
        <w:t>Certification regimes</w:t>
      </w:r>
      <w:bookmarkEnd w:id="14"/>
      <w:bookmarkEnd w:id="15"/>
      <w:bookmarkEnd w:id="16"/>
    </w:p>
    <w:p w14:paraId="494C3D58" w14:textId="063B49E5" w:rsidR="003A62E1" w:rsidRPr="00D16AB0" w:rsidRDefault="00AE27E4"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The existing certification regimes under the CDM and the VCM subject most projects to a rigorous and costly approval process, but differences exist in how registries interpret and implement certification.</w:t>
      </w:r>
    </w:p>
    <w:p w14:paraId="3FC98924" w14:textId="2B8E956F" w:rsidR="008E57C0" w:rsidRPr="00D16AB0" w:rsidRDefault="00AE27E4"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The CDM involves multiple stakeholders and several steps in the certification process. The main stakeholders under the CDM include project developers, CDM investors or credit buyers, host governments and designated national authorities, designated operational entities (DOEs) accredited by the CDM Executive Board (EB), and the CDM EB</w:t>
      </w:r>
      <w:bookmarkStart w:id="17" w:name="_Hlk185955027"/>
      <w:r w:rsidR="005C697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{"citationID":"a1o50dt1iqj","properties":{"formattedCitation":"\\super 28\\nosupersub{}","plainCitation":"28","noteIndex":0},"citationItems":[{"id":3556,"uris":["http://zotero.org/groups/4647276/items/7UPISF6H"],"itemData":{"id":3556,"type":"report","language":"en","page":"20-29","publisher":"UNDP","title":"The Clean Development Mechanism (CDM): A User's Guide","title-short":"Going through the CDM Process","URL":"https://www.undp.org/sites/g/files/zskgke326/files/publications/cdmchapter2.pdf","issued":{"date-parts":[["2015",11,29]]}}}],"schema":"https://github.com/citation-style-language/schema/raw/master/csl-citation.json"} </w:instrText>
      </w:r>
      <w:r w:rsidR="005C697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28</w:t>
      </w:r>
      <w:r w:rsidR="005C697F" w:rsidRPr="00D16AB0">
        <w:rPr>
          <w:rFonts w:ascii="Arial" w:hAnsi="Arial" w:cs="Arial"/>
          <w:sz w:val="21"/>
          <w:szCs w:val="21"/>
          <w:lang w:val="en-GB"/>
        </w:rPr>
        <w:fldChar w:fldCharType="end"/>
      </w:r>
      <w:bookmarkEnd w:id="17"/>
      <w:r w:rsidRPr="00D16AB0">
        <w:rPr>
          <w:rFonts w:ascii="Arial" w:hAnsi="Arial" w:cs="Arial"/>
          <w:sz w:val="21"/>
          <w:szCs w:val="21"/>
          <w:lang w:val="en-GB"/>
        </w:rPr>
        <w:t>. At first, the project developer is required to identify the project activity and prepare a Project Design Document (PDD) including but not limited to project description, baseline setting, additionality assessment, emission reduction estimates and a monitoring plan. Once the host country approves the project, the project developer is required to submit the PDD to DOEs for project validation and the DOE is responsible of making the PDD publicly available for 30 days and collecting public comments. Then, the CDM EB collects the PDD and validation reports from the DOE and it takes one month to do the completeness check and the information and reporting check</w:t>
      </w:r>
      <w:r w:rsidR="005C697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{"citationID":"a1dtadmlai5","properties":{"formattedCitation":"\\super 29\\nosupersub{}","plainCitation":"29","noteIndex":0},"citationItems":[{"id":3558,"uris":["http://zotero.org/groups/4647276/items/8QJ4TK3U"],"itemData":{"id":3558,"type":"webpage","title":"CDM: Register a project activity","URL":"https://cdm.unfccc.int/Projects/pac/howto/CDMProjectActivity/Register/index.html","accessed":{"date-parts":[["2024",12,25]]}}}],"schema":"https://github.com/citation-style-language/schema/raw/master/csl-citation.json"} </w:instrText>
      </w:r>
      <w:r w:rsidR="005C697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29</w:t>
      </w:r>
      <w:r w:rsidR="005C697F" w:rsidRPr="00D16AB0">
        <w:rPr>
          <w:rFonts w:ascii="Arial" w:hAnsi="Arial" w:cs="Arial"/>
          <w:sz w:val="21"/>
          <w:szCs w:val="21"/>
          <w:lang w:val="en-GB"/>
        </w:rPr>
        <w:fldChar w:fldCharType="end"/>
      </w:r>
      <w:r w:rsidRPr="00D16AB0">
        <w:rPr>
          <w:rFonts w:ascii="Arial" w:hAnsi="Arial" w:cs="Arial"/>
          <w:sz w:val="21"/>
          <w:szCs w:val="21"/>
          <w:lang w:val="en-GB"/>
        </w:rPr>
        <w:t>. If both checks are successful, the CDM EB will proceed with the project registration and issue verified CERs</w:t>
      </w:r>
      <w:r w:rsidR="005C697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{"citationID":"DrLkLHAP","properties":{"formattedCitation":"\\super 28\\nosupersub{}","plainCitation":"28","noteIndex":0},"citationItems":[{"id":3556,"uris":["http://zotero.org/groups/4647276/items/7UPISF6H"],"itemData":{"id":3556,"type":"report","language":"en","page":"20-29","publisher":"UNDP","title":"The Clean Development Mechanism (CDM): A User's Guide","title-short":"Going through the CDM Process","URL":"https://www.undp.org/sites/g/files/zskgke326/files/publications/cdmchapter2.pdf","issued":{"date-parts":[["2015",11,29]]}}}],"schema":"https://github.com/citation-style-language/schema/raw/master/csl-citation.json"} </w:instrText>
      </w:r>
      <w:r w:rsidR="005C697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28</w:t>
      </w:r>
      <w:r w:rsidR="005C697F" w:rsidRPr="00D16AB0">
        <w:rPr>
          <w:rFonts w:ascii="Arial" w:hAnsi="Arial" w:cs="Arial"/>
          <w:sz w:val="21"/>
          <w:szCs w:val="21"/>
          <w:lang w:val="en-GB"/>
        </w:rPr>
        <w:fldChar w:fldCharType="end"/>
      </w:r>
      <w:r w:rsidRPr="00D16AB0">
        <w:rPr>
          <w:rFonts w:ascii="Arial" w:hAnsi="Arial" w:cs="Arial"/>
          <w:sz w:val="21"/>
          <w:szCs w:val="21"/>
          <w:lang w:val="en-GB"/>
        </w:rPr>
        <w:t xml:space="preserve">. </w:t>
      </w:r>
    </w:p>
    <w:p w14:paraId="4F513854" w14:textId="1807827E" w:rsidR="0065146E" w:rsidRPr="00D16AB0" w:rsidRDefault="00AE27E4"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The GS develops its own conservative methodologies for emissions reduction estimation and relies on approved third-party validation and verification bodies (VVBs) to audit the projects. Compared to CDM, all the projects under the GS must go through even more complicated certification steps</w:t>
      </w:r>
      <w:r w:rsidR="00495202"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{"citationID":"a2hd4t110vb","properties":{"formattedCitation":"\\super 6\\nosupersub{}","plainCitation":"6","noteIndex":0},"citationItems":[{"id":3557,"uris":["http://zotero.org/groups/4647276/items/PFUJG2HC"],"itemData":{"id":3557,"type":"webpage","abstract":"The certification process under Gold Standard for the Global Goals is set-up to help you design your project for maximum positive impact. The application of conservative and considered methodologies ensures accurate quantification of impact, a unique approach to stakeholder inclusivity helps support long term project success, and the assurance process uses approved third-party validation and verification bodies (VVBs) to audit the projects and ensure verified impacts - resulting in high quality projects with credible claims that can attract premium prices.  Click here to download the step-by-step certification process.","container-title":"Gold Standard","language":"en","title":"Certification Process Step-by-Step","URL":"https://www.goldstandard.org/publications/certification-process-stepbystep","accessed":{"date-parts":[["2024",12,25]]}}}],"schema":"https://github.com/citation-style-language/schema/raw/master/csl-citation.json"} </w:instrText>
      </w:r>
      <w:r w:rsidR="00495202"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w:t>
      </w:r>
      <w:r w:rsidR="00495202" w:rsidRPr="00D16AB0">
        <w:rPr>
          <w:rFonts w:ascii="Arial" w:hAnsi="Arial" w:cs="Arial"/>
          <w:sz w:val="21"/>
          <w:szCs w:val="21"/>
          <w:lang w:val="en-GB"/>
        </w:rPr>
        <w:fldChar w:fldCharType="end"/>
      </w:r>
      <w:r w:rsidRPr="00D16AB0">
        <w:rPr>
          <w:rFonts w:ascii="Arial" w:hAnsi="Arial" w:cs="Arial"/>
          <w:sz w:val="21"/>
          <w:szCs w:val="21"/>
          <w:lang w:val="en-GB"/>
        </w:rPr>
        <w:t xml:space="preserve">: 1) starting stakeholder consultation &amp; safeguards, 2) opening a registry account and submitting stakeholder consultation report and other supporting documents for preliminary review to get “listed” status, 3) completing validation by an approved VVB with a fully completed PDD, 4) entering design certification review checks, 5) applying for verification by an accredited VVB appointed by the project </w:t>
      </w:r>
      <w:r w:rsidRPr="00D16AB0">
        <w:rPr>
          <w:rFonts w:ascii="Arial" w:hAnsi="Arial" w:cs="Arial"/>
          <w:sz w:val="21"/>
          <w:szCs w:val="21"/>
          <w:lang w:val="en-GB"/>
        </w:rPr>
        <w:lastRenderedPageBreak/>
        <w:t>developer to get “GS design certified” status, 6) following a performance review to be a “certified GS project”, and 7) undergoing design certification renewal after five years.</w:t>
      </w:r>
    </w:p>
    <w:p w14:paraId="0936E369" w14:textId="7325D3F8" w:rsidR="00292F73" w:rsidRPr="00D16AB0" w:rsidRDefault="00AE27E4"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Similarly, the Verra project cycle also experiences stages of project listing, validation, registration, verification, and monitoring, with the audits by VVBs. To mitigate non-permanence risks, Verra updated its AFOLU (Agriculture, Forestry, and Other Land Use) buffer pool compensation agreement in January 2024</w:t>
      </w:r>
      <w:r w:rsidR="00CE5A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{"citationID":"a2n01amdafr","properties":{"unsorted":false,"formattedCitation":"\\super 30\\nosupersub{}","plainCitation":"30","noteIndex":0},"citationItems":[{"id":4882,"uris":["http://zotero.org/groups/4647276/items/UWJ5W375"],"itemData":{"id":4882,"type":"post-weblog","container-title":"Verra","language":"en-US","title":"New AFOLU buffer pool compensation agreement","URL":"https://verra.org/program-notice/new-afolu-buffer-pool-compensation-agreement/","accessed":{"date-parts":[["2025",5,31]]},"issued":{"date-parts":[["2024",1,19]]}},"locator":null,"label":null,"suppress-author":null,"prefix":null,"suffix":null}],"schema":"https://github.com/citation-style-language/schema/raw/master/csl-citation.json"} </w:instrText>
      </w:r>
      <w:r w:rsidR="00CE5A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30</w:t>
      </w:r>
      <w:r w:rsidR="00CE5A68" w:rsidRPr="00D16AB0">
        <w:rPr>
          <w:rFonts w:ascii="Arial" w:hAnsi="Arial" w:cs="Arial"/>
          <w:sz w:val="21"/>
          <w:szCs w:val="21"/>
          <w:lang w:val="en-GB"/>
        </w:rPr>
        <w:fldChar w:fldCharType="end"/>
      </w:r>
      <w:r w:rsidRPr="00D16AB0">
        <w:rPr>
          <w:rFonts w:ascii="Arial" w:hAnsi="Arial" w:cs="Arial"/>
          <w:sz w:val="21"/>
          <w:szCs w:val="21"/>
          <w:lang w:val="en-GB"/>
        </w:rPr>
        <w:t>. To ensure the quality of offsets called Verified Carbon Units (VCUs) as well as shortening review times, Verra has applied a new risk-based approach (RBA) since November 2024, as the result of historical data analysis and targeted process adjustments. Specifically, Verra systematically incorporates confidential risk factors associated with project characteristics (e.</w:t>
      </w:r>
      <w:r w:rsidR="00AE7C46" w:rsidRPr="00D16AB0">
        <w:rPr>
          <w:rFonts w:ascii="Arial" w:hAnsi="Arial" w:cs="Arial"/>
          <w:sz w:val="21"/>
          <w:szCs w:val="21"/>
          <w:lang w:val="en-GB"/>
        </w:rPr>
        <w:t>g.</w:t>
      </w:r>
      <w:r w:rsidRPr="00D16AB0">
        <w:rPr>
          <w:rFonts w:ascii="Arial" w:hAnsi="Arial" w:cs="Arial"/>
          <w:sz w:val="21"/>
          <w:szCs w:val="21"/>
          <w:lang w:val="en-GB"/>
        </w:rPr>
        <w:t>, project scale, methodology, request type, jurisdiction) and define projects as low, medium, or high risk to strategically allocate focus resources</w:t>
      </w:r>
      <w:bookmarkStart w:id="18" w:name="_Hlk185959972"/>
      <w:r w:rsidR="00CE5A68"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{"citationID":"a1ag947ir08","properties":{"formattedCitation":"\\super 31\\nosupersub{}","plainCitation":"31","noteIndex":0},"citationItems":[{"id":3560,"uris":["http://zotero.org/groups/4647276/items/WY2ECX2T"],"itemData":{"id":3560,"type":"webpage","abstract":"Frequently Asked Questions for Verra's New Risk-Based Approach (RBA)","container-title":"Verra","language":"en-US","title":"Understanding verra's new risk-based approach (RBA) to project reviews – FAQs","URL":"https://verra.org/understanding-verras-new-risk-based-approach-rba-to-project-reviews-faqs/","accessed":{"date-parts":[["2024",12,25]]}}}],"schema":"https://github.com/citation-style-language/schema/raw/master/csl-citation.json"} </w:instrText>
      </w:r>
      <w:r w:rsidR="00CE5A68"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31</w:t>
      </w:r>
      <w:r w:rsidR="00CE5A68" w:rsidRPr="00D16AB0">
        <w:rPr>
          <w:rFonts w:ascii="Arial" w:hAnsi="Arial" w:cs="Arial"/>
          <w:sz w:val="21"/>
          <w:szCs w:val="21"/>
          <w:lang w:val="en-GB"/>
        </w:rPr>
        <w:fldChar w:fldCharType="end"/>
      </w:r>
      <w:bookmarkEnd w:id="18"/>
      <w:r w:rsidRPr="00D16AB0">
        <w:rPr>
          <w:rFonts w:ascii="Arial" w:hAnsi="Arial" w:cs="Arial"/>
          <w:sz w:val="21"/>
          <w:szCs w:val="21"/>
          <w:lang w:val="en-GB"/>
        </w:rPr>
        <w:t>.</w:t>
      </w:r>
    </w:p>
    <w:p w14:paraId="19180347" w14:textId="0D41B3C7" w:rsidR="000D352B" w:rsidRPr="00D16AB0" w:rsidRDefault="00AE27E4"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Different from assessment over the quality of individual projects, a more standardised approach was pioneered in California’s compliance offset programme with the aim to mitigate over-crediting</w:t>
      </w:r>
      <w:bookmarkStart w:id="19" w:name="_Hlk205306368"/>
      <w:r w:rsidR="000948E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{"citationID":"tiZP0dH4","properties":{"unsorted":false,"formattedCitation":"\\super 20\\nosupersub{}","plainCitation":"20","noteIndex":0},"citationItems":[{"id":2817,"uris":["http://zotero.org/groups/4647276/items/IANNQYK9"],"itemData":{"id":2817,"type":"article-journal","abstract":"Carbon offsets allow greenhouse gas emitters to comply with an emissions cap by paying others outside of the capped sectors to reduce emissions. The first major carbon offset programme, the United Nations’ Clean Development Mechanism (CDM), has been criticized for generating a large number of credits from projects that do not actually reduce emissions. Following the controversial CDM experience, California pioneered a second-generation compliance offset programme that shifts the focus of quality control from assessments of individual projects to the development of offset protocols, which define project type-specific eligibility criteria and methods for estimating emissions reductions. We assess the ability of California’s ‘standardized approach’ to mitigate the risk of over-crediting greenhouse gas reductions by reviewing the development of two California offset protocols – Mine Methane Capture and Rice Cultivation. We examine the regulator’s treatment of three sources of over-crediting under the CDM: non-additional projects, inflated counterfactual baseline scenarios, and perverse incentives that inadvertently increase emissions. We find that the standardized approach offers the ability to reduce, but not eliminate, the risk of over-crediting. This requires careful protocol-scale analysis, conservative methods for estimating reductions, ongoing monitoring of programme outcomes, and restricting participation to project types with manageable levels of uncertainty in emission reductions. However, several of these elements are missing from California’s regime, and even best practices result in significant uncertainty in true emission reductions. Relying on carbon offsets to lower compliance costs risks lessening total emission reductions and increases uncertainty in whether an emissions target has been met.Key policy insights Substantial and ongoing oversight by offset programme administrators is needed to contain uncertainty and avoid over-crediting. California’s Mine Methane Capture Protocol may have influenced federal decisions not to regulate methane emissions from coal mines on federally-owned lands.Government priorities and methodological choices drive outcomes in carbon pricing policies with large offset programmes, contrary to the common perception that these policies delegate decision-making to private actors.Offsets are better understood as a way for regulated emitters to invest in an incentive programme that achieves difficult-to-estimate emission reductions, than as accurately quantified tons of reductions.","container-title":"Climate Policy","DOI":"10.1080/14693062.2020.1781035","ISSN":"1469-3062","issue":"9","note":"publisher: Taylor &amp; Francis\n_eprint: https://doi.org/10.1080/14693062.2020.1781035","page":"1112-1126","source":"Taylor and Francis+NEJM","title":"Managing uncertainty in carbon offsets: insights from California’s standardized approach","title-short":"Managing uncertainty in carbon offsets","volume":"20","author":[{"family":"Haya","given":"Barbara"},{"family":"Cullenward","given":"Danny"},{"family":"Strong","given":"Aaron L."},{"family":"Grubert","given":"Emily"},{"family":"Heilmayr","given":"Robert"},{"family":"Sivas","given":"Deborah A."},{"family":"Wara","given":"Michael"}],"issued":{"date-parts":[["2020",10,20]]}}}],"schema":"https://github.com/citation-style-language/schema/raw/master/csl-citation.json"} </w:instrText>
      </w:r>
      <w:r w:rsidR="000948E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20</w:t>
      </w:r>
      <w:r w:rsidR="000948E1" w:rsidRPr="00D16AB0">
        <w:rPr>
          <w:rFonts w:ascii="Arial" w:hAnsi="Arial" w:cs="Arial"/>
          <w:sz w:val="21"/>
          <w:szCs w:val="21"/>
          <w:lang w:val="en-GB"/>
        </w:rPr>
        <w:fldChar w:fldCharType="end"/>
      </w:r>
      <w:bookmarkEnd w:id="19"/>
      <w:r w:rsidRPr="00D16AB0">
        <w:rPr>
          <w:rFonts w:ascii="Arial" w:hAnsi="Arial" w:cs="Arial"/>
          <w:sz w:val="21"/>
          <w:szCs w:val="21"/>
          <w:lang w:val="en-GB"/>
        </w:rPr>
        <w:t>. The standardised offset crediting adopts standard criteria to determine the eligibility and additionality of projects and quantifies GHG emission reductions based on standard baseline assumptions, emission factors and monitoring methods. Even with the setting of pre-determined project type-specific criteria, policy administrators still need substantial and ongoing oversight to screen for uncertainty under information asymmetries</w:t>
      </w:r>
      <w:r w:rsidR="000948E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{"citationID":"CZ0MceAi","properties":{"unsorted":false,"formattedCitation":"\\super 20\\nosupersub{}","plainCitation":"20","noteIndex":0},"citationItems":[{"id":2817,"uris":["http://zotero.org/groups/4647276/items/IANNQYK9"],"itemData":{"id":2817,"type":"article-journal","abstract":"Carbon offsets allow greenhouse gas emitters to comply with an emissions cap by paying others outside of the capped sectors to reduce emissions. The first major carbon offset programme, the United Nations’ Clean Development Mechanism (CDM), has been criticized for generating a large number of credits from projects that do not actually reduce emissions. Following the controversial CDM experience, California pioneered a second-generation compliance offset programme that shifts the focus of quality control from assessments of individual projects to the development of offset protocols, which define project type-specific eligibility criteria and methods for estimating emissions reductions. We assess the ability of California’s ‘standardized approach’ to mitigate the risk of over-crediting greenhouse gas reductions by reviewing the development of two California offset protocols – Mine Methane Capture and Rice Cultivation. We examine the regulator’s treatment of three sources of over-crediting under the CDM: non-additional projects, inflated counterfactual baseline scenarios, and perverse incentives that inadvertently increase emissions. We find that the standardized approach offers the ability to reduce, but not eliminate, the risk of over-crediting. This requires careful protocol-scale analysis, conservative methods for estimating reductions, ongoing monitoring of programme outcomes, and restricting participation to project types with manageable levels of uncertainty in emission reductions. However, several of these elements are missing from California’s regime, and even best practices result in significant uncertainty in true emission reductions. Relying on carbon offsets to lower compliance costs risks lessening total emission reductions and increases uncertainty in whether an emissions target has been met.Key policy insights Substantial and ongoing oversight by offset programme administrators is needed to contain uncertainty and avoid over-crediting. California’s Mine Methane Capture Protocol may have influenced federal decisions not to regulate methane emissions from coal mines on federally-owned lands.Government priorities and methodological choices drive outcomes in carbon pricing policies with large offset programmes, contrary to the common perception that these policies delegate decision-making to private actors.Offsets are better understood as a way for regulated emitters to invest in an incentive programme that achieves difficult-to-estimate emission reductions, than as accurately quantified tons of reductions.","container-title":"Climate Policy","DOI":"10.1080/14693062.2020.1781035","ISSN":"1469-3062","issue":"9","note":"publisher: Taylor &amp; Francis\n_eprint: https://doi.org/10.1080/14693062.2020.1781035","page":"1112-1126","source":"Taylor and Francis+NEJM","title":"Managing uncertainty in carbon offsets: insights from California’s standardized approach","title-short":"Managing uncertainty in carbon offsets","volume":"20","author":[{"family":"Haya","given":"Barbara"},{"family":"Cullenward","given":"Danny"},{"family":"Strong","given":"Aaron L."},{"family":"Grubert","given":"Emily"},{"family":"Heilmayr","given":"Robert"},{"family":"Sivas","given":"Deborah A."},{"family":"Wara","given":"Michael"}],"issued":{"date-parts":[["2020",10,20]]}}}],"schema":"https://github.com/citation-style-language/schema/raw/master/csl-citation.json"} </w:instrText>
      </w:r>
      <w:r w:rsidR="000948E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20</w:t>
      </w:r>
      <w:r w:rsidR="000948E1" w:rsidRPr="00D16AB0">
        <w:rPr>
          <w:rFonts w:ascii="Arial" w:hAnsi="Arial" w:cs="Arial"/>
          <w:sz w:val="21"/>
          <w:szCs w:val="21"/>
          <w:lang w:val="en-GB"/>
        </w:rPr>
        <w:fldChar w:fldCharType="end"/>
      </w:r>
      <w:r w:rsidRPr="00D16AB0">
        <w:rPr>
          <w:rFonts w:ascii="Arial" w:hAnsi="Arial" w:cs="Arial"/>
          <w:sz w:val="21"/>
          <w:szCs w:val="21"/>
          <w:lang w:val="en-GB"/>
        </w:rPr>
        <w:t>; In addition, the quantification methodology design requires more industry expertise as well as market and financial analysis</w:t>
      </w:r>
      <w:r w:rsidR="000948E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{"citationID":"eWiCemsB","properties":{"unsorted":false,"formattedCitation":"\\super 20\\nosupersub{}","plainCitation":"20","noteIndex":0},"citationItems":[{"id":2817,"uris":["http://zotero.org/groups/4647276/items/IANNQYK9"],"itemData":{"id":2817,"type":"article-journal","abstract":"Carbon offsets allow greenhouse gas emitters to comply with an emissions cap by paying others outside of the capped sectors to reduce emissions. The first major carbon offset programme, the United Nations’ Clean Development Mechanism (CDM), has been criticized for generating a large number of credits from projects that do not actually reduce emissions. Following the controversial CDM experience, California pioneered a second-generation compliance offset programme that shifts the focus of quality control from assessments of individual projects to the development of offset protocols, which define project type-specific eligibility criteria and methods for estimating emissions reductions. We assess the ability of California’s ‘standardized approach’ to mitigate the risk of over-crediting greenhouse gas reductions by reviewing the development of two California offset protocols – Mine Methane Capture and Rice Cultivation. We examine the regulator’s treatment of three sources of over-crediting under the CDM: non-additional projects, inflated counterfactual baseline scenarios, and perverse incentives that inadvertently increase emissions. We find that the standardized approach offers the ability to reduce, but not eliminate, the risk of over-crediting. This requires careful protocol-scale analysis, conservative methods for estimating reductions, ongoing monitoring of programme outcomes, and restricting participation to project types with manageable levels of uncertainty in emission reductions. However, several of these elements are missing from California’s regime, and even best practices result in significant uncertainty in true emission reductions. Relying on carbon offsets to lower compliance costs risks lessening total emission reductions and increases uncertainty in whether an emissions target has been met.Key policy insights Substantial and ongoing oversight by offset programme administrators is needed to contain uncertainty and avoid over-crediting. California’s Mine Methane Capture Protocol may have influenced federal decisions not to regulate methane emissions from coal mines on federally-owned lands.Government priorities and methodological choices drive outcomes in carbon pricing policies with large offset programmes, contrary to the common perception that these policies delegate decision-making to private actors.Offsets are better understood as a way for regulated emitters to invest in an incentive programme that achieves difficult-to-estimate emission reductions, than as accurately quantified tons of reductions.","container-title":"Climate Policy","DOI":"10.1080/14693062.2020.1781035","ISSN":"1469-3062","issue":"9","note":"publisher: Taylor &amp; Francis\n_eprint: https://doi.org/10.1080/14693062.2020.1781035","page":"1112-1126","source":"Taylor and Francis+NEJM","title":"Managing uncertainty in carbon offsets: insights from California’s standardized approach","title-short":"Managing uncertainty in carbon offsets","volume":"20","author":[{"family":"Haya","given":"Barbara"},{"family":"Cullenward","given":"Danny"},{"family":"Strong","given":"Aaron L."},{"family":"Grubert","given":"Emily"},{"family":"Heilmayr","given":"Robert"},{"family":"Sivas","given":"Deborah A."},{"family":"Wara","given":"Michael"}],"issued":{"date-parts":[["2020",10,20]]}}}],"schema":"https://github.com/citation-style-language/schema/raw/master/csl-citation.json"} </w:instrText>
      </w:r>
      <w:r w:rsidR="000948E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20</w:t>
      </w:r>
      <w:r w:rsidR="000948E1" w:rsidRPr="00D16AB0">
        <w:rPr>
          <w:rFonts w:ascii="Arial" w:hAnsi="Arial" w:cs="Arial"/>
          <w:sz w:val="21"/>
          <w:szCs w:val="21"/>
          <w:lang w:val="en-GB"/>
        </w:rPr>
        <w:fldChar w:fldCharType="end"/>
      </w:r>
      <w:r w:rsidRPr="00D16AB0">
        <w:rPr>
          <w:rFonts w:ascii="Arial" w:hAnsi="Arial" w:cs="Arial"/>
          <w:sz w:val="21"/>
          <w:szCs w:val="21"/>
          <w:lang w:val="en-GB"/>
        </w:rPr>
        <w:t>.</w:t>
      </w:r>
    </w:p>
    <w:p w14:paraId="758B400B" w14:textId="2D5AFADF" w:rsidR="0074297A" w:rsidRDefault="00AE27E4"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rPr>
        <w:t>Overall, the carbon offset mechanism has evolved dynamically and introduced reforms to improve credibility, transparency, and climate effectiveness. The variations across different registries also reflect different priorities and operational contexts.</w:t>
      </w:r>
    </w:p>
    <w:p w14:paraId="003DE1C1" w14:textId="77777777" w:rsidR="00A7270E" w:rsidRPr="00D16AB0" w:rsidRDefault="00A7270E" w:rsidP="00961066">
      <w:pPr>
        <w:pStyle w:val="SMText"/>
        <w:spacing w:beforeLines="50" w:before="120" w:afterLines="50" w:after="120" w:line="276" w:lineRule="auto"/>
        <w:ind w:firstLine="0"/>
        <w:rPr>
          <w:rFonts w:ascii="Arial" w:hAnsi="Arial" w:cs="Arial"/>
          <w:sz w:val="21"/>
          <w:szCs w:val="21"/>
          <w:lang w:val="en-GB" w:eastAsia="zh-CN"/>
        </w:rPr>
      </w:pPr>
    </w:p>
    <w:p w14:paraId="48DB3F47" w14:textId="70BC67AA" w:rsidR="003C4179" w:rsidRPr="00D16AB0" w:rsidRDefault="006349CD"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20" w:name="_Toc214984834"/>
      <w:bookmarkStart w:id="21" w:name="_Toc214985820"/>
      <w:bookmarkStart w:id="22" w:name="_Toc214986962"/>
      <w:r w:rsidRPr="00D16AB0">
        <w:rPr>
          <w:rFonts w:ascii="Arial" w:hAnsi="Arial" w:cs="Arial"/>
          <w:b/>
          <w:bCs/>
          <w:sz w:val="21"/>
          <w:szCs w:val="21"/>
          <w:u w:val="none"/>
          <w:lang w:val="en-GB"/>
        </w:rPr>
        <w:t>Additionality tests</w:t>
      </w:r>
      <w:bookmarkEnd w:id="20"/>
      <w:bookmarkEnd w:id="21"/>
      <w:bookmarkEnd w:id="22"/>
    </w:p>
    <w:p w14:paraId="034E276F" w14:textId="30808D6E" w:rsidR="00E179E0" w:rsidRPr="00D16AB0" w:rsidRDefault="009D1CDD"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Carbon offsets must be ‘real, additional, quantifiable, permanent</w:t>
      </w:r>
      <w:r w:rsidR="00003BB9" w:rsidRPr="00D16AB0">
        <w:rPr>
          <w:rFonts w:ascii="Arial" w:hAnsi="Arial" w:cs="Arial"/>
          <w:color w:val="000000" w:themeColor="text1"/>
          <w:sz w:val="21"/>
          <w:szCs w:val="21"/>
          <w:lang w:val="en-GB"/>
        </w:rPr>
        <w:fldChar w:fldCharType="begin"/>
      </w:r>
      <w:r w:rsidR="001A6C96" w:rsidRPr="00D16AB0">
        <w:rPr>
          <w:rFonts w:ascii="Arial" w:hAnsi="Arial" w:cs="Arial"/>
          <w:color w:val="000000" w:themeColor="text1"/>
          <w:sz w:val="21"/>
          <w:szCs w:val="21"/>
          <w:lang w:val="en-GB"/>
        </w:rPr>
        <w:instrText xml:space="preserve"> ADDIN ZOTERO_ITEM CSL_CITATION {"citationID":"a252p0mg0fv","properties":{"formattedCitation":"\\super 32\\nosupersub{}","plainCitation":"32","noteIndex":0},"citationItems":[{"id":3116,"uris":["http://zotero.org/groups/4647276/items/HC78JXS8","http://zotero.org/groups/4647276/items/4EMG9HZ3"],"itemData":{"id":3116,"type":"article-journal","abstract":"It is unclear how much carbon should be stored in temporary and risky offsets to compensate one ton of CO2 emissions. Here we cast the social value of an offset (SVO), measured in terms of economic damages avoided, as a well-defined fraction of the social cost of carbon reflecting offset duration, and risks of non-additionality and failure. The SVO reflects the value of temporary storage, and overcomes shortcomings in the climate science and economics of previous contributions1–4. The SVO is policy relevant. An efficient net-zero policy will consist of offsets if their SVO/cost ratio exceeds the benefit/cost ratio of alternatives. The SVO yields an indicator of the equivalence of offsets to permanent carbon storage measured by the ratio of the SVO to the social cost of carbon. We provide a matrix of equivalence factors for different risks, permanence and climate scenarios. Estimation yields a rule of thumb: one offset sequestering one ton for 50 years is equivalent to between 0.33 and 0.5 tons permanently locked away. Equivalence offers a means of replacing perpetual offset contracts by simpler, easy to monitor short-term contracts, has applications to carbon life cycle analysis5 and the valuation of carbon debts6, and can be the basis of comparing offsets of different qualities in the voluntary and compliance markets.","container-title":"Nature","DOI":"10.1038/s41586-023-06153-x","ISSN":"1476-4687","issue":"7971","language":"en","license":"2023 The Author(s), under exclusive licence to Springer Nature Limited","note":"publisher: Nature Publishing Group","page":"768-773","source":"www.nature.com","title":"The social value of offsets","volume":"619","author":[{"family":"Groom","given":"Ben"},{"family":"Venmans","given":"Frank"}],"issued":{"date-parts":[["2023",7]]}}}],"schema":"https://github.com/citation-style-language/schema/raw/master/csl-citation.json"} </w:instrText>
      </w:r>
      <w:r w:rsidR="00003BB9" w:rsidRPr="00D16AB0">
        <w:rPr>
          <w:rFonts w:ascii="Arial" w:hAnsi="Arial" w:cs="Arial"/>
          <w:color w:val="000000" w:themeColor="text1"/>
          <w:sz w:val="21"/>
          <w:szCs w:val="21"/>
          <w:lang w:val="en-GB"/>
        </w:rPr>
        <w:fldChar w:fldCharType="separate"/>
      </w:r>
      <w:r w:rsidR="001A6C96" w:rsidRPr="00D16AB0">
        <w:rPr>
          <w:rFonts w:ascii="Arial" w:hAnsi="Arial" w:cs="Arial"/>
          <w:color w:val="000000"/>
          <w:sz w:val="21"/>
          <w:szCs w:val="21"/>
          <w:vertAlign w:val="superscript"/>
        </w:rPr>
        <w:t>32</w:t>
      </w:r>
      <w:r w:rsidR="00003BB9" w:rsidRPr="00D16AB0">
        <w:rPr>
          <w:rFonts w:ascii="Arial" w:hAnsi="Arial" w:cs="Arial"/>
          <w:color w:val="000000" w:themeColor="text1"/>
          <w:sz w:val="21"/>
          <w:szCs w:val="21"/>
          <w:lang w:val="en-GB"/>
        </w:rPr>
        <w:fldChar w:fldCharType="end"/>
      </w:r>
      <w:r w:rsidRPr="00D16AB0">
        <w:rPr>
          <w:rFonts w:ascii="Arial" w:hAnsi="Arial" w:cs="Arial"/>
          <w:sz w:val="21"/>
          <w:szCs w:val="21"/>
          <w:lang w:val="en-GB"/>
        </w:rPr>
        <w:t>, verifiable, and enforceable’. At the core of the quality standards lies the concept of additionality, that is, carbon offset projects need to create genuine climate benefits that would not have occurred under a business-as-usual scenario</w:t>
      </w:r>
      <w:r w:rsidR="00883AE9" w:rsidRPr="00D16AB0">
        <w:rPr>
          <w:rFonts w:ascii="Arial" w:hAnsi="Arial" w:cs="Arial"/>
          <w:sz w:val="21"/>
          <w:szCs w:val="21"/>
          <w:lang w:val="en-GB"/>
        </w:rPr>
        <w:t>.</w:t>
      </w:r>
      <w:r w:rsidR="00675CD0" w:rsidRPr="00D16AB0">
        <w:rPr>
          <w:rFonts w:ascii="Arial" w:hAnsi="Arial" w:cs="Arial"/>
          <w:sz w:val="21"/>
          <w:szCs w:val="21"/>
          <w:lang w:val="en-GB"/>
        </w:rPr>
        <w:t xml:space="preserve"> </w:t>
      </w:r>
      <w:r w:rsidR="0041692B" w:rsidRPr="00D16AB0">
        <w:rPr>
          <w:rFonts w:ascii="Arial" w:hAnsi="Arial" w:cs="Arial"/>
          <w:sz w:val="21"/>
          <w:szCs w:val="21"/>
          <w:lang w:val="en-GB"/>
        </w:rPr>
        <w:t>Fig</w:t>
      </w:r>
      <w:r w:rsidR="003915AF" w:rsidRPr="00D16AB0">
        <w:rPr>
          <w:rFonts w:ascii="Arial" w:hAnsi="Arial" w:cs="Arial"/>
          <w:sz w:val="21"/>
          <w:szCs w:val="21"/>
          <w:lang w:val="en-GB"/>
        </w:rPr>
        <w:t>ure</w:t>
      </w:r>
      <w:r w:rsidR="0041692B" w:rsidRPr="00D16AB0">
        <w:rPr>
          <w:rFonts w:ascii="Arial" w:hAnsi="Arial" w:cs="Arial"/>
          <w:sz w:val="21"/>
          <w:szCs w:val="21"/>
          <w:lang w:val="en-GB"/>
        </w:rPr>
        <w:t xml:space="preserve"> </w:t>
      </w:r>
      <w:r w:rsidR="00F27CBB">
        <w:rPr>
          <w:rFonts w:ascii="Arial" w:hAnsi="Arial" w:cs="Arial"/>
          <w:sz w:val="21"/>
          <w:szCs w:val="21"/>
          <w:lang w:val="en-GB"/>
        </w:rPr>
        <w:t>2</w:t>
      </w:r>
      <w:r w:rsidRPr="00D16AB0">
        <w:rPr>
          <w:rFonts w:ascii="Arial" w:hAnsi="Arial" w:cs="Arial"/>
          <w:sz w:val="21"/>
          <w:szCs w:val="21"/>
          <w:lang w:val="en-GB"/>
        </w:rPr>
        <w:t xml:space="preserve"> summarises a variety of additionality tests.</w:t>
      </w:r>
    </w:p>
    <w:p w14:paraId="5BB38DDD" w14:textId="415EE47F" w:rsidR="004978F3" w:rsidRPr="00D16AB0" w:rsidRDefault="004170F8"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Historically, there have been four generic approaches to assessing additionality employed in methodologies submitted to CDM Executive Board (EB)</w:t>
      </w:r>
      <w:r w:rsidR="00003BB9"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{"citationID":"a1i2facbpf4","properties":{"unsorted":false,"formattedCitation":"\\super 33\\nosupersub{}","plainCitation":"33","noteIndex":0},"citationItems":[{"id":2765,"uris":["http://zotero.org/groups/4647276/items/L2CQN9RH"],"itemData":{"id":2765,"type":"article-journal","abstract":"The Clean Development Mechanism (CDM) under the Kyoto Protocol allows industrialized countries to use credits from greenhouse gas (GHG) abatement projects in developing countries. A key requirement of the CDM is that the emission reductions be real, measurable and additional. This article evaluates how the additionality of CDM projects has been assessed in practice. The analysis is mainly based on a systematic evaluation of 93 registered CDM projects and comes to the conclusion that the current tools for demonstrating additionality are in need of substantial improvement. In particular, the application of the barrier analysis is highly subjective and difficult to validate in an objective and transparent manner. Key assumptions regarding additionality are often not substantiated with credible, documented evidence. In a considerable number of cases it is questionable whether the emission reductions are actually additional. Based on these findings, practical recommendations for improving the assessment of additionality are provided.","container-title":"Climate Policy","DOI":"10.3763/cpol.2008.0533","ISSN":"1469-3062","issue":"3","note":"publisher: Taylor &amp; Francis","page":"242-254","source":"Taylor and Francis+NEJM","title":"Assessing the additionality of CDM projects: practical experiences and lessons learned","title-short":"Assessing the additionality of CDM projects","volume":"9","author":[{"family":"Schneider","given":"Lambert"}],"issued":{"date-parts":[["2009",1,1]]}}}],"schema":"https://github.com/citation-style-language/schema/raw/master/csl-citation.json"} </w:instrText>
      </w:r>
      <w:r w:rsidR="00003BB9"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33</w:t>
      </w:r>
      <w:r w:rsidR="00003BB9" w:rsidRPr="00D16AB0">
        <w:rPr>
          <w:rFonts w:ascii="Arial" w:hAnsi="Arial" w:cs="Arial"/>
          <w:sz w:val="21"/>
          <w:szCs w:val="21"/>
          <w:lang w:val="en-GB"/>
        </w:rPr>
        <w:fldChar w:fldCharType="end"/>
      </w:r>
      <w:r w:rsidRPr="00D16AB0">
        <w:rPr>
          <w:rFonts w:ascii="Arial" w:hAnsi="Arial" w:cs="Arial"/>
          <w:sz w:val="21"/>
          <w:szCs w:val="21"/>
          <w:lang w:val="en-GB"/>
        </w:rPr>
        <w:t xml:space="preserve"> and each of them has its own strengths and limitations:</w:t>
      </w:r>
    </w:p>
    <w:p w14:paraId="5E64156C" w14:textId="412B3594" w:rsidR="00CE6835" w:rsidRPr="00D16AB0" w:rsidRDefault="007D3653" w:rsidP="003246E1">
      <w:pPr>
        <w:pStyle w:val="SMText"/>
        <w:numPr>
          <w:ilvl w:val="0"/>
          <w:numId w:val="22"/>
        </w:numPr>
        <w:spacing w:beforeLines="50" w:before="120" w:afterLines="50" w:after="120" w:line="276" w:lineRule="auto"/>
        <w:rPr>
          <w:rFonts w:ascii="Arial" w:hAnsi="Arial" w:cs="Arial"/>
          <w:sz w:val="21"/>
          <w:szCs w:val="21"/>
          <w:lang w:val="en-GB"/>
        </w:rPr>
      </w:pPr>
      <w:r>
        <w:rPr>
          <w:rFonts w:ascii="Arial" w:hAnsi="Arial" w:cs="Arial" w:hint="eastAsia"/>
          <w:i/>
          <w:iCs/>
          <w:sz w:val="21"/>
          <w:szCs w:val="21"/>
          <w:lang w:val="en-GB" w:eastAsia="zh-CN"/>
        </w:rPr>
        <w:t xml:space="preserve"> </w:t>
      </w:r>
      <w:r w:rsidR="004170F8" w:rsidRPr="00D16AB0">
        <w:rPr>
          <w:rFonts w:ascii="Arial" w:hAnsi="Arial" w:cs="Arial"/>
          <w:i/>
          <w:iCs/>
          <w:sz w:val="21"/>
          <w:szCs w:val="21"/>
          <w:lang w:val="en-GB"/>
        </w:rPr>
        <w:t>Barrier analysis</w:t>
      </w:r>
      <w:r w:rsidR="004170F8" w:rsidRPr="00D16AB0">
        <w:rPr>
          <w:rFonts w:ascii="Arial" w:hAnsi="Arial" w:cs="Arial"/>
          <w:sz w:val="21"/>
          <w:szCs w:val="21"/>
          <w:lang w:val="en-GB"/>
        </w:rPr>
        <w:t xml:space="preserve"> requires demonstrating the existence of barriers (e.g., general financial risks, technological risks, general policy risks, incapability of management) that would prevent the project if not registered as a CDM activity. However, barriers are not always credible, highly subjective, vague, and difficult to validate</w:t>
      </w:r>
      <w:r w:rsidR="00003BB9"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{"citationID":"UkwR96ZI","properties":{"unsorted":false,"formattedCitation":"\\super 33\\nosupersub{}","plainCitation":"33","noteIndex":0},"citationItems":[{"id":2765,"uris":["http://zotero.org/groups/4647276/items/L2CQN9RH"],"itemData":{"id":2765,"type":"article-journal","abstract":"The Clean Development Mechanism (CDM) under the Kyoto Protocol allows industrialized countries to use credits from greenhouse gas (GHG) abatement projects in developing countries. A key requirement of the CDM is that the emission reductions be real, measurable and additional. This article evaluates how the additionality of CDM projects has been assessed in practice. The analysis is mainly based on a systematic evaluation of 93 registered CDM projects and comes to the conclusion that the current tools for demonstrating additionality are in need of substantial improvement. In particular, the application of the barrier analysis is highly subjective and difficult to validate in an objective and transparent manner. Key assumptions regarding additionality are often not substantiated with credible, documented evidence. In a considerable number of cases it is questionable whether the emission reductions are actually additional. Based on these findings, practical recommendations for improving the assessment of additionality are provided.","container-title":"Climate Policy","DOI":"10.3763/cpol.2008.0533","ISSN":"1469-3062","issue":"3","note":"publisher: Taylor &amp; Francis","page":"242-254","source":"Taylor and Francis+NEJM","title":"Assessing the additionality of CDM projects: practical experiences and lessons learned","title-short":"Assessing the additionality of CDM projects","volume":"9","author":[{"family":"Schneider","given":"Lambert"}],"issued":{"date-parts":[["2009",1,1]]}}}],"schema":"https://github.com/citation-style-language/schema/raw/master/csl-citation.json"} </w:instrText>
      </w:r>
      <w:r w:rsidR="00003BB9"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33</w:t>
      </w:r>
      <w:r w:rsidR="00003BB9" w:rsidRPr="00D16AB0">
        <w:rPr>
          <w:rFonts w:ascii="Arial" w:hAnsi="Arial" w:cs="Arial"/>
          <w:sz w:val="21"/>
          <w:szCs w:val="21"/>
          <w:lang w:val="en-GB"/>
        </w:rPr>
        <w:fldChar w:fldCharType="end"/>
      </w:r>
      <w:r w:rsidR="004170F8" w:rsidRPr="00D16AB0">
        <w:rPr>
          <w:rFonts w:ascii="Arial" w:hAnsi="Arial" w:cs="Arial"/>
          <w:sz w:val="21"/>
          <w:szCs w:val="21"/>
          <w:lang w:val="en-GB"/>
        </w:rPr>
        <w:t>. It is challenging to clearly show how non-monetary barriers can be overcome through carbon credit revenue and it is often associated with gaming by activity developers and strong controversies</w:t>
      </w:r>
      <w:r w:rsidR="00003BB9"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{"citationID":"9PjMEepu","properties":{"formattedCitation":"\\super 34\\nosupersub{}","plainCitation":"34","noteIndex":0},"citationItems":[{"id":"ZthMjOpd/5TEPnnMa","uris":["http://zotero.org/users/9291085/items/585NAQA5"],"itemData":{"id":1441,"type":"chapter","abstract":"The concept of the ‘additionality’ of the emission reduction achieved by a Clean Development Mechanism (CDM) project lies at the heart of the CDM rules. The essential idea underlying the concept of additionality is that the emissions reductions of a CDM project would not have happened under ‘business-as-usual’. This chapter considers how the concept of additionality has evolved over time both in its theoretical definition and its actual implementation regarding registration of CDM projects. It starts with a discussion of the inability of the negotiators of the Kyoto Protocol and the Marrakech Accords to agree on an operational definition of additionality. The unexpected effort of the CDM Executive Board to introduce principles of additionality testing and the development of the consolidated additionality tool are discussed in section 3. Recent developments that allow the use of benchmarks and default discount factors to take into account non-additional projects, instead of using the additionality tool, are assessed in section 4. Section 5 describes how projects have been reviewed and rejected over time, with the CDM Executive Board (EB) developing ‘fashions’ of rejecting certain project types without prior warning. The fate of cement blending and waste heat recovery projects is assessed in detail. Given this situation, several proposals for reform of additionality testing have been made, which are dealt with in section 6. Section 7 discusses what would happen if additionality testing was scrapped. Section 8 summarizes the lessons of five years of additionality determination of CDM projects.","container-title":"Legal Aspects of Carbon Trading: Kyoto, Copenhagen, and beyond","ISBN":"978-0-19-956593-1","note":"DOI: 10.1093/acprof:oso/9780199565931.003.0012","page":"0","publisher":"Oxford University Press","source":"Silverchair","title":"Interpreting the Additionality of CDM Projects: Changes in Additionality Definitions and Regulatory Practices over Time","title-short":"Interpreting the Additionality of CDM Projects","URL":"https://doi.org/10.1093/acprof:oso/9780199565931.003.0012","author":[{"family":"Michaelowa","given":"Axel"}],"editor":[{"family":"Freestone","given":"David"},{"family":"Streck","given":"Charlotte"}],"accessed":{"date-parts":[["2023",6,12]]},"issued":{"date-parts":[["2009",10,1]]}}}],"schema":"https://github.com/citation-style-language/schema/raw/master/csl-citation.json"} </w:instrText>
      </w:r>
      <w:r w:rsidR="00003BB9"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34</w:t>
      </w:r>
      <w:r w:rsidR="00003BB9" w:rsidRPr="00D16AB0">
        <w:rPr>
          <w:rFonts w:ascii="Arial" w:hAnsi="Arial" w:cs="Arial"/>
          <w:sz w:val="21"/>
          <w:szCs w:val="21"/>
          <w:lang w:val="en-GB"/>
        </w:rPr>
        <w:fldChar w:fldCharType="end"/>
      </w:r>
      <w:r w:rsidR="004170F8" w:rsidRPr="00D16AB0">
        <w:rPr>
          <w:rFonts w:ascii="Arial" w:hAnsi="Arial" w:cs="Arial"/>
          <w:sz w:val="21"/>
          <w:szCs w:val="21"/>
          <w:lang w:val="en-GB"/>
        </w:rPr>
        <w:t>. Due to its frequent rejection of registration requests by the CDM EB and criticism by NGOs and researchers, barrier analysis has increasingly been seen as lacking robustness and no longer applied</w:t>
      </w:r>
      <w:r w:rsidR="00003BB9"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{"citationID":"gV1B2w7g","properties":{"formattedCitation":"\\super 34\\nosupersub{}","plainCitation":"34","noteIndex":0},"citationItems":[{"id":"ZthMjOpd/5TEPnnMa","uris":["http://zotero.org/users/9291085/items/585NAQA5"],"itemData":{"id":1441,"type":"chapter","abstract":"The concept of the ‘additionality’ of the emission reduction achieved by a Clean Development Mechanism (CDM) project lies at the heart of the CDM rules. The essential idea underlying the concept of additionality is that the emissions reductions of a CDM project would not have happened under ‘business-as-usual’. This chapter considers how the concept of additionality has evolved over time both in its theoretical definition and its actual implementation regarding registration of CDM projects. It starts with a discussion of the inability of the negotiators of the Kyoto Protocol and the Marrakech Accords to agree on an operational definition of additionality. The unexpected effort of the CDM Executive Board to introduce principles of additionality testing and the development of the consolidated additionality tool are discussed in section 3. Recent developments that allow the use of benchmarks and default discount factors to take into account non-additional projects, instead of using the additionality tool, are assessed in section 4. Section 5 describes how projects have been reviewed and rejected over time, with the CDM Executive Board (EB) developing ‘fashions’ of rejecting certain project types without prior warning. The fate of cement blending and waste heat recovery projects is assessed in detail. Given this situation, several proposals for reform of additionality testing have been made, which are dealt with in section 6. Section 7 discusses what would happen if additionality testing was scrapped. Section 8 summarizes the lessons of five years of additionality determination of CDM projects.","container-title":"Legal Aspects of Carbon Trading: Kyoto, Copenhagen, and beyond","ISBN":"978-0-19-956593-1","note":"DOI: 10.1093/acprof:oso/9780199565931.003.0012","page":"0","publisher":"Oxford University Press","source":"Silverchair","title":"Interpreting the Additionality of CDM Projects: Changes in Additionality Definitions and Regulatory Practices over Time","title-short":"Interpreting the Additionality of CDM Projects","URL":"https://doi.org/10.1093/acprof:oso/9780199565931.003.0012","author":[{"family":"Michaelowa","given":"Axel"}],"editor":[{"family":"Freestone","given":"David"},{"family":"Streck","given":"Charlotte"}],"accessed":{"date-parts":[["2023",6,12]]},"issued":{"date-parts":[["2009",10,1]]}}}],"schema":"https://github.com/citation-style-language/schema/raw/master/csl-citation.json"} </w:instrText>
      </w:r>
      <w:r w:rsidR="00003BB9"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34</w:t>
      </w:r>
      <w:r w:rsidR="00003BB9" w:rsidRPr="00D16AB0">
        <w:rPr>
          <w:rFonts w:ascii="Arial" w:hAnsi="Arial" w:cs="Arial"/>
          <w:sz w:val="21"/>
          <w:szCs w:val="21"/>
          <w:lang w:val="en-GB"/>
        </w:rPr>
        <w:fldChar w:fldCharType="end"/>
      </w:r>
      <w:r w:rsidR="004170F8" w:rsidRPr="00D16AB0">
        <w:rPr>
          <w:rFonts w:ascii="Arial" w:hAnsi="Arial" w:cs="Arial"/>
          <w:sz w:val="21"/>
          <w:szCs w:val="21"/>
          <w:lang w:val="en-GB"/>
        </w:rPr>
        <w:t>.</w:t>
      </w:r>
    </w:p>
    <w:p w14:paraId="6C5F3AED" w14:textId="60464A78" w:rsidR="005E59F6" w:rsidRPr="00D16AB0" w:rsidRDefault="004170F8" w:rsidP="00693FD7">
      <w:pPr>
        <w:pStyle w:val="SMText"/>
        <w:numPr>
          <w:ilvl w:val="0"/>
          <w:numId w:val="22"/>
        </w:numPr>
        <w:spacing w:beforeLines="50" w:before="120" w:afterLines="50" w:after="120" w:line="276" w:lineRule="auto"/>
        <w:rPr>
          <w:rFonts w:ascii="Arial" w:hAnsi="Arial" w:cs="Arial"/>
          <w:sz w:val="21"/>
          <w:szCs w:val="21"/>
          <w:lang w:val="en-GB"/>
        </w:rPr>
      </w:pPr>
      <w:r w:rsidRPr="00D16AB0">
        <w:rPr>
          <w:rFonts w:ascii="Arial" w:hAnsi="Arial" w:cs="Arial"/>
          <w:i/>
          <w:iCs/>
          <w:sz w:val="21"/>
          <w:szCs w:val="21"/>
          <w:lang w:val="en-GB"/>
        </w:rPr>
        <w:t>Investment analysis</w:t>
      </w:r>
      <w:r w:rsidRPr="00D16AB0">
        <w:rPr>
          <w:rFonts w:ascii="Arial" w:hAnsi="Arial" w:cs="Arial"/>
          <w:sz w:val="21"/>
          <w:szCs w:val="21"/>
          <w:lang w:val="en-GB"/>
        </w:rPr>
        <w:t xml:space="preserve"> requires demonstrating the proposed project activity is economically or financially less attractive than at least one credible alternative. As the barrier analysis fell out of favour, the investment test became the default approach with auditors and regulators</w:t>
      </w:r>
      <w:r w:rsidR="00FE4237"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{"citationID":"DhdNHa85","properties":{"formattedCitation":"\\super 35\\nosupersub{}","plainCitation":"35","noteIndex":0},"citationItems":[{"id":"ZthMjOpd/m9uBKX2k","uris":["http://zotero.org/users/9291085/items/34GPYI8I"],"itemData":{"id":1472,"type":"article-journal","abstract":"The Paris Agreement requires mitigation contributions from all Parties. Therefore, the determination of additionality of activities under the market mechanisms of its Article 6 will need to be revisited. This paper provides recommendations on how to operationalize additionality under Article 6. We first review generic definitions of additionality and current approaches for testing of additionality before discussing under which conditions additionality testing of specific activities or policies is still necessary under the new context of the Paris Agreement, that is, in order to prevent increases of global emissions. We argue that the possibility of ‘hot air’ generation under nationally-determined contributions (NDCs) requires an independent check of the NDC’s ambition. If the NDC of the transferring country does contain ‘hot air’, or if the transferred emission reductions are not covered by the NDC, a dedicated additionality test should be required. While additionality tests of projects and programmes could continue to be done through investment analysis, for policy instruments new approaches are required. They should be differentiated according to type of policy instrument. For regulation, we suggest calculating the resulting pay-back period for technology users. If the regulation generates investments exceeding a payback period threshold, it could be deemed additional. Similarly, carbon pricing policies that generate a carbon price exceeding a threshold could qualify; for trading schemes an absence of over-allocation needs to be shown. The threshold should be differentiated according to country categories and rise over time.Key policy insights Without additionality testing, market mechanisms under the Paris Agreements might lead to an international diffusion of ‘hot air’. To avoid this, an independent assessment of NDC ambition is in order. Otherwise, activities under the mechanisms need to undergo specific additionality tests.Additionality testing of projects and programmes should build on the experience developed under the Kyoto Protocol mechanisms.Bold approaches are needed for assessing additionality of policies. To avoid cumbersome assessment of all activities triggered by such policies, highly aggregated approaches are suggested, ranging from payback period thresholds for technologies mandated by regulation to minimum price levels triggered by carbon pricing policies. Over time, the stringency of threshold values should increase.","container-title":"Climate Policy","DOI":"10.1080/14693062.2019.1628695","ISSN":"1469-3062","issue":"10","note":"publisher: Taylor &amp; Francis\n_eprint: https://doi.org/10.1080/14693062.2019.1628695","page":"1211-1224","source":"Taylor and Francis+NEJM","title":"Additionality revisited: guarding the integrity of market mechanisms under the Paris Agreement","title-short":"Additionality revisited","volume":"19","author":[{"family":"Michaelowa","given":"Axel"},{"family":"Hermwille","given":"Lukas"},{"family":"Obergassel","given":"Wolfgang"},{"family":"Butzengeiger","given":"Sonja"}],"issued":{"date-parts":[["2019",11,26]]}}}],"schema":"https://github.com/citation-style-language/schema/raw/master/csl-citation.json"} </w:instrText>
      </w:r>
      <w:r w:rsidR="00FE4237"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35</w:t>
      </w:r>
      <w:r w:rsidR="00FE4237" w:rsidRPr="00D16AB0">
        <w:rPr>
          <w:rFonts w:ascii="Arial" w:hAnsi="Arial" w:cs="Arial"/>
          <w:sz w:val="21"/>
          <w:szCs w:val="21"/>
          <w:lang w:val="en-GB"/>
        </w:rPr>
        <w:fldChar w:fldCharType="end"/>
      </w:r>
      <w:r w:rsidRPr="00D16AB0">
        <w:rPr>
          <w:rFonts w:ascii="Arial" w:hAnsi="Arial" w:cs="Arial"/>
          <w:sz w:val="21"/>
          <w:szCs w:val="21"/>
          <w:lang w:val="en-GB"/>
        </w:rPr>
        <w:t xml:space="preserve">. </w:t>
      </w:r>
      <w:r w:rsidRPr="00D16AB0">
        <w:rPr>
          <w:rFonts w:ascii="Arial" w:hAnsi="Arial" w:cs="Arial"/>
          <w:sz w:val="21"/>
          <w:szCs w:val="21"/>
          <w:lang w:val="en-GB"/>
        </w:rPr>
        <w:lastRenderedPageBreak/>
        <w:t>However, it did also face difficulty regarding the availability and transparency of financial data used in the calculation of the internal rate of return (IRR), causing risks of manipulation</w:t>
      </w:r>
      <w:r w:rsidR="00FE4237"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{"citationID":"8Kg2oHNo","properties":{"unsorted":false,"formattedCitation":"\\super 26\\nosupersub{}","plainCitation":"26","noteIndex":0},"citationItems":[{"id":2777,"uris":["http://zotero.org/groups/4647276/items/28E9QKTZ"],"itemData":{"id":2777,"type":"report","publisher":"Perspectives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00FE4237"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26</w:t>
      </w:r>
      <w:r w:rsidR="00FE4237" w:rsidRPr="00D16AB0">
        <w:rPr>
          <w:rFonts w:ascii="Arial" w:hAnsi="Arial" w:cs="Arial"/>
          <w:sz w:val="21"/>
          <w:szCs w:val="21"/>
          <w:lang w:val="en-GB"/>
        </w:rPr>
        <w:fldChar w:fldCharType="end"/>
      </w:r>
      <w:r w:rsidRPr="00D16AB0">
        <w:rPr>
          <w:rFonts w:ascii="Arial" w:hAnsi="Arial" w:cs="Arial"/>
          <w:sz w:val="21"/>
          <w:szCs w:val="21"/>
          <w:lang w:val="en-GB"/>
        </w:rPr>
        <w:t>.</w:t>
      </w:r>
    </w:p>
    <w:p w14:paraId="4F1A5015" w14:textId="160D6CEA" w:rsidR="00393E0D" w:rsidRPr="00D16AB0" w:rsidRDefault="004170F8" w:rsidP="00693FD7">
      <w:pPr>
        <w:pStyle w:val="SMText"/>
        <w:numPr>
          <w:ilvl w:val="0"/>
          <w:numId w:val="22"/>
        </w:numPr>
        <w:spacing w:beforeLines="50" w:before="120" w:afterLines="50" w:after="120" w:line="276" w:lineRule="auto"/>
        <w:rPr>
          <w:rFonts w:ascii="Arial" w:hAnsi="Arial" w:cs="Arial"/>
          <w:sz w:val="21"/>
          <w:szCs w:val="21"/>
          <w:lang w:val="en-GB"/>
        </w:rPr>
      </w:pPr>
      <w:r w:rsidRPr="00D16AB0">
        <w:rPr>
          <w:rFonts w:ascii="Arial" w:hAnsi="Arial" w:cs="Arial"/>
          <w:i/>
          <w:iCs/>
          <w:sz w:val="21"/>
          <w:szCs w:val="21"/>
          <w:lang w:val="en-GB"/>
        </w:rPr>
        <w:t>Common practice analysis</w:t>
      </w:r>
      <w:r w:rsidRPr="00D16AB0">
        <w:rPr>
          <w:rFonts w:ascii="Arial" w:hAnsi="Arial" w:cs="Arial"/>
          <w:sz w:val="21"/>
          <w:szCs w:val="21"/>
          <w:lang w:val="en-GB"/>
        </w:rPr>
        <w:t xml:space="preserve"> assesses the extent to which the proposed project type has already been implemented in the relevant sector and region. While it provides more objective quantitative information, project participants tend to define their technology so narrowly that no comparable projects, or only a few, are identified</w:t>
      </w:r>
      <w:r w:rsidR="00A24FCC"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{"citationID":"es3iA8RJ","properties":{"unsorted":false,"formattedCitation":"\\super 33\\nosupersub{}","plainCitation":"33","noteIndex":0},"citationItems":[{"id":2765,"uris":["http://zotero.org/groups/4647276/items/L2CQN9RH"],"itemData":{"id":2765,"type":"article-journal","abstract":"The Clean Development Mechanism (CDM) under the Kyoto Protocol allows industrialized countries to use credits from greenhouse gas (GHG) abatement projects in developing countries. A key requirement of the CDM is that the emission reductions be real, measurable and additional. This article evaluates how the additionality of CDM projects has been assessed in practice. The analysis is mainly based on a systematic evaluation of 93 registered CDM projects and comes to the conclusion that the current tools for demonstrating additionality are in need of substantial improvement. In particular, the application of the barrier analysis is highly subjective and difficult to validate in an objective and transparent manner. Key assumptions regarding additionality are often not substantiated with credible, documented evidence. In a considerable number of cases it is questionable whether the emission reductions are actually additional. Based on these findings, practical recommendations for improving the assessment of additionality are provided.","container-title":"Climate Policy","DOI":"10.3763/cpol.2008.0533","ISSN":"1469-3062","issue":"3","note":"publisher: Taylor &amp; Francis","page":"242-254","source":"Taylor and Francis+NEJM","title":"Assessing the additionality of CDM projects: practical experiences and lessons learned","title-short":"Assessing the additionality of CDM projects","volume":"9","author":[{"family":"Schneider","given":"Lambert"}],"issued":{"date-parts":[["2009",1,1]]}}}],"schema":"https://github.com/citation-style-language/schema/raw/master/csl-citation.json"} </w:instrText>
      </w:r>
      <w:r w:rsidR="00A24FCC"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33</w:t>
      </w:r>
      <w:r w:rsidR="00A24FCC" w:rsidRPr="00D16AB0">
        <w:rPr>
          <w:rFonts w:ascii="Arial" w:hAnsi="Arial" w:cs="Arial"/>
          <w:sz w:val="21"/>
          <w:szCs w:val="21"/>
          <w:lang w:val="en-GB"/>
        </w:rPr>
        <w:fldChar w:fldCharType="end"/>
      </w:r>
      <w:r w:rsidRPr="00D16AB0">
        <w:rPr>
          <w:rFonts w:ascii="Arial" w:hAnsi="Arial" w:cs="Arial"/>
          <w:sz w:val="21"/>
          <w:szCs w:val="21"/>
          <w:lang w:val="en-GB"/>
        </w:rPr>
        <w:t>.</w:t>
      </w:r>
    </w:p>
    <w:p w14:paraId="32B034D0" w14:textId="30EBA679" w:rsidR="00237A74" w:rsidRPr="00D16AB0" w:rsidRDefault="004170F8" w:rsidP="00693FD7">
      <w:pPr>
        <w:pStyle w:val="SMText"/>
        <w:numPr>
          <w:ilvl w:val="0"/>
          <w:numId w:val="22"/>
        </w:numPr>
        <w:spacing w:beforeLines="50" w:before="120" w:afterLines="50" w:after="120" w:line="276" w:lineRule="auto"/>
        <w:rPr>
          <w:rFonts w:ascii="Arial" w:hAnsi="Arial" w:cs="Arial"/>
          <w:sz w:val="21"/>
          <w:szCs w:val="21"/>
          <w:lang w:val="en-GB"/>
        </w:rPr>
      </w:pPr>
      <w:r w:rsidRPr="00D16AB0">
        <w:rPr>
          <w:rFonts w:ascii="Arial" w:hAnsi="Arial" w:cs="Arial"/>
          <w:i/>
          <w:iCs/>
          <w:sz w:val="21"/>
          <w:szCs w:val="21"/>
          <w:lang w:val="en-GB"/>
        </w:rPr>
        <w:t>Positive lists</w:t>
      </w:r>
      <w:r w:rsidRPr="00D16AB0">
        <w:rPr>
          <w:rFonts w:ascii="Arial" w:hAnsi="Arial" w:cs="Arial"/>
          <w:sz w:val="21"/>
          <w:szCs w:val="21"/>
          <w:lang w:val="en-GB"/>
        </w:rPr>
        <w:t xml:space="preserve"> define project categories that are assumed to be additional, allowing for some false positives to simplify administrative processes. Only a small number of projects </w:t>
      </w:r>
      <w:r w:rsidR="008311BF" w:rsidRPr="00D16AB0">
        <w:rPr>
          <w:rFonts w:ascii="Arial" w:hAnsi="Arial" w:cs="Arial"/>
          <w:sz w:val="21"/>
          <w:szCs w:val="21"/>
          <w:lang w:val="en-GB"/>
        </w:rPr>
        <w:t xml:space="preserve">in certain regions </w:t>
      </w:r>
      <w:r w:rsidRPr="00D16AB0">
        <w:rPr>
          <w:rFonts w:ascii="Arial" w:hAnsi="Arial" w:cs="Arial"/>
          <w:sz w:val="21"/>
          <w:szCs w:val="21"/>
          <w:lang w:val="en-GB"/>
        </w:rPr>
        <w:t>that meet pre-specified criteria are exempt from testing and automatically qualify as offsets, with a predetermined formula to calculate emissions reductions</w:t>
      </w:r>
      <w:r w:rsidR="00E16FA4"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{"citationID":"a185cdhfh9k","properties":{"unsorted":false,"formattedCitation":"\\super 3\\nosupersub{}","plainCitation":"3","noteIndex":0},"citationItems":[{"id":2794,"uris":["http://zotero.org/groups/4647276/items/NIQTGZ5U"],"itemData":{"id":2794,"type":"document","abstract":"Carbon offset credits are not a simple commodity. As with many products whose quality is difficult for casual buyers to assess, standard-setting organizations have been established to provide quality assurance for carbon offsets. These carbon offset programs[1] range from international...","language":"en","publisher":"Greenhouse Gas Management Institute &amp; the Stockholm Environment Institute","title":"Securing climate benefit: A guide to using carbon offsets","URL":"https://www.offsetguide.org/pdf-download/","author":[{"family":"Broekhof","given":"Derik"},{"family":"Gillenwater","given":"Michael"},{"family":"Colbert-Sangree","given":"Tani"},{"family":"Cage","given":"Patrick"}],"accessed":{"date-parts":[["2023",6,13]]},"issued":{"date-parts":[["2019",11,13]]}}}],"schema":"https://github.com/citation-style-language/schema/raw/master/csl-citation.json"} </w:instrText>
      </w:r>
      <w:r w:rsidR="00E16FA4"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w:t>
      </w:r>
      <w:r w:rsidR="00E16FA4" w:rsidRPr="00D16AB0">
        <w:rPr>
          <w:rFonts w:ascii="Arial" w:hAnsi="Arial" w:cs="Arial"/>
          <w:sz w:val="21"/>
          <w:szCs w:val="21"/>
          <w:lang w:val="en-GB"/>
        </w:rPr>
        <w:fldChar w:fldCharType="end"/>
      </w:r>
      <w:r w:rsidRPr="00D16AB0">
        <w:rPr>
          <w:rFonts w:ascii="Arial" w:hAnsi="Arial" w:cs="Arial"/>
          <w:sz w:val="21"/>
          <w:szCs w:val="21"/>
          <w:lang w:val="en-GB"/>
        </w:rPr>
        <w:t>. While positive lists for automatic additionality offer clear benefits such as the reduction of controversial loopholes and manipulation, they struggle to account for country- or sector-specific contexts</w:t>
      </w:r>
      <w:r w:rsidR="00E16FA4"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{"citationID":"UIxTllje","properties":{"formattedCitation":"\\super 36\\nosupersub{}","plainCitation":"36","noteIndex":0},"citationItems":[{"id":"ZthMjOpd/LDtu2l2D","uris":["http://zotero.org/users/9291085/items/QSALGXMY"],"itemData":{"id":1576,"type":"report","event-place":"Berlin","genre":"Report prepared for WWF","publisher":"Öko-Institut","publisher-place":"Berlin","title":"Is the CDM fulfilling its environmental and sustainable development objectives? An evaluation of the CDM and options for improvement","URL":"https://www.semanticscholar.org/paper/Is-the-CDM-fulfilling-its-environmental-and-objec-Herold-Carlino/e456e07c98dd9b8c1bf13a2ead996bf0661440af","author":[{"family":"Schneider","given":"Lambert"}],"accessed":{"date-parts":[["2023",6,28]]},"issued":{"date-parts":[["2007",11,5]]}}}],"schema":"https://github.com/citation-style-language/schema/raw/master/csl-citation.json"} </w:instrText>
      </w:r>
      <w:r w:rsidR="00E16FA4"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36</w:t>
      </w:r>
      <w:r w:rsidR="00E16FA4" w:rsidRPr="00D16AB0">
        <w:rPr>
          <w:rFonts w:ascii="Arial" w:hAnsi="Arial" w:cs="Arial"/>
          <w:sz w:val="21"/>
          <w:szCs w:val="21"/>
          <w:lang w:val="en-GB"/>
        </w:rPr>
        <w:fldChar w:fldCharType="end"/>
      </w:r>
      <w:r w:rsidRPr="00D16AB0">
        <w:rPr>
          <w:rFonts w:ascii="Arial" w:hAnsi="Arial" w:cs="Arial"/>
          <w:sz w:val="21"/>
          <w:szCs w:val="21"/>
          <w:lang w:val="en-GB"/>
        </w:rPr>
        <w:t>. In addition, positive lists can quickly become outdated</w:t>
      </w:r>
      <w:r w:rsidR="00E16FA4"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{"citationID":"PZHQ1zSl","properties":{"formattedCitation":"\\super 35\\nosupersub{}","plainCitation":"35","noteIndex":0},"citationItems":[{"id":"ZthMjOpd/m9uBKX2k","uris":["http://zotero.org/users/9291085/items/34GPYI8I"],"itemData":{"id":1472,"type":"article-journal","abstract":"The Paris Agreement requires mitigation contributions from all Parties. Therefore, the determination of additionality of activities under the market mechanisms of its Article 6 will need to be revisited. This paper provides recommendations on how to operationalize additionality under Article 6. We first review generic definitions of additionality and current approaches for testing of additionality before discussing under which conditions additionality testing of specific activities or policies is still necessary under the new context of the Paris Agreement, that is, in order to prevent increases of global emissions. We argue that the possibility of ‘hot air’ generation under nationally-determined contributions (NDCs) requires an independent check of the NDC’s ambition. If the NDC of the transferring country does contain ‘hot air’, or if the transferred emission reductions are not covered by the NDC, a dedicated additionality test should be required. While additionality tests of projects and programmes could continue to be done through investment analysis, for policy instruments new approaches are required. They should be differentiated according to type of policy instrument. For regulation, we suggest calculating the resulting pay-back period for technology users. If the regulation generates investments exceeding a payback period threshold, it could be deemed additional. Similarly, carbon pricing policies that generate a carbon price exceeding a threshold could qualify; for trading schemes an absence of over-allocation needs to be shown. The threshold should be differentiated according to country categories and rise over time.Key policy insights Without additionality testing, market mechanisms under the Paris Agreements might lead to an international diffusion of ‘hot air’. To avoid this, an independent assessment of NDC ambition is in order. Otherwise, activities under the mechanisms need to undergo specific additionality tests.Additionality testing of projects and programmes should build on the experience developed under the Kyoto Protocol mechanisms.Bold approaches are needed for assessing additionality of policies. To avoid cumbersome assessment of all activities triggered by such policies, highly aggregated approaches are suggested, ranging from payback period thresholds for technologies mandated by regulation to minimum price levels triggered by carbon pricing policies. Over time, the stringency of threshold values should increase.","container-title":"Climate Policy","DOI":"10.1080/14693062.2019.1628695","ISSN":"1469-3062","issue":"10","note":"publisher: Taylor &amp; Francis\n_eprint: https://doi.org/10.1080/14693062.2019.1628695","page":"1211-1224","source":"Taylor and Francis+NEJM","title":"Additionality revisited: guarding the integrity of market mechanisms under the Paris Agreement","title-short":"Additionality revisited","volume":"19","author":[{"family":"Michaelowa","given":"Axel"},{"family":"Hermwille","given":"Lukas"},{"family":"Obergassel","given":"Wolfgang"},{"family":"Butzengeiger","given":"Sonja"}],"issued":{"date-parts":[["2019",11,26]]}}}],"schema":"https://github.com/citation-style-language/schema/raw/master/csl-citation.json"} </w:instrText>
      </w:r>
      <w:r w:rsidR="00E16FA4"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35</w:t>
      </w:r>
      <w:r w:rsidR="00E16FA4" w:rsidRPr="00D16AB0">
        <w:rPr>
          <w:rFonts w:ascii="Arial" w:hAnsi="Arial" w:cs="Arial"/>
          <w:sz w:val="21"/>
          <w:szCs w:val="21"/>
          <w:lang w:val="en-GB"/>
        </w:rPr>
        <w:fldChar w:fldCharType="end"/>
      </w:r>
      <w:r w:rsidRPr="00D16AB0">
        <w:rPr>
          <w:rFonts w:ascii="Arial" w:hAnsi="Arial" w:cs="Arial"/>
          <w:sz w:val="21"/>
          <w:szCs w:val="21"/>
          <w:lang w:val="en-GB"/>
        </w:rPr>
        <w:t>. Under the CDM, positive lists have been slow to adapt. One case is that voluntary carbon market standards such as GS and Verra excluded grid-connected renewable energy projects in most countries due to general lack of additionality, when such projects still featured on a CDM positive list</w:t>
      </w:r>
      <w:bookmarkStart w:id="23" w:name="_Hlk213004510"/>
      <w:r w:rsidR="00E16FA4"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{"citationID":"ELhW10KO","properties":{"unsorted":false,"formattedCitation":"\\super 26\\nosupersub{}","plainCitation":"26","noteIndex":0},"citationItems":[{"id":2777,"uris":["http://zotero.org/groups/4647276/items/28E9QKTZ"],"itemData":{"id":2777,"type":"report","publisher":"Perspectives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00E16FA4"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26</w:t>
      </w:r>
      <w:r w:rsidR="00E16FA4" w:rsidRPr="00D16AB0">
        <w:rPr>
          <w:rFonts w:ascii="Arial" w:hAnsi="Arial" w:cs="Arial"/>
          <w:sz w:val="21"/>
          <w:szCs w:val="21"/>
          <w:lang w:val="en-GB"/>
        </w:rPr>
        <w:fldChar w:fldCharType="end"/>
      </w:r>
      <w:bookmarkEnd w:id="23"/>
      <w:r w:rsidR="00693FD7" w:rsidRPr="00D16AB0">
        <w:rPr>
          <w:rFonts w:ascii="Arial" w:hAnsi="Arial" w:cs="Arial"/>
          <w:sz w:val="21"/>
          <w:szCs w:val="21"/>
          <w:lang w:val="en-GB"/>
        </w:rPr>
        <w:t>.</w:t>
      </w:r>
    </w:p>
    <w:p w14:paraId="1363BD82" w14:textId="0A7D37D5" w:rsidR="0054013F" w:rsidRPr="00D16AB0" w:rsidRDefault="004170F8"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There are clear trade-offs between project-specific approaches and standardised approaches to determining additionality. Compared to following a set of pre-determined eligibility criteria, project-specific approaches could be more reliable and precise if applied rigorously</w:t>
      </w:r>
      <w:r w:rsidR="00AF4646"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{"citationID":"4vqbEAlm","properties":{"unsorted":false,"formattedCitation":"\\super 3\\nosupersub{}","plainCitation":"3","noteIndex":0},"citationItems":[{"id":2794,"uris":["http://zotero.org/groups/4647276/items/NIQTGZ5U"],"itemData":{"id":2794,"type":"document","abstract":"Carbon offset credits are not a simple commodity. As with many products whose quality is difficult for casual buyers to assess, standard-setting organizations have been established to provide quality assurance for carbon offsets. These carbon offset programs[1] range from international...","language":"en","publisher":"Greenhouse Gas Management Institute &amp; the Stockholm Environment Institute","title":"Securing climate benefit: A guide to using carbon offsets","URL":"https://www.offsetguide.org/pdf-download/","author":[{"family":"Broekhof","given":"Derik"},{"family":"Gillenwater","given":"Michael"},{"family":"Colbert-Sangree","given":"Tani"},{"family":"Cage","given":"Patrick"}],"accessed":{"date-parts":[["2023",6,13]]},"issued":{"date-parts":[["2019",11,13]]}}}],"schema":"https://github.com/citation-style-language/schema/raw/master/csl-citation.json"} </w:instrText>
      </w:r>
      <w:r w:rsidR="00AF4646"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w:t>
      </w:r>
      <w:r w:rsidR="00AF4646" w:rsidRPr="00D16AB0">
        <w:rPr>
          <w:rFonts w:ascii="Arial" w:hAnsi="Arial" w:cs="Arial"/>
          <w:sz w:val="21"/>
          <w:szCs w:val="21"/>
          <w:lang w:val="en-GB"/>
        </w:rPr>
        <w:fldChar w:fldCharType="end"/>
      </w:r>
      <w:r w:rsidRPr="00D16AB0">
        <w:rPr>
          <w:rFonts w:ascii="Arial" w:hAnsi="Arial" w:cs="Arial"/>
          <w:sz w:val="21"/>
          <w:szCs w:val="21"/>
          <w:lang w:val="en-GB"/>
        </w:rPr>
        <w:t>. However, they are time-consuming and depend too much on subjective judgements and expectations by offset programme staff and verifiers</w:t>
      </w:r>
      <w:r w:rsidR="00AF4646"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{"citationID":"xg7pKxfz","properties":{"formattedCitation":"\\super 36\\nosupersub{}","plainCitation":"36","noteIndex":0},"citationItems":[{"id":"ZthMjOpd/LDtu2l2D","uris":["http://zotero.org/users/9291085/items/QSALGXMY"],"itemData":{"id":1576,"type":"report","event-place":"Berlin","genre":"Report prepared for WWF","publisher":"Öko-Institut","publisher-place":"Berlin","title":"Is the CDM fulfilling its environmental and sustainable development objectives? An evaluation of the CDM and options for improvement","URL":"https://www.semanticscholar.org/paper/Is-the-CDM-fulfilling-its-environmental-and-objec-Herold-Carlino/e456e07c98dd9b8c1bf13a2ead996bf0661440af","author":[{"family":"Schneider","given":"Lambert"}],"accessed":{"date-parts":[["2023",6,28]]},"issued":{"date-parts":[["2007",11,5]]}}}],"schema":"https://github.com/citation-style-language/schema/raw/master/csl-citation.json"} </w:instrText>
      </w:r>
      <w:r w:rsidR="00AF4646"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36</w:t>
      </w:r>
      <w:r w:rsidR="00AF4646" w:rsidRPr="00D16AB0">
        <w:rPr>
          <w:rFonts w:ascii="Arial" w:hAnsi="Arial" w:cs="Arial"/>
          <w:sz w:val="21"/>
          <w:szCs w:val="21"/>
          <w:lang w:val="en-GB"/>
        </w:rPr>
        <w:fldChar w:fldCharType="end"/>
      </w:r>
      <w:r w:rsidRPr="00D16AB0">
        <w:rPr>
          <w:rFonts w:ascii="Arial" w:hAnsi="Arial" w:cs="Arial"/>
          <w:sz w:val="21"/>
          <w:szCs w:val="21"/>
          <w:lang w:val="en-GB"/>
        </w:rPr>
        <w:t>. While less burdensome, standardised approaches rely on upfront analysis to set these eligibility criteria, which also make it challenging to define objective criteria and set quantitative standards</w:t>
      </w:r>
      <w:r w:rsidR="00AF4646"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{"citationID":"IQXtZTn3","properties":{"unsorted":false,"formattedCitation":"\\super 3\\nosupersub{}","plainCitation":"3","noteIndex":0},"citationItems":[{"id":2794,"uris":["http://zotero.org/groups/4647276/items/NIQTGZ5U"],"itemData":{"id":2794,"type":"document","abstract":"Carbon offset credits are not a simple commodity. As with many products whose quality is difficult for casual buyers to assess, standard-setting organizations have been established to provide quality assurance for carbon offsets. These carbon offset programs[1] range from international...","language":"en","publisher":"Greenhouse Gas Management Institute &amp; the Stockholm Environment Institute","title":"Securing climate benefit: A guide to using carbon offsets","URL":"https://www.offsetguide.org/pdf-download/","author":[{"family":"Broekhof","given":"Derik"},{"family":"Gillenwater","given":"Michael"},{"family":"Colbert-Sangree","given":"Tani"},{"family":"Cage","given":"Patrick"}],"accessed":{"date-parts":[["2023",6,13]]},"issued":{"date-parts":[["2019",11,13]]}}}],"schema":"https://github.com/citation-style-language/schema/raw/master/csl-citation.json"} </w:instrText>
      </w:r>
      <w:r w:rsidR="00AF4646"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w:t>
      </w:r>
      <w:r w:rsidR="00AF4646" w:rsidRPr="00D16AB0">
        <w:rPr>
          <w:rFonts w:ascii="Arial" w:hAnsi="Arial" w:cs="Arial"/>
          <w:sz w:val="21"/>
          <w:szCs w:val="21"/>
          <w:lang w:val="en-GB"/>
        </w:rPr>
        <w:fldChar w:fldCharType="end"/>
      </w:r>
      <w:r w:rsidRPr="00D16AB0">
        <w:rPr>
          <w:rFonts w:ascii="Arial" w:hAnsi="Arial" w:cs="Arial"/>
          <w:sz w:val="21"/>
          <w:szCs w:val="21"/>
          <w:lang w:val="en-GB"/>
        </w:rPr>
        <w:t>. However, the standardised approach performs better to mitigate the risk of over-crediting, especially equipped with careful protocol-scale analysis, conservative estimation methods, ongoing monitoring of outcomes, and restriction to project types</w:t>
      </w:r>
      <w:r w:rsidR="0081340A"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{"citationID":"v3YubVF7","properties":{"unsorted":false,"formattedCitation":"\\super 20\\nosupersub{}","plainCitation":"20","noteIndex":0},"citationItems":[{"id":2817,"uris":["http://zotero.org/groups/4647276/items/IANNQYK9"],"itemData":{"id":2817,"type":"article-journal","abstract":"Carbon offsets allow greenhouse gas emitters to comply with an emissions cap by paying others outside of the capped sectors to reduce emissions. The first major carbon offset programme, the United Nations’ Clean Development Mechanism (CDM), has been criticized for generating a large number of credits from projects that do not actually reduce emissions. Following the controversial CDM experience, California pioneered a second-generation compliance offset programme that shifts the focus of quality control from assessments of individual projects to the development of offset protocols, which define project type-specific eligibility criteria and methods for estimating emissions reductions. We assess the ability of California’s ‘standardized approach’ to mitigate the risk of over-crediting greenhouse gas reductions by reviewing the development of two California offset protocols – Mine Methane Capture and Rice Cultivation. We examine the regulator’s treatment of three sources of over-crediting under the CDM: non-additional projects, inflated counterfactual baseline scenarios, and perverse incentives that inadvertently increase emissions. We find that the standardized approach offers the ability to reduce, but not eliminate, the risk of over-crediting. This requires careful protocol-scale analysis, conservative methods for estimating reductions, ongoing monitoring of programme outcomes, and restricting participation to project types with manageable levels of uncertainty in emission reductions. However, several of these elements are missing from California’s regime, and even best practices result in significant uncertainty in true emission reductions. Relying on carbon offsets to lower compliance costs risks lessening total emission reductions and increases uncertainty in whether an emissions target has been met.Key policy insights Substantial and ongoing oversight by offset programme administrators is needed to contain uncertainty and avoid over-crediting. California’s Mine Methane Capture Protocol may have influenced federal decisions not to regulate methane emissions from coal mines on federally-owned lands.Government priorities and methodological choices drive outcomes in carbon pricing policies with large offset programmes, contrary to the common perception that these policies delegate decision-making to private actors.Offsets are better understood as a way for regulated emitters to invest in an incentive programme that achieves difficult-to-estimate emission reductions, than as accurately quantified tons of reductions.","container-title":"Climate Policy","DOI":"10.1080/14693062.2020.1781035","ISSN":"1469-3062","issue":"9","note":"publisher: Taylor &amp; Francis\n_eprint: https://doi.org/10.1080/14693062.2020.1781035","page":"1112-1126","source":"Taylor and Francis+NEJM","title":"Managing uncertainty in carbon offsets: insights from California’s standardized approach","title-short":"Managing uncertainty in carbon offsets","volume":"20","author":[{"family":"Haya","given":"Barbara"},{"family":"Cullenward","given":"Danny"},{"family":"Strong","given":"Aaron L."},{"family":"Grubert","given":"Emily"},{"family":"Heilmayr","given":"Robert"},{"family":"Sivas","given":"Deborah A."},{"family":"Wara","given":"Michael"}],"issued":{"date-parts":[["2020",10,20]]}}}],"schema":"https://github.com/citation-style-language/schema/raw/master/csl-citation.json"} </w:instrText>
      </w:r>
      <w:r w:rsidR="0081340A"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20</w:t>
      </w:r>
      <w:r w:rsidR="0081340A" w:rsidRPr="00D16AB0">
        <w:rPr>
          <w:rFonts w:ascii="Arial" w:hAnsi="Arial" w:cs="Arial"/>
          <w:sz w:val="21"/>
          <w:szCs w:val="21"/>
          <w:lang w:val="en-GB"/>
        </w:rPr>
        <w:fldChar w:fldCharType="end"/>
      </w:r>
      <w:r w:rsidRPr="00D16AB0">
        <w:rPr>
          <w:rFonts w:ascii="Arial" w:hAnsi="Arial" w:cs="Arial"/>
          <w:sz w:val="21"/>
          <w:szCs w:val="21"/>
          <w:lang w:val="en-GB"/>
        </w:rPr>
        <w:t>.</w:t>
      </w:r>
    </w:p>
    <w:p w14:paraId="74DC716A" w14:textId="00D3A373" w:rsidR="00754BC1" w:rsidRPr="00D16AB0" w:rsidRDefault="004170F8"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More recently, new initiatives shed light on the hybrid approaches for additionality tests: the combination of project-specific and standardised approaches has been highlighted to establish a robust, efficient, and high-integrity carbon offset regime</w:t>
      </w:r>
      <w:r w:rsidR="0081340A"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{"citationID":"Ii9jtuwA","properties":{"unsorted":false,"formattedCitation":"\\super 20\\nosupersub{}","plainCitation":"20","noteIndex":0},"citationItems":[{"id":2817,"uris":["http://zotero.org/groups/4647276/items/IANNQYK9"],"itemData":{"id":2817,"type":"article-journal","abstract":"Carbon offsets allow greenhouse gas emitters to comply with an emissions cap by paying others outside of the capped sectors to reduce emissions. The first major carbon offset programme, the United Nations’ Clean Development Mechanism (CDM), has been criticized for generating a large number of credits from projects that do not actually reduce emissions. Following the controversial CDM experience, California pioneered a second-generation compliance offset programme that shifts the focus of quality control from assessments of individual projects to the development of offset protocols, which define project type-specific eligibility criteria and methods for estimating emissions reductions. We assess the ability of California’s ‘standardized approach’ to mitigate the risk of over-crediting greenhouse gas reductions by reviewing the development of two California offset protocols – Mine Methane Capture and Rice Cultivation. We examine the regulator’s treatment of three sources of over-crediting under the CDM: non-additional projects, inflated counterfactual baseline scenarios, and perverse incentives that inadvertently increase emissions. We find that the standardized approach offers the ability to reduce, but not eliminate, the risk of over-crediting. This requires careful protocol-scale analysis, conservative methods for estimating reductions, ongoing monitoring of programme outcomes, and restricting participation to project types with manageable levels of uncertainty in emission reductions. However, several of these elements are missing from California’s regime, and even best practices result in significant uncertainty in true emission reductions. Relying on carbon offsets to lower compliance costs risks lessening total emission reductions and increases uncertainty in whether an emissions target has been met.Key policy insights Substantial and ongoing oversight by offset programme administrators is needed to contain uncertainty and avoid over-crediting. California’s Mine Methane Capture Protocol may have influenced federal decisions not to regulate methane emissions from coal mines on federally-owned lands.Government priorities and methodological choices drive outcomes in carbon pricing policies with large offset programmes, contrary to the common perception that these policies delegate decision-making to private actors.Offsets are better understood as a way for regulated emitters to invest in an incentive programme that achieves difficult-to-estimate emission reductions, than as accurately quantified tons of reductions.","container-title":"Climate Policy","DOI":"10.1080/14693062.2020.1781035","ISSN":"1469-3062","issue":"9","note":"publisher: Taylor &amp; Francis\n_eprint: https://doi.org/10.1080/14693062.2020.1781035","page":"1112-1126","source":"Taylor and Francis+NEJM","title":"Managing uncertainty in carbon offsets: insights from California’s standardized approach","title-short":"Managing uncertainty in carbon offsets","volume":"20","author":[{"family":"Haya","given":"Barbara"},{"family":"Cullenward","given":"Danny"},{"family":"Strong","given":"Aaron L."},{"family":"Grubert","given":"Emily"},{"family":"Heilmayr","given":"Robert"},{"family":"Sivas","given":"Deborah A."},{"family":"Wara","given":"Michael"}],"issued":{"date-parts":[["2020",10,20]]}}}],"schema":"https://github.com/citation-style-language/schema/raw/master/csl-citation.json"} </w:instrText>
      </w:r>
      <w:r w:rsidR="0081340A"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20</w:t>
      </w:r>
      <w:r w:rsidR="0081340A" w:rsidRPr="00D16AB0">
        <w:rPr>
          <w:rFonts w:ascii="Arial" w:hAnsi="Arial" w:cs="Arial"/>
          <w:sz w:val="21"/>
          <w:szCs w:val="21"/>
          <w:lang w:val="en-GB"/>
        </w:rPr>
        <w:fldChar w:fldCharType="end"/>
      </w:r>
      <w:r w:rsidRPr="00D16AB0">
        <w:rPr>
          <w:rFonts w:ascii="Arial" w:hAnsi="Arial" w:cs="Arial"/>
          <w:sz w:val="21"/>
          <w:szCs w:val="21"/>
          <w:lang w:val="en-GB"/>
        </w:rPr>
        <w:t>. A recent study proposed three shades of additionality determination and a new stepwise approach to determine additionality</w:t>
      </w:r>
      <w:bookmarkStart w:id="24" w:name="_Hlk213005002"/>
      <w:r w:rsidR="0081340A"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{"citationID":"2HFugTHV","properties":{"unsorted":false,"formattedCitation":"\\super 26\\nosupersub{}","plainCitation":"26","noteIndex":0},"citationItems":[{"id":2777,"uris":["http://zotero.org/groups/4647276/items/28E9QKTZ"],"itemData":{"id":2777,"type":"report","publisher":"Perspectives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0081340A"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26</w:t>
      </w:r>
      <w:r w:rsidR="0081340A" w:rsidRPr="00D16AB0">
        <w:rPr>
          <w:rFonts w:ascii="Arial" w:hAnsi="Arial" w:cs="Arial"/>
          <w:sz w:val="21"/>
          <w:szCs w:val="21"/>
          <w:lang w:val="en-GB"/>
        </w:rPr>
        <w:fldChar w:fldCharType="end"/>
      </w:r>
      <w:bookmarkEnd w:id="24"/>
      <w:r w:rsidRPr="00D16AB0">
        <w:rPr>
          <w:rFonts w:ascii="Arial" w:hAnsi="Arial" w:cs="Arial"/>
          <w:sz w:val="21"/>
          <w:szCs w:val="21"/>
          <w:lang w:val="en-GB"/>
        </w:rPr>
        <w:t>. The additionality can be categorized into regulatory additionality, target additionality (or target surplus) and financial additionality. Each type of additionality should be assessed step by step using newly designed tests:</w:t>
      </w:r>
    </w:p>
    <w:p w14:paraId="36CB40B3" w14:textId="37C0F296" w:rsidR="007B3C40" w:rsidRPr="00D16AB0" w:rsidRDefault="00DB2AB0" w:rsidP="007868F1">
      <w:pPr>
        <w:pStyle w:val="SMText"/>
        <w:numPr>
          <w:ilvl w:val="0"/>
          <w:numId w:val="17"/>
        </w:numPr>
        <w:spacing w:beforeLines="50" w:before="120" w:afterLines="50" w:after="120" w:line="276" w:lineRule="auto"/>
        <w:rPr>
          <w:rFonts w:ascii="Arial" w:hAnsi="Arial" w:cs="Arial"/>
          <w:sz w:val="21"/>
          <w:szCs w:val="21"/>
          <w:lang w:val="en-GB"/>
        </w:rPr>
      </w:pPr>
      <w:r>
        <w:rPr>
          <w:rFonts w:ascii="Arial" w:hAnsi="Arial" w:cs="Arial" w:hint="eastAsia"/>
          <w:i/>
          <w:iCs/>
          <w:sz w:val="21"/>
          <w:szCs w:val="21"/>
          <w:lang w:val="en-GB" w:eastAsia="zh-CN"/>
        </w:rPr>
        <w:t xml:space="preserve"> </w:t>
      </w:r>
      <w:r w:rsidR="004170F8" w:rsidRPr="00D16AB0">
        <w:rPr>
          <w:rFonts w:ascii="Arial" w:hAnsi="Arial" w:cs="Arial"/>
          <w:i/>
          <w:iCs/>
          <w:sz w:val="21"/>
          <w:szCs w:val="21"/>
          <w:lang w:val="en-GB"/>
        </w:rPr>
        <w:t>Regulatory ad</w:t>
      </w:r>
      <w:r w:rsidR="004170F8" w:rsidRPr="00D16AB0">
        <w:rPr>
          <w:rFonts w:ascii="Arial" w:hAnsi="Arial" w:cs="Arial"/>
          <w:sz w:val="21"/>
          <w:szCs w:val="21"/>
          <w:lang w:val="en-GB"/>
        </w:rPr>
        <w:t>ditionality tests require project developers to prove that the project is not mandated by law or part of the required GHG emission reductions required by national regulation. In case the actual implementation of a regulation is uncertain, an enforcement test threshold can be applied</w:t>
      </w:r>
      <w:r w:rsidR="00007622"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{"citationID":"IiLA0GVF","properties":{"formattedCitation":"\\super 37\\nosupersub{}","plainCitation":"37","noteIndex":0},"citationItems":[{"id":"ZthMjOpd/qEL4FY7t","uris":["http://zotero.org/users/9291085/items/399K7SBM"],"itemData":{"id":1439,"type":"article-journal","abstract":"This paper was developed by Perspectives Climate Research gGmbH (PCR), with inputs from the Carbon Market Mechanisms Working Group (CMM-WG) and further technical experts consulted. We thank all the working group members and technical experts as well as the numerous survey participants for their input to this paper. \nThe CMM-WG is chaired by PCR and is funded and coordinated in close collaboration with the German Federal Ministry for the Environment, Nature Conservation and Nuclear Safety. The CMM-WG focuses on technical aspects of programmatic and upscaled crediting mechanisms in Article 6 of the Paris Agreement as well as results-based climate finance. The working group aims to facilitate a continuous dialogue on technical issues among key carbon market stakeholders.","container-title":"Background Paper","DOI":"10.5167/uzh-208160","language":"eng","license":"info:eu-repo/semantics/openAccess","note":"number-of-pages: 24\npublisher-place: Freiburg\npublisher: Perspectives Climate Research gGmbH","source":"www.zora.uzh.ch","title":"Safeguarding integrity of market-based cooperation under Article 6: additionality determination and baseline setting","title-short":"Safeguarding integrity of market-based cooperation under Article 6","URL":"https://www.perspectives.cc/public/fileadmin/user_upload/CMM-WG_additionality_testing_and_baseline_setting_final_01.pdf","author":[{"family":"Ahonen","given":"Hanna-Mari"},{"family":"Michaelowa","given":"Axel"},{"family":"Espelage","given":"Aglaja"},{"family":"Kessler","given":"Juliana"},{"family":"Christensen","given":"Johanna"},{"family":"Dalfiume","given":"Sandra"},{"family":"Danford","given":"Erin"}],"editor":[{"family":"Perspectives Climate Research gGmbH","given":"Freiburg"}],"accessed":{"date-parts":[["2023",6,12]]},"issued":{"date-parts":[["2021",6]]}}}],"schema":"https://github.com/citation-style-language/schema/raw/master/csl-citation.json"} </w:instrText>
      </w:r>
      <w:r w:rsidR="00007622"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37</w:t>
      </w:r>
      <w:r w:rsidR="00007622" w:rsidRPr="00D16AB0">
        <w:rPr>
          <w:rFonts w:ascii="Arial" w:hAnsi="Arial" w:cs="Arial"/>
          <w:sz w:val="21"/>
          <w:szCs w:val="21"/>
          <w:lang w:val="en-GB"/>
        </w:rPr>
        <w:fldChar w:fldCharType="end"/>
      </w:r>
      <w:r w:rsidR="004170F8" w:rsidRPr="00D16AB0">
        <w:rPr>
          <w:rFonts w:ascii="Arial" w:hAnsi="Arial" w:cs="Arial"/>
          <w:sz w:val="21"/>
          <w:szCs w:val="21"/>
          <w:lang w:val="en-GB"/>
        </w:rPr>
        <w:t xml:space="preserve">. </w:t>
      </w:r>
    </w:p>
    <w:p w14:paraId="2F2E7B3F" w14:textId="12D92086" w:rsidR="007B3C40" w:rsidRPr="00D16AB0" w:rsidRDefault="004170F8" w:rsidP="002657DD">
      <w:pPr>
        <w:pStyle w:val="SMText"/>
        <w:numPr>
          <w:ilvl w:val="0"/>
          <w:numId w:val="17"/>
        </w:numPr>
        <w:spacing w:beforeLines="50" w:before="120" w:afterLines="50" w:after="120" w:line="276" w:lineRule="auto"/>
        <w:rPr>
          <w:rFonts w:ascii="Arial" w:hAnsi="Arial" w:cs="Arial"/>
          <w:sz w:val="21"/>
          <w:szCs w:val="21"/>
          <w:lang w:val="en-GB"/>
        </w:rPr>
      </w:pPr>
      <w:r w:rsidRPr="00D16AB0">
        <w:rPr>
          <w:rFonts w:ascii="Arial" w:hAnsi="Arial" w:cs="Arial"/>
          <w:i/>
          <w:iCs/>
          <w:sz w:val="21"/>
          <w:szCs w:val="21"/>
          <w:lang w:val="en-GB"/>
        </w:rPr>
        <w:t xml:space="preserve">Target additionality tests </w:t>
      </w:r>
      <w:r w:rsidRPr="00D16AB0">
        <w:rPr>
          <w:rFonts w:ascii="Arial" w:hAnsi="Arial" w:cs="Arial"/>
          <w:sz w:val="21"/>
          <w:szCs w:val="21"/>
          <w:lang w:val="en-GB"/>
        </w:rPr>
        <w:t xml:space="preserve">or </w:t>
      </w:r>
      <w:r w:rsidRPr="00D16AB0">
        <w:rPr>
          <w:rFonts w:ascii="Arial" w:hAnsi="Arial" w:cs="Arial"/>
          <w:i/>
          <w:iCs/>
          <w:sz w:val="21"/>
          <w:szCs w:val="21"/>
          <w:lang w:val="en-GB"/>
        </w:rPr>
        <w:t>‘target surplus’ tests</w:t>
      </w:r>
      <w:r w:rsidRPr="00D16AB0">
        <w:rPr>
          <w:rFonts w:ascii="Arial" w:hAnsi="Arial" w:cs="Arial"/>
          <w:sz w:val="21"/>
          <w:szCs w:val="21"/>
          <w:lang w:val="en-GB"/>
        </w:rPr>
        <w:t xml:space="preserve"> require project developers to prove that the types of projects do not form part of the (unconditional) Nationally Determined Contribution (NDC) target of their host country. Activities that do not go beyond the unconditional NDC targets generate a clear ‘over-selling risk’ that can undermine its own NDC achievement</w:t>
      </w:r>
      <w:r w:rsidR="00310F97"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{"citationID":"vJAUr9KN","properties":{"unsorted":false,"formattedCitation":"\\super 26\\nosupersub{}","plainCitation":"26","noteIndex":0},"citationItems":[{"id":2777,"uris":["http://zotero.org/groups/4647276/items/28E9QKTZ"],"itemData":{"id":2777,"type":"report","publisher":"Perspectives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00310F97"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26</w:t>
      </w:r>
      <w:r w:rsidR="00310F97" w:rsidRPr="00D16AB0">
        <w:rPr>
          <w:rFonts w:ascii="Arial" w:hAnsi="Arial" w:cs="Arial"/>
          <w:sz w:val="21"/>
          <w:szCs w:val="21"/>
          <w:lang w:val="en-GB"/>
        </w:rPr>
        <w:fldChar w:fldCharType="end"/>
      </w:r>
      <w:r w:rsidRPr="00D16AB0">
        <w:rPr>
          <w:rFonts w:ascii="Arial" w:hAnsi="Arial" w:cs="Arial"/>
          <w:sz w:val="21"/>
          <w:szCs w:val="21"/>
          <w:lang w:val="en-GB"/>
        </w:rPr>
        <w:t>.</w:t>
      </w:r>
    </w:p>
    <w:p w14:paraId="070522A7" w14:textId="09161729" w:rsidR="009E530B" w:rsidRPr="00D16AB0" w:rsidRDefault="004170F8" w:rsidP="002657DD">
      <w:pPr>
        <w:pStyle w:val="SMText"/>
        <w:numPr>
          <w:ilvl w:val="0"/>
          <w:numId w:val="17"/>
        </w:numPr>
        <w:spacing w:beforeLines="50" w:before="120" w:afterLines="50" w:after="120" w:line="276" w:lineRule="auto"/>
        <w:rPr>
          <w:rFonts w:ascii="Arial" w:hAnsi="Arial" w:cs="Arial"/>
          <w:sz w:val="21"/>
          <w:szCs w:val="21"/>
          <w:lang w:val="en-GB"/>
        </w:rPr>
      </w:pPr>
      <w:r w:rsidRPr="00D16AB0">
        <w:rPr>
          <w:rFonts w:ascii="Arial" w:hAnsi="Arial" w:cs="Arial"/>
          <w:i/>
          <w:iCs/>
          <w:sz w:val="21"/>
          <w:szCs w:val="21"/>
          <w:lang w:val="en-GB"/>
        </w:rPr>
        <w:t>Financial additionality tests</w:t>
      </w:r>
      <w:r w:rsidRPr="00D16AB0">
        <w:rPr>
          <w:rFonts w:ascii="Arial" w:hAnsi="Arial" w:cs="Arial"/>
          <w:sz w:val="21"/>
          <w:szCs w:val="21"/>
          <w:lang w:val="en-GB"/>
        </w:rPr>
        <w:t xml:space="preserve"> or </w:t>
      </w:r>
      <w:r w:rsidRPr="00D16AB0">
        <w:rPr>
          <w:rFonts w:ascii="Arial" w:hAnsi="Arial" w:cs="Arial"/>
          <w:i/>
          <w:iCs/>
          <w:sz w:val="21"/>
          <w:szCs w:val="21"/>
          <w:lang w:val="en-GB"/>
        </w:rPr>
        <w:t>investment tests</w:t>
      </w:r>
      <w:r w:rsidRPr="00D16AB0">
        <w:rPr>
          <w:rFonts w:ascii="Arial" w:hAnsi="Arial" w:cs="Arial"/>
          <w:sz w:val="21"/>
          <w:szCs w:val="21"/>
          <w:lang w:val="en-GB"/>
        </w:rPr>
        <w:t xml:space="preserve"> are similar to the existing ones: conducting a simple cost analysis (if credit sale is the project’s only revenue source), an investment </w:t>
      </w:r>
      <w:r w:rsidRPr="00D16AB0">
        <w:rPr>
          <w:rFonts w:ascii="Arial" w:hAnsi="Arial" w:cs="Arial"/>
          <w:sz w:val="21"/>
          <w:szCs w:val="21"/>
          <w:lang w:val="en-GB"/>
        </w:rPr>
        <w:lastRenderedPageBreak/>
        <w:t>comparison analysis, or a benchmark approach (if there are other savings/revenues beyond the credit sale)</w:t>
      </w:r>
      <w:r w:rsidR="00096125"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{"citationID":"lfi9e0YV","properties":{"formattedCitation":"\\super 38\\nosupersub{}","plainCitation":"38","noteIndex":0},"citationItems":[{"id":"ZthMjOpd/mAsCKk04","uris":["http://zotero.org/users/9291085/items/6H45EGPW"],"itemData":{"id":1474,"type":"thesis","abstract":"The Clean Development Mechanism (CDM) is the first and by far the largest carbon offset instrument in the world. To date, it is the only market based on an environmental commodity which managed to attract several billions of euros of private capital on an annual basis. Being the first-of-a-kind climate change mitigation instrument, the CDM followed a \"learning by doing\" pattern undergoing numerous reforms throughout its more than 10-year history. Although the post-2012 fate of the mechanism remains uncertain, one should not \"throw out the baby with the bath water\" as the lessons from the CDM experience may be useful not only for the CDM reform but also for new market instruments. One of the widely discussed topics is the economic efficiency of the CDM. Despite being largely concentrated on the supply side (93% of all issued credits come from 5 countries), the CDM provided a useful ―search tool‖ to identify new greenhouse gas abatement opportunities although in most cases failed to scale them up across the economies. The lion’s share of the demand for carbon offsets comes from the European Union Emissions Trading System (EU ETS), where the CDM helped companies save millions of euros by reducing emissions where it was the cheapest. With the quantitative restrictions in place, the demand for CDM offsets from projects registered after 2012 will likely dwindle to a few public buyers, dwarfed by the size of supply. The CDM has also raised criticism regarding its environmental integrity. For example, there is strong evidence that HFC-23 destruction projects provided perverse incentives for installations to engage in strategic behavior. Besides, there are concerns over the additionality of some large renewable energy projects, in particular in China and India. The transparency of the framework has allowed identifying loopholes and implementing the reforms that have been ongoing since the inception of the CDM. Finally, the evaluations of the contribution of the CDM to sustainable development are mixed and largely depend on the project type and national circumstances. The principle of national sovereignty dominates the existing sustainability assessment which fully rests on the host country without any standardized criteria or monitoring. These issues have been and keep being addressed in reforms that have not ceased since the inception of the CDM. The gradual introduction of more stringent baselines has been one of the tools used to reinforce environmental integrity. Standardized baselines and positive lists help simplify and speed up the registration of projects, and hence the scaling up of local projects. This paper reviews the CDM’s achievements and challenges and derives 10 key lessons that should be taken into account while reforming the mechanism as well as while designing new instruments to tackle climate change. As the Green Climate Fund is still wondering how to raise the pledged 100 billion dollars until 2020, the CDM recipe for attracting private investments in the billions of euros per year to climate action is worth some attention.","genre":"report","language":"en","note":"page: 39 p.","publisher":"auto-saisine","source":"hal.science","title":"10 lessons from 10 years of the CDM","URL":"https://hal.science/hal-01151437","author":[{"family":"Shishlov","given":"Igor"},{"family":"Bellassen","given":"Valentin"}],"accessed":{"date-parts":[["2023",6,13]]},"issued":{"date-parts":[["2012"]]}}}],"schema":"https://github.com/citation-style-language/schema/raw/master/csl-citation.json"} </w:instrText>
      </w:r>
      <w:r w:rsidR="00096125"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38</w:t>
      </w:r>
      <w:r w:rsidR="00096125" w:rsidRPr="00D16AB0">
        <w:rPr>
          <w:rFonts w:ascii="Arial" w:hAnsi="Arial" w:cs="Arial"/>
          <w:sz w:val="21"/>
          <w:szCs w:val="21"/>
          <w:lang w:val="en-GB"/>
        </w:rPr>
        <w:fldChar w:fldCharType="end"/>
      </w:r>
      <w:r w:rsidRPr="00D16AB0">
        <w:rPr>
          <w:rFonts w:ascii="Arial" w:hAnsi="Arial" w:cs="Arial"/>
          <w:sz w:val="21"/>
          <w:szCs w:val="21"/>
          <w:lang w:val="en-GB"/>
        </w:rPr>
        <w:t>.</w:t>
      </w:r>
    </w:p>
    <w:p w14:paraId="35869268" w14:textId="2F834282" w:rsidR="00431EE3" w:rsidRPr="00D16AB0" w:rsidRDefault="004170F8"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To avoid overburdening the whole process, some researchers claim that not all projects need an investment analysis</w:t>
      </w:r>
      <w:r w:rsidR="00D0624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{"citationID":"xz7ijLuU","properties":{"unsorted":false,"formattedCitation":"\\super 26\\nosupersub{}","plainCitation":"26","noteIndex":0},"citationItems":[{"id":2777,"uris":["http://zotero.org/groups/4647276/items/28E9QKTZ"],"itemData":{"id":2777,"type":"report","publisher":"Perspectives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00D0624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26</w:t>
      </w:r>
      <w:r w:rsidR="00D0624F" w:rsidRPr="00D16AB0">
        <w:rPr>
          <w:rFonts w:ascii="Arial" w:hAnsi="Arial" w:cs="Arial"/>
          <w:sz w:val="21"/>
          <w:szCs w:val="21"/>
          <w:lang w:val="en-GB"/>
        </w:rPr>
        <w:fldChar w:fldCharType="end"/>
      </w:r>
      <w:r w:rsidRPr="00D16AB0">
        <w:rPr>
          <w:rFonts w:ascii="Arial" w:hAnsi="Arial" w:cs="Arial"/>
          <w:sz w:val="21"/>
          <w:szCs w:val="21"/>
          <w:lang w:val="en-GB"/>
        </w:rPr>
        <w:t>. Project developers can identify and evaluate inherent financial additionality risks as well as risks to the activity implementation for the specific activity type</w:t>
      </w:r>
      <w:r w:rsidR="007A16FC"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{"citationID":"E2kNvYS4","properties":{"unsorted":false,"formattedCitation":"\\super 26\\nosupersub{}","plainCitation":"26","noteIndex":0},"citationItems":[{"id":2777,"uris":["http://zotero.org/groups/4647276/items/28E9QKTZ"],"itemData":{"id":2777,"type":"report","publisher":"Perspectives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007A16FC"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26</w:t>
      </w:r>
      <w:r w:rsidR="007A16FC" w:rsidRPr="00D16AB0">
        <w:rPr>
          <w:rFonts w:ascii="Arial" w:hAnsi="Arial" w:cs="Arial"/>
          <w:sz w:val="21"/>
          <w:szCs w:val="21"/>
          <w:lang w:val="en-GB"/>
        </w:rPr>
        <w:fldChar w:fldCharType="end"/>
      </w:r>
      <w:r w:rsidRPr="00D16AB0">
        <w:rPr>
          <w:rFonts w:ascii="Arial" w:hAnsi="Arial" w:cs="Arial"/>
          <w:sz w:val="21"/>
          <w:szCs w:val="21"/>
          <w:lang w:val="en-GB"/>
        </w:rPr>
        <w:t>. If one type of activity is not attractive even including all revenues and savings from any subsidies, avoided carbon taxes, or others, it can be in the positive list and exempted from the investment tests. Creating positive lists for technologies and activity types where present value of costs significantly exceeds revenues without carbon credits simplifies the determination of financial additionality and reduces transaction costs. To control country- or sector-specific factors and ensure timeliness, parties may develop their own ‘host country approval lists’ used for evaluating target surplus and update them regularly to meet the minimum quality criteria</w:t>
      </w:r>
      <w:r w:rsidR="007A16FC"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{"citationID":"mFuWeFL0","properties":{"unsorted":false,"formattedCitation":"\\super 26\\nosupersub{}","plainCitation":"26","noteIndex":0},"citationItems":[{"id":2777,"uris":["http://zotero.org/groups/4647276/items/28E9QKTZ"],"itemData":{"id":2777,"type":"report","publisher":"Perspectives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007A16FC"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26</w:t>
      </w:r>
      <w:r w:rsidR="007A16FC" w:rsidRPr="00D16AB0">
        <w:rPr>
          <w:rFonts w:ascii="Arial" w:hAnsi="Arial" w:cs="Arial"/>
          <w:sz w:val="21"/>
          <w:szCs w:val="21"/>
          <w:lang w:val="en-GB"/>
        </w:rPr>
        <w:fldChar w:fldCharType="end"/>
      </w:r>
      <w:r w:rsidRPr="00D16AB0">
        <w:rPr>
          <w:rFonts w:ascii="Arial" w:hAnsi="Arial" w:cs="Arial"/>
          <w:sz w:val="21"/>
          <w:szCs w:val="21"/>
          <w:lang w:val="en-GB"/>
        </w:rPr>
        <w:t>.</w:t>
      </w:r>
    </w:p>
    <w:p w14:paraId="3ED7ACAE" w14:textId="59D5EB1E" w:rsidR="004170F8" w:rsidRPr="00D16AB0" w:rsidRDefault="004170F8" w:rsidP="00961066">
      <w:pPr>
        <w:pStyle w:val="SMText"/>
        <w:spacing w:beforeLines="50" w:before="120" w:afterLines="50" w:after="120" w:line="276" w:lineRule="auto"/>
        <w:ind w:firstLine="0"/>
        <w:rPr>
          <w:rFonts w:ascii="Arial" w:hAnsi="Arial" w:cs="Arial"/>
          <w:sz w:val="21"/>
          <w:szCs w:val="21"/>
          <w:lang w:val="en-GB"/>
        </w:rPr>
      </w:pPr>
      <w:r w:rsidRPr="00D16AB0">
        <w:rPr>
          <w:rFonts w:ascii="Arial" w:hAnsi="Arial" w:cs="Arial"/>
          <w:sz w:val="21"/>
          <w:szCs w:val="21"/>
          <w:lang w:val="en-GB"/>
        </w:rPr>
        <w:t>The new changes to carbon offset rules and procedures are not limited to the emphasis of positive lists and oversight of host countries aligned with the PA but tend to set higher restrictions for projects which are very likely to be non-additional. In 2021, GS incorporated approaches to ensure regulatory additionality, considered the need for crediting period renewal</w:t>
      </w:r>
      <w:r w:rsidR="00BB4A9A"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{"citationID":"5Fdd1Ba5","properties":{"formattedCitation":"\\super 39\\nosupersub{}","plainCitation":"39","noteIndex":0},"citationItems":[{"id":"ZthMjOpd/VuOw23AF","uris":["http://zotero.org/users/9291085/items/K62C5CP8"],"itemData":{"id":1579,"type":"report","publisher":"Gold Standard","title":"Aligning Gold Standard projects with the Paris Agreement. Summary of consultation feedback and next steps","URL":"https://www.goldstandard.org/sites/default/files/documents/aligning_gold_standard_projects_with_the_paris_agreement_summary_of_consultation_feedback_and_next_steps.pdf","author":[{"family":"Gold Standard","given":""}],"accessed":{"date-parts":[["2023",6,28]]},"issued":{"date-parts":[["2021"]]}}}],"schema":"https://github.com/citation-style-language/schema/raw/master/csl-citation.json"} </w:instrText>
      </w:r>
      <w:r w:rsidR="00BB4A9A"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39</w:t>
      </w:r>
      <w:r w:rsidR="00BB4A9A" w:rsidRPr="00D16AB0">
        <w:rPr>
          <w:rFonts w:ascii="Arial" w:hAnsi="Arial" w:cs="Arial"/>
          <w:sz w:val="21"/>
          <w:szCs w:val="21"/>
          <w:lang w:val="en-GB"/>
        </w:rPr>
        <w:fldChar w:fldCharType="end"/>
      </w:r>
      <w:r w:rsidRPr="00D16AB0">
        <w:rPr>
          <w:rFonts w:ascii="Arial" w:hAnsi="Arial" w:cs="Arial"/>
          <w:sz w:val="21"/>
          <w:szCs w:val="21"/>
          <w:lang w:val="en-GB"/>
        </w:rPr>
        <w:t>, and updated eligibility criteria deem only certain types of renewable energy activities to be additional</w:t>
      </w:r>
      <w:r w:rsidR="00BB4A9A"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{"citationID":"qLpqFR7J","properties":{"formattedCitation":"\\super 40\\nosupersub{}","plainCitation":"40","noteIndex":0},"citationItems":[{"id":"ZthMjOpd/55tDt0u3","uris":["http://zotero.org/users/9291085/items/IQL438YR"],"itemData":{"id":1580,"type":"report","publisher":"Gold Standard","title":"Gold Standard launches program to support higher ambition in Paris era carbon markets","URL":"https://www.goldstandard.org/blog-item/gold-standard-launches-program-supporthigher-ambition-paris-era-carbon-markets","author":[{"family":"Gold Standard","given":""}],"accessed":{"date-parts":[["2023",6,28]]},"issued":{"date-parts":[["2021"]]}}}],"schema":"https://github.com/citation-style-language/schema/raw/master/csl-citation.json"} </w:instrText>
      </w:r>
      <w:r w:rsidR="00BB4A9A"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40</w:t>
      </w:r>
      <w:r w:rsidR="00BB4A9A" w:rsidRPr="00D16AB0">
        <w:rPr>
          <w:rFonts w:ascii="Arial" w:hAnsi="Arial" w:cs="Arial"/>
          <w:sz w:val="21"/>
          <w:szCs w:val="21"/>
          <w:lang w:val="en-GB"/>
        </w:rPr>
        <w:fldChar w:fldCharType="end"/>
      </w:r>
      <w:r w:rsidRPr="00D16AB0">
        <w:rPr>
          <w:rFonts w:ascii="Arial" w:hAnsi="Arial" w:cs="Arial"/>
          <w:sz w:val="21"/>
          <w:szCs w:val="21"/>
          <w:lang w:val="en-GB"/>
        </w:rPr>
        <w:t>. Similar to GS, Verra also restricted eligible renewable energy activities located in least developed countries (LDCs) or small island developing states (SIDs) in 2019</w:t>
      </w:r>
      <w:r w:rsidR="00BB4A9A"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{"citationID":"xpHEmuFY","properties":{"formattedCitation":"\\super 41,42\\nosupersub{}","plainCitation":"41,42","noteIndex":0},"citationItems":[{"id":"ZthMjOpd/xQQYPJuh","uris":["http://zotero.org/users/9291085/items/VJTVIQXH"],"itemData":{"id":1581,"type":"report","publisher":"Gold Standard","title":"Renewable energy activity requirements, version 1.4","URL":"https://globalgoals.goldstandard.org/202-ar-renewable-energy-activity-requirements/","author":[{"family":"Gold Standard","given":""}],"issued":{"date-parts":[["2021"]]}}},{"id":"ZthMjOpd/NKc7fgAT","uris":["http://zotero.org/users/9291085/items/AY474Y9C"],"itemData":{"id":1582,"type":"report","title":"Revision to Scope of VCS Program, Proposal for public consultation","URL":"https://verra.org/wp-content/uploads/2019/04/VCS-v4-Revision-to-Scope-of-VCS-Program.pdf","author":[{"family":"Verra","given":""}],"accessed":{"date-parts":[["2023",6,28]]},"issued":{"date-parts":[["2019"]]}}}],"schema":"https://github.com/citation-style-language/schema/raw/master/csl-citation.json"} </w:instrText>
      </w:r>
      <w:r w:rsidR="00BB4A9A"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41,42</w:t>
      </w:r>
      <w:r w:rsidR="00BB4A9A" w:rsidRPr="00D16AB0">
        <w:rPr>
          <w:rFonts w:ascii="Arial" w:hAnsi="Arial" w:cs="Arial"/>
          <w:sz w:val="21"/>
          <w:szCs w:val="21"/>
          <w:lang w:val="en-GB"/>
        </w:rPr>
        <w:fldChar w:fldCharType="end"/>
      </w:r>
      <w:r w:rsidRPr="00D16AB0">
        <w:rPr>
          <w:rFonts w:ascii="Arial" w:hAnsi="Arial" w:cs="Arial"/>
          <w:sz w:val="21"/>
          <w:szCs w:val="21"/>
          <w:lang w:val="en-GB"/>
        </w:rPr>
        <w:t xml:space="preserve">. </w:t>
      </w:r>
    </w:p>
    <w:p w14:paraId="349E9E61" w14:textId="77777777" w:rsidR="00E179E0" w:rsidRPr="00D16AB0" w:rsidRDefault="00E179E0" w:rsidP="00961066">
      <w:pPr>
        <w:pStyle w:val="SMText"/>
        <w:spacing w:beforeLines="50" w:before="120" w:afterLines="50" w:after="120" w:line="276" w:lineRule="auto"/>
        <w:ind w:firstLine="0"/>
        <w:rPr>
          <w:rFonts w:ascii="Arial" w:hAnsi="Arial" w:cs="Arial"/>
          <w:sz w:val="21"/>
          <w:szCs w:val="21"/>
          <w:lang w:val="en-GB" w:eastAsia="zh-CN"/>
        </w:rPr>
      </w:pPr>
    </w:p>
    <w:p w14:paraId="67F2756F" w14:textId="2C42B935" w:rsidR="00AC6C31" w:rsidRPr="00D16AB0" w:rsidRDefault="00AC6C31" w:rsidP="00961066">
      <w:pPr>
        <w:pStyle w:val="SMHeading"/>
        <w:numPr>
          <w:ilvl w:val="0"/>
          <w:numId w:val="21"/>
        </w:numPr>
        <w:spacing w:beforeLines="50" w:before="120" w:afterLines="50" w:after="120" w:line="276" w:lineRule="auto"/>
        <w:ind w:left="357" w:hanging="357"/>
        <w:rPr>
          <w:rFonts w:ascii="Arial" w:hAnsi="Arial" w:cs="Arial"/>
          <w:sz w:val="21"/>
          <w:szCs w:val="21"/>
          <w:lang w:val="en-GB"/>
        </w:rPr>
      </w:pPr>
      <w:bookmarkStart w:id="25" w:name="_Toc214982026"/>
      <w:bookmarkStart w:id="26" w:name="_Toc214984250"/>
      <w:bookmarkStart w:id="27" w:name="_Toc214984276"/>
      <w:bookmarkStart w:id="28" w:name="_Toc214984835"/>
      <w:bookmarkStart w:id="29" w:name="_Toc214985821"/>
      <w:bookmarkStart w:id="30" w:name="_Toc214986963"/>
      <w:r w:rsidRPr="00D16AB0">
        <w:rPr>
          <w:rFonts w:ascii="Arial" w:hAnsi="Arial" w:cs="Arial"/>
          <w:sz w:val="21"/>
          <w:szCs w:val="21"/>
          <w:lang w:val="en-GB"/>
        </w:rPr>
        <w:t>Literature Review</w:t>
      </w:r>
      <w:bookmarkEnd w:id="25"/>
      <w:bookmarkEnd w:id="26"/>
      <w:bookmarkEnd w:id="27"/>
      <w:bookmarkEnd w:id="28"/>
      <w:bookmarkEnd w:id="29"/>
      <w:bookmarkEnd w:id="30"/>
    </w:p>
    <w:p w14:paraId="4EBA3829" w14:textId="77777777" w:rsidR="00753EE2" w:rsidRPr="00D16AB0" w:rsidRDefault="00753EE2" w:rsidP="00961066">
      <w:pPr>
        <w:pStyle w:val="SMText"/>
        <w:spacing w:beforeLines="50" w:before="120" w:afterLines="50" w:after="120" w:line="276" w:lineRule="auto"/>
        <w:ind w:firstLine="0"/>
        <w:rPr>
          <w:rFonts w:ascii="Arial" w:hAnsi="Arial" w:cs="Arial"/>
          <w:sz w:val="21"/>
          <w:szCs w:val="21"/>
          <w:lang w:val="en-GB"/>
        </w:rPr>
      </w:pPr>
      <w:bookmarkStart w:id="31" w:name="_Toc150249924"/>
      <w:r w:rsidRPr="00D16AB0">
        <w:rPr>
          <w:rFonts w:ascii="Arial" w:hAnsi="Arial" w:cs="Arial"/>
          <w:sz w:val="21"/>
          <w:szCs w:val="21"/>
          <w:lang w:val="en-GB"/>
        </w:rPr>
        <w:t>This section reviews literature on carbon offsets and implications beyond additionality.</w:t>
      </w:r>
    </w:p>
    <w:p w14:paraId="09E81438" w14:textId="06CC9F26" w:rsidR="004529B7" w:rsidRPr="00D16AB0" w:rsidRDefault="00621DD1"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32" w:name="_Toc214984836"/>
      <w:bookmarkStart w:id="33" w:name="_Toc214985822"/>
      <w:bookmarkStart w:id="34" w:name="_Toc214986964"/>
      <w:r w:rsidRPr="00D16AB0">
        <w:rPr>
          <w:rFonts w:ascii="Arial" w:hAnsi="Arial" w:cs="Arial"/>
          <w:b/>
          <w:bCs/>
          <w:sz w:val="21"/>
          <w:szCs w:val="21"/>
          <w:u w:val="none"/>
          <w:lang w:val="en-GB"/>
        </w:rPr>
        <w:t>Criticisms of carbon offsets</w:t>
      </w:r>
      <w:bookmarkEnd w:id="31"/>
      <w:bookmarkEnd w:id="32"/>
      <w:bookmarkEnd w:id="33"/>
      <w:bookmarkEnd w:id="34"/>
    </w:p>
    <w:p w14:paraId="5498B509" w14:textId="4986D926" w:rsidR="009A21E6" w:rsidRPr="00D16AB0" w:rsidRDefault="004C34C3" w:rsidP="0085112C">
      <w:pPr>
        <w:pStyle w:val="SMText"/>
        <w:spacing w:beforeLines="50" w:before="120" w:afterLines="50" w:after="120" w:line="276" w:lineRule="auto"/>
        <w:ind w:firstLine="0"/>
        <w:rPr>
          <w:rFonts w:ascii="Arial" w:hAnsi="Arial" w:cs="Arial"/>
          <w:sz w:val="21"/>
          <w:szCs w:val="21"/>
          <w:lang w:val="en-GB"/>
        </w:rPr>
      </w:pPr>
      <w:bookmarkStart w:id="35" w:name="_Toc214984837"/>
      <w:r w:rsidRPr="00D16AB0">
        <w:rPr>
          <w:rFonts w:ascii="Arial" w:hAnsi="Arial" w:cs="Arial"/>
          <w:sz w:val="21"/>
          <w:szCs w:val="21"/>
          <w:lang w:val="en-GB"/>
        </w:rPr>
        <w:t>The major criticisms of carbon offset projects concern both the use and quality of credits</w:t>
      </w:r>
      <w:r w:rsidR="00FD7E91" w:rsidRPr="00D16AB0">
        <w:rPr>
          <w:rFonts w:ascii="Arial" w:hAnsi="Arial" w:cs="Arial"/>
          <w:sz w:val="21"/>
          <w:szCs w:val="21"/>
          <w:vertAlign w:val="superscript"/>
          <w:lang w:val="en-GB"/>
        </w:rPr>
        <w:fldChar w:fldCharType="begin"/>
      </w:r>
      <w:r w:rsidR="001A6C96" w:rsidRPr="00D16AB0">
        <w:rPr>
          <w:rFonts w:ascii="Arial" w:hAnsi="Arial" w:cs="Arial"/>
          <w:sz w:val="21"/>
          <w:szCs w:val="21"/>
          <w:vertAlign w:val="superscript"/>
          <w:lang w:val="en-GB"/>
        </w:rPr>
        <w:instrText xml:space="preserve"> ADDIN ZOTERO_ITEM CSL_CITATION {"citationID":"TUbRifDL","properties":{"unsorted":false,"formattedCitation":"\\super 3\\nosupersub{}","plainCitation":"3","noteIndex":0},"citationItems":[{"id":2794,"uris":["http://zotero.org/groups/4647276/items/NIQTGZ5U"],"itemData":{"id":2794,"type":"document","abstract":"Carbon offset credits are not a simple commodity. As with many products whose quality is difficult for casual buyers to assess, standard-setting organizations have been established to provide quality assurance for carbon offsets. These carbon offset programs[1] range from international...","language":"en","publisher":"Greenhouse Gas Management Institute &amp; the Stockholm Environment Institute","title":"Securing climate benefit: A guide to using carbon offsets","URL":"https://www.offsetguide.org/pdf-download/","author":[{"family":"Broekhof","given":"Derik"},{"family":"Gillenwater","given":"Michael"},{"family":"Colbert-Sangree","given":"Tani"},{"family":"Cage","given":"Patrick"}],"accessed":{"date-parts":[["2023",6,13]]},"issued":{"date-parts":[["2019",11,13]]}}}],"schema":"https://github.com/citation-style-language/schema/raw/master/csl-citation.json"} </w:instrText>
      </w:r>
      <w:r w:rsidR="00FD7E91" w:rsidRPr="00D16AB0">
        <w:rPr>
          <w:rFonts w:ascii="Arial" w:hAnsi="Arial" w:cs="Arial"/>
          <w:sz w:val="21"/>
          <w:szCs w:val="21"/>
          <w:vertAlign w:val="superscript"/>
          <w:lang w:val="en-GB"/>
        </w:rPr>
        <w:fldChar w:fldCharType="separate"/>
      </w:r>
      <w:r w:rsidR="001A6C96" w:rsidRPr="00D16AB0">
        <w:rPr>
          <w:rFonts w:ascii="Arial" w:hAnsi="Arial" w:cs="Arial"/>
          <w:sz w:val="21"/>
          <w:szCs w:val="21"/>
          <w:vertAlign w:val="superscript"/>
          <w:lang w:val="en-GB"/>
        </w:rPr>
        <w:t>3</w:t>
      </w:r>
      <w:r w:rsidR="00FD7E91" w:rsidRPr="00D16AB0">
        <w:rPr>
          <w:rFonts w:ascii="Arial" w:hAnsi="Arial" w:cs="Arial"/>
          <w:sz w:val="21"/>
          <w:szCs w:val="21"/>
          <w:vertAlign w:val="superscript"/>
          <w:lang w:val="en-GB"/>
        </w:rPr>
        <w:fldChar w:fldCharType="end"/>
      </w:r>
      <w:r w:rsidRPr="00D16AB0">
        <w:rPr>
          <w:rFonts w:ascii="Arial" w:hAnsi="Arial" w:cs="Arial"/>
          <w:sz w:val="21"/>
          <w:szCs w:val="21"/>
          <w:lang w:val="en-GB"/>
        </w:rPr>
        <w:t>.</w:t>
      </w:r>
      <w:bookmarkEnd w:id="35"/>
      <w:r w:rsidRPr="00D16AB0">
        <w:rPr>
          <w:rFonts w:ascii="Arial" w:hAnsi="Arial" w:cs="Arial"/>
          <w:sz w:val="21"/>
          <w:szCs w:val="21"/>
          <w:lang w:val="en-GB"/>
        </w:rPr>
        <w:t xml:space="preserve"> </w:t>
      </w:r>
    </w:p>
    <w:p w14:paraId="3633B4EE" w14:textId="55457087" w:rsidR="005E214F" w:rsidRPr="00D16AB0" w:rsidRDefault="004C34C3" w:rsidP="00AF0F63">
      <w:pPr>
        <w:pStyle w:val="SMText"/>
        <w:spacing w:beforeLines="50" w:before="120" w:afterLines="50" w:after="120" w:line="276" w:lineRule="auto"/>
        <w:ind w:firstLine="0"/>
        <w:rPr>
          <w:rFonts w:ascii="Arial" w:hAnsi="Arial" w:cs="Arial"/>
          <w:sz w:val="21"/>
          <w:szCs w:val="21"/>
          <w:lang w:val="en-GB"/>
        </w:rPr>
      </w:pPr>
      <w:bookmarkStart w:id="36" w:name="_Toc214984838"/>
      <w:r w:rsidRPr="00D16AB0">
        <w:rPr>
          <w:rFonts w:ascii="Arial" w:hAnsi="Arial" w:cs="Arial"/>
          <w:sz w:val="21"/>
          <w:szCs w:val="21"/>
          <w:lang w:val="en-GB"/>
        </w:rPr>
        <w:t>A handful of studies have criticised carbon offsetting for creating perverse incentives functioning as a ‘greenwashing’ tool</w:t>
      </w:r>
      <w:r w:rsidR="001C7FC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{"citationID":"dswqlFBw","properties":{"formattedCitation":"\\super 43\\nosupersub{}","plainCitation":"43","noteIndex":0},"citationItems":[{"id":"ZthMjOpd/7Hhf7mpG","uris":["http://zotero.org/users/9291085/items/SP38CJI4"],"itemData":{"id":1595,"type":"article-journal","source":"ResearchGate","title":"The new greenwash? Potential marketing problems with carbon offsets","title-short":"The new greenwash?","author":[{"family":"Polonsky","given":"Michael"},{"family":"Grau","given":"Stacy"},{"family":"Garma","given":"Romana"}],"issued":{"date-parts":[["2010",6,1]]}}}],"schema":"https://github.com/citation-style-language/schema/raw/master/csl-citation.json"} </w:instrText>
      </w:r>
      <w:r w:rsidR="001C7FC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43</w:t>
      </w:r>
      <w:r w:rsidR="001C7FCB" w:rsidRPr="00D16AB0">
        <w:rPr>
          <w:rFonts w:ascii="Arial" w:hAnsi="Arial" w:cs="Arial"/>
          <w:sz w:val="21"/>
          <w:szCs w:val="21"/>
          <w:lang w:val="en-GB"/>
        </w:rPr>
        <w:fldChar w:fldCharType="end"/>
      </w:r>
      <w:r w:rsidRPr="00D16AB0">
        <w:rPr>
          <w:rFonts w:ascii="Arial" w:hAnsi="Arial" w:cs="Arial"/>
          <w:sz w:val="21"/>
          <w:szCs w:val="21"/>
          <w:lang w:val="en-GB"/>
        </w:rPr>
        <w:t>, being a severely under-capitalized short-term solution</w:t>
      </w:r>
      <w:r w:rsidR="001C7FC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{"citationID":"lB3QIU2p","properties":{"formattedCitation":"\\super 44\\nosupersub{}","plainCitation":"44","noteIndex":0},"citationItems":[{"id":"ZthMjOpd/ZK7bbVLY","uris":["http://zotero.org/users/9291085/items/YI25J7UD"],"itemData":{"id":1529,"type":"article-journal","abstract":"California operates a large forest carbon offsets program that credits carbon stored in forests across the continental United States and parts of coastal Alaska. These credits can be sold to buyers who wish to justify ongoing emissions, including in California’s cap-and-trade program. Although fossil CO2 emissions have effectively permanent atmospheric consequences, carbon stored in forests is inherently less durable because forests are subject to significant socioeconomic and physical risks that can cause temporarily stored carbon to be re-released into the atmosphere. To address these risks, California’s program is nominally designed to provide a 100-year guarantee on forest carbon claims based on a self-insurance program known as a buffer pool. Projects contribute credits to the buffer pool based on a suite of project-specific risk factors, with buffer pool credits retired as needed to cover carbon losses from events such as wildfire or drought. So long as the buffer pool remains solvent, the program’s permanence claim remains intact. Here, we perform an actuarial analysis of the performance of California’s buffer pool. We document how wildfires have depleted nearly one-fifth of the total buffer pool in less than a decade, equivalent to at least 95 percent of the program-wide contribution intended to manage all fire risks for 100 years. We also show that potential carbon losses from a single forest disease, sudden oak death, could fully encumber all credits set aside for disease and insect risks. These findings indicate that California’s buffer pool is severely undercapitalized and therefore unlikely to be able to guarantee the environmental integrity of California’s forest offsets program for 100 years.","container-title":"Frontiers in Forests and Global Change","DOI":"10.3389/ffgc.2022.930426","journalAbbreviation":"Frontiers in Forests and Global Change","page":"930426","source":"ResearchGate","title":"California’s forest carbon offsets buffer pool is severely undercapitalized","volume":"5","author":[{"family":"Badgley","given":"Grayson"},{"family":"Chay","given":"Freya"},{"family":"Chegwidden","given":"Oriana"},{"family":"Hamman","given":"Joseph"},{"family":"Freeman","given":"Jeremy"},{"family":"Cullenward","given":"Danny"}],"issued":{"date-parts":[["2022",8,1]]}}}],"schema":"https://github.com/citation-style-language/schema/raw/master/csl-citation.json"} </w:instrText>
      </w:r>
      <w:r w:rsidR="001C7FC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44</w:t>
      </w:r>
      <w:r w:rsidR="001C7FCB" w:rsidRPr="00D16AB0">
        <w:rPr>
          <w:rFonts w:ascii="Arial" w:hAnsi="Arial" w:cs="Arial"/>
          <w:sz w:val="21"/>
          <w:szCs w:val="21"/>
          <w:lang w:val="en-GB"/>
        </w:rPr>
        <w:fldChar w:fldCharType="end"/>
      </w:r>
      <w:r w:rsidRPr="00D16AB0">
        <w:rPr>
          <w:rFonts w:ascii="Arial" w:hAnsi="Arial" w:cs="Arial"/>
          <w:sz w:val="21"/>
          <w:szCs w:val="21"/>
          <w:lang w:val="en-GB"/>
        </w:rPr>
        <w:t>, and discouraging decarbonisation regulation</w:t>
      </w:r>
      <w:r w:rsidR="001C7FC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{"citationID":"S9O3lWFh","properties":{"formattedCitation":"\\super 45\\nosupersub{}","plainCitation":"45","noteIndex":0},"citationItems":[{"id":"ZthMjOpd/7lQsm0BJ","uris":["http://zotero.org/users/9291085/items/UXV2KUDF"],"itemData":{"id":1519,"type":"article-journal","container-title":"Program on Energy and Sustainable Development Working Paper #74","language":"en","source":"pesd.fsi.stanford.edu","title":"A Realistic Policy on International Carbon Offsets","URL":"http://pesd.fsi.stanford.edu/publications/a_realistic_policy_on_international_carbon_offsets","author":[{"family":"Wara","given":"Michael"},{"family":"Victor","given":"David G."}],"accessed":{"date-parts":[["2023",6,17]]},"issued":{"date-parts":[["2008",1,4]]}}}],"schema":"https://github.com/citation-style-language/schema/raw/master/csl-citation.json"} </w:instrText>
      </w:r>
      <w:r w:rsidR="001C7FC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45</w:t>
      </w:r>
      <w:r w:rsidR="001C7FCB" w:rsidRPr="00D16AB0">
        <w:rPr>
          <w:rFonts w:ascii="Arial" w:hAnsi="Arial" w:cs="Arial"/>
          <w:sz w:val="21"/>
          <w:szCs w:val="21"/>
          <w:lang w:val="en-GB"/>
        </w:rPr>
        <w:fldChar w:fldCharType="end"/>
      </w:r>
      <w:r w:rsidRPr="00D16AB0">
        <w:rPr>
          <w:rFonts w:ascii="Arial" w:hAnsi="Arial" w:cs="Arial"/>
          <w:sz w:val="21"/>
          <w:szCs w:val="21"/>
          <w:lang w:val="en-GB"/>
        </w:rPr>
        <w:t>. More importantly, the validity of carbon offsets can be difficult to guarantee regarding their non-additionality</w:t>
      </w:r>
      <w:r w:rsidR="001C7FC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{"citationID":"a18na80db1r","properties":{"unsorted":true,"formattedCitation":"\\super 20,14\\nosupersub{}","plainCitation":"20,14","noteIndex":0},"citationItems":[{"id":2817,"uris":["http://zotero.org/groups/4647276/items/IANNQYK9"],"itemData":{"id":2817,"type":"article-journal","abstract":"Carbon offsets allow greenhouse gas emitters to comply with an emissions cap by paying others outside of the capped sectors to reduce emissions. The first major carbon offset programme, the United Nations’ Clean Development Mechanism (CDM), has been criticized for generating a large number of credits from projects that do not actually reduce emissions. Following the controversial CDM experience, California pioneered a second-generation compliance offset programme that shifts the focus of quality control from assessments of individual projects to the development of offset protocols, which define project type-specific eligibility criteria and methods for estimating emissions reductions. We assess the ability of California’s ‘standardized approach’ to mitigate the risk of over-crediting greenhouse gas reductions by reviewing the development of two California offset protocols – Mine Methane Capture and Rice Cultivation. We examine the regulator’s treatment of three sources of over-crediting under the CDM: non-additional projects, inflated counterfactual baseline scenarios, and perverse incentives that inadvertently increase emissions. We find that the standardized approach offers the ability to reduce, but not eliminate, the risk of over-crediting. This requires careful protocol-scale analysis, conservative methods for estimating reductions, ongoing monitoring of programme outcomes, and restricting participation to project types with manageable levels of uncertainty in emission reductions. However, several of these elements are missing from California’s regime, and even best practices result in significant uncertainty in true emission reductions. Relying on carbon offsets to lower compliance costs risks lessening total emission reductions and increases uncertainty in whether an emissions target has been met.Key policy insights Substantial and ongoing oversight by offset programme administrators is needed to contain uncertainty and avoid over-crediting. California’s Mine Methane Capture Protocol may have influenced federal decisions not to regulate methane emissions from coal mines on federally-owned lands.Government priorities and methodological choices drive outcomes in carbon pricing policies with large offset programmes, contrary to the common perception that these policies delegate decision-making to private actors.Offsets are better understood as a way for regulated emitters to invest in an incentive programme that achieves difficult-to-estimate emission reductions, than as accurately quantified tons of reductions.","container-title":"Climate Policy","DOI":"10.1080/14693062.2020.1781035","ISSN":"1469-3062","issue":"9","note":"publisher: Taylor &amp; Francis\n_eprint: https://doi.org/10.1080/14693062.2020.1781035","page":"1112-1126","source":"Taylor and Francis+NEJM","title":"Managing uncertainty in carbon offsets: insights from California’s standardized approach","title-short":"Managing uncertainty in carbon offsets","volume":"20","author":[{"family":"Haya","given":"Barbara"},{"family":"Cullenward","given":"Danny"},{"family":"Strong","given":"Aaron L."},{"family":"Grubert","given":"Emily"},{"family":"Heilmayr","given":"Robert"},{"family":"Sivas","given":"Deborah A."},{"family":"Wara","given":"Michael"}],"issued":{"date-parts":[["2020",10,20]]}}},{"id":4890,"uris":["http://zotero.org/groups/4647276/items/N9VYBI9G"],"itemData":{"id":4890,"type":"article-journal","abstract":"We develop and implement a new method for identifying wasted subsidies and use it to provide systematic evidence of the misallocation of carbon offsets in the Clean Development Mechanism—the world's largest carbon offset program. Using newly constructed data on the locations and characteristics of over 1,000 wind farms in India, we estimate that at least 52 percent of approved carbon offsets were allocated to projects that would very likely have been built anyway. We estimate that the sale of these offsets to regulated polluters resulted in substantially higher global carbon dioxide emissions.(JEL H23, O13, Q42, Q54, Q58)","container-title":"American Economic Journal: Applied Economics","DOI":"10.1257/app.20230052","ISSN":"1945-7782, 1945-7790","issue":"1","journalAbbreviation":"American Economic Journal: Applied Economics","language":"en","page":"1-40","source":"DOI.org (Crossref)","title":"Do carbon offsets offset carbon?","volume":"17","author":[{"family":"Calel","given":"Raphael"},{"family":"Colmer","given":"Jonathan"},{"family":"Dechezleprêtre","given":"Antoine"},{"family":"Glachant","given":"Matthieu"}],"issued":{"date-parts":[["2025",1,1]]}}}],"schema":"https://github.com/citation-style-language/schema/raw/master/csl-citation.json"} </w:instrText>
      </w:r>
      <w:r w:rsidR="001C7FC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20,14</w:t>
      </w:r>
      <w:r w:rsidR="001C7FCB" w:rsidRPr="00D16AB0">
        <w:rPr>
          <w:rFonts w:ascii="Arial" w:hAnsi="Arial" w:cs="Arial"/>
          <w:sz w:val="21"/>
          <w:szCs w:val="21"/>
          <w:lang w:val="en-GB"/>
        </w:rPr>
        <w:fldChar w:fldCharType="end"/>
      </w:r>
      <w:r w:rsidRPr="00D16AB0">
        <w:rPr>
          <w:rFonts w:ascii="Arial" w:hAnsi="Arial" w:cs="Arial"/>
          <w:sz w:val="21"/>
          <w:szCs w:val="21"/>
          <w:lang w:val="en-GB"/>
        </w:rPr>
        <w:t>, carbon leakage risk</w:t>
      </w:r>
      <w:r w:rsidR="001C7FC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{"citationID":"kMVLSmaC","properties":{"unsorted":false,"formattedCitation":"\\super 21\\nosupersub{}","plainCitation":"21","noteIndex":0},"citationItems":[{"id":2836,"uris":["http://zotero.org/groups/4647276/items/TGYKIILC"],"itemData":{"id":2836,"type":"article-journal","container-title":"Environmental Research Letters","DOI":"10.1088/1748-9326/ac18e8","ISSN":"1748-9326","issue":"9","journalAbbreviation":"Environ. Res. Lett.","language":"en","note":"publisher: IOP Publishing","page":"091001","source":"Institute of Physics","title":"Environmental integrity of emissions reductions depends on scale and systemic changes, not sector of origin","volume":"16","author":[{"family":"Schwartzman","given":"Stephan"},{"family":"Lubowski","given":"Ruben N."},{"family":"Pacala","given":"Stephen W."},{"family":"Keohane","given":"Nathaniel O."},{"family":"Kerr","given":"Suzi"},{"family":"Oppenheimer","given":"Michael"},{"family":"Hamburg","given":"Steven P."}],"issued":{"date-parts":[["2021",8]]}}}],"schema":"https://github.com/citation-style-language/schema/raw/master/csl-citation.json"} </w:instrText>
      </w:r>
      <w:r w:rsidR="001C7FC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21</w:t>
      </w:r>
      <w:r w:rsidR="001C7FCB" w:rsidRPr="00D16AB0">
        <w:rPr>
          <w:rFonts w:ascii="Arial" w:hAnsi="Arial" w:cs="Arial"/>
          <w:sz w:val="21"/>
          <w:szCs w:val="21"/>
          <w:lang w:val="en-GB"/>
        </w:rPr>
        <w:fldChar w:fldCharType="end"/>
      </w:r>
      <w:r w:rsidRPr="00D16AB0">
        <w:rPr>
          <w:rFonts w:ascii="Arial" w:hAnsi="Arial" w:cs="Arial"/>
          <w:sz w:val="21"/>
          <w:szCs w:val="21"/>
          <w:lang w:val="en-GB"/>
        </w:rPr>
        <w:t>, and overestimated climate benefits associated with over-crediting and inaccurate baselines</w:t>
      </w:r>
      <w:r w:rsidR="001C7FC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{"citationID":"a2nrvajokic","properties":{"unsorted":true,"formattedCitation":"\\super 33,22,23\\nosupersub{}","plainCitation":"33,22,23","noteIndex":0},"citationItems":[{"id":2765,"uris":["http://zotero.org/groups/4647276/items/L2CQN9RH"],"itemData":{"id":2765,"type":"article-journal","abstract":"The Clean Development Mechanism (CDM) under the Kyoto Protocol allows industrialized countries to use credits from greenhouse gas (GHG) abatement projects in developing countries. A key requirement of the CDM is that the emission reductions be real, measurable and additional. This article evaluates how the additionality of CDM projects has been assessed in practice. The analysis is mainly based on a systematic evaluation of 93 registered CDM projects and comes to the conclusion that the current tools for demonstrating additionality are in need of substantial improvement. In particular, the application of the barrier analysis is highly subjective and difficult to validate in an objective and transparent manner. Key assumptions regarding additionality are often not substantiated with credible, documented evidence. In a considerable number of cases it is questionable whether the emission reductions are actually additional. Based on these findings, practical recommendations for improving the assessment of additionality are provided.","container-title":"Climate Policy","DOI":"10.3763/cpol.2008.0533","ISSN":"1469-3062","issue":"3","note":"publisher: Taylor &amp; Francis","page":"242-254","source":"Taylor and Francis+NEJM","title":"Assessing the additionality of CDM projects: practical experiences and lessons learned","title-short":"Assessing the additionality of CDM projects","volume":"9","author":[{"family":"Schneider","given":"Lambert"}],"issued":{"date-parts":[["2009",1,1]]}}},{"id":2809,"uris":["http://zotero.org/groups/4647276/items/M532Q8AQ"],"itemData":{"id":2809,"type":"article-journal","container-title":"Global Change Biology","DOI":"10.1111/gcb.15943","ISSN":"1354-1013, 1365-2486","issue":"4","journalAbbreviation":"Global Change Biology","language":"en","page":"1433-1445","source":"DOI.org (Crossref)","title":"Systematic over</w:instrText>
      </w:r>
      <w:r w:rsidR="001A6C96" w:rsidRPr="00D16AB0">
        <w:rPr>
          <w:rFonts w:ascii="Cambria Math" w:hAnsi="Cambria Math" w:cs="Cambria Math"/>
          <w:sz w:val="21"/>
          <w:szCs w:val="21"/>
          <w:lang w:val="en-GB"/>
        </w:rPr>
        <w:instrText>‐</w:instrText>
      </w:r>
      <w:r w:rsidR="001A6C96" w:rsidRPr="00D16AB0">
        <w:rPr>
          <w:rFonts w:ascii="Arial" w:hAnsi="Arial" w:cs="Arial"/>
          <w:sz w:val="21"/>
          <w:szCs w:val="21"/>
          <w:lang w:val="en-GB"/>
        </w:rPr>
        <w:instrText xml:space="preserve">crediting in California's forest carbon offsets program","volume":"28","author":[{"family":"Badgley","given":"Grayson"},{"family":"Freeman","given":"Jeremy"},{"family":"Hamman","given":"Joseph J."},{"family":"Haya","given":"Barbara"},{"family":"Trugman","given":"Anna T."},{"family":"Anderegg","given":"William R. L."},{"family":"Cullenward","given":"Danny"}],"issued":{"date-parts":[["2022",2]]}}},{"id":2782,"uris":["http://zotero.org/groups/4647276/items/DEXRMRRV"],"itemData":{"id":2782,"type":"article-journal","abstract":"Reducing emissions from deforestation and forest degradation (REDD+) has gained international attention over the past decade, as manifested in both United Nations policy discussions and hundreds of voluntary projects launched to earn carbon-offset credits. There are ongoing discussions about whether and how projects should be integrated into national climate change mitigation efforts under the Paris Agreement. One consideration is whether these projects have generated additional impacts over and above national policies and other measures. To help inform these discussions, we compare the crediting baselines established ex-ante by voluntary REDD+ projects in the Brazilian Amazon to counterfactuals constructed ex-post based on the quasi-experimental synthetic control method. We find that the crediting baselines assume consistently higher deforestation than counterfactual forest loss in synthetic control sites. This gap is partially due to decreased deforestation in the Brazilian Amazon during the early implementation phase of the REDD+ projects considered here. This suggests that forest carbon finance must strike a balance between controlling conservation investment risk and ensuring the environmental integrity of carbon emission offsets. Relatedly, our results point to the need to better align project- and national-level carbon accounting.","container-title":"Proceedings of the National Academy of Sciences","DOI":"10.1073/pnas.2004334117","issue":"39","note":"publisher: Proceedings of the National Academy of Sciences","page":"24188-24194","source":"pnas.org (Atypon)","title":"Overstated carbon emission reductions from voluntary REDD+ projects in the Brazilian Amazon","volume":"117","author":[{"family":"West","given":"Thales A. P."},{"family":"Börner","given":"Jan"},{"family":"Sills","given":"Erin O."},{"family":"Kontoleon","given":"Andreas"}],"issued":{"date-parts":[["2020",9,29]]}}}],"schema":"https://github.com/citation-style-language/schema/raw/master/csl-citation.json"} </w:instrText>
      </w:r>
      <w:r w:rsidR="001C7FC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33,22,23</w:t>
      </w:r>
      <w:r w:rsidR="001C7FCB" w:rsidRPr="00D16AB0">
        <w:rPr>
          <w:rFonts w:ascii="Arial" w:hAnsi="Arial" w:cs="Arial"/>
          <w:sz w:val="21"/>
          <w:szCs w:val="21"/>
          <w:lang w:val="en-GB"/>
        </w:rPr>
        <w:fldChar w:fldCharType="end"/>
      </w:r>
      <w:r w:rsidRPr="00D16AB0">
        <w:rPr>
          <w:rFonts w:ascii="Arial" w:hAnsi="Arial" w:cs="Arial"/>
          <w:sz w:val="21"/>
          <w:szCs w:val="21"/>
          <w:lang w:val="en-GB"/>
        </w:rPr>
        <w:t>.</w:t>
      </w:r>
      <w:bookmarkEnd w:id="36"/>
    </w:p>
    <w:p w14:paraId="42847BAC" w14:textId="0CB90AE6" w:rsidR="00421A2E" w:rsidRPr="00D16AB0" w:rsidRDefault="004C34C3" w:rsidP="00AF0F63">
      <w:pPr>
        <w:pStyle w:val="SMText"/>
        <w:spacing w:beforeLines="50" w:before="120" w:afterLines="50" w:after="120" w:line="276" w:lineRule="auto"/>
        <w:ind w:firstLine="0"/>
        <w:rPr>
          <w:rFonts w:ascii="Arial" w:hAnsi="Arial" w:cs="Arial"/>
          <w:sz w:val="21"/>
          <w:szCs w:val="21"/>
          <w:lang w:val="en-GB"/>
        </w:rPr>
      </w:pPr>
      <w:bookmarkStart w:id="37" w:name="_Toc214984839"/>
      <w:r w:rsidRPr="00D16AB0">
        <w:rPr>
          <w:rFonts w:ascii="Arial" w:hAnsi="Arial" w:cs="Arial"/>
          <w:sz w:val="21"/>
          <w:szCs w:val="21"/>
          <w:lang w:val="en-GB"/>
        </w:rPr>
        <w:t>Importantly, non-additional offsets harm this regime by distorting carbon markets, diverting funds away from genuine climate solutions and delaying the low-carbon transition with an illusion of progress. Calel and his colleagues use a sample of 1350 wind farms in India to identify wasted subsidies as evidence of misallocation of carbon offsets. Among 472 projects have been registered to receive carbon offsets under the CDM, 265 wind farms that there exist other strictly less profitable projects were built without the same subsidies</w:t>
      </w:r>
      <w:r w:rsidR="000E0A2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{"citationID":"a16da0mgncm","properties":{"unsorted":false,"formattedCitation":"\\super 14\\nosupersub{}","plainCitation":"14","noteIndex":0},"citationItems":[{"id":4890,"uris":["http://zotero.org/groups/4647276/items/N9VYBI9G"],"itemData":{"id":4890,"type":"article-journal","abstract":"We develop and implement a new method for identifying wasted subsidies and use it to provide systematic evidence of the misallocation of carbon offsets in the Clean Development Mechanism—the world's largest carbon offset program. Using newly constructed data on the locations and characteristics of over 1,000 wind farms in India, we estimate that at least 52 percent of approved carbon offsets were allocated to projects that would very likely have been built anyway. We estimate that the sale of these offsets to regulated polluters resulted in substantially higher global carbon dioxide emissions.(JEL H23, O13, Q42, Q54, Q58)","container-title":"American Economic Journal: Applied Economics","DOI":"10.1257/app.20230052","ISSN":"1945-7782, 1945-7790","issue":"1","journalAbbreviation":"American Economic Journal: Applied Economics","language":"en","page":"1-40","source":"DOI.org (Crossref)","title":"Do carbon offsets offset carbon?","volume":"17","author":[{"family":"Calel","given":"Raphael"},{"family":"Colmer","given":"Jonathan"},{"family":"Dechezleprêtre","given":"Antoine"},{"family":"Glachant","given":"Matthieu"}],"issued":{"date-parts":[["2025",1,1]]}}}],"schema":"https://github.com/citation-style-language/schema/raw/master/csl-citation.json"} </w:instrText>
      </w:r>
      <w:r w:rsidR="000E0A2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14</w:t>
      </w:r>
      <w:r w:rsidR="000E0A21" w:rsidRPr="00D16AB0">
        <w:rPr>
          <w:rFonts w:ascii="Arial" w:hAnsi="Arial" w:cs="Arial"/>
          <w:sz w:val="21"/>
          <w:szCs w:val="21"/>
          <w:lang w:val="en-GB"/>
        </w:rPr>
        <w:fldChar w:fldCharType="end"/>
      </w:r>
      <w:r w:rsidRPr="00D16AB0">
        <w:rPr>
          <w:rFonts w:ascii="Arial" w:hAnsi="Arial" w:cs="Arial"/>
          <w:sz w:val="21"/>
          <w:szCs w:val="21"/>
          <w:lang w:val="en-GB"/>
        </w:rPr>
        <w:t>. Ironically, this indicates that at least 52% of carbon offsets from registered wind farms in India are non-additional and even random subsidy allocation through a lottery would have resulted in fewer misallocated subsidies. In the power sector, CERs issued by CDM that have both additional and contribute to sustainable development are estimated at merely 15% of the total</w:t>
      </w:r>
      <w:r w:rsidR="000E0A2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{"citationID":"VaXcc2vx","properties":{"formattedCitation":"\\super 46\\nosupersub{}","plainCitation":"46","noteIndex":0},"citationItems":[{"id":"ZthMjOpd/YBK4BOlf","uris":["http://zotero.org/users/9291085/items/K3CE8LNF"],"itemData":{"id":1381,"type":"report","abstract":"In the assessment of the substantial impact on the emissions reduction by the clean development mechanism (CDM), a large number of literatures indicate that there were concerns in the determination of the additionality of CDM projects particularly in the power sector, such as wind power, hydropower, natural gas, coal-fired power and waste heat recovery project. Based on literatures that discuss the additionality of the CDM projects to date and financial feasibility considering the situation of low credit prices since 2013, the CERs (Certified Emission Reductions) that had been issued until December 2015 was screened by the following three evaluation criteria. (1) “Performance of internal rate of return (IRR) in investment analysis”, (2) “Specific project type and host country” and “CER prices in the PDDs and on the secondary market at the time of its insurance”. The result shows that at most 34% of the total CERs were issued from the CDM projects that have concern of non-additional project. Moreover, industrial gas projects such as HFC reduction and N2O destruction have been pointed out that there is no contribution to the sustainable development of the host country although they are considered to be additional. The amount of issued CERs from these projects is 835MtCO2 in total by the end of 2015. Based on this fact, the CERs that have both additional and contribution to the sustainable development are estimated as 15% of the total.Remarks:(Japanese Version) http://pub.iges.or.jp/modules/envirolib/view.php?docid=6241","genre":"Working Paper","language":"English","note":"container-title: https://www.iges.or.jp/en/pub/quantitative-assessment-certified-emission/en","source":"www.iges.or.jp","title":"Quantitative Assessment of Certified Emission Reductions from Non-additional CDM projects","URL":"https://www.iges.or.jp/en/pub/quantitative-assessment-certified-emission/en","author":[{"family":"Kuriyama","given":"Akihisa"},{"family":"Koakutsu","given":"Kazuhisa"}],"accessed":{"date-parts":[["2023",4,30]]},"issued":{"date-parts":[["2016"]]}}}],"schema":"https://github.com/citation-style-language/schema/raw/master/csl-citation.json"} </w:instrText>
      </w:r>
      <w:r w:rsidR="000E0A2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46</w:t>
      </w:r>
      <w:r w:rsidR="000E0A21" w:rsidRPr="00D16AB0">
        <w:rPr>
          <w:rFonts w:ascii="Arial" w:hAnsi="Arial" w:cs="Arial"/>
          <w:sz w:val="21"/>
          <w:szCs w:val="21"/>
          <w:lang w:val="en-GB"/>
        </w:rPr>
        <w:fldChar w:fldCharType="end"/>
      </w:r>
      <w:r w:rsidRPr="00D16AB0">
        <w:rPr>
          <w:rFonts w:ascii="Arial" w:hAnsi="Arial" w:cs="Arial"/>
          <w:sz w:val="21"/>
          <w:szCs w:val="21"/>
          <w:lang w:val="en-GB"/>
        </w:rPr>
        <w:t>.</w:t>
      </w:r>
      <w:bookmarkEnd w:id="37"/>
      <w:r w:rsidRPr="00D16AB0">
        <w:rPr>
          <w:rFonts w:ascii="Arial" w:hAnsi="Arial" w:cs="Arial"/>
          <w:sz w:val="21"/>
          <w:szCs w:val="21"/>
          <w:lang w:val="en-GB"/>
        </w:rPr>
        <w:t xml:space="preserve"> </w:t>
      </w:r>
    </w:p>
    <w:p w14:paraId="60784752" w14:textId="533A71CF" w:rsidR="000167E5" w:rsidRPr="00D16AB0" w:rsidRDefault="004C34C3" w:rsidP="00AF0F63">
      <w:pPr>
        <w:pStyle w:val="SMText"/>
        <w:spacing w:beforeLines="50" w:before="120" w:afterLines="50" w:after="120" w:line="276" w:lineRule="auto"/>
        <w:ind w:firstLine="0"/>
        <w:rPr>
          <w:rFonts w:ascii="Arial" w:hAnsi="Arial" w:cs="Arial"/>
          <w:sz w:val="21"/>
          <w:szCs w:val="21"/>
          <w:lang w:val="en-GB"/>
        </w:rPr>
      </w:pPr>
      <w:bookmarkStart w:id="38" w:name="_Toc214984840"/>
      <w:r w:rsidRPr="00D16AB0">
        <w:rPr>
          <w:rFonts w:ascii="Arial" w:hAnsi="Arial" w:cs="Arial"/>
          <w:sz w:val="21"/>
          <w:szCs w:val="21"/>
          <w:lang w:val="en-GB"/>
        </w:rPr>
        <w:t>A related concern, which has also drawn media headlines, is systematic over-crediting, which arises from inflated counterfactual baseline scenarios</w:t>
      </w:r>
      <w:r w:rsidR="008D100F"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{"citationID":"ac86RaMB","properties":{"formattedCitation":"\\super 47\\nosupersub{}","plainCitation":"47","noteIndex":0},"citationItems":[{"id":"ZthMjOpd/tjzIFWr4","uris":["http://zotero.org/users/9291085/items/T7D33IQM"],"itemData":{"id":1395,"type":"article-newspaper","abstract":"Investigation into Verra carbon standard finds most are ‘phantom credits’ and may worsen global heating","container-title":"The Guardian","ISSN":"0261-3077","language":"en-GB","section":"Environment","source":"The Guardian","title":"Revealed: more than 90% of rainforest carbon offsets by biggest certifier are worthless, analysis shows","title-short":"Revealed","URL":"https://www.theguardian.com/environment/2023/jan/18/revealed-forest-carbon-offsets-biggest-provider-worthless-verra-aoe","author":[{"family":"Greenfield","given":"Patrick"}],"accessed":{"date-parts":[["2023",6,7]]},"issued":{"date-parts":[["2023",1,18]]}}}],"schema":"https://github.com/citation-style-language/schema/raw/master/csl-citation.json"} </w:instrText>
      </w:r>
      <w:r w:rsidR="008D100F"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47</w:t>
      </w:r>
      <w:r w:rsidR="008D100F" w:rsidRPr="00D16AB0">
        <w:rPr>
          <w:rFonts w:ascii="Arial" w:hAnsi="Arial" w:cs="Arial"/>
          <w:sz w:val="21"/>
          <w:szCs w:val="21"/>
          <w:lang w:val="en-GB"/>
        </w:rPr>
        <w:fldChar w:fldCharType="end"/>
      </w:r>
      <w:r w:rsidRPr="00D16AB0">
        <w:rPr>
          <w:rFonts w:ascii="Arial" w:hAnsi="Arial" w:cs="Arial"/>
          <w:sz w:val="21"/>
          <w:szCs w:val="21"/>
          <w:lang w:val="en-GB"/>
        </w:rPr>
        <w:t>.</w:t>
      </w:r>
      <w:bookmarkEnd w:id="38"/>
    </w:p>
    <w:p w14:paraId="7B73B92D" w14:textId="042CF2A3" w:rsidR="00C6387F" w:rsidRPr="00D16AB0" w:rsidRDefault="004C34C3" w:rsidP="00AF0F63">
      <w:pPr>
        <w:pStyle w:val="SMText"/>
        <w:spacing w:beforeLines="50" w:before="120" w:afterLines="50" w:after="120" w:line="276" w:lineRule="auto"/>
        <w:ind w:firstLine="0"/>
        <w:rPr>
          <w:rFonts w:ascii="Arial" w:hAnsi="Arial" w:cs="Arial"/>
          <w:sz w:val="21"/>
          <w:szCs w:val="21"/>
          <w:lang w:val="en-GB"/>
        </w:rPr>
      </w:pPr>
      <w:bookmarkStart w:id="39" w:name="_Toc214984841"/>
      <w:r w:rsidRPr="00D16AB0">
        <w:rPr>
          <w:rFonts w:ascii="Arial" w:hAnsi="Arial" w:cs="Arial"/>
          <w:sz w:val="21"/>
          <w:szCs w:val="21"/>
          <w:lang w:val="en-GB"/>
        </w:rPr>
        <w:lastRenderedPageBreak/>
        <w:t>In California’s forest carbon offset program, awarding forest projects with carbon stocks that exceed regional averages led to 29.4% of the credits being overissued</w:t>
      </w:r>
      <w:r w:rsidR="000C1DF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{"citationID":"a2brkavke8v","properties":{"unsorted":false,"formattedCitation":"\\super 22\\nosupersub{}","plainCitation":"22","noteIndex":0},"citationItems":[{"id":2809,"uris":["http://zotero.org/groups/4647276/items/M532Q8AQ"],"itemData":{"id":2809,"type":"article-journal","container-title":"Global Change Biology","DOI":"10.1111/gcb.15943","ISSN":"1354-1013, 1365-2486","issue":"4","journalAbbreviation":"Global Change Biology","language":"en","page":"1433-1445","source":"DOI.org (Crossref)","title":"Systematic over</w:instrText>
      </w:r>
      <w:r w:rsidR="001A6C96" w:rsidRPr="00D16AB0">
        <w:rPr>
          <w:rFonts w:ascii="Cambria Math" w:hAnsi="Cambria Math" w:cs="Cambria Math"/>
          <w:sz w:val="21"/>
          <w:szCs w:val="21"/>
          <w:lang w:val="en-GB"/>
        </w:rPr>
        <w:instrText>‐</w:instrText>
      </w:r>
      <w:r w:rsidR="001A6C96" w:rsidRPr="00D16AB0">
        <w:rPr>
          <w:rFonts w:ascii="Arial" w:hAnsi="Arial" w:cs="Arial"/>
          <w:sz w:val="21"/>
          <w:szCs w:val="21"/>
          <w:lang w:val="en-GB"/>
        </w:rPr>
        <w:instrText xml:space="preserve">crediting in California's forest carbon offsets program","volume":"28","author":[{"family":"Badgley","given":"Grayson"},{"family":"Freeman","given":"Jeremy"},{"family":"Hamman","given":"Joseph J."},{"family":"Haya","given":"Barbara"},{"family":"Trugman","given":"Anna T."},{"family":"Anderegg","given":"William R. L."},{"family":"Cullenward","given":"Danny"}],"issued":{"date-parts":[["2022",2]]}}}],"schema":"https://github.com/citation-style-language/schema/raw/master/csl-citation.json"} </w:instrText>
      </w:r>
      <w:r w:rsidR="000C1DF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22</w:t>
      </w:r>
      <w:r w:rsidR="000C1DF1" w:rsidRPr="00D16AB0">
        <w:rPr>
          <w:rFonts w:ascii="Arial" w:hAnsi="Arial" w:cs="Arial"/>
          <w:sz w:val="21"/>
          <w:szCs w:val="21"/>
          <w:lang w:val="en-GB"/>
        </w:rPr>
        <w:fldChar w:fldCharType="end"/>
      </w:r>
      <w:r w:rsidRPr="00D16AB0">
        <w:rPr>
          <w:rFonts w:ascii="Arial" w:hAnsi="Arial" w:cs="Arial"/>
          <w:sz w:val="21"/>
          <w:szCs w:val="21"/>
          <w:lang w:val="en-GB"/>
        </w:rPr>
        <w:t>. Strikingly, the fuel-switching project sample is over-credited by 6.3 times on average, and even the best GS’s Metered and Measured methodology for cookstove projects is still 1.3 times over-credited</w:t>
      </w:r>
      <w:bookmarkStart w:id="40" w:name="_Hlk180768024"/>
      <w:r w:rsidR="007E0CC5"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{"citationID":"9oxiGmzQ","properties":{"formattedCitation":"\\super 48\\nosupersub{}","plainCitation":"48","noteIndex":0},"citationItems":[{"id":3079,"uris":["http://zotero.org/groups/4647276/items/Z7G2HYXV"],"itemData":{"id":3079,"type":"article-journal","abstract":"Cookstove carbon offset projects can progress multiple Sustainable Development Goals (SDGs), including climate, energy, health, gender, poverty and deforestation. However, project emission reductions must be accurately or conservatively estimated to avoid undermining climate action and long-term SDG financing. Here we conduct a comprehensive, quantitative, quality assessment of offsets by comparing five cookstove methodologies with published literature and our own analysis. We find misalignment, in order of importance, with fraction of non-renewable biomass, firewood–charcoal conversion, stove adoption, stove usage, fuel consumption, stacking (using multiple stoves), rebound and emission factors. Additionality, leakage, permanence and overlapping claims require more research. We estimate that our project sample is over-credited 9.2 times. Gold Standard’s metered methodology, which directly monitors fuel use, is most aligned with our estimates (1.5 times over-credited) and has the largest potential for emission abatement and health benefit. We provide recommendations to align methodologies with current science and SDG progress.","container-title":"Nature Sustainability","DOI":"10.1038/s41893-023-01259-6","ISSN":"2398-9629","issue":"2","language":"en","license":"2024 The Author(s), under exclusive licence to Springer Nature Limited","note":"publisher: Nature Publishing Group","page":"191-202","source":"www.nature.com","title":"Pervasive over-crediting from cookstove offset methodologies","volume":"7","author":[{"family":"Gill-Wiehl","given":"Annelise"},{"family":"Kammen","given":"Daniel M."},{"family":"Haya","given":"Barbara K."}],"issued":{"date-parts":[["2024",2]]}}}],"schema":"https://github.com/citation-style-language/schema/raw/master/csl-citation.json"} </w:instrText>
      </w:r>
      <w:r w:rsidR="007E0CC5"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48</w:t>
      </w:r>
      <w:r w:rsidR="007E0CC5" w:rsidRPr="00D16AB0">
        <w:rPr>
          <w:rFonts w:ascii="Arial" w:hAnsi="Arial" w:cs="Arial"/>
          <w:sz w:val="21"/>
          <w:szCs w:val="21"/>
          <w:lang w:val="en-GB"/>
        </w:rPr>
        <w:fldChar w:fldCharType="end"/>
      </w:r>
      <w:bookmarkEnd w:id="40"/>
      <w:r w:rsidRPr="00D16AB0">
        <w:rPr>
          <w:rFonts w:ascii="Arial" w:hAnsi="Arial" w:cs="Arial"/>
          <w:sz w:val="21"/>
          <w:szCs w:val="21"/>
          <w:lang w:val="en-GB"/>
        </w:rPr>
        <w:t>.</w:t>
      </w:r>
      <w:bookmarkEnd w:id="39"/>
    </w:p>
    <w:p w14:paraId="749BF068" w14:textId="4B6501EC" w:rsidR="00EB093F" w:rsidRPr="00D16AB0" w:rsidRDefault="004C34C3" w:rsidP="00AF0F63">
      <w:pPr>
        <w:pStyle w:val="SMText"/>
        <w:spacing w:beforeLines="50" w:before="120" w:afterLines="50" w:after="120" w:line="276" w:lineRule="auto"/>
        <w:ind w:firstLine="0"/>
        <w:rPr>
          <w:rFonts w:ascii="Arial" w:hAnsi="Arial" w:cs="Arial"/>
          <w:sz w:val="21"/>
          <w:szCs w:val="21"/>
          <w:lang w:val="en-GB"/>
        </w:rPr>
      </w:pPr>
      <w:bookmarkStart w:id="41" w:name="_Toc214984842"/>
      <w:r w:rsidRPr="00D16AB0">
        <w:rPr>
          <w:rFonts w:ascii="Arial" w:hAnsi="Arial" w:cs="Arial"/>
          <w:sz w:val="21"/>
          <w:szCs w:val="21"/>
          <w:lang w:val="en-GB"/>
        </w:rPr>
        <w:t>In studies on forestry offsets, West and his team apply a quasi-experimental synthetical control method and find that the crediting baselines established ex-ante by 12 voluntary REDD+ (Reducing Emissions from Deforestation and Forest Degradation) projects in the Brazilian Amazon tend to assume higher deforestation than counterfactual forest loss in synthetic control sites due to decreased deforestation during the early implementation phase</w:t>
      </w:r>
      <w:r w:rsidR="009A60E2"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{"citationID":"a1ohqbk7ske","properties":{"unsorted":false,"formattedCitation":"\\super 23\\nosupersub{}","plainCitation":"23","noteIndex":0},"citationItems":[{"id":2782,"uris":["http://zotero.org/groups/4647276/items/DEXRMRRV"],"itemData":{"id":2782,"type":"article-journal","abstract":"Reducing emissions from deforestation and forest degradation (REDD+) has gained international attention over the past decade, as manifested in both United Nations policy discussions and hundreds of voluntary projects launched to earn carbon-offset credits. There are ongoing discussions about whether and how projects should be integrated into national climate change mitigation efforts under the Paris Agreement. One consideration is whether these projects have generated additional impacts over and above national policies and other measures. To help inform these discussions, we compare the crediting baselines established ex-ante by voluntary REDD+ projects in the Brazilian Amazon to counterfactuals constructed ex-post based on the quasi-experimental synthetic control method. We find that the crediting baselines assume consistently higher deforestation than counterfactual forest loss in synthetic control sites. This gap is partially due to decreased deforestation in the Brazilian Amazon during the early implementation phase of the REDD+ projects considered here. This suggests that forest carbon finance must strike a balance between controlling conservation investment risk and ensuring the environmental integrity of carbon emission offsets. Relatedly, our results point to the need to better align project- and national-level carbon accounting.","container-title":"Proceedings of the National Academy of Sciences","DOI":"10.1073/pnas.2004334117","issue":"39","note":"publisher: Proceedings of the National Academy of Sciences","page":"24188-24194","source":"pnas.org (Atypon)","title":"Overstated carbon emission reductions from voluntary REDD+ projects in the Brazilian Amazon","volume":"117","author":[{"family":"West","given":"Thales A. P."},{"family":"Börner","given":"Jan"},{"family":"Sills","given":"Erin O."},{"family":"Kontoleon","given":"Andreas"}],"issued":{"date-parts":[["2020",9,29]]}}}],"schema":"https://github.com/citation-style-language/schema/raw/master/csl-citation.json"} </w:instrText>
      </w:r>
      <w:r w:rsidR="009A60E2"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23</w:t>
      </w:r>
      <w:r w:rsidR="009A60E2" w:rsidRPr="00D16AB0">
        <w:rPr>
          <w:rFonts w:ascii="Arial" w:hAnsi="Arial" w:cs="Arial"/>
          <w:sz w:val="21"/>
          <w:szCs w:val="21"/>
          <w:lang w:val="en-GB"/>
        </w:rPr>
        <w:fldChar w:fldCharType="end"/>
      </w:r>
      <w:r w:rsidRPr="00D16AB0">
        <w:rPr>
          <w:rFonts w:ascii="Arial" w:hAnsi="Arial" w:cs="Arial"/>
          <w:sz w:val="21"/>
          <w:szCs w:val="21"/>
          <w:lang w:val="en-GB"/>
        </w:rPr>
        <w:t>. They examine the impacts of 27 REDD+ projects in six countries on three continents and find similar results: most projects accounting for 71% of carbon offset credits have not reduced deforestation, but at least 14.6 million credits have been used by individuals or organizations around the world. Even though a number of projects had effectively stopped some deforestation</w:t>
      </w:r>
      <w:r w:rsidR="009A60E2"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{"citationID":"3p9mqtIn","properties":{"formattedCitation":"\\super 49\\nosupersub{}","plainCitation":"49","noteIndex":0},"citationItems":[{"id":"ZthMjOpd/wt0GmoAW","uris":["http://zotero.org/users/9291085/items/XLUIYB57"],"itemData":{"id":1409,"type":"article-journal","abstract":"Reducing emissions from deforestation and forest degradation (REDD+) projects aim to contribute to climate change mitigation by protecting and enhancing carbon stocks in tropical forests, but there have been no systematic global evaluations of their impact. We used a new data set for tropical humid forests and a standardized evaluation approach (based on pixel matching) to quantify the performance of a representative sample of 40 voluntary REDD+ projects in 9 countries certified under the Verified Carbon Standard (VCS). In the first 5 years of implementation, deforestation within project areas was reduced by 47% (95% confidence interval [CI]: 24-68) compared with matched counterfactual pixels, and degradation rates were 58% lower (95% CI: 49-63). Reductions were small in absolute terms but greater in sites located in high-deforestation settings and did not appear to be substantially undermined by leakage activities in forested areas within 10 km of project boundaries. At the 26th Conference of the Parties of the United Nations Framework Convention on Climate Change, the international community renewed its commitment to tackling tropical deforestation as a nature-based solution to climate change. Our results indicate that incentivizing forest conservation through voluntary site-based projects can slow tropical deforestation and highlight the particular importance of prioritizing financing for areas at greater risk of deforestation.","container-title":"Conservation Biology: The Journal of the Society for Conservation Biology","DOI":"10.1111/cobi.13970","ISSN":"1523-1739","issue":"6","journalAbbreviation":"Conserv Biol","language":"eng","note":"PMID: 35713105\nPMCID: PMC10086997","page":"e13970","source":"PubMed","title":"A global evaluation of the effectiveness of voluntary REDD+ projects at reducing deforestation and degradation in the moist tropics","volume":"36","author":[{"family":"Guizar-Coutiño","given":"Alejandro"},{"family":"Jones","given":"Julia P. G."},{"family":"Balmford","given":"Andrew"},{"family":"Carmenta","given":"Rachel"},{"family":"Coomes","given":"David A."}],"issued":{"date-parts":[["2022",12]]}}}],"schema":"https://github.com/citation-style-language/schema/raw/master/csl-citation.json"} </w:instrText>
      </w:r>
      <w:r w:rsidR="009A60E2"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49</w:t>
      </w:r>
      <w:r w:rsidR="009A60E2" w:rsidRPr="00D16AB0">
        <w:rPr>
          <w:rFonts w:ascii="Arial" w:hAnsi="Arial" w:cs="Arial"/>
          <w:sz w:val="21"/>
          <w:szCs w:val="21"/>
          <w:lang w:val="en-GB"/>
        </w:rPr>
        <w:fldChar w:fldCharType="end"/>
      </w:r>
      <w:r w:rsidRPr="00D16AB0">
        <w:rPr>
          <w:rFonts w:ascii="Arial" w:hAnsi="Arial" w:cs="Arial"/>
          <w:sz w:val="21"/>
          <w:szCs w:val="21"/>
          <w:lang w:val="en-GB"/>
        </w:rPr>
        <w:t>, the areas were extremely small</w:t>
      </w:r>
      <w:r w:rsidR="009A60E2"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{"citationID":"qhvlCgx7","properties":{"formattedCitation":"\\super 47\\nosupersub{}","plainCitation":"47","noteIndex":0},"citationItems":[{"id":"ZthMjOpd/tjzIFWr4","uris":["http://zotero.org/users/9291085/items/T7D33IQM"],"itemData":{"id":1395,"type":"article-newspaper","abstract":"Investigation into Verra carbon standard finds most are ‘phantom credits’ and may worsen global heating","container-title":"The Guardian","ISSN":"0261-3077","language":"en-GB","section":"Environment","source":"The Guardian","title":"Revealed: more than 90% of rainforest carbon offsets by biggest certifier are worthless, analysis shows","title-short":"Revealed","URL":"https://www.theguardian.com/environment/2023/jan/18/revealed-forest-carbon-offsets-biggest-provider-worthless-verra-aoe","author":[{"family":"Greenfield","given":"Patrick"}],"accessed":{"date-parts":[["2023",6,7]]},"issued":{"date-parts":[["2023",1,18]]}}}],"schema":"https://github.com/citation-style-language/schema/raw/master/csl-citation.json"} </w:instrText>
      </w:r>
      <w:r w:rsidR="009A60E2"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47</w:t>
      </w:r>
      <w:r w:rsidR="009A60E2" w:rsidRPr="00D16AB0">
        <w:rPr>
          <w:rFonts w:ascii="Arial" w:hAnsi="Arial" w:cs="Arial"/>
          <w:sz w:val="21"/>
          <w:szCs w:val="21"/>
          <w:lang w:val="en-GB"/>
        </w:rPr>
        <w:fldChar w:fldCharType="end"/>
      </w:r>
      <w:r w:rsidRPr="00D16AB0">
        <w:rPr>
          <w:rFonts w:ascii="Arial" w:hAnsi="Arial" w:cs="Arial"/>
          <w:sz w:val="21"/>
          <w:szCs w:val="21"/>
          <w:lang w:val="en-GB"/>
        </w:rPr>
        <w:t>.</w:t>
      </w:r>
      <w:bookmarkEnd w:id="41"/>
      <w:r w:rsidRPr="00D16AB0">
        <w:rPr>
          <w:rFonts w:ascii="Arial" w:hAnsi="Arial" w:cs="Arial"/>
          <w:sz w:val="21"/>
          <w:szCs w:val="21"/>
          <w:lang w:val="en-GB"/>
        </w:rPr>
        <w:t xml:space="preserve"> </w:t>
      </w:r>
    </w:p>
    <w:p w14:paraId="4506823B" w14:textId="7D07A91A" w:rsidR="00E370ED" w:rsidRPr="00D16AB0" w:rsidRDefault="004C34C3" w:rsidP="00AF0F63">
      <w:pPr>
        <w:pStyle w:val="SMText"/>
        <w:spacing w:beforeLines="50" w:before="120" w:afterLines="50" w:after="120" w:line="276" w:lineRule="auto"/>
        <w:ind w:firstLine="0"/>
        <w:rPr>
          <w:rFonts w:ascii="Arial" w:hAnsi="Arial" w:cs="Arial"/>
          <w:sz w:val="21"/>
          <w:szCs w:val="21"/>
          <w:lang w:val="en-GB"/>
        </w:rPr>
      </w:pPr>
      <w:bookmarkStart w:id="42" w:name="_Toc214984843"/>
      <w:r w:rsidRPr="00D16AB0">
        <w:rPr>
          <w:rFonts w:ascii="Arial" w:hAnsi="Arial" w:cs="Arial"/>
          <w:sz w:val="21"/>
          <w:szCs w:val="21"/>
          <w:lang w:val="en-GB"/>
        </w:rPr>
        <w:t>Offset crediting agencies have responded with improved methods to strengthen the accuracy of REDD+ baselines</w:t>
      </w:r>
      <w:r w:rsidR="0069035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{"citationID":"NLIqX9lg","properties":{"formattedCitation":"\\super 50\\nosupersub{}","plainCitation":"50","noteIndex":0},"citationItems":[{"id":"ZthMjOpd/aHJzC8aa","uris":["http://zotero.org/users/9291085/items/AKYXDWB9"],"itemData":{"id":1393,"type":"post-weblog","language":"en-US","title":"Verra Response to Guardian Article on Carbon Offsets","URL":"https://verra.org/verra-response-guardian-rainforest-carbon-offsets/","author":[{"family":"Verra","given":""}],"accessed":{"date-parts":[["2023",6,7]]},"issued":{"date-parts":[["2023",1,18]]}}}],"schema":"https://github.com/citation-style-language/schema/raw/master/csl-citation.json"} </w:instrText>
      </w:r>
      <w:r w:rsidR="0069035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50</w:t>
      </w:r>
      <w:r w:rsidR="00690351" w:rsidRPr="00D16AB0">
        <w:rPr>
          <w:rFonts w:ascii="Arial" w:hAnsi="Arial" w:cs="Arial"/>
          <w:sz w:val="21"/>
          <w:szCs w:val="21"/>
          <w:lang w:val="en-GB"/>
        </w:rPr>
        <w:fldChar w:fldCharType="end"/>
      </w:r>
      <w:r w:rsidRPr="00D16AB0">
        <w:rPr>
          <w:rFonts w:ascii="Arial" w:hAnsi="Arial" w:cs="Arial"/>
          <w:sz w:val="21"/>
          <w:szCs w:val="21"/>
          <w:lang w:val="en-GB"/>
        </w:rPr>
        <w:t>. Nevertheless, the climate policy development process demands more proactive engagement of scientists to improve the resilience and robustness of carbon mitigation mechanism design</w:t>
      </w:r>
      <w:r w:rsidR="0069035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{"citationID":"a1u178rsqcm","properties":{"unsorted":false,"formattedCitation":"\\super 51\\nosupersub{}","plainCitation":"51","noteIndex":0},"citationItems":[{"id":5446,"uris":["http://zotero.org/groups/4647276/items/NE87IXPS"],"itemData":{"id":5446,"type":"chapter","container-title":"Advances in Natural and Technological Hazards Research","event-place":"Cham","ISBN":"978-3-319-20160-3","language":"en","license":"https://www.springernature.com/gp/researchers/text-and-data-mining","note":"DOI: 10.1007/978-3-319-20161-0_15\nISSN: 1878-9897, 2213-6959","page":"241-254","publisher":"Springer International Publishing","publisher-place":"Cham","source":"Crossref","title":"Carbon offsets in California: Science in the policy development process","title-short":"Carbon offsets in california","URL":"https://link.springer.com/10.1007/978-3-319-20161-0_15","author":[{"family":"Haya","given":"Barbara"},{"family":"Strong","given":"Aaron"},{"family":"Grubert","given":"Emily"},{"family":"Cullenward","given":"Danny"}],"accessed":{"date-parts":[["2025",7,26]]},"issued":{"date-parts":[["2016"]]}}}],"schema":"https://github.com/citation-style-language/schema/raw/master/csl-citation.json"} </w:instrText>
      </w:r>
      <w:r w:rsidR="0069035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51</w:t>
      </w:r>
      <w:r w:rsidR="00690351" w:rsidRPr="00D16AB0">
        <w:rPr>
          <w:rFonts w:ascii="Arial" w:hAnsi="Arial" w:cs="Arial"/>
          <w:sz w:val="21"/>
          <w:szCs w:val="21"/>
          <w:lang w:val="en-GB"/>
        </w:rPr>
        <w:fldChar w:fldCharType="end"/>
      </w:r>
      <w:r w:rsidRPr="00D16AB0">
        <w:rPr>
          <w:rFonts w:ascii="Arial" w:hAnsi="Arial" w:cs="Arial"/>
          <w:sz w:val="21"/>
          <w:szCs w:val="21"/>
          <w:lang w:val="en-GB"/>
        </w:rPr>
        <w:t>.</w:t>
      </w:r>
      <w:bookmarkEnd w:id="42"/>
    </w:p>
    <w:p w14:paraId="468C16C4" w14:textId="1DF9569F" w:rsidR="004C34C3" w:rsidRDefault="004C34C3" w:rsidP="00AF0F63">
      <w:pPr>
        <w:pStyle w:val="SMText"/>
        <w:spacing w:beforeLines="50" w:before="120" w:afterLines="50" w:after="120" w:line="276" w:lineRule="auto"/>
        <w:ind w:firstLine="0"/>
        <w:rPr>
          <w:rFonts w:ascii="Arial" w:hAnsi="Arial" w:cs="Arial"/>
          <w:sz w:val="21"/>
          <w:szCs w:val="21"/>
          <w:lang w:val="en-GB" w:eastAsia="zh-CN"/>
        </w:rPr>
      </w:pPr>
      <w:bookmarkStart w:id="43" w:name="_Toc214984844"/>
      <w:r w:rsidRPr="00D16AB0">
        <w:rPr>
          <w:rFonts w:ascii="Arial" w:hAnsi="Arial" w:cs="Arial"/>
          <w:sz w:val="21"/>
          <w:szCs w:val="21"/>
          <w:lang w:val="en-GB"/>
        </w:rPr>
        <w:t>Therefore, extant carbon offset studies have examined the performance of carbon offset projects on several dimensions, including their actual contribution to emissions reduction, their incentives to climate mitigation activities in the short- and long- term, and their ability to provide climate finance to the developing world. Most of them came up with negative conclusions and recommended either discarding offset practices entirely or adding further complexity to the current regime.</w:t>
      </w:r>
      <w:bookmarkEnd w:id="43"/>
    </w:p>
    <w:p w14:paraId="53E7C9D8" w14:textId="77777777" w:rsidR="00A240DF" w:rsidRPr="00D16AB0" w:rsidRDefault="00A240DF" w:rsidP="00AF0F63">
      <w:pPr>
        <w:pStyle w:val="SMText"/>
        <w:spacing w:beforeLines="50" w:before="120" w:afterLines="50" w:after="120" w:line="276" w:lineRule="auto"/>
        <w:ind w:firstLine="0"/>
        <w:rPr>
          <w:rFonts w:ascii="Arial" w:hAnsi="Arial" w:cs="Arial"/>
          <w:sz w:val="21"/>
          <w:szCs w:val="21"/>
          <w:lang w:val="en-GB" w:eastAsia="zh-CN"/>
        </w:rPr>
      </w:pPr>
    </w:p>
    <w:p w14:paraId="169E9174" w14:textId="61D66918" w:rsidR="00FA0194" w:rsidRPr="00D16AB0" w:rsidRDefault="004C34C3"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44" w:name="_Toc214984845"/>
      <w:bookmarkStart w:id="45" w:name="_Toc214985823"/>
      <w:bookmarkStart w:id="46" w:name="_Toc214986965"/>
      <w:r w:rsidRPr="00D16AB0">
        <w:rPr>
          <w:rFonts w:ascii="Arial" w:hAnsi="Arial" w:cs="Arial"/>
          <w:b/>
          <w:bCs/>
          <w:sz w:val="21"/>
          <w:szCs w:val="21"/>
          <w:u w:val="none"/>
          <w:lang w:val="en-GB"/>
        </w:rPr>
        <w:t>Beyond additionality</w:t>
      </w:r>
      <w:bookmarkEnd w:id="44"/>
      <w:bookmarkEnd w:id="45"/>
      <w:bookmarkEnd w:id="46"/>
    </w:p>
    <w:p w14:paraId="43545F9D" w14:textId="29EF39A4" w:rsidR="00A4527E" w:rsidRPr="00D16AB0" w:rsidRDefault="004C34C3" w:rsidP="00AF116C">
      <w:pPr>
        <w:pStyle w:val="SMText"/>
        <w:spacing w:beforeLines="50" w:before="120" w:afterLines="50" w:after="120" w:line="276" w:lineRule="auto"/>
        <w:ind w:firstLine="0"/>
        <w:rPr>
          <w:rFonts w:ascii="Arial" w:hAnsi="Arial" w:cs="Arial"/>
          <w:sz w:val="21"/>
          <w:szCs w:val="21"/>
          <w:lang w:val="en-GB"/>
        </w:rPr>
      </w:pPr>
      <w:bookmarkStart w:id="47" w:name="_Toc214984846"/>
      <w:r w:rsidRPr="00D16AB0">
        <w:rPr>
          <w:rFonts w:ascii="Arial" w:hAnsi="Arial" w:cs="Arial"/>
          <w:sz w:val="21"/>
          <w:szCs w:val="21"/>
          <w:lang w:val="en-GB"/>
        </w:rPr>
        <w:t>Research beyond additionality has been exploring ways to improve the carbon mechanism, while some of their implications have been overlooked in practice.</w:t>
      </w:r>
      <w:bookmarkEnd w:id="47"/>
    </w:p>
    <w:p w14:paraId="476A44C7" w14:textId="59831155" w:rsidR="00A10F7A" w:rsidRPr="00D16AB0" w:rsidRDefault="004C34C3" w:rsidP="00AF116C">
      <w:pPr>
        <w:pStyle w:val="SMText"/>
        <w:spacing w:beforeLines="50" w:before="120" w:afterLines="50" w:after="120" w:line="276" w:lineRule="auto"/>
        <w:ind w:firstLine="0"/>
        <w:rPr>
          <w:rFonts w:ascii="Arial" w:hAnsi="Arial" w:cs="Arial"/>
          <w:sz w:val="21"/>
          <w:szCs w:val="21"/>
          <w:lang w:val="en-GB"/>
        </w:rPr>
      </w:pPr>
      <w:bookmarkStart w:id="48" w:name="_Toc214984847"/>
      <w:r w:rsidRPr="00D16AB0">
        <w:rPr>
          <w:rFonts w:ascii="Arial" w:hAnsi="Arial" w:cs="Arial"/>
          <w:sz w:val="21"/>
          <w:szCs w:val="21"/>
          <w:lang w:val="en-GB"/>
        </w:rPr>
        <w:t>Concerns have been raised since 2005 regarding the carbon offsets projects in the Indian and Chinese power sectors that might embody flaws characterized by complicated, politicized and administratively inefficient at that time</w:t>
      </w:r>
      <w:r w:rsidR="00C6570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{"citationID":"kXy6SvUI","properties":{"formattedCitation":"\\super 52\\nosupersub{}","plainCitation":"52","noteIndex":0},"citationItems":[{"id":"ZthMjOpd/jHzFHoPv","uris":["http://zotero.org/users/9291085/items/4VKBJ6J2"],"itemData":{"id":1597,"type":"article-journal","container-title":"Pew Center on Global Climate Change","language":"en","source":"pesd.fsi.stanford.edu","title":"Development and Climate: Engaging Developing Countries","title-short":"Development and Climate","URL":"http://pesd.fsi.stanford.edu/publications/development_and_climate_engaging_developing_countries","author":[{"family":"Heller","given":"Thomas C."},{"family":"Shukla","given":"P. R."}],"accessed":{"date-parts":[["2023",8,2]]},"issued":{"date-parts":[["2003",1,12]]}}}],"schema":"https://github.com/citation-style-language/schema/raw/master/csl-citation.json"} </w:instrText>
      </w:r>
      <w:r w:rsidR="00C6570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52</w:t>
      </w:r>
      <w:r w:rsidR="00C65701" w:rsidRPr="00D16AB0">
        <w:rPr>
          <w:rFonts w:ascii="Arial" w:hAnsi="Arial" w:cs="Arial"/>
          <w:sz w:val="21"/>
          <w:szCs w:val="21"/>
          <w:lang w:val="en-GB"/>
        </w:rPr>
        <w:fldChar w:fldCharType="end"/>
      </w:r>
      <w:r w:rsidRPr="00D16AB0">
        <w:rPr>
          <w:rFonts w:ascii="Arial" w:hAnsi="Arial" w:cs="Arial"/>
          <w:sz w:val="21"/>
          <w:szCs w:val="21"/>
          <w:lang w:val="en-GB"/>
        </w:rPr>
        <w:t>. Alternatively, instead of inaccurate baselines for individual projects, baselines at the multi-project level or across whole sectors based on disaggregated analysis and careful industry analysis would be another effective approach</w:t>
      </w:r>
      <w:r w:rsidR="00C6570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{"citationID":"41dMzt3D","properties":{"formattedCitation":"\\super 53\\uc0\\u8211{}55\\nosupersub{}","plainCitation":"53–55","noteIndex":0},"citationItems":[{"id":"ZthMjOpd/DOIexxsV","uris":["http://zotero.org/users/9291085/items/VIXSBY86"],"itemData":{"id":1515,"type":"article-journal","container-title":"Program on Energy and Sustainable Development Working Paper #34","language":"en","source":"pesd.fsi.stanford.edu","title":"Baseline for carbon emissions in the Indian and Chinese power sectors: implications for international carbon trading","title-short":"Baseline for carbon emissions in the Indian and Chinese power sectors","URL":"http://pesd.fsi.stanford.edu/publications/baseline_for_carbon_emissions_in_the_indian_and_chinese_power_sectors_implications_for_international_carbon_trading","author":[{"family":"Heller","given":"Thomas C."},{"family":"Victor","given":"David G."},{"family":"Shukla","given":"P. R."},{"family":"Biswas","given":"Debhashish"},{"family":"Nag","given":"Tirthankar"},{"family":"Zhang","given":"Chi"}],"accessed":{"date-parts":[["2023",6,17]]},"issued":{"date-parts":[["2005",1,1]]}}},{"id":"ZthMjOpd/41l4Di9J","uris":["http://zotero.org/users/9291085/items/9RWDNFMT"],"itemData":{"id":1599,"type":"article-journal","license":"Tellus Institute, Boston","source":"ResearchGate","title":"Key Issues in Benchmark Baselines for the CDM: Aggregation, Stringency, Cohorts, and Updating","title-short":"Key Issues in Benchmark Baselines for the CDM","author":[{"family":"Lazarus","given":"Michael"},{"family":"Kartha","given":"Sivan"},{"family":"Bernow","given":"Steve"}],"issued":{"date-parts":[["2000",6]]}}},{"id":"ZthMjOpd/T22pFg2O","uris":["http://zotero.org/users/9291085/items/7TAEZF9S"],"itemData":{"id":1602,"type":"article-journal","abstract":"The clean development mechanism (CDM) under the Kyoto Protocol (KP) is envisioned as a vehicle to encourage developing countries to participate in greenhouse gas (GHG) mitigation efforts. However, a number of issues related to the CDM are yet to be resolved. One such issue is related to the additionality criterion for identifying the CDM projects. This paper argues that while an application of purely economic additionality criterion is essential to ensure the real and long-term mitigation of global GHG emissions, it could also limit the scope of the CDM as an effective vehicle for GHG mitigation. It would therefore be desirable, under some conditions, to include in the CDM the GHG mitigation projects that are economically attractive but are not implemented due to lack of capital resources. The paper also highlights the need for applying the additionality criterion for assessing candidate CDM projects, especially in the power sector, on the basis of their effects on overall “program” or sectoral level GHG mitigation.","container-title":"Energy Policy","DOI":"10.1016/S0301-4215(01)00054-4","ISSN":"0301-4215","issue":"1","journalAbbreviation":"Energy Policy","language":"en","page":"73-79","source":"ScienceDirect","title":"The additionality criterion for identifying clean development mechanism projects under the Kyoto Protocol","volume":"30","author":[{"family":"Shrestha","given":"Ram M."},{"family":"Timilsina","given":"Govinda R."}],"issued":{"date-parts":[["2002",1,1]]}}}],"schema":"https://github.com/citation-style-language/schema/raw/master/csl-citation.json"} </w:instrText>
      </w:r>
      <w:r w:rsidR="00C6570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53–55</w:t>
      </w:r>
      <w:r w:rsidR="00C65701" w:rsidRPr="00D16AB0">
        <w:rPr>
          <w:rFonts w:ascii="Arial" w:hAnsi="Arial" w:cs="Arial"/>
          <w:sz w:val="21"/>
          <w:szCs w:val="21"/>
          <w:lang w:val="en-GB"/>
        </w:rPr>
        <w:fldChar w:fldCharType="end"/>
      </w:r>
      <w:r w:rsidRPr="00D16AB0">
        <w:rPr>
          <w:rFonts w:ascii="Arial" w:hAnsi="Arial" w:cs="Arial"/>
          <w:sz w:val="21"/>
          <w:szCs w:val="21"/>
          <w:lang w:val="en-GB"/>
        </w:rPr>
        <w:t>. This highlights the importance of heterogeneity analysis of multi-project level or sector level, rather than project level.</w:t>
      </w:r>
      <w:bookmarkEnd w:id="48"/>
    </w:p>
    <w:p w14:paraId="20AD086A" w14:textId="143CD208" w:rsidR="0079709C" w:rsidRPr="00D16AB0" w:rsidRDefault="004C34C3" w:rsidP="00AF116C">
      <w:pPr>
        <w:pStyle w:val="SMText"/>
        <w:spacing w:beforeLines="50" w:before="120" w:afterLines="50" w:after="120" w:line="276" w:lineRule="auto"/>
        <w:ind w:firstLine="0"/>
        <w:rPr>
          <w:rFonts w:ascii="Arial" w:hAnsi="Arial" w:cs="Arial"/>
          <w:sz w:val="21"/>
          <w:szCs w:val="21"/>
          <w:lang w:val="en-GB"/>
        </w:rPr>
      </w:pPr>
      <w:bookmarkStart w:id="49" w:name="_Toc214984848"/>
      <w:r w:rsidRPr="00D16AB0">
        <w:rPr>
          <w:rFonts w:ascii="Arial" w:hAnsi="Arial" w:cs="Arial"/>
          <w:sz w:val="21"/>
          <w:szCs w:val="21"/>
          <w:lang w:val="en-GB"/>
        </w:rPr>
        <w:t>The interaction of different domestic and international policies varies across countries and sectors, so the context of offset projects matters. For example, generous tax incentives encourage purchases of electric vehicles in Norway</w:t>
      </w:r>
      <w:r w:rsidR="0032615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{"citationID":"m76TTXnr","properties":{"formattedCitation":"\\super 56\\nosupersub{}","plainCitation":"56","noteIndex":0},"citationItems":[{"id":"ZthMjOpd/zNBW7FNC","uris":["http://zotero.org/users/9291085/items/UQGYN9GZ"],"itemData":{"id":1487,"type":"article","abstract":"This paper empirically estimates the effects of electric vehicles (EVs) on passenger car emissions to inform the design of policies that encourage EV purchases in Norway. We use exceptionally rich data on the universe of cars and households from Norway, which has a very high share of EVs, thanks to generous tax incentives and other policies. Our estimates suggest that household-level emission savings from the purchase of additional EVs are limited, resulting in high implicit abatement costs of Norway’s tax incentives relative to emission savings. However, the estimated emission savings are much larger if EVs replace the dirtiest cars. Norway’s experience may also help inform similar policies in other countries as they ramp up their own national climate mitigation strategies.","event-place":"Rochester, NY","genre":"SSRN Scholarly Paper","language":"en","number":"4026339","publisher-place":"Rochester, NY","source":"Social Science Research Network","title":"Electric Vehicles, Tax Incentives and Emissions: Evidence from Norway","title-short":"Electric Vehicles, Tax Incentives and Emissions","URL":"https://papers.ssrn.com/abstract=4026339","author":[{"family":"Camara","given":"Youssouf"},{"family":"Holtsmark","given":"Bjart"},{"family":"Misch","given":"Florian"}],"accessed":{"date-parts":[["2023",6,13]]},"issued":{"date-parts":[["2021",6,1]]}}}],"schema":"https://github.com/citation-style-language/schema/raw/master/csl-citation.json"} </w:instrText>
      </w:r>
      <w:r w:rsidR="0032615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56</w:t>
      </w:r>
      <w:r w:rsidR="0032615B" w:rsidRPr="00D16AB0">
        <w:rPr>
          <w:rFonts w:ascii="Arial" w:hAnsi="Arial" w:cs="Arial"/>
          <w:sz w:val="21"/>
          <w:szCs w:val="21"/>
          <w:lang w:val="en-GB"/>
        </w:rPr>
        <w:fldChar w:fldCharType="end"/>
      </w:r>
      <w:r w:rsidRPr="00D16AB0">
        <w:rPr>
          <w:rFonts w:ascii="Arial" w:hAnsi="Arial" w:cs="Arial"/>
          <w:sz w:val="21"/>
          <w:szCs w:val="21"/>
          <w:lang w:val="en-GB"/>
        </w:rPr>
        <w:t xml:space="preserve"> and renewable electricity feed-in tariffs stimulate deployment of renewable energy capacity</w:t>
      </w:r>
      <w:r w:rsidR="0032615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{"citationID":"hloUebpu","properties":{"formattedCitation":"\\super 57\\nosupersub{}","plainCitation":"57","noteIndex":0},"citationItems":[{"id":"ZthMjOpd/SN8o9NwR","uris":["http://zotero.org/users/9291085/items/ITAS5PHF"],"itemData":{"id":1425,"type":"article-journal","abstract":"Greenhouse gas emissions from the burning of fossil fuels are one of the main causes of anthropogenic climate change. Large-scale deployment of renewable energy can play an immense role in transforming the global energy system and mitigating the emissions. This paper describes the development of a novel framework called MArket Penetration ModeLing of Renewable Energy Technologies in Electric Power Sector (MAPLET-PS). MAPLET-PS assesses the impacts of policy measures such as carbon price and financial incentives on the adoption of renewable energy technologies. The framework was used to develop a case study for the electric power sector of Alberta, a fossil-dominated province in Western Canada. The results show that implementing a carbon price on fossil fuel electric power sources and incentives for renewable energy, along with the phase-out of coal-fired electricity generation, can mitigate 29% of Alberta's electricity sector 2020 GHG emissions by 2050 and reduce GHG emissions from 46.5 Mt of CO2 eq. in 2020 to 23.6 and 29.1 Mt of CO2 eq. per year in 2030 and 2050, respectively, in Alberta. Moreover, these changes can increase the share of renewable energies from 12.5% in 2018 to 30% in 2050. These rates can be achieved by implementing a carbon price along with a 1000 $ incentive per kW new capacity development and 70 $ incentive per MWh electric power generation from renewable sources, from 2021 to 2025, primarily from wind turbines.","container-title":"Renewable and Sustainable Energy Reviews","DOI":"10.1016/j.rser.2021.111663","ISSN":"1364-0321","journalAbbreviation":"Renewable and Sustainable Energy Reviews","language":"en","page":"111663","source":"ScienceDirect","title":"Developing a framework to assess the long-term adoption of renewable energy technologies in the electric power sector: The effects of carbon price and economic incentives","title-short":"Developing a framework to assess the long-term adoption of renewable energy technologies in the electric power sector","volume":"152","author":[{"family":"Radpour","given":"S."},{"family":"Gemechu","given":"E."},{"family":"Ahiduzzaman","given":"Md"},{"family":"Kumar","given":"A."}],"issued":{"date-parts":[["2021",12,1]]}}}],"schema":"https://github.com/citation-style-language/schema/raw/master/csl-citation.json"} </w:instrText>
      </w:r>
      <w:r w:rsidR="0032615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57</w:t>
      </w:r>
      <w:r w:rsidR="0032615B" w:rsidRPr="00D16AB0">
        <w:rPr>
          <w:rFonts w:ascii="Arial" w:hAnsi="Arial" w:cs="Arial"/>
          <w:sz w:val="21"/>
          <w:szCs w:val="21"/>
          <w:lang w:val="en-GB"/>
        </w:rPr>
        <w:fldChar w:fldCharType="end"/>
      </w:r>
      <w:r w:rsidRPr="00D16AB0">
        <w:rPr>
          <w:rFonts w:ascii="Arial" w:hAnsi="Arial" w:cs="Arial"/>
          <w:sz w:val="21"/>
          <w:szCs w:val="21"/>
          <w:lang w:val="en-GB"/>
        </w:rPr>
        <w:t>. There are many more policy instruments to mitigate climate change, including mandates (e.g., renewable portfolio standards, certification), incentives (e.g., tax, subsidy, discount rebate, and loan), and markets (e.g., cap-and-trade)</w:t>
      </w:r>
      <w:r w:rsidR="0032615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{"citationID":"WqkBFu1r","properties":{"formattedCitation":"\\super 58,59\\nosupersub{}","plainCitation":"58,59","noteIndex":0},"citationItems":[{"id":"ZthMjOpd/N8OeHJid","uris":["http://zotero.org/users/9291085/items/VPDQNYL9"],"itemData":{"id":1485,"type":"article-journal","abstract":"We aim at analyzing the influence of incentive policies on renewable energy deployment in European Union countries and Turkey over the 2000–2018 period. Applying both panel fixed effect and the dynamic panel estimation methods, we compared the results of these two different techniques. Moreover, we included “net metering” that has not been analyzed before, in our policy toolkit, that includes a large number of incentives. Our data cover longer time series than the previous studies in the literature, and it provides new results of different renewable energy policies and drivers for analyzed countries. Empirical findings show that while grants, Research and Development, tax, certification, and policy support have positive and statistically significant impacts on the renewable energy capacity, direct investments, loan, and net metering instruments have no stimulating effect on the renewable energy deployment. These results indicate the deterrent impact of regulations and direct investments on capacity of electricity generated from renewable energy. Moreover, our estimation results reveal that fossil energy consumption, nuclear energy, and GDP are important drivers of renewable energy deployment while net import (energy security) and CO2 emissions are not. Our study highlights the importance of research and development activities, tax incentives, and efficient policy design in transition to green economy in the countries analyzed. Following the detailed discussion of the results, possible policy implications are presented at the end of the study.","container-title":"Environmental Science and Pollution Research","DOI":"10.1007/s11356-021-17801-y","ISSN":"1614-7499","issue":"18","journalAbbreviation":"Environ Sci Pollut Res","language":"en","page":"26613-26630","source":"Springer Link","title":"Effectiveness of renewable energy incentives on sustainability: evidence from dynamic panel data analysis for the EU countries and Turkey","title-short":"Effectiveness of renewable energy incentives on sustainability","volume":"29","author":[{"family":"Bölük","given":"Gülden"},{"family":"Kaplan","given":"Ramazan"}],"issued":{"date-parts":[["2022",4,1]]}}},{"id":"ZthMjOpd/UMFaZkzx","uris":["http://zotero.org/users/9291085/items/49H9YKTB"],"itemData":{"id":1422,"type":"article-journal","abstract":"We present a bilevel optimization approach to designing effective and efficient incentive policies for stimulating investment in renewable energy. The effectiveness of an incentive policy is its capability to achieve a goal that would not be achievable without it. Renewable portfolio standards are used in this paper as the policy goal. The efficiency of an incentive policy is measured by the amount of policy intervention, such as taxes collected or subsidies paid, to achieve the policy goal. We obtain the most effective and efficient incentive policies in the context of generation expansion planning, in which a centralized planner makes investment decisions for the energy system to serve projected demand of electricity. A case study is conducted on integrated coal transportation and electricity transmission networks representing the contiguous United States. The numerical analysis from the case study provides insights on the comparison of various incentive policies. The sensitivity of the incentive policies with respect to coal production cost, wind energy investment cost, and transmission capacity is also studied.","container-title":"Applied Energy","DOI":"10.1016/j.apenergy.2010.12.022","ISSN":"0306-2619","issue":"6","journalAbbreviation":"Applied Energy","language":"en","page":"2201-2209","source":"ScienceDirect","title":"Designing effective and efficient incentive policies for renewable energy in generation expansion planning","volume":"88","author":[{"family":"Zhou","given":"Ying"},{"family":"Wang","given":"Lizhi"},{"family":"McCalley","given":"James D."}],"issued":{"date-parts":[["2011",6,1]]}}}],"schema":"https://github.com/citation-style-language/schema/raw/master/csl-citation.json"} </w:instrText>
      </w:r>
      <w:r w:rsidR="0032615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58,59</w:t>
      </w:r>
      <w:r w:rsidR="0032615B" w:rsidRPr="00D16AB0">
        <w:rPr>
          <w:rFonts w:ascii="Arial" w:hAnsi="Arial" w:cs="Arial"/>
          <w:sz w:val="21"/>
          <w:szCs w:val="21"/>
          <w:lang w:val="en-GB"/>
        </w:rPr>
        <w:fldChar w:fldCharType="end"/>
      </w:r>
      <w:r w:rsidRPr="00D16AB0">
        <w:rPr>
          <w:rFonts w:ascii="Arial" w:hAnsi="Arial" w:cs="Arial"/>
          <w:sz w:val="21"/>
          <w:szCs w:val="21"/>
          <w:lang w:val="en-GB"/>
        </w:rPr>
        <w:t>. However, previous additionality testing might be biased since it excluded domestic mitigation policies in the investment test due to the ‘E-policy rule’</w:t>
      </w:r>
      <w:r w:rsidR="0032615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{"citationID":"6wQDjiNe","properties":{"unsorted":false,"formattedCitation":"\\super 26\\nosupersub{}","plainCitation":"26","noteIndex":0},"citationItems":[{"id":2777,"uris":["http://zotero.org/groups/4647276/items/28E9QKTZ"],"itemData":{"id":2777,"type":"report","publisher":"Perspectives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0032615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26</w:t>
      </w:r>
      <w:r w:rsidR="0032615B" w:rsidRPr="00D16AB0">
        <w:rPr>
          <w:rFonts w:ascii="Arial" w:hAnsi="Arial" w:cs="Arial"/>
          <w:sz w:val="21"/>
          <w:szCs w:val="21"/>
          <w:lang w:val="en-GB"/>
        </w:rPr>
        <w:fldChar w:fldCharType="end"/>
      </w:r>
      <w:r w:rsidRPr="00D16AB0">
        <w:rPr>
          <w:rFonts w:ascii="Arial" w:hAnsi="Arial" w:cs="Arial"/>
          <w:sz w:val="21"/>
          <w:szCs w:val="21"/>
          <w:lang w:val="en-GB"/>
        </w:rPr>
        <w:t>. Therefore, the synergic effects of the domestic policies on carbon offset projects should be evaluated together under different contexts and be updated timely once contexts have been changed.</w:t>
      </w:r>
      <w:bookmarkEnd w:id="49"/>
    </w:p>
    <w:p w14:paraId="15EE0AC0" w14:textId="7C5242D0" w:rsidR="0079709C" w:rsidRPr="00D16AB0" w:rsidRDefault="004C34C3" w:rsidP="00AF116C">
      <w:pPr>
        <w:pStyle w:val="SMText"/>
        <w:spacing w:beforeLines="50" w:before="120" w:afterLines="50" w:after="120" w:line="276" w:lineRule="auto"/>
        <w:ind w:firstLine="0"/>
        <w:rPr>
          <w:rFonts w:ascii="Arial" w:hAnsi="Arial" w:cs="Arial"/>
          <w:sz w:val="21"/>
          <w:szCs w:val="21"/>
          <w:lang w:val="en-GB"/>
        </w:rPr>
      </w:pPr>
      <w:bookmarkStart w:id="50" w:name="_Toc214984849"/>
      <w:r w:rsidRPr="00D16AB0">
        <w:rPr>
          <w:rFonts w:ascii="Arial" w:hAnsi="Arial" w:cs="Arial"/>
          <w:sz w:val="21"/>
          <w:szCs w:val="21"/>
          <w:lang w:val="en-GB"/>
        </w:rPr>
        <w:lastRenderedPageBreak/>
        <w:t>Furthermore, the definition of additionality requires to align with methodologies that accurately or conservatively quantify climate impact. Rather than treating additionality as a binary, additionality could be looked at as a proportion of intervention groups who would likely have maintained the status quo without intervention</w:t>
      </w:r>
      <w:r w:rsidR="00D21155"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{"citationID":"CqDtrQZb","properties":{"formattedCitation":"\\super 48\\nosupersub{}","plainCitation":"48","noteIndex":0},"citationItems":[{"id":3079,"uris":["http://zotero.org/groups/4647276/items/Z7G2HYXV"],"itemData":{"id":3079,"type":"article-journal","abstract":"Cookstove carbon offset projects can progress multiple Sustainable Development Goals (SDGs), including climate, energy, health, gender, poverty and deforestation. However, project emission reductions must be accurately or conservatively estimated to avoid undermining climate action and long-term SDG financing. Here we conduct a comprehensive, quantitative, quality assessment of offsets by comparing five cookstove methodologies with published literature and our own analysis. We find misalignment, in order of importance, with fraction of non-renewable biomass, firewood–charcoal conversion, stove adoption, stove usage, fuel consumption, stacking (using multiple stoves), rebound and emission factors. Additionality, leakage, permanence and overlapping claims require more research. We estimate that our project sample is over-credited 9.2 times. Gold Standard’s metered methodology, which directly monitors fuel use, is most aligned with our estimates (1.5 times over-credited) and has the largest potential for emission abatement and health benefit. We provide recommendations to align methodologies with current science and SDG progress.","container-title":"Nature Sustainability","DOI":"10.1038/s41893-023-01259-6","ISSN":"2398-9629","issue":"2","language":"en","license":"2024 The Author(s), under exclusive licence to Springer Nature Limited","note":"publisher: Nature Publishing Group","page":"191-202","source":"www.nature.com","title":"Pervasive over-crediting from cookstove offset methodologies","volume":"7","author":[{"family":"Gill-Wiehl","given":"Annelise"},{"family":"Kammen","given":"Daniel M."},{"family":"Haya","given":"Barbara K."}],"issued":{"date-parts":[["2024",2]]}}}],"schema":"https://github.com/citation-style-language/schema/raw/master/csl-citation.json"} </w:instrText>
      </w:r>
      <w:r w:rsidR="00D21155"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48</w:t>
      </w:r>
      <w:r w:rsidR="00D21155" w:rsidRPr="00D16AB0">
        <w:rPr>
          <w:rFonts w:ascii="Arial" w:hAnsi="Arial" w:cs="Arial"/>
          <w:sz w:val="21"/>
          <w:szCs w:val="21"/>
          <w:lang w:val="en-GB"/>
        </w:rPr>
        <w:fldChar w:fldCharType="end"/>
      </w:r>
      <w:r w:rsidRPr="00D16AB0">
        <w:rPr>
          <w:rFonts w:ascii="Arial" w:hAnsi="Arial" w:cs="Arial"/>
          <w:sz w:val="21"/>
          <w:szCs w:val="21"/>
          <w:lang w:val="en-GB"/>
        </w:rPr>
        <w:t>.</w:t>
      </w:r>
      <w:bookmarkEnd w:id="50"/>
    </w:p>
    <w:p w14:paraId="0DBD423A" w14:textId="7ADA1175" w:rsidR="0079709C" w:rsidRPr="00D16AB0" w:rsidRDefault="004C34C3" w:rsidP="00AF116C">
      <w:pPr>
        <w:pStyle w:val="SMText"/>
        <w:spacing w:beforeLines="50" w:before="120" w:afterLines="50" w:after="120" w:line="276" w:lineRule="auto"/>
        <w:ind w:firstLine="0"/>
        <w:rPr>
          <w:rFonts w:ascii="Arial" w:hAnsi="Arial" w:cs="Arial"/>
          <w:sz w:val="21"/>
          <w:szCs w:val="21"/>
          <w:lang w:val="en-GB"/>
        </w:rPr>
      </w:pPr>
      <w:bookmarkStart w:id="51" w:name="_Toc214984850"/>
      <w:r w:rsidRPr="00D16AB0">
        <w:rPr>
          <w:rFonts w:ascii="Arial" w:hAnsi="Arial" w:cs="Arial"/>
          <w:sz w:val="21"/>
          <w:szCs w:val="21"/>
          <w:lang w:val="en-GB"/>
        </w:rPr>
        <w:t>The implications for the future carbon offset regime are not only from offset-related studies, but from research on other climate mitigation mechanisms and subsidy mechanisms.</w:t>
      </w:r>
      <w:bookmarkEnd w:id="51"/>
    </w:p>
    <w:p w14:paraId="191A560E" w14:textId="1ADCA4ED" w:rsidR="00346B82" w:rsidRPr="00D16AB0" w:rsidRDefault="004C34C3" w:rsidP="00AF116C">
      <w:pPr>
        <w:pStyle w:val="SMText"/>
        <w:spacing w:beforeLines="50" w:before="120" w:afterLines="50" w:after="120" w:line="276" w:lineRule="auto"/>
        <w:ind w:firstLine="0"/>
        <w:rPr>
          <w:rFonts w:ascii="Arial" w:hAnsi="Arial" w:cs="Arial"/>
          <w:sz w:val="21"/>
          <w:szCs w:val="21"/>
          <w:lang w:val="en-GB"/>
        </w:rPr>
      </w:pPr>
      <w:bookmarkStart w:id="52" w:name="_Toc214984851"/>
      <w:r w:rsidRPr="00D16AB0">
        <w:rPr>
          <w:rFonts w:ascii="Arial" w:hAnsi="Arial" w:cs="Arial"/>
          <w:sz w:val="21"/>
          <w:szCs w:val="21"/>
          <w:lang w:val="en-GB"/>
        </w:rPr>
        <w:t>A body of economics and policy literature has documented the cliff effect that describes unintended consequences and incentive distortions arising from sharply defined eligibility criteria in subsidy or benefit programmes</w:t>
      </w:r>
      <w:r w:rsidR="000248B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{"citationID":"a1r2fd1692v","properties":{"unsorted":false,"formattedCitation":"\\super 60,61\\nosupersub{}","plainCitation":"60,61","noteIndex":0},"citationItems":[{"id":4884,"uris":["http://zotero.org/groups/4647276/items/Z73NM8I4"],"itemData":{"id":4884,"type":"article-journal","abstract":"We develop a framework for nonparametrically identifying optimization frictions and structural elasticities using notches—discontinuities in the choice sets of agents—introduced by tax and transfer policies. Notches create excess bunching on the low-tax side and missing mass on the high-tax side of a cutoff, and they are often associated with a region of strictly dominated choice that would have zero mass in a frictionless world. By combining excess bunching (observed response attenuated by frictions) with missing mass in the dominated region (frictions), it is possible to uncover the structural elasticity that would govern behavior in the absence of frictions and arguably capture long-run behavior. We apply our framework to tax notches in Pakistan using rich administrative data. While observed bunching is large and sharp, optimization frictions are also very large as the majority of taxpayers in dominated ranges are unresponsive to tax incentives. The combination of large observed bunching and large frictions implies that the frictionless behavioral response to notches is extremely large, but the underlying structural elasticity driving this response is nevertheless modest. This highlights the inefficiency of notches: by creating extremely strong price distortions, they induce large behavioral responses even when structural elasticities are small.","container-title":"The Quarterly Journal of Economics","DOI":"10.1093/qje/qjt004","ISSN":"0033-5533","issue":"2","journalAbbreviation":"The Quarterly Journal of Economics","page":"669-723","source":"Silverchair","title":"Using notches to uncover optimization frictions and structural elasticities: theory and evidence from pakistan *","title-short":"Using notches to uncover optimization frictions and structural elasticities","volume":"128","author":[{"family":"Kleven","given":"Henrik J."},{"family":"Waseem","given":"Mazhar"}],"issued":{"date-parts":[["2013",5,1]]}}},{"id":4889,"uris":["http://zotero.org/groups/4647276/items/LTUUVGAD"],"itemData":{"id":4889,"type":"article-journal","abstract":"This paper uses tax return data to analyze bunching at the kink points of the US income tax schedule. We estimate the compensated elasticity of reported income with respect to (one minus) the marginal tax rate using bunching evidence. We find clear evidence of bunching around the first kink point of the Earned Income Tax Credit but concentrated solely among the self-employed. A simple tax evasion model can account for those results. We find evidence of bunching at the threshold of the first income tax bracket where tax liability starts but no evidence of bunching at any other kink point. (JEL H23, H24, H26)","container-title":"American Economic Journal: Economic Policy","DOI":"10.1257/pol.2.3.180","ISSN":"1945-7731, 1945-774X","issue":"3","journalAbbreviation":"American Economic Journal: Economic Policy","language":"en","page":"180-212","source":"DOI.org (Crossref)","title":"Do taxpayers bunch at kink points?","volume":"2","author":[{"family":"Saez","given":"Emmanuel"}],"issued":{"date-parts":[["2010",8,1]]}}}],"schema":"https://github.com/citation-style-language/schema/raw/master/csl-citation.json"} </w:instrText>
      </w:r>
      <w:r w:rsidR="000248B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60,61</w:t>
      </w:r>
      <w:r w:rsidR="000248BB" w:rsidRPr="00D16AB0">
        <w:rPr>
          <w:rFonts w:ascii="Arial" w:hAnsi="Arial" w:cs="Arial"/>
          <w:sz w:val="21"/>
          <w:szCs w:val="21"/>
          <w:lang w:val="en-GB"/>
        </w:rPr>
        <w:fldChar w:fldCharType="end"/>
      </w:r>
      <w:r w:rsidRPr="00D16AB0">
        <w:rPr>
          <w:rFonts w:ascii="Arial" w:hAnsi="Arial" w:cs="Arial"/>
          <w:sz w:val="21"/>
          <w:szCs w:val="21"/>
          <w:lang w:val="en-GB"/>
        </w:rPr>
        <w:t>. When eligibility hinges on strict thresholds, individuals or firms slightly above these limits face a disproportionate loss of benefits, undermining fairness and creating perverse incentives</w:t>
      </w:r>
      <w:r w:rsidR="000248B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{"citationID":"a2p0ogqkb8v","properties":{"unsorted":false,"formattedCitation":"\\super 62,63\\nosupersub{}","plainCitation":"62,63","noteIndex":0},"citationItems":[{"id":4891,"uris":["http://zotero.org/groups/4647276/items/JQ4VZES4"],"itemData":{"id":4891,"type":"article-journal","container-title":"American Economic Review","DOI":"10.1257/0002828041302019","ISSN":"0002-8282","issue":"2","journalAbbreviation":"American Economic Review","language":"en","page":"419-423","source":"DOI.org (Crossref)","title":"A behavioral-economics view of poverty","volume":"94","author":[{"family":"Bertrand","given":"Marianne"},{"family":"Mullainathan","given":"Sendhil"},{"family":"Shafir","given":"Eldar"}],"issued":{"date-parts":[["2004",4,1]]}}},{"id":"ZthMjOpd/5HEwt7KO","uris":["http://zotero.org/groups/4647276/items/B5MSKCND"],"itemData":{"id":4886,"type":"article","abstract":"This paper offers a review of recent literature regarding the take up of social programs in the U.S. and U.K. A few general conclusions are drawn: First, take up is enhanced by automatic or default enrollment and lowered by administrative barriers, although removing individual barriers does not necessarily have much effect, suggesting that one must address the whole bundle. Second, although it may be impossible to devise a definitive test of the stigma hypothesis', other, more concrete types of transactions costs are probably a good deal more important. Third, although people generally have means-tested programs in the United States in mind when they discuss take up, low take up is also a problem in many non means-tested social insurance programs and in other countries. Historically, economists have paid little attention to rules about eligibility, and virtually no attention to how these rules are enforced or made known to eligibles. Hence, the marginal return to new data about these features of programs is likely to be high in terms of understanding take up. In an era of social experiments, it might also prove useful to consider experimental manipulations of factors thought to influence take up.","collection-title":"Working Paper Series","DOI":"10.3386/w10488","genre":"Working Paper","note":"DOI: 10.3386/w10488","number":"10488","publisher":"National Bureau of Economic Research","source":"National Bureau of Economic Research","title":"The Take Up of Social Benefits","URL":"https://www.nber.org/papers/w10488","author":[{"family":"Currie","given":"Janet"}],"accessed":{"date-parts":[["2025",6,16]]},"issued":{"date-parts":[["2004",5]]}}}],"schema":"https://github.com/citation-style-language/schema/raw/master/csl-citation.json"} </w:instrText>
      </w:r>
      <w:r w:rsidR="000248B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62,63</w:t>
      </w:r>
      <w:r w:rsidR="000248BB" w:rsidRPr="00D16AB0">
        <w:rPr>
          <w:rFonts w:ascii="Arial" w:hAnsi="Arial" w:cs="Arial"/>
          <w:sz w:val="21"/>
          <w:szCs w:val="21"/>
          <w:lang w:val="en-GB"/>
        </w:rPr>
        <w:fldChar w:fldCharType="end"/>
      </w:r>
      <w:r w:rsidRPr="00D16AB0">
        <w:rPr>
          <w:rFonts w:ascii="Arial" w:hAnsi="Arial" w:cs="Arial"/>
          <w:sz w:val="21"/>
          <w:szCs w:val="21"/>
          <w:lang w:val="en-GB"/>
        </w:rPr>
        <w:t>. Consequently, they may strategically alter their behaviour to remain eligible for subsidies, thereby causing inefficiencies and undermining policy objectives</w:t>
      </w:r>
      <w:r w:rsidR="000248B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{"citationID":"a6cl6je6tl","properties":{"unsorted":false,"formattedCitation":"\\super 60\\nosupersub{}","plainCitation":"60","noteIndex":0},"citationItems":[{"id":4884,"uris":["http://zotero.org/groups/4647276/items/Z73NM8I4"],"itemData":{"id":4884,"type":"article-journal","abstract":"We develop a framework for nonparametrically identifying optimization frictions and structural elasticities using notches—discontinuities in the choice sets of agents—introduced by tax and transfer policies. Notches create excess bunching on the low-tax side and missing mass on the high-tax side of a cutoff, and they are often associated with a region of strictly dominated choice that would have zero mass in a frictionless world. By combining excess bunching (observed response attenuated by frictions) with missing mass in the dominated region (frictions), it is possible to uncover the structural elasticity that would govern behavior in the absence of frictions and arguably capture long-run behavior. We apply our framework to tax notches in Pakistan using rich administrative data. While observed bunching is large and sharp, optimization frictions are also very large as the majority of taxpayers in dominated ranges are unresponsive to tax incentives. The combination of large observed bunching and large frictions implies that the frictionless behavioral response to notches is extremely large, but the underlying structural elasticity driving this response is nevertheless modest. This highlights the inefficiency of notches: by creating extremely strong price distortions, they induce large behavioral responses even when structural elasticities are small.","container-title":"The Quarterly Journal of Economics","DOI":"10.1093/qje/qjt004","ISSN":"0033-5533","issue":"2","journalAbbreviation":"The Quarterly Journal of Economics","page":"669-723","source":"Silverchair","title":"Using notches to uncover optimization frictions and structural elasticities: theory and evidence from pakistan *","title-short":"Using notches to uncover optimization frictions and structural elasticities","volume":"128","author":[{"family":"Kleven","given":"Henrik J."},{"family":"Waseem","given":"Mazhar"}],"issued":{"date-parts":[["2013",5,1]]}}}],"schema":"https://github.com/citation-style-language/schema/raw/master/csl-citation.json"} </w:instrText>
      </w:r>
      <w:r w:rsidR="000248B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60</w:t>
      </w:r>
      <w:r w:rsidR="000248BB" w:rsidRPr="00D16AB0">
        <w:rPr>
          <w:rFonts w:ascii="Arial" w:hAnsi="Arial" w:cs="Arial"/>
          <w:sz w:val="21"/>
          <w:szCs w:val="21"/>
          <w:lang w:val="en-GB"/>
        </w:rPr>
        <w:fldChar w:fldCharType="end"/>
      </w:r>
      <w:r w:rsidRPr="00D16AB0">
        <w:rPr>
          <w:rFonts w:ascii="Arial" w:hAnsi="Arial" w:cs="Arial"/>
          <w:sz w:val="21"/>
          <w:szCs w:val="21"/>
          <w:lang w:val="en-GB"/>
        </w:rPr>
        <w:t>. The current offset regime also uses financial additionality tests to decides whether a project is financially additional or not with a threshold (i.e., a hurdle rate). Specifically, a project may be accepted or rejected if the IRR of the project is slightly below or above the benchmark IRR, which encourages the gaming behaviour (e.g., underreport IRRs) of project developers to some extent. The cliff effect reminds regulators of the need for smoother and more flexible policy mechanisms to mitigate such distortions.</w:t>
      </w:r>
      <w:bookmarkEnd w:id="52"/>
    </w:p>
    <w:p w14:paraId="46B57412" w14:textId="528A3BCA" w:rsidR="00E23BF3" w:rsidRPr="00D16AB0" w:rsidRDefault="004C34C3" w:rsidP="00AF116C">
      <w:pPr>
        <w:pStyle w:val="SMText"/>
        <w:spacing w:beforeLines="50" w:before="120" w:afterLines="50" w:after="120" w:line="276" w:lineRule="auto"/>
        <w:ind w:firstLine="0"/>
        <w:rPr>
          <w:rFonts w:ascii="Arial" w:hAnsi="Arial" w:cs="Arial"/>
          <w:sz w:val="21"/>
          <w:szCs w:val="21"/>
          <w:lang w:val="en-GB"/>
        </w:rPr>
      </w:pPr>
      <w:bookmarkStart w:id="53" w:name="_Toc214984852"/>
      <w:r w:rsidRPr="00D16AB0">
        <w:rPr>
          <w:rFonts w:ascii="Arial" w:hAnsi="Arial" w:cs="Arial"/>
          <w:sz w:val="21"/>
          <w:szCs w:val="21"/>
          <w:lang w:val="en-GB"/>
        </w:rPr>
        <w:t>Another lesson is the design of an optimal credit allocation rule to mitigate carbon leakage risk and job loss risks</w:t>
      </w:r>
      <w:r w:rsidR="000248B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{"citationID":"gG0IiY3i","properties":{"formattedCitation":"\\super 64\\nosupersub{}","plainCitation":"64","noteIndex":0},"citationItems":[{"id":"ZthMjOpd/VZF2vHss","uris":["http://zotero.org/users/9291085/items/E6YKPAJ4"],"itemData":{"id":1589,"type":"article-journal","abstract":"When regulated firms are offered compensation to prevent them from relocating, efficiency requires that payments be distributed across firms so as to equalize marginal relocation probabilities, weighted by the damage caused by relocation. We formalize this fundamental economic logic and apply it to analyzing compensation rules proposed under the EU Emissions Trading Scheme, where emission permits are allocated free of charge to carbon intensive and trade exposed industries. We show that this practice results in substantial overcompensation for given carbon leakage risk. Efficient permit allocation reduces the aggregate risk of job loss by more than half without increasing aggregate compensation.","container-title":"American Economic Review","DOI":"10.1257/aer.104.8.2482","ISSN":"0002-8282","issue":"8","language":"en","page":"2482-2508","source":"www.aeaweb.org","title":"Industry Compensation under Relocation Risk: A Firm-Level Analysis of the EU Emissions Trading Scheme","title-short":"Industry Compensation under Relocation Risk","volume":"104","author":[{"family":"Martin","given":"Ralf"},{"family":"Muûls","given":"Mirabelle"},{"family":"Preux","given":"Laure B.","non-dropping-particle":"de"},{"family":"Wagner","given":"Ulrich J."}],"issued":{"date-parts":[["2014",8]]}}}],"schema":"https://github.com/citation-style-language/schema/raw/master/csl-citation.json"} </w:instrText>
      </w:r>
      <w:r w:rsidR="000248B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64</w:t>
      </w:r>
      <w:r w:rsidR="000248BB" w:rsidRPr="00D16AB0">
        <w:rPr>
          <w:rFonts w:ascii="Arial" w:hAnsi="Arial" w:cs="Arial"/>
          <w:sz w:val="21"/>
          <w:szCs w:val="21"/>
          <w:lang w:val="en-GB"/>
        </w:rPr>
        <w:fldChar w:fldCharType="end"/>
      </w:r>
      <w:r w:rsidRPr="00D16AB0">
        <w:rPr>
          <w:rFonts w:ascii="Arial" w:hAnsi="Arial" w:cs="Arial"/>
          <w:sz w:val="21"/>
          <w:szCs w:val="21"/>
          <w:lang w:val="en-GB"/>
        </w:rPr>
        <w:t>. To ensure the efficiency of industry compensation under the European Union Emissions Trading System (EU ETS), an optimal firm-level compensation scheme, equalising marginal relocation probabilities weighted by the damage caused by relocation, contributes to avoiding overallocation of carbon emission permits free of charge to carbon-intensive industries</w:t>
      </w:r>
      <w:r w:rsidR="000248B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{"citationID":"ATgKoThu","properties":{"formattedCitation":"\\super 64\\nosupersub{}","plainCitation":"64","noteIndex":0},"citationItems":[{"id":"ZthMjOpd/VZF2vHss","uris":["http://zotero.org/users/9291085/items/E6YKPAJ4"],"itemData":{"id":1589,"type":"article-journal","abstract":"When regulated firms are offered compensation to prevent them from relocating, efficiency requires that payments be distributed across firms so as to equalize marginal relocation probabilities, weighted by the damage caused by relocation. We formalize this fundamental economic logic and apply it to analyzing compensation rules proposed under the EU Emissions Trading Scheme, where emission permits are allocated free of charge to carbon intensive and trade exposed industries. We show that this practice results in substantial overcompensation for given carbon leakage risk. Efficient permit allocation reduces the aggregate risk of job loss by more than half without increasing aggregate compensation.","container-title":"American Economic Review","DOI":"10.1257/aer.104.8.2482","ISSN":"0002-8282","issue":"8","language":"en","page":"2482-2508","source":"www.aeaweb.org","title":"Industry Compensation under Relocation Risk: A Firm-Level Analysis of the EU Emissions Trading Scheme","title-short":"Industry Compensation under Relocation Risk","volume":"104","author":[{"family":"Martin","given":"Ralf"},{"family":"Muûls","given":"Mirabelle"},{"family":"Preux","given":"Laure B.","non-dropping-particle":"de"},{"family":"Wagner","given":"Ulrich J."}],"issued":{"date-parts":[["2014",8]]}}}],"schema":"https://github.com/citation-style-language/schema/raw/master/csl-citation.json"} </w:instrText>
      </w:r>
      <w:r w:rsidR="000248B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64</w:t>
      </w:r>
      <w:r w:rsidR="000248BB" w:rsidRPr="00D16AB0">
        <w:rPr>
          <w:rFonts w:ascii="Arial" w:hAnsi="Arial" w:cs="Arial"/>
          <w:sz w:val="21"/>
          <w:szCs w:val="21"/>
          <w:lang w:val="en-GB"/>
        </w:rPr>
        <w:fldChar w:fldCharType="end"/>
      </w:r>
      <w:r w:rsidRPr="00D16AB0">
        <w:rPr>
          <w:rFonts w:ascii="Arial" w:hAnsi="Arial" w:cs="Arial"/>
          <w:sz w:val="21"/>
          <w:szCs w:val="21"/>
          <w:lang w:val="en-GB"/>
        </w:rPr>
        <w:t>. Since the marginal impact on total relocation risk varies significantly across countries and sectors, Martin and his colleagues collected the data on vulnerability to carbon pricing by country and sector as well as on management practices related to climate policy through interviews</w:t>
      </w:r>
      <w:r w:rsidR="000248B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{"citationID":"crmFMQ0X","properties":{"formattedCitation":"\\super 64\\nosupersub{}","plainCitation":"64","noteIndex":0},"citationItems":[{"id":"ZthMjOpd/VZF2vHss","uris":["http://zotero.org/users/9291085/items/E6YKPAJ4"],"itemData":{"id":1589,"type":"article-journal","abstract":"When regulated firms are offered compensation to prevent them from relocating, efficiency requires that payments be distributed across firms so as to equalize marginal relocation probabilities, weighted by the damage caused by relocation. We formalize this fundamental economic logic and apply it to analyzing compensation rules proposed under the EU Emissions Trading Scheme, where emission permits are allocated free of charge to carbon intensive and trade exposed industries. We show that this practice results in substantial overcompensation for given carbon leakage risk. Efficient permit allocation reduces the aggregate risk of job loss by more than half without increasing aggregate compensation.","container-title":"American Economic Review","DOI":"10.1257/aer.104.8.2482","ISSN":"0002-8282","issue":"8","language":"en","page":"2482-2508","source":"www.aeaweb.org","title":"Industry Compensation under Relocation Risk: A Firm-Level Analysis of the EU Emissions Trading Scheme","title-short":"Industry Compensation under Relocation Risk","volume":"104","author":[{"family":"Martin","given":"Ralf"},{"family":"Muûls","given":"Mirabelle"},{"family":"Preux","given":"Laure B.","non-dropping-particle":"de"},{"family":"Wagner","given":"Ulrich J."}],"issued":{"date-parts":[["2014",8]]}}}],"schema":"https://github.com/citation-style-language/schema/raw/master/csl-citation.json"} </w:instrText>
      </w:r>
      <w:r w:rsidR="000248B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64</w:t>
      </w:r>
      <w:r w:rsidR="000248BB" w:rsidRPr="00D16AB0">
        <w:rPr>
          <w:rFonts w:ascii="Arial" w:hAnsi="Arial" w:cs="Arial"/>
          <w:sz w:val="21"/>
          <w:szCs w:val="21"/>
          <w:lang w:val="en-GB"/>
        </w:rPr>
        <w:fldChar w:fldCharType="end"/>
      </w:r>
      <w:r w:rsidRPr="00D16AB0">
        <w:rPr>
          <w:rFonts w:ascii="Arial" w:hAnsi="Arial" w:cs="Arial"/>
          <w:sz w:val="21"/>
          <w:szCs w:val="21"/>
          <w:lang w:val="en-GB"/>
        </w:rPr>
        <w:t>. They found that even simple allocation rules, that use a function of easily observable firm characteristics (i.e., firm-level employment and carbon emissions alone), can significantly reduce both carbon leakage risk and job loss risk</w:t>
      </w:r>
      <w:r w:rsidR="000248BB"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{"citationID":"7vgwftZJ","properties":{"formattedCitation":"\\super 64\\nosupersub{}","plainCitation":"64","noteIndex":0},"citationItems":[{"id":"ZthMjOpd/VZF2vHss","uris":["http://zotero.org/users/9291085/items/E6YKPAJ4"],"itemData":{"id":1589,"type":"article-journal","abstract":"When regulated firms are offered compensation to prevent them from relocating, efficiency requires that payments be distributed across firms so as to equalize marginal relocation probabilities, weighted by the damage caused by relocation. We formalize this fundamental economic logic and apply it to analyzing compensation rules proposed under the EU Emissions Trading Scheme, where emission permits are allocated free of charge to carbon intensive and trade exposed industries. We show that this practice results in substantial overcompensation for given carbon leakage risk. Efficient permit allocation reduces the aggregate risk of job loss by more than half without increasing aggregate compensation.","container-title":"American Economic Review","DOI":"10.1257/aer.104.8.2482","ISSN":"0002-8282","issue":"8","language":"en","page":"2482-2508","source":"www.aeaweb.org","title":"Industry Compensation under Relocation Risk: A Firm-Level Analysis of the EU Emissions Trading Scheme","title-short":"Industry Compensation under Relocation Risk","volume":"104","author":[{"family":"Martin","given":"Ralf"},{"family":"Muûls","given":"Mirabelle"},{"family":"Preux","given":"Laure B.","non-dropping-particle":"de"},{"family":"Wagner","given":"Ulrich J."}],"issued":{"date-parts":[["2014",8]]}}}],"schema":"https://github.com/citation-style-language/schema/raw/master/csl-citation.json"} </w:instrText>
      </w:r>
      <w:r w:rsidR="000248BB"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64</w:t>
      </w:r>
      <w:r w:rsidR="000248BB" w:rsidRPr="00D16AB0">
        <w:rPr>
          <w:rFonts w:ascii="Arial" w:hAnsi="Arial" w:cs="Arial"/>
          <w:sz w:val="21"/>
          <w:szCs w:val="21"/>
          <w:lang w:val="en-GB"/>
        </w:rPr>
        <w:fldChar w:fldCharType="end"/>
      </w:r>
      <w:r w:rsidRPr="00D16AB0">
        <w:rPr>
          <w:rFonts w:ascii="Arial" w:hAnsi="Arial" w:cs="Arial"/>
          <w:sz w:val="21"/>
          <w:szCs w:val="21"/>
          <w:lang w:val="en-GB"/>
        </w:rPr>
        <w:t>. This reflects a possibility to reduce financial additionality risks and activity implementation risks based on simple offset credit issuance rules, such as a function of project-level characteristics after controlling the heterogeneity of country-sector-specific contexts.</w:t>
      </w:r>
      <w:bookmarkEnd w:id="53"/>
    </w:p>
    <w:p w14:paraId="265920F2" w14:textId="77777777" w:rsidR="004C34C3" w:rsidRPr="00D16AB0" w:rsidRDefault="004C34C3" w:rsidP="00AF116C">
      <w:pPr>
        <w:pStyle w:val="SMText"/>
        <w:spacing w:beforeLines="50" w:before="120" w:afterLines="50" w:after="120" w:line="276" w:lineRule="auto"/>
        <w:ind w:firstLine="0"/>
        <w:rPr>
          <w:rFonts w:ascii="Arial" w:hAnsi="Arial" w:cs="Arial"/>
          <w:sz w:val="21"/>
          <w:szCs w:val="21"/>
          <w:lang w:val="en-GB"/>
        </w:rPr>
      </w:pPr>
      <w:bookmarkStart w:id="54" w:name="_Toc214984853"/>
      <w:r w:rsidRPr="00D16AB0">
        <w:rPr>
          <w:rFonts w:ascii="Arial" w:hAnsi="Arial" w:cs="Arial"/>
          <w:sz w:val="21"/>
          <w:szCs w:val="21"/>
          <w:lang w:val="en-GB"/>
        </w:rPr>
        <w:t>Overall, previous studies indicate that, on one hand, the context-based analysis, particularly the heterogeneity analysis of country-sector-specific contexts in terms of investment risks and supportive policies, may contribute to estimate the proportion of non-additionality projects and the urgency of subsidies from offset credits under different contexts; on the other hand, treating additionality as a continuous measure rather than a binary, may allow more flexibility to assess the quality of carbon offsets and mitigate distortions.</w:t>
      </w:r>
      <w:bookmarkEnd w:id="54"/>
    </w:p>
    <w:p w14:paraId="1FA58C87" w14:textId="4451B031" w:rsidR="00621DD1" w:rsidRPr="00D16AB0" w:rsidRDefault="00621DD1" w:rsidP="00961066">
      <w:pPr>
        <w:pStyle w:val="SMSubheading"/>
        <w:spacing w:beforeLines="50" w:before="120" w:afterLines="50" w:after="120" w:line="276" w:lineRule="auto"/>
        <w:rPr>
          <w:rFonts w:ascii="Arial" w:hAnsi="Arial" w:cs="Arial"/>
          <w:b/>
          <w:sz w:val="21"/>
          <w:szCs w:val="21"/>
          <w:u w:val="none"/>
          <w:lang w:val="en-GB"/>
        </w:rPr>
      </w:pPr>
    </w:p>
    <w:p w14:paraId="4BDC8EA4" w14:textId="6182961C" w:rsidR="00A838AA" w:rsidRPr="00D16AB0" w:rsidRDefault="0022604D" w:rsidP="00961066">
      <w:pPr>
        <w:pStyle w:val="SMHeading"/>
        <w:numPr>
          <w:ilvl w:val="0"/>
          <w:numId w:val="21"/>
        </w:numPr>
        <w:spacing w:beforeLines="50" w:before="120" w:afterLines="50" w:after="120" w:line="276" w:lineRule="auto"/>
        <w:ind w:left="357" w:hanging="357"/>
        <w:rPr>
          <w:rFonts w:ascii="Arial" w:hAnsi="Arial" w:cs="Arial"/>
          <w:sz w:val="21"/>
          <w:szCs w:val="21"/>
          <w:lang w:val="en-GB"/>
        </w:rPr>
      </w:pPr>
      <w:bookmarkStart w:id="55" w:name="_Toc214982027"/>
      <w:bookmarkStart w:id="56" w:name="_Toc214984251"/>
      <w:bookmarkStart w:id="57" w:name="_Toc214984277"/>
      <w:bookmarkStart w:id="58" w:name="_Toc214984854"/>
      <w:bookmarkStart w:id="59" w:name="_Toc214985824"/>
      <w:bookmarkStart w:id="60" w:name="_Toc214986966"/>
      <w:r w:rsidRPr="00D16AB0">
        <w:rPr>
          <w:rFonts w:ascii="Arial" w:hAnsi="Arial" w:cs="Arial"/>
          <w:sz w:val="21"/>
          <w:szCs w:val="21"/>
          <w:lang w:val="en-GB"/>
        </w:rPr>
        <w:t xml:space="preserve">Introducing </w:t>
      </w:r>
      <w:r w:rsidR="00CC1E07" w:rsidRPr="00D16AB0">
        <w:rPr>
          <w:rFonts w:ascii="Arial" w:hAnsi="Arial" w:cs="Arial"/>
          <w:sz w:val="21"/>
          <w:szCs w:val="21"/>
          <w:lang w:val="en-GB"/>
        </w:rPr>
        <w:t>a</w:t>
      </w:r>
      <w:r w:rsidR="00A838AA" w:rsidRPr="00D16AB0">
        <w:rPr>
          <w:rFonts w:ascii="Arial" w:hAnsi="Arial" w:cs="Arial"/>
          <w:sz w:val="21"/>
          <w:szCs w:val="21"/>
          <w:lang w:val="en-GB"/>
        </w:rPr>
        <w:t xml:space="preserve"> Simplified Additionality Regime</w:t>
      </w:r>
      <w:bookmarkEnd w:id="55"/>
      <w:bookmarkEnd w:id="56"/>
      <w:bookmarkEnd w:id="57"/>
      <w:bookmarkEnd w:id="58"/>
      <w:bookmarkEnd w:id="59"/>
      <w:bookmarkEnd w:id="60"/>
    </w:p>
    <w:p w14:paraId="448293FE" w14:textId="3E0626CC" w:rsidR="000758C4" w:rsidRPr="00D16AB0" w:rsidRDefault="00A838AA" w:rsidP="00095C24">
      <w:pPr>
        <w:pStyle w:val="SMText"/>
        <w:spacing w:beforeLines="50" w:before="120" w:afterLines="50" w:after="120" w:line="276" w:lineRule="auto"/>
        <w:ind w:firstLine="0"/>
        <w:rPr>
          <w:rFonts w:ascii="Arial" w:hAnsi="Arial" w:cs="Arial"/>
          <w:sz w:val="21"/>
          <w:szCs w:val="21"/>
          <w:lang w:val="en-GB"/>
        </w:rPr>
      </w:pPr>
      <w:bookmarkStart w:id="61" w:name="_Toc214984855"/>
      <w:r w:rsidRPr="00D16AB0">
        <w:rPr>
          <w:rFonts w:ascii="Arial" w:hAnsi="Arial" w:cs="Arial"/>
          <w:sz w:val="21"/>
          <w:szCs w:val="21"/>
          <w:lang w:val="en-GB"/>
        </w:rPr>
        <w:t>This study introduces a novel continuous additionality regime, adhering to the philosophy of ‘less is more’. Fig</w:t>
      </w:r>
      <w:r w:rsidR="00154466" w:rsidRPr="00D16AB0">
        <w:rPr>
          <w:rFonts w:ascii="Arial" w:hAnsi="Arial" w:cs="Arial"/>
          <w:sz w:val="21"/>
          <w:szCs w:val="21"/>
          <w:lang w:val="en-GB"/>
        </w:rPr>
        <w:t>ure</w:t>
      </w:r>
      <w:r w:rsidRPr="00D16AB0">
        <w:rPr>
          <w:rFonts w:ascii="Arial" w:hAnsi="Arial" w:cs="Arial"/>
          <w:sz w:val="21"/>
          <w:szCs w:val="21"/>
          <w:lang w:val="en-GB"/>
        </w:rPr>
        <w:t xml:space="preserve"> </w:t>
      </w:r>
      <w:r w:rsidR="00F27CBB">
        <w:rPr>
          <w:rFonts w:ascii="Arial" w:hAnsi="Arial" w:cs="Arial"/>
          <w:sz w:val="21"/>
          <w:szCs w:val="21"/>
          <w:lang w:val="en-GB"/>
        </w:rPr>
        <w:t>3</w:t>
      </w:r>
      <w:r w:rsidRPr="00D16AB0">
        <w:rPr>
          <w:rFonts w:ascii="Arial" w:hAnsi="Arial" w:cs="Arial"/>
          <w:sz w:val="21"/>
          <w:szCs w:val="21"/>
          <w:lang w:val="en-GB"/>
        </w:rPr>
        <w:t xml:space="preserve"> shows the difference between the existing and the proposed regimes.</w:t>
      </w:r>
      <w:bookmarkEnd w:id="61"/>
    </w:p>
    <w:p w14:paraId="75CEF54D" w14:textId="16216C9C" w:rsidR="00621DD1" w:rsidRPr="00D16AB0" w:rsidRDefault="00A838AA" w:rsidP="00095C24">
      <w:pPr>
        <w:pStyle w:val="SMText"/>
        <w:spacing w:beforeLines="50" w:before="120" w:afterLines="50" w:after="120" w:line="276" w:lineRule="auto"/>
        <w:ind w:firstLine="0"/>
        <w:rPr>
          <w:rFonts w:ascii="Arial" w:hAnsi="Arial" w:cs="Arial"/>
          <w:sz w:val="21"/>
          <w:szCs w:val="21"/>
          <w:lang w:val="en-GB"/>
        </w:rPr>
      </w:pPr>
      <w:bookmarkStart w:id="62" w:name="_Toc214984856"/>
      <w:r w:rsidRPr="00D16AB0">
        <w:rPr>
          <w:rFonts w:ascii="Arial" w:hAnsi="Arial" w:cs="Arial"/>
          <w:sz w:val="21"/>
          <w:szCs w:val="21"/>
          <w:lang w:val="en-GB"/>
        </w:rPr>
        <w:t xml:space="preserve">The existing offset regime defines additionality as a binary (yes-no) concept and requires offset programme verifiers to decide whether a project is additional or not, based on the submitted </w:t>
      </w:r>
      <w:r w:rsidRPr="00D16AB0">
        <w:rPr>
          <w:rFonts w:ascii="Arial" w:hAnsi="Arial" w:cs="Arial"/>
          <w:sz w:val="21"/>
          <w:szCs w:val="21"/>
          <w:lang w:val="en-GB"/>
        </w:rPr>
        <w:lastRenderedPageBreak/>
        <w:t>applications. Developers must prove the additionality of their projects through complicated and expensive regulatory tests, the outcome of which is unpredictable</w:t>
      </w:r>
      <w:r w:rsidR="00475D77"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{"citationID":"i4erFeXO","properties":{"unsorted":false,"formattedCitation":"\\super 3\\nosupersub{}","plainCitation":"3","noteIndex":0},"citationItems":[{"id":2794,"uris":["http://zotero.org/groups/4647276/items/NIQTGZ5U"],"itemData":{"id":2794,"type":"document","abstract":"Carbon offset credits are not a simple commodity. As with many products whose quality is difficult for casual buyers to assess, standard-setting organizations have been established to provide quality assurance for carbon offsets. These carbon offset programs[1] range from international...","language":"en","publisher":"Greenhouse Gas Management Institute &amp; the Stockholm Environment Institute","title":"Securing climate benefit: A guide to using carbon offsets","URL":"https://www.offsetguide.org/pdf-download/","author":[{"family":"Broekhof","given":"Derik"},{"family":"Gillenwater","given":"Michael"},{"family":"Colbert-Sangree","given":"Tani"},{"family":"Cage","given":"Patrick"}],"accessed":{"date-parts":[["2023",6,13]]},"issued":{"date-parts":[["2019",11,13]]}}}],"schema":"https://github.com/citation-style-language/schema/raw/master/csl-citation.json"} </w:instrText>
      </w:r>
      <w:r w:rsidR="00475D77"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3</w:t>
      </w:r>
      <w:r w:rsidR="00475D77" w:rsidRPr="00D16AB0">
        <w:rPr>
          <w:rFonts w:ascii="Arial" w:hAnsi="Arial" w:cs="Arial"/>
          <w:sz w:val="21"/>
          <w:szCs w:val="21"/>
          <w:lang w:val="en-GB"/>
        </w:rPr>
        <w:fldChar w:fldCharType="end"/>
      </w:r>
      <w:r w:rsidRPr="00D16AB0">
        <w:rPr>
          <w:rFonts w:ascii="Arial" w:hAnsi="Arial" w:cs="Arial"/>
          <w:sz w:val="21"/>
          <w:szCs w:val="21"/>
          <w:lang w:val="en-GB"/>
        </w:rPr>
        <w:t>.</w:t>
      </w:r>
      <w:r w:rsidR="00551B98" w:rsidRPr="00D16AB0">
        <w:rPr>
          <w:rFonts w:ascii="Arial" w:hAnsi="Arial" w:cs="Arial"/>
          <w:sz w:val="21"/>
          <w:szCs w:val="21"/>
          <w:lang w:val="en-GB" w:eastAsia="zh-CN"/>
        </w:rPr>
        <w:t xml:space="preserve"> </w:t>
      </w:r>
      <w:r w:rsidRPr="00D16AB0">
        <w:rPr>
          <w:rFonts w:ascii="Arial" w:hAnsi="Arial" w:cs="Arial"/>
          <w:sz w:val="21"/>
          <w:szCs w:val="21"/>
          <w:lang w:val="en-GB"/>
        </w:rPr>
        <w:t>To align with the Article 6 of Paris Agreement, proposals and initiatives have introduced more stringent project-specific requirements: the project should not only be financially additional, but also be independent of mandates and beyond NDC targets to ensure regulatory and target additionality</w:t>
      </w:r>
      <w:r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{"citationID":"0ViYPFWl","properties":{"formattedCitation":"(Michaelowa et al., 2022a)","plainCitation":"(Michaelowa et al., 2022a)","dontUpdate":true,"noteIndex":0},"citationItems":[{"id":"ZthMjOpd/17GRAJHK","uris":["http://zotero.org/users/9291085/items/RPEJV2YX"],"itemData":{"id":1391,"type":"report","publisher":"Perspectives Climate Research gGmbH","title":"Developing an Article 6 tool to assess the additionality of mitigation activities","URL":"https://www.perspectives.cc/public/publications/publication/?no_cache=1&amp;tx_pccprojects_plugin[action]=show&amp;tx_pccprojects_plugin[controller]=Publication&amp;tx_pccprojects_plugin[uid]=165","author":[{"family":"Michaelowa","given":"Axel"},{"family":"Espelage","given":"Aglaja"},{"family":"Kessler","given":"Juliana"},{"family":"Singh","given":"Aayushi"}],"accessed":{"date-parts":[["2023",6,4]]},"issued":{"date-parts":[["2022",4]]}}},{"id":2777,"uris":["http://zotero.org/groups/4647276/items/28E9QKTZ"],"itemData":{"id":2777,"type":"report","publisher":"Perspectives Climate Group","title":"Developing an Article 6 tool to assess the additionality of mitigation activities","URL":"https://www.carbon-mechanisms.de/fileadmin/media/dokumente/Publikationen/CMM-WG_discussion_paper_Art6_tool_additionality_final_24.05.2022.pdf","author":[{"family":"Michaelowa","given":"Axel"},{"family":"Espelage","given":"Aglaja"},{"family":"Kessler","given":"Juliana"},{"family":"Singh","given":"Aayushi"}],"accessed":{"date-parts":[["2023",6,4]]},"issued":{"date-parts":[["2022",4]]}}}],"schema":"https://github.com/citation-style-language/schema/raw/master/csl-citation.json"} </w:instrText>
      </w:r>
      <w:r w:rsidRPr="00D16AB0">
        <w:rPr>
          <w:rFonts w:ascii="Arial" w:hAnsi="Arial" w:cs="Arial"/>
          <w:sz w:val="21"/>
          <w:szCs w:val="21"/>
          <w:lang w:val="en-GB"/>
        </w:rPr>
        <w:fldChar w:fldCharType="separate"/>
      </w:r>
      <w:r w:rsidRPr="00D16AB0">
        <w:rPr>
          <w:rFonts w:ascii="Arial" w:hAnsi="Arial" w:cs="Arial"/>
          <w:sz w:val="21"/>
          <w:szCs w:val="21"/>
          <w:lang w:val="en-GB"/>
        </w:rPr>
        <w:fldChar w:fldCharType="end"/>
      </w:r>
      <w:r w:rsidRPr="00D16AB0">
        <w:rPr>
          <w:rFonts w:ascii="Arial" w:hAnsi="Arial" w:cs="Arial"/>
          <w:sz w:val="21"/>
          <w:szCs w:val="21"/>
          <w:lang w:val="en-GB"/>
        </w:rPr>
        <w:t xml:space="preserve"> . Correspondingly, the offset regime has incorporated more approaches into the additionality assessment, testing each additionality aspect step by step. Even though the additionality tests have evolved, the assessment outcome remains unchanged: If the project passes the tests, it will receive the full share of offset credits; if it fails, the project will not receive any credits but incur sunk costs including developmental and validation fees.</w:t>
      </w:r>
      <w:bookmarkEnd w:id="62"/>
    </w:p>
    <w:p w14:paraId="0CA88F3A" w14:textId="1B505818" w:rsidR="000462CB" w:rsidRPr="00D16AB0" w:rsidRDefault="00032328" w:rsidP="00095C24">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In the proposed regime, we simplify a variety of additionality tests into an eligibility check and a credit allocation rule. First, we prioritise the standardised approach over the project-level additionality assessments by introducing </w:t>
      </w:r>
      <w:r w:rsidR="000950FD" w:rsidRPr="00D16AB0">
        <w:rPr>
          <w:rFonts w:ascii="Arial" w:hAnsi="Arial" w:cs="Arial"/>
          <w:sz w:val="21"/>
          <w:szCs w:val="21"/>
          <w:lang w:val="en-GB" w:eastAsia="zh-CN"/>
        </w:rPr>
        <w:t>context</w:t>
      </w:r>
      <w:r w:rsidR="00D17416" w:rsidRPr="00D16AB0">
        <w:rPr>
          <w:rFonts w:ascii="Arial" w:hAnsi="Arial" w:cs="Arial"/>
          <w:sz w:val="21"/>
          <w:szCs w:val="21"/>
          <w:lang w:eastAsia="zh-CN"/>
        </w:rPr>
        <w:t>-</w:t>
      </w:r>
      <w:r w:rsidR="00595947" w:rsidRPr="00D16AB0">
        <w:rPr>
          <w:rFonts w:ascii="Arial" w:hAnsi="Arial" w:cs="Arial"/>
          <w:sz w:val="21"/>
          <w:szCs w:val="21"/>
          <w:lang w:eastAsia="zh-CN"/>
        </w:rPr>
        <w:t xml:space="preserve">based </w:t>
      </w:r>
      <w:r w:rsidRPr="00D16AB0">
        <w:rPr>
          <w:rFonts w:ascii="Arial" w:hAnsi="Arial" w:cs="Arial"/>
          <w:sz w:val="21"/>
          <w:szCs w:val="21"/>
          <w:lang w:val="en-GB" w:eastAsia="zh-CN"/>
        </w:rPr>
        <w:t xml:space="preserve">country- and project-type-specific positive </w:t>
      </w:r>
      <w:r w:rsidR="005910D0" w:rsidRPr="00D16AB0">
        <w:rPr>
          <w:rFonts w:ascii="Arial" w:hAnsi="Arial" w:cs="Arial"/>
          <w:sz w:val="21"/>
          <w:szCs w:val="21"/>
          <w:lang w:val="en-GB" w:eastAsia="zh-CN"/>
        </w:rPr>
        <w:t xml:space="preserve">inclusion </w:t>
      </w:r>
      <w:r w:rsidRPr="00D16AB0">
        <w:rPr>
          <w:rFonts w:ascii="Arial" w:hAnsi="Arial" w:cs="Arial"/>
          <w:sz w:val="21"/>
          <w:szCs w:val="21"/>
          <w:lang w:val="en-GB" w:eastAsia="zh-CN"/>
        </w:rPr>
        <w:t>lists. Like the standardised eligibility criteria in California’s carbon offset programme, these positive lists cover all eligible project activities in terms of the project type and the host country. Hence, their design relies on the analysis of domestic policies, climate targets</w:t>
      </w:r>
      <w:r w:rsidR="00F42620" w:rsidRPr="00D16AB0">
        <w:rPr>
          <w:rFonts w:ascii="Arial" w:hAnsi="Arial" w:cs="Arial"/>
          <w:sz w:val="21"/>
          <w:szCs w:val="21"/>
          <w:lang w:val="en-GB" w:eastAsia="zh-CN"/>
        </w:rPr>
        <w:t>,</w:t>
      </w:r>
      <w:r w:rsidR="00A71049" w:rsidRPr="00D16AB0">
        <w:rPr>
          <w:rFonts w:ascii="Arial" w:hAnsi="Arial" w:cs="Arial"/>
          <w:sz w:val="21"/>
          <w:szCs w:val="21"/>
          <w:lang w:val="en-GB" w:eastAsia="zh-CN"/>
        </w:rPr>
        <w:t xml:space="preserve"> </w:t>
      </w:r>
      <w:r w:rsidRPr="00D16AB0">
        <w:rPr>
          <w:rFonts w:ascii="Arial" w:hAnsi="Arial" w:cs="Arial"/>
          <w:sz w:val="21"/>
          <w:szCs w:val="21"/>
          <w:lang w:val="en-GB" w:eastAsia="zh-CN"/>
        </w:rPr>
        <w:t>accumulated project development experience</w:t>
      </w:r>
      <w:r w:rsidR="00A81E30" w:rsidRPr="00D16AB0">
        <w:rPr>
          <w:rFonts w:ascii="Arial" w:hAnsi="Arial" w:cs="Arial"/>
          <w:sz w:val="21"/>
          <w:szCs w:val="21"/>
          <w:lang w:val="en-GB" w:eastAsia="zh-CN"/>
        </w:rPr>
        <w:t>s</w:t>
      </w:r>
      <w:r w:rsidR="00A71049" w:rsidRPr="00D16AB0">
        <w:rPr>
          <w:rFonts w:ascii="Arial" w:hAnsi="Arial" w:cs="Arial"/>
          <w:sz w:val="21"/>
          <w:szCs w:val="21"/>
          <w:lang w:val="en-GB" w:eastAsia="zh-CN"/>
        </w:rPr>
        <w:t xml:space="preserve"> and investment risks</w:t>
      </w:r>
      <w:r w:rsidRPr="00D16AB0">
        <w:rPr>
          <w:rFonts w:ascii="Arial" w:hAnsi="Arial" w:cs="Arial"/>
          <w:sz w:val="21"/>
          <w:szCs w:val="21"/>
          <w:lang w:val="en-GB" w:eastAsia="zh-CN"/>
        </w:rPr>
        <w:t xml:space="preserve"> in each host country, which may involve regulatory additionality tests, target additionality tests, and common practice analysis at a country-sector level. This suggests that the proposed regime encourages more cooperation and engagement between international offset programmes and host countries to analyse country- and project-type-specific contexts under the Paris Agreement. Second, we treat additionality as a continuous measure, reflecting the share of additional credits within one context. Associated with this new definition, the decision on credit issuance is no longer yes or no, but the proportion of additional credits. Specifically, instead of setting a hurdle rate as threshold to determine the financial additionality, the number of issued credits for each project could be discounted by a factor to mitigate risk</w:t>
      </w:r>
      <w:r w:rsidR="00B77FCB" w:rsidRPr="00D16AB0">
        <w:rPr>
          <w:rFonts w:ascii="Arial" w:hAnsi="Arial" w:cs="Arial"/>
          <w:sz w:val="21"/>
          <w:szCs w:val="21"/>
          <w:lang w:val="en-GB" w:eastAsia="zh-CN"/>
        </w:rPr>
        <w:t>s</w:t>
      </w:r>
      <w:r w:rsidRPr="00D16AB0">
        <w:rPr>
          <w:rFonts w:ascii="Arial" w:hAnsi="Arial" w:cs="Arial"/>
          <w:sz w:val="21"/>
          <w:szCs w:val="21"/>
          <w:lang w:val="en-GB" w:eastAsia="zh-CN"/>
        </w:rPr>
        <w:t xml:space="preserve"> of non-additionality and over-crediting. The </w:t>
      </w:r>
      <w:r w:rsidR="00E72E2B" w:rsidRPr="00D16AB0">
        <w:rPr>
          <w:rFonts w:ascii="Arial" w:hAnsi="Arial" w:cs="Arial"/>
          <w:sz w:val="21"/>
          <w:szCs w:val="21"/>
          <w:lang w:val="en-GB" w:eastAsia="zh-CN"/>
        </w:rPr>
        <w:t xml:space="preserve">baseline </w:t>
      </w:r>
      <w:r w:rsidRPr="00D16AB0">
        <w:rPr>
          <w:rFonts w:ascii="Arial" w:hAnsi="Arial" w:cs="Arial"/>
          <w:sz w:val="21"/>
          <w:szCs w:val="21"/>
          <w:lang w:val="en-GB" w:eastAsia="zh-CN"/>
        </w:rPr>
        <w:t>credit rates across different project types and host countries vary due to heterogenous contexts, specifically, different additional proportions. Learning from the optimal permit allocation rule</w:t>
      </w:r>
      <w:r w:rsidR="00773451" w:rsidRPr="00D16AB0">
        <w:rPr>
          <w:rFonts w:ascii="Arial" w:hAnsi="Arial" w:cs="Arial"/>
          <w:sz w:val="21"/>
          <w:szCs w:val="21"/>
          <w:lang w:val="en-GB"/>
        </w:rPr>
        <w:fldChar w:fldCharType="begin"/>
      </w:r>
      <w:r w:rsidR="001A6C96" w:rsidRPr="00D16AB0">
        <w:rPr>
          <w:rFonts w:ascii="Arial" w:hAnsi="Arial" w:cs="Arial"/>
          <w:sz w:val="21"/>
          <w:szCs w:val="21"/>
          <w:lang w:val="en-GB"/>
        </w:rPr>
        <w:instrText xml:space="preserve"> ADDIN ZOTERO_ITEM CSL_CITATION {"citationID":"z3ZrxcRR","properties":{"formattedCitation":"\\super 64\\nosupersub{}","plainCitation":"64","noteIndex":0},"citationItems":[{"id":"ZthMjOpd/VZF2vHss","uris":["http://zotero.org/users/9291085/items/E6YKPAJ4"],"itemData":{"id":1589,"type":"article-journal","abstract":"When regulated firms are offered compensation to prevent them from relocating, efficiency requires that payments be distributed across firms so as to equalize marginal relocation probabilities, weighted by the damage caused by relocation. We formalize this fundamental economic logic and apply it to analyzing compensation rules proposed under the EU Emissions Trading Scheme, where emission permits are allocated free of charge to carbon intensive and trade exposed industries. We show that this practice results in substantial overcompensation for given carbon leakage risk. Efficient permit allocation reduces the aggregate risk of job loss by more than half without increasing aggregate compensation.","container-title":"American Economic Review","DOI":"10.1257/aer.104.8.2482","ISSN":"0002-8282","issue":"8","language":"en","page":"2482-2508","source":"www.aeaweb.org","title":"Industry Compensation under Relocation Risk: A Firm-Level Analysis of the EU Emissions Trading Scheme","title-short":"Industry Compensation under Relocation Risk","volume":"104","author":[{"family":"Martin","given":"Ralf"},{"family":"Muûls","given":"Mirabelle"},{"family":"Preux","given":"Laure B.","non-dropping-particle":"de"},{"family":"Wagner","given":"Ulrich J."}],"issued":{"date-parts":[["2014",8]]}}}],"schema":"https://github.com/citation-style-language/schema/raw/master/csl-citation.json"} </w:instrText>
      </w:r>
      <w:r w:rsidR="00773451" w:rsidRPr="00D16AB0">
        <w:rPr>
          <w:rFonts w:ascii="Arial" w:hAnsi="Arial" w:cs="Arial"/>
          <w:sz w:val="21"/>
          <w:szCs w:val="21"/>
          <w:lang w:val="en-GB"/>
        </w:rPr>
        <w:fldChar w:fldCharType="separate"/>
      </w:r>
      <w:r w:rsidR="001A6C96" w:rsidRPr="00D16AB0">
        <w:rPr>
          <w:rFonts w:ascii="Arial" w:hAnsi="Arial" w:cs="Arial"/>
          <w:sz w:val="21"/>
          <w:szCs w:val="21"/>
          <w:vertAlign w:val="superscript"/>
        </w:rPr>
        <w:t>64</w:t>
      </w:r>
      <w:r w:rsidR="00773451" w:rsidRPr="00D16AB0">
        <w:rPr>
          <w:rFonts w:ascii="Arial" w:hAnsi="Arial" w:cs="Arial"/>
          <w:sz w:val="21"/>
          <w:szCs w:val="21"/>
          <w:lang w:val="en-GB"/>
        </w:rPr>
        <w:fldChar w:fldCharType="end"/>
      </w:r>
      <w:r w:rsidRPr="00D16AB0">
        <w:rPr>
          <w:rFonts w:ascii="Arial" w:hAnsi="Arial" w:cs="Arial"/>
          <w:sz w:val="21"/>
          <w:szCs w:val="21"/>
          <w:lang w:val="en-GB" w:eastAsia="zh-CN"/>
        </w:rPr>
        <w:t xml:space="preserve">, a project-level credit rate may apply following a function of observable project characteristics. Since the optimal subsidy allocation rule for carbon offsets need derive from interviews with expert offset project developers and verifiers, we only apply one </w:t>
      </w:r>
      <w:r w:rsidR="00C03D38" w:rsidRPr="00D16AB0">
        <w:rPr>
          <w:rFonts w:ascii="Arial" w:hAnsi="Arial" w:cs="Arial"/>
          <w:sz w:val="21"/>
          <w:szCs w:val="21"/>
          <w:lang w:val="en-GB" w:eastAsia="zh-CN"/>
        </w:rPr>
        <w:t xml:space="preserve">baseline </w:t>
      </w:r>
      <w:r w:rsidRPr="00D16AB0">
        <w:rPr>
          <w:rFonts w:ascii="Arial" w:hAnsi="Arial" w:cs="Arial"/>
          <w:sz w:val="21"/>
          <w:szCs w:val="21"/>
          <w:lang w:val="en-GB" w:eastAsia="zh-CN"/>
        </w:rPr>
        <w:t>credit rate within one country-project type-specific context in this study.</w:t>
      </w:r>
    </w:p>
    <w:p w14:paraId="278DE0B5" w14:textId="4EC4343F" w:rsidR="00360FD8" w:rsidRPr="00D16AB0" w:rsidRDefault="00032328" w:rsidP="00095C24">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Although the country- and project type-specific positive lists and the </w:t>
      </w:r>
      <w:r w:rsidR="008C13E1" w:rsidRPr="00D16AB0">
        <w:rPr>
          <w:rFonts w:ascii="Arial" w:hAnsi="Arial" w:cs="Arial"/>
          <w:sz w:val="21"/>
          <w:szCs w:val="21"/>
          <w:lang w:val="en-GB" w:eastAsia="zh-CN"/>
        </w:rPr>
        <w:t xml:space="preserve">baseline </w:t>
      </w:r>
      <w:r w:rsidRPr="00D16AB0">
        <w:rPr>
          <w:rFonts w:ascii="Arial" w:hAnsi="Arial" w:cs="Arial"/>
          <w:sz w:val="21"/>
          <w:szCs w:val="21"/>
          <w:lang w:val="en-GB" w:eastAsia="zh-CN"/>
        </w:rPr>
        <w:t>crediting rates are pre-determined and standardised, they can be dynamic rather than statics to avoid being outdated. They still require regular updates as the contexts change, for example, announcement of a new domestic subsidy policy. This allows for information transparency and consistency, manageable regulation, and flexibility and resilience of the design.</w:t>
      </w:r>
    </w:p>
    <w:p w14:paraId="655C465B" w14:textId="77777777" w:rsidR="002B6463" w:rsidRPr="00D16AB0" w:rsidRDefault="002B6463" w:rsidP="00961066">
      <w:pPr>
        <w:pStyle w:val="SMText"/>
        <w:spacing w:beforeLines="50" w:before="120" w:afterLines="50" w:after="120" w:line="276" w:lineRule="auto"/>
        <w:ind w:firstLine="0"/>
        <w:rPr>
          <w:rFonts w:ascii="Arial" w:hAnsi="Arial" w:cs="Arial"/>
          <w:sz w:val="21"/>
          <w:szCs w:val="21"/>
          <w:lang w:val="en-GB" w:eastAsia="zh-CN"/>
        </w:rPr>
      </w:pPr>
    </w:p>
    <w:p w14:paraId="5665EACD" w14:textId="26C4876C" w:rsidR="00E173A6" w:rsidRPr="00D16AB0" w:rsidRDefault="00E173A6" w:rsidP="00961066">
      <w:pPr>
        <w:pStyle w:val="SMHeading"/>
        <w:numPr>
          <w:ilvl w:val="0"/>
          <w:numId w:val="21"/>
        </w:numPr>
        <w:spacing w:beforeLines="50" w:before="120" w:afterLines="50" w:after="120" w:line="276" w:lineRule="auto"/>
        <w:ind w:left="357" w:hanging="357"/>
        <w:rPr>
          <w:rFonts w:ascii="Arial" w:hAnsi="Arial" w:cs="Arial"/>
          <w:sz w:val="21"/>
          <w:szCs w:val="21"/>
          <w:lang w:val="en-GB"/>
        </w:rPr>
      </w:pPr>
      <w:bookmarkStart w:id="63" w:name="_Toc214982028"/>
      <w:bookmarkStart w:id="64" w:name="_Toc214984252"/>
      <w:bookmarkStart w:id="65" w:name="_Toc214984278"/>
      <w:bookmarkStart w:id="66" w:name="_Toc214984857"/>
      <w:bookmarkStart w:id="67" w:name="_Toc214985825"/>
      <w:bookmarkStart w:id="68" w:name="_Toc214986967"/>
      <w:r w:rsidRPr="00D16AB0">
        <w:rPr>
          <w:rFonts w:ascii="Arial" w:hAnsi="Arial" w:cs="Arial"/>
          <w:sz w:val="21"/>
          <w:szCs w:val="21"/>
          <w:lang w:val="en-GB"/>
        </w:rPr>
        <w:t>Simulating Regulatory Performance</w:t>
      </w:r>
      <w:bookmarkEnd w:id="63"/>
      <w:bookmarkEnd w:id="64"/>
      <w:bookmarkEnd w:id="65"/>
      <w:bookmarkEnd w:id="66"/>
      <w:bookmarkEnd w:id="67"/>
      <w:bookmarkEnd w:id="68"/>
    </w:p>
    <w:p w14:paraId="00C7D465" w14:textId="42FC627A" w:rsidR="00B678DF" w:rsidRPr="00D16AB0" w:rsidRDefault="00BF3D85"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In order to compare the performance of additionality screening, carbon emission reduction and emission reduction efficiency between the current and proposed new additionality regimes, we propose a simple model of regulatory performance, which is then used to simulate project outcomes based on the decisions made by project developers and the regulator.</w:t>
      </w:r>
    </w:p>
    <w:p w14:paraId="20816C70" w14:textId="77777777" w:rsidR="00BD7569" w:rsidRPr="00D16AB0" w:rsidRDefault="00DA553A"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69" w:name="_Toc214984858"/>
      <w:bookmarkStart w:id="70" w:name="_Toc214985826"/>
      <w:bookmarkStart w:id="71" w:name="_Toc214986968"/>
      <w:r w:rsidRPr="00D16AB0">
        <w:rPr>
          <w:rFonts w:ascii="Arial" w:hAnsi="Arial" w:cs="Arial"/>
          <w:b/>
          <w:bCs/>
          <w:sz w:val="21"/>
          <w:szCs w:val="21"/>
          <w:u w:val="none"/>
          <w:lang w:val="en-GB"/>
        </w:rPr>
        <w:t>Construction of a synthetic project pool</w:t>
      </w:r>
      <w:bookmarkEnd w:id="69"/>
      <w:bookmarkEnd w:id="70"/>
      <w:bookmarkEnd w:id="71"/>
    </w:p>
    <w:p w14:paraId="6FB6790D" w14:textId="3C15003B" w:rsidR="00FB6CE7" w:rsidRPr="00D16AB0" w:rsidRDefault="00DA553A" w:rsidP="00951A74">
      <w:pPr>
        <w:pStyle w:val="SMText"/>
        <w:spacing w:beforeLines="50" w:before="120" w:afterLines="50" w:after="120" w:line="276" w:lineRule="auto"/>
        <w:ind w:firstLine="0"/>
        <w:rPr>
          <w:rFonts w:ascii="Arial" w:hAnsi="Arial" w:cs="Arial"/>
          <w:sz w:val="21"/>
          <w:szCs w:val="21"/>
          <w:lang w:val="en-GB" w:eastAsia="zh-CN"/>
        </w:rPr>
      </w:pPr>
      <w:bookmarkStart w:id="72" w:name="_Toc214984859"/>
      <w:r w:rsidRPr="00D16AB0">
        <w:rPr>
          <w:rFonts w:ascii="Arial" w:hAnsi="Arial" w:cs="Arial"/>
          <w:sz w:val="21"/>
          <w:szCs w:val="21"/>
          <w:lang w:val="en-GB" w:eastAsia="zh-CN"/>
        </w:rPr>
        <w:lastRenderedPageBreak/>
        <w:t xml:space="preserve">We start by constructing a synthetic project pool with a full set of potential offset projects, </w:t>
      </w:r>
      <m:oMath>
        <m:r>
          <w:rPr>
            <w:rFonts w:ascii="Cambria Math" w:hAnsi="Cambria Math" w:cs="Arial"/>
            <w:sz w:val="21"/>
            <w:szCs w:val="21"/>
            <w:lang w:val="en-GB" w:eastAsia="zh-CN"/>
          </w:rPr>
          <m:t>n</m:t>
        </m:r>
        <m:r>
          <m:rPr>
            <m:sty m:val="p"/>
          </m:rPr>
          <w:rPr>
            <w:rFonts w:ascii="Cambria Math" w:hAnsi="Cambria Math" w:cs="Arial"/>
            <w:sz w:val="21"/>
            <w:szCs w:val="21"/>
            <w:lang w:val="en-GB" w:eastAsia="zh-CN"/>
          </w:rPr>
          <m:t>∈</m:t>
        </m:r>
        <m:r>
          <w:rPr>
            <w:rFonts w:ascii="Cambria Math" w:hAnsi="Cambria Math" w:cs="Arial"/>
            <w:sz w:val="21"/>
            <w:szCs w:val="21"/>
            <w:lang w:val="en-GB" w:eastAsia="zh-CN"/>
          </w:rPr>
          <m:t>N</m:t>
        </m:r>
      </m:oMath>
      <w:r w:rsidRPr="00D16AB0">
        <w:rPr>
          <w:rFonts w:ascii="Arial" w:hAnsi="Arial" w:cs="Arial"/>
          <w:sz w:val="21"/>
          <w:szCs w:val="21"/>
          <w:lang w:val="en-GB" w:eastAsia="zh-CN"/>
        </w:rPr>
        <w:t xml:space="preserve">.  Each potential project has its own unique characteristics including initial investment cost, achievable offset price and IRRs with/without offset revenues; these project features may correlate with each other. Table </w:t>
      </w:r>
      <w:r w:rsidR="00F27CBB">
        <w:rPr>
          <w:rFonts w:ascii="Arial" w:hAnsi="Arial" w:cs="Arial"/>
          <w:sz w:val="21"/>
          <w:szCs w:val="21"/>
          <w:lang w:val="en-GB" w:eastAsia="zh-CN"/>
        </w:rPr>
        <w:t>1</w:t>
      </w:r>
      <w:r w:rsidRPr="00D16AB0">
        <w:rPr>
          <w:rFonts w:ascii="Arial" w:hAnsi="Arial" w:cs="Arial"/>
          <w:sz w:val="21"/>
          <w:szCs w:val="21"/>
          <w:lang w:val="en-GB" w:eastAsia="zh-CN"/>
        </w:rPr>
        <w:t xml:space="preserve"> presents the symbol and description of all model parameters.</w:t>
      </w:r>
      <w:bookmarkEnd w:id="72"/>
    </w:p>
    <w:p w14:paraId="529F9041" w14:textId="40AD9DAF" w:rsidR="004E46CB" w:rsidRPr="00D16AB0" w:rsidRDefault="00DA553A" w:rsidP="00290F16">
      <w:pPr>
        <w:pStyle w:val="SMText"/>
        <w:spacing w:beforeLines="50" w:before="120" w:afterLines="50" w:after="120" w:line="276" w:lineRule="auto"/>
        <w:ind w:firstLine="0"/>
        <w:rPr>
          <w:rFonts w:ascii="Arial" w:hAnsi="Arial" w:cs="Arial"/>
          <w:sz w:val="21"/>
          <w:szCs w:val="21"/>
          <w:lang w:val="en-GB" w:eastAsia="zh-CN"/>
        </w:rPr>
      </w:pPr>
      <w:bookmarkStart w:id="73" w:name="_Toc214984860"/>
      <w:r w:rsidRPr="00D16AB0">
        <w:rPr>
          <w:rFonts w:ascii="Arial" w:hAnsi="Arial" w:cs="Arial"/>
          <w:sz w:val="21"/>
          <w:szCs w:val="21"/>
          <w:lang w:val="en-GB" w:eastAsia="zh-CN"/>
        </w:rPr>
        <w:t>Because the synthetic project pool is artificial, its features are known to us</w:t>
      </w:r>
      <w:r w:rsidR="007551B5" w:rsidRPr="00D16AB0">
        <w:rPr>
          <w:rFonts w:ascii="Arial" w:hAnsi="Arial" w:cs="Arial"/>
          <w:sz w:val="21"/>
          <w:szCs w:val="21"/>
          <w:lang w:val="en-GB" w:eastAsia="zh-CN"/>
        </w:rPr>
        <w:t>,</w:t>
      </w:r>
      <w:r w:rsidRPr="00D16AB0">
        <w:rPr>
          <w:rFonts w:ascii="Arial" w:hAnsi="Arial" w:cs="Arial"/>
          <w:sz w:val="21"/>
          <w:szCs w:val="21"/>
          <w:lang w:val="en-GB" w:eastAsia="zh-CN"/>
        </w:rPr>
        <w:t xml:space="preserve"> and we can measure accurately the impact of different additionality regimes. However, we wish to make the project pool as realistic as possible and </w:t>
      </w:r>
      <w:r w:rsidR="00554C0E" w:rsidRPr="00D16AB0">
        <w:rPr>
          <w:rFonts w:ascii="Arial" w:hAnsi="Arial" w:cs="Arial"/>
          <w:sz w:val="21"/>
          <w:szCs w:val="21"/>
          <w:lang w:val="en-GB" w:eastAsia="zh-CN"/>
        </w:rPr>
        <w:t>thus</w:t>
      </w:r>
      <w:r w:rsidRPr="00D16AB0">
        <w:rPr>
          <w:rFonts w:ascii="Arial" w:hAnsi="Arial" w:cs="Arial"/>
          <w:sz w:val="21"/>
          <w:szCs w:val="21"/>
          <w:lang w:val="en-GB" w:eastAsia="zh-CN"/>
        </w:rPr>
        <w:t xml:space="preserve"> calibrate the parameters and their correlations on historical data from the CDM </w:t>
      </w:r>
      <w:r w:rsidR="001266A3" w:rsidRPr="00D16AB0">
        <w:rPr>
          <w:rFonts w:ascii="Arial" w:hAnsi="Arial" w:cs="Arial"/>
          <w:sz w:val="21"/>
          <w:szCs w:val="21"/>
          <w:lang w:val="en-GB" w:eastAsia="zh-CN"/>
        </w:rPr>
        <w:t>P</w:t>
      </w:r>
      <w:r w:rsidRPr="00D16AB0">
        <w:rPr>
          <w:rFonts w:ascii="Arial" w:hAnsi="Arial" w:cs="Arial"/>
          <w:sz w:val="21"/>
          <w:szCs w:val="21"/>
          <w:lang w:val="en-GB" w:eastAsia="zh-CN"/>
        </w:rPr>
        <w:t>ipeline</w:t>
      </w:r>
      <w:r w:rsidR="00983E79" w:rsidRPr="00D16AB0">
        <w:rPr>
          <w:rFonts w:ascii="Arial" w:hAnsi="Arial" w:cs="Arial"/>
          <w:sz w:val="21"/>
          <w:szCs w:val="21"/>
          <w:lang w:val="en-GB" w:eastAsia="zh-CN"/>
        </w:rPr>
        <w:t xml:space="preserve"> database</w:t>
      </w:r>
      <w:r w:rsidRPr="00D16AB0">
        <w:rPr>
          <w:rFonts w:ascii="Arial" w:hAnsi="Arial" w:cs="Arial"/>
          <w:sz w:val="21"/>
          <w:szCs w:val="21"/>
          <w:lang w:val="en-GB" w:eastAsia="zh-CN"/>
        </w:rPr>
        <w:t>.</w:t>
      </w:r>
      <w:r w:rsidR="006A2394" w:rsidRPr="00D16AB0">
        <w:rPr>
          <w:rFonts w:ascii="Arial" w:hAnsi="Arial" w:cs="Arial"/>
          <w:sz w:val="21"/>
          <w:szCs w:val="21"/>
          <w:lang w:val="en-GB" w:eastAsia="zh-CN"/>
        </w:rPr>
        <w:t xml:space="preserve"> </w:t>
      </w:r>
      <w:r w:rsidR="004C3B7A" w:rsidRPr="00D16AB0">
        <w:rPr>
          <w:rFonts w:ascii="Arial" w:hAnsi="Arial" w:cs="Arial"/>
          <w:sz w:val="21"/>
          <w:szCs w:val="21"/>
          <w:lang w:val="en-GB" w:eastAsia="zh-CN"/>
        </w:rPr>
        <w:t>The model calibration approach is as follows:</w:t>
      </w:r>
      <w:bookmarkEnd w:id="73"/>
    </w:p>
    <w:p w14:paraId="69779D42" w14:textId="5F870CFA" w:rsidR="004E46CB" w:rsidRPr="00D16AB0" w:rsidRDefault="004C3B7A" w:rsidP="00290F16">
      <w:pPr>
        <w:pStyle w:val="SMText"/>
        <w:spacing w:beforeLines="50" w:before="120" w:afterLines="50" w:after="120" w:line="276" w:lineRule="auto"/>
        <w:ind w:firstLine="0"/>
        <w:rPr>
          <w:rFonts w:ascii="Arial" w:hAnsi="Arial" w:cs="Arial"/>
          <w:sz w:val="21"/>
          <w:szCs w:val="21"/>
          <w:lang w:val="en-GB" w:eastAsia="zh-CN"/>
        </w:rPr>
      </w:pPr>
      <w:bookmarkStart w:id="74" w:name="_Toc214984861"/>
      <w:r w:rsidRPr="00D16AB0">
        <w:rPr>
          <w:rFonts w:ascii="Arial" w:hAnsi="Arial" w:cs="Arial"/>
          <w:sz w:val="21"/>
          <w:szCs w:val="21"/>
          <w:lang w:val="en-GB" w:eastAsia="zh-CN"/>
        </w:rPr>
        <w:t xml:space="preserve">Step 1: Calibrate four parameters and their correlations: (1) initial investment cost (million US$),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(2) observed</w:t>
      </w:r>
      <w:r w:rsidR="00136CFB" w:rsidRPr="00D16AB0">
        <w:rPr>
          <w:rFonts w:ascii="Arial" w:hAnsi="Arial" w:cs="Arial"/>
          <w:sz w:val="21"/>
          <w:szCs w:val="21"/>
          <w:lang w:val="en-GB" w:eastAsia="zh-CN"/>
        </w:rPr>
        <w:t xml:space="preserve"> </w:t>
      </w:r>
      <w:r w:rsidR="00177FB9" w:rsidRPr="00D16AB0">
        <w:rPr>
          <w:rFonts w:ascii="Arial" w:hAnsi="Arial" w:cs="Arial"/>
          <w:sz w:val="21"/>
          <w:szCs w:val="21"/>
          <w:lang w:val="en-GB" w:eastAsia="zh-CN"/>
        </w:rPr>
        <w:t>reported</w:t>
      </w:r>
      <w:r w:rsidRPr="00D16AB0">
        <w:rPr>
          <w:rFonts w:ascii="Arial" w:hAnsi="Arial" w:cs="Arial"/>
          <w:sz w:val="21"/>
          <w:szCs w:val="21"/>
          <w:lang w:val="en-GB" w:eastAsia="zh-CN"/>
        </w:rPr>
        <w:t xml:space="preserve"> IRR without offset revenue (%),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(3) </w:t>
      </w:r>
      <w:r w:rsidR="00DE3327" w:rsidRPr="00D16AB0">
        <w:rPr>
          <w:rFonts w:ascii="Arial" w:hAnsi="Arial" w:cs="Arial"/>
          <w:sz w:val="21"/>
          <w:szCs w:val="21"/>
          <w:lang w:val="en-GB" w:eastAsia="zh-CN"/>
        </w:rPr>
        <w:t>observed</w:t>
      </w:r>
      <w:r w:rsidR="00B14A31" w:rsidRPr="00D16AB0">
        <w:rPr>
          <w:rFonts w:ascii="Arial" w:hAnsi="Arial" w:cs="Arial"/>
          <w:sz w:val="21"/>
          <w:szCs w:val="21"/>
          <w:lang w:val="en-GB" w:eastAsia="zh-CN"/>
        </w:rPr>
        <w:t xml:space="preserve"> </w:t>
      </w:r>
      <w:r w:rsidR="00177FB9" w:rsidRPr="00D16AB0">
        <w:rPr>
          <w:rFonts w:ascii="Arial" w:hAnsi="Arial" w:cs="Arial"/>
          <w:sz w:val="21"/>
          <w:szCs w:val="21"/>
          <w:lang w:val="en-GB" w:eastAsia="zh-CN"/>
        </w:rPr>
        <w:t>reported</w:t>
      </w:r>
      <w:r w:rsidRPr="00D16AB0">
        <w:rPr>
          <w:rFonts w:ascii="Arial" w:hAnsi="Arial" w:cs="Arial"/>
          <w:sz w:val="21"/>
          <w:szCs w:val="21"/>
          <w:lang w:val="en-GB" w:eastAsia="zh-CN"/>
        </w:rPr>
        <w:t xml:space="preserve"> increase in IRR due to offset revenue (%), </w:t>
      </w:r>
      <m:oMath>
        <m:r>
          <w:rPr>
            <w:rFonts w:ascii="Cambria Math" w:hAnsi="Cambria Math" w:cs="Arial"/>
            <w:sz w:val="21"/>
            <w:szCs w:val="21"/>
            <w:lang w:val="en-GB" w:eastAsia="zh-CN"/>
          </w:rPr>
          <m:t>f</m:t>
        </m:r>
      </m:oMath>
      <w:r w:rsidRPr="00D16AB0">
        <w:rPr>
          <w:rFonts w:ascii="Arial" w:hAnsi="Arial" w:cs="Arial"/>
          <w:sz w:val="21"/>
          <w:szCs w:val="21"/>
          <w:lang w:val="en-GB" w:eastAsia="zh-CN"/>
        </w:rPr>
        <w:t xml:space="preserve">; and (4) offset price (US$/tCO2e): </w:t>
      </w:r>
      <m:oMath>
        <m:r>
          <w:rPr>
            <w:rFonts w:ascii="Cambria Math" w:hAnsi="Cambria Math" w:cs="Arial"/>
            <w:sz w:val="21"/>
            <w:szCs w:val="21"/>
            <w:lang w:val="en-GB" w:eastAsia="zh-CN"/>
          </w:rPr>
          <m:t>P</m:t>
        </m:r>
      </m:oMath>
      <w:r w:rsidRPr="00D16AB0">
        <w:rPr>
          <w:rFonts w:ascii="Arial" w:hAnsi="Arial" w:cs="Arial"/>
          <w:sz w:val="21"/>
          <w:szCs w:val="21"/>
          <w:lang w:val="en-GB" w:eastAsia="zh-CN"/>
        </w:rPr>
        <w:t xml:space="preserve">; (5) correlations, </w:t>
      </w:r>
      <m:oMath>
        <m:r>
          <w:rPr>
            <w:rFonts w:ascii="Cambria Math" w:hAnsi="Cambria Math" w:cs="Arial"/>
            <w:sz w:val="21"/>
            <w:szCs w:val="21"/>
            <w:lang w:val="en-GB" w:eastAsia="zh-CN"/>
          </w:rPr>
          <m:t>corr</m:t>
        </m:r>
        <m:d>
          <m:dPr>
            <m:ctrlPr>
              <w:rPr>
                <w:rFonts w:ascii="Cambria Math" w:hAnsi="Cambria Math" w:cs="Arial"/>
                <w:sz w:val="21"/>
                <w:szCs w:val="21"/>
                <w:lang w:val="en-GB" w:eastAsia="zh-CN"/>
              </w:rPr>
            </m:ctrlPr>
          </m:dPr>
          <m:e>
            <m:r>
              <w:rPr>
                <w:rFonts w:ascii="Cambria Math" w:hAnsi="Cambria Math" w:cs="Arial"/>
                <w:sz w:val="21"/>
                <w:szCs w:val="21"/>
                <w:lang w:val="en-GB" w:eastAsia="zh-CN"/>
              </w:rPr>
              <m:t>i</m:t>
            </m:r>
            <m:r>
              <m:rPr>
                <m:sty m:val="p"/>
              </m:rPr>
              <w:rPr>
                <w:rFonts w:ascii="Cambria Math" w:hAnsi="Cambria Math" w:cs="Arial"/>
                <w:sz w:val="21"/>
                <w:szCs w:val="21"/>
                <w:lang w:val="en-GB" w:eastAsia="zh-CN"/>
              </w:rPr>
              <m:t>,</m:t>
            </m:r>
            <m:r>
              <w:rPr>
                <w:rFonts w:ascii="Cambria Math" w:hAnsi="Cambria Math" w:cs="Arial"/>
                <w:sz w:val="21"/>
                <w:szCs w:val="21"/>
                <w:lang w:val="en-GB" w:eastAsia="zh-CN"/>
              </w:rPr>
              <m:t>j</m:t>
            </m:r>
          </m:e>
        </m:d>
        <m:r>
          <m:rPr>
            <m:sty m:val="p"/>
          </m:rPr>
          <w:rPr>
            <w:rFonts w:ascii="Cambria Math" w:hAnsi="Cambria Math" w:cs="Arial"/>
            <w:sz w:val="21"/>
            <w:szCs w:val="21"/>
            <w:lang w:val="en-GB" w:eastAsia="zh-CN"/>
          </w:rPr>
          <m:t>,</m:t>
        </m:r>
        <m:r>
          <w:rPr>
            <w:rFonts w:ascii="Cambria Math" w:hAnsi="Cambria Math" w:cs="Arial"/>
            <w:sz w:val="21"/>
            <w:szCs w:val="21"/>
            <w:lang w:val="en-GB" w:eastAsia="zh-CN"/>
          </w:rPr>
          <m:t>i</m:t>
        </m:r>
        <m:r>
          <m:rPr>
            <m:sty m:val="p"/>
          </m:rPr>
          <w:rPr>
            <w:rFonts w:ascii="Cambria Math" w:hAnsi="Cambria Math" w:cs="Arial"/>
            <w:sz w:val="21"/>
            <w:szCs w:val="21"/>
            <w:lang w:val="en-GB" w:eastAsia="zh-CN"/>
          </w:rPr>
          <m:t>,</m:t>
        </m:r>
        <m:r>
          <w:rPr>
            <w:rFonts w:ascii="Cambria Math" w:hAnsi="Cambria Math" w:cs="Arial"/>
            <w:sz w:val="21"/>
            <w:szCs w:val="21"/>
            <w:lang w:val="en-GB" w:eastAsia="zh-CN"/>
          </w:rPr>
          <m:t>j</m:t>
        </m:r>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P</m:t>
        </m:r>
      </m:oMath>
      <w:r w:rsidRPr="00D16AB0">
        <w:rPr>
          <w:rFonts w:ascii="Arial" w:hAnsi="Arial" w:cs="Arial"/>
          <w:sz w:val="21"/>
          <w:szCs w:val="21"/>
          <w:lang w:val="en-GB" w:eastAsia="zh-CN"/>
        </w:rPr>
        <w:t>. Each of them is a random variable following a functional form (e.g., normal or log-normal) and their correlations are held for the distribution. With these four parameters and their correlations, we then derive other parameters from them.</w:t>
      </w:r>
      <w:bookmarkEnd w:id="74"/>
    </w:p>
    <w:p w14:paraId="0580EAF2" w14:textId="2B587112" w:rsidR="004C3B7A" w:rsidRPr="00D16AB0" w:rsidRDefault="004C3B7A" w:rsidP="00290F16">
      <w:pPr>
        <w:pStyle w:val="SMText"/>
        <w:spacing w:beforeLines="50" w:before="120" w:afterLines="50" w:after="120" w:line="276" w:lineRule="auto"/>
        <w:ind w:firstLine="0"/>
        <w:rPr>
          <w:rFonts w:ascii="Arial" w:hAnsi="Arial" w:cs="Arial"/>
          <w:sz w:val="21"/>
          <w:szCs w:val="21"/>
          <w:lang w:val="en-GB" w:eastAsia="zh-CN"/>
        </w:rPr>
      </w:pPr>
      <w:bookmarkStart w:id="75" w:name="_Toc214984862"/>
      <w:r w:rsidRPr="00D16AB0">
        <w:rPr>
          <w:rFonts w:ascii="Arial" w:hAnsi="Arial" w:cs="Arial"/>
          <w:sz w:val="21"/>
          <w:szCs w:val="21"/>
          <w:lang w:val="en-GB" w:eastAsia="zh-CN"/>
        </w:rPr>
        <w:t>Step 2: Calculate annual cash flow (</w:t>
      </w:r>
      <m:oMath>
        <m:r>
          <w:rPr>
            <w:rFonts w:ascii="Cambria Math" w:hAnsi="Cambria Math" w:cs="Arial"/>
            <w:sz w:val="21"/>
            <w:szCs w:val="21"/>
            <w:lang w:val="en-GB" w:eastAsia="zh-CN"/>
          </w:rPr>
          <m:t>cf</m:t>
        </m:r>
      </m:oMath>
      <w:r w:rsidRPr="00D16AB0">
        <w:rPr>
          <w:rFonts w:ascii="Arial" w:hAnsi="Arial" w:cs="Arial"/>
          <w:sz w:val="21"/>
          <w:szCs w:val="21"/>
          <w:lang w:val="en-GB" w:eastAsia="zh-CN"/>
        </w:rPr>
        <w:t xml:space="preserve">), </w:t>
      </w:r>
      <w:r w:rsidR="00751D47" w:rsidRPr="00D16AB0">
        <w:rPr>
          <w:rFonts w:ascii="Arial" w:hAnsi="Arial" w:cs="Arial"/>
          <w:sz w:val="21"/>
          <w:szCs w:val="21"/>
          <w:lang w:val="en-GB" w:eastAsia="zh-CN"/>
        </w:rPr>
        <w:t>claimed</w:t>
      </w:r>
      <w:r w:rsidRPr="00D16AB0">
        <w:rPr>
          <w:rFonts w:ascii="Arial" w:hAnsi="Arial" w:cs="Arial"/>
          <w:sz w:val="21"/>
          <w:szCs w:val="21"/>
          <w:lang w:val="en-GB" w:eastAsia="zh-CN"/>
        </w:rPr>
        <w:t xml:space="preserve"> IRR with offsets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1</m:t>
            </m:r>
          </m:sub>
        </m:sSub>
      </m:oMath>
      <w:r w:rsidRPr="00D16AB0">
        <w:rPr>
          <w:rFonts w:ascii="Arial" w:hAnsi="Arial" w:cs="Arial"/>
          <w:sz w:val="21"/>
          <w:szCs w:val="21"/>
          <w:lang w:val="en-GB" w:eastAsia="zh-CN"/>
        </w:rPr>
        <w:t>), annual credit revenue (</w:t>
      </w:r>
      <m:oMath>
        <m:r>
          <w:rPr>
            <w:rFonts w:ascii="Cambria Math" w:hAnsi="Cambria Math" w:cs="Arial"/>
            <w:sz w:val="21"/>
            <w:szCs w:val="21"/>
            <w:lang w:val="en-GB" w:eastAsia="zh-CN"/>
          </w:rPr>
          <m:t>CR</m:t>
        </m:r>
      </m:oMath>
      <w:r w:rsidRPr="00D16AB0">
        <w:rPr>
          <w:rFonts w:ascii="Arial" w:hAnsi="Arial" w:cs="Arial"/>
          <w:sz w:val="21"/>
          <w:szCs w:val="21"/>
          <w:lang w:val="en-GB" w:eastAsia="zh-CN"/>
        </w:rPr>
        <w:t>), and the quantity of offsets (</w:t>
      </w:r>
      <m:oMath>
        <m:r>
          <w:rPr>
            <w:rFonts w:ascii="Cambria Math" w:hAnsi="Cambria Math" w:cs="Arial"/>
            <w:sz w:val="21"/>
            <w:szCs w:val="21"/>
            <w:lang w:val="en-GB" w:eastAsia="zh-CN"/>
          </w:rPr>
          <m:t>Q</m:t>
        </m:r>
      </m:oMath>
      <w:r w:rsidRPr="00D16AB0">
        <w:rPr>
          <w:rFonts w:ascii="Arial" w:hAnsi="Arial" w:cs="Arial"/>
          <w:sz w:val="21"/>
          <w:szCs w:val="21"/>
          <w:lang w:val="en-GB" w:eastAsia="zh-CN"/>
        </w:rPr>
        <w:t>) respectively, based on the following equations:</w:t>
      </w:r>
      <w:bookmarkEnd w:id="75"/>
    </w:p>
    <w:bookmarkStart w:id="76" w:name="_Toc214984863"/>
    <w:p w14:paraId="3DC207A0" w14:textId="77777777" w:rsidR="004C3B7A" w:rsidRPr="00D16AB0" w:rsidRDefault="00000000" w:rsidP="0066246C">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m:rPr>
                      <m:sty m:val="bi"/>
                    </m:rPr>
                    <w:rPr>
                      <w:rFonts w:ascii="Cambria Math" w:hAnsi="Cambria Math" w:cs="Arial"/>
                      <w:sz w:val="21"/>
                      <w:szCs w:val="21"/>
                      <w:lang w:val="en-GB" w:eastAsia="zh-CN"/>
                    </w:rPr>
                    <m:t>cf</m:t>
                  </m:r>
                </m:num>
                <m:den>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m:rPr>
                      <m:sty m:val="bi"/>
                    </m:rPr>
                    <w:rPr>
                      <w:rFonts w:ascii="Cambria Math" w:hAnsi="Cambria Math" w:cs="Arial"/>
                      <w:sz w:val="21"/>
                      <w:szCs w:val="21"/>
                      <w:lang w:val="en-GB" w:eastAsia="zh-CN"/>
                    </w:rPr>
                    <m:t>cf</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e>
                      </m:d>
                    </m:e>
                    <m:sup>
                      <m:r>
                        <m:rPr>
                          <m:sty m:val="p"/>
                        </m:rPr>
                        <w:rPr>
                          <w:rFonts w:ascii="Cambria Math" w:hAnsi="Cambria Math" w:cs="Arial"/>
                          <w:sz w:val="21"/>
                          <w:szCs w:val="21"/>
                          <w:lang w:val="en-GB" w:eastAsia="zh-CN"/>
                        </w:rPr>
                        <m:t>2</m:t>
                      </m:r>
                    </m:sup>
                  </m:sSup>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m:rPr>
                      <m:sty m:val="bi"/>
                    </m:rPr>
                    <w:rPr>
                      <w:rFonts w:ascii="Cambria Math" w:hAnsi="Cambria Math" w:cs="Arial"/>
                      <w:sz w:val="21"/>
                      <w:szCs w:val="21"/>
                      <w:lang w:val="en-GB" w:eastAsia="zh-CN"/>
                    </w:rPr>
                    <m:t>cf</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e>
                      </m:d>
                    </m:e>
                    <m:sup>
                      <m:r>
                        <w:rPr>
                          <w:rFonts w:ascii="Cambria Math" w:hAnsi="Cambria Math" w:cs="Arial"/>
                          <w:sz w:val="21"/>
                          <w:szCs w:val="21"/>
                          <w:lang w:val="en-GB" w:eastAsia="zh-CN"/>
                        </w:rPr>
                        <m:t>T</m:t>
                      </m:r>
                    </m:sup>
                  </m:sSup>
                </m:den>
              </m:f>
              <m:r>
                <m:rPr>
                  <m:sty m:val="p"/>
                </m:rPr>
                <w:rPr>
                  <w:rFonts w:ascii="Cambria Math" w:hAnsi="Cambria Math" w:cs="Arial"/>
                  <w:sz w:val="21"/>
                  <w:szCs w:val="21"/>
                  <w:lang w:val="en-GB" w:eastAsia="zh-CN"/>
                </w:rPr>
                <m:t>=0#</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e>
              </m:d>
            </m:e>
          </m:eqArr>
        </m:oMath>
      </m:oMathPara>
      <w:bookmarkEnd w:id="76"/>
    </w:p>
    <w:bookmarkStart w:id="77" w:name="_Toc214984864"/>
    <w:p w14:paraId="57AB6A6D" w14:textId="77777777" w:rsidR="004C3B7A" w:rsidRPr="00D16AB0" w:rsidRDefault="00000000" w:rsidP="0066246C">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r</m:t>
                  </m:r>
                </m:e>
                <m:sub>
                  <m:r>
                    <m:rPr>
                      <m:sty m:val="b"/>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f</m:t>
              </m:r>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m:t>
                  </m:r>
                </m:e>
              </m:d>
            </m:e>
          </m:eqArr>
        </m:oMath>
      </m:oMathPara>
      <w:bookmarkEnd w:id="77"/>
    </w:p>
    <w:bookmarkStart w:id="78" w:name="_Toc214984865"/>
    <w:p w14:paraId="661EC79D" w14:textId="77777777" w:rsidR="004C3B7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r>
                    <m:rPr>
                      <m:sty m:val="p"/>
                    </m:rPr>
                    <w:rPr>
                      <w:rFonts w:ascii="Cambria Math" w:hAnsi="Cambria Math" w:cs="Arial"/>
                      <w:sz w:val="21"/>
                      <w:szCs w:val="21"/>
                      <w:lang w:val="en-GB" w:eastAsia="zh-CN"/>
                    </w:rPr>
                    <m:t>+</m:t>
                  </m:r>
                  <m:r>
                    <m:rPr>
                      <m:sty m:val="bi"/>
                    </m:rPr>
                    <w:rPr>
                      <w:rFonts w:ascii="Cambria Math" w:hAnsi="Cambria Math" w:cs="Arial"/>
                      <w:sz w:val="21"/>
                      <w:szCs w:val="21"/>
                      <w:lang w:val="en-GB" w:eastAsia="zh-CN"/>
                    </w:rPr>
                    <m:t>CR</m:t>
                  </m:r>
                </m:num>
                <m:den>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1</m:t>
                      </m:r>
                    </m:sub>
                  </m:sSub>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r>
                    <m:rPr>
                      <m:sty m:val="p"/>
                    </m:rPr>
                    <w:rPr>
                      <w:rFonts w:ascii="Cambria Math" w:hAnsi="Cambria Math" w:cs="Arial"/>
                      <w:sz w:val="21"/>
                      <w:szCs w:val="21"/>
                      <w:lang w:val="en-GB" w:eastAsia="zh-CN"/>
                    </w:rPr>
                    <m:t>+</m:t>
                  </m:r>
                  <m:r>
                    <m:rPr>
                      <m:sty m:val="bi"/>
                    </m:rPr>
                    <w:rPr>
                      <w:rFonts w:ascii="Cambria Math" w:hAnsi="Cambria Math" w:cs="Arial"/>
                      <w:sz w:val="21"/>
                      <w:szCs w:val="21"/>
                      <w:lang w:val="en-GB" w:eastAsia="zh-CN"/>
                    </w:rPr>
                    <m:t>CR</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1</m:t>
                              </m:r>
                            </m:sub>
                          </m:sSub>
                        </m:e>
                      </m:d>
                    </m:e>
                    <m:sup>
                      <m:r>
                        <m:rPr>
                          <m:sty m:val="p"/>
                        </m:rPr>
                        <w:rPr>
                          <w:rFonts w:ascii="Cambria Math" w:hAnsi="Cambria Math" w:cs="Arial"/>
                          <w:sz w:val="21"/>
                          <w:szCs w:val="21"/>
                          <w:lang w:val="en-GB" w:eastAsia="zh-CN"/>
                        </w:rPr>
                        <m:t>2</m:t>
                      </m:r>
                    </m:sup>
                  </m:sSup>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r>
                    <m:rPr>
                      <m:sty m:val="p"/>
                    </m:rPr>
                    <w:rPr>
                      <w:rFonts w:ascii="Cambria Math" w:hAnsi="Cambria Math" w:cs="Arial"/>
                      <w:sz w:val="21"/>
                      <w:szCs w:val="21"/>
                      <w:lang w:val="en-GB" w:eastAsia="zh-CN"/>
                    </w:rPr>
                    <m:t>+</m:t>
                  </m:r>
                  <m:r>
                    <m:rPr>
                      <m:sty m:val="bi"/>
                    </m:rPr>
                    <w:rPr>
                      <w:rFonts w:ascii="Cambria Math" w:hAnsi="Cambria Math" w:cs="Arial"/>
                      <w:sz w:val="21"/>
                      <w:szCs w:val="21"/>
                      <w:lang w:val="en-GB" w:eastAsia="zh-CN"/>
                    </w:rPr>
                    <m:t>CR</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1</m:t>
                              </m:r>
                            </m:sub>
                          </m:sSub>
                        </m:e>
                      </m:d>
                    </m:e>
                    <m:sup>
                      <m:r>
                        <w:rPr>
                          <w:rFonts w:ascii="Cambria Math" w:hAnsi="Cambria Math" w:cs="Arial"/>
                          <w:sz w:val="21"/>
                          <w:szCs w:val="21"/>
                          <w:lang w:val="en-GB" w:eastAsia="zh-CN"/>
                        </w:rPr>
                        <m:t>T</m:t>
                      </m:r>
                    </m:sup>
                  </m:sSup>
                </m:den>
              </m:f>
              <m:r>
                <m:rPr>
                  <m:sty m:val="p"/>
                </m:rPr>
                <w:rPr>
                  <w:rFonts w:ascii="Cambria Math" w:hAnsi="Cambria Math" w:cs="Arial"/>
                  <w:sz w:val="21"/>
                  <w:szCs w:val="21"/>
                  <w:lang w:val="en-GB" w:eastAsia="zh-CN"/>
                </w:rPr>
                <m:t>=0#</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3</m:t>
                  </m:r>
                </m:e>
              </m:d>
            </m:e>
          </m:eqArr>
        </m:oMath>
      </m:oMathPara>
      <w:bookmarkEnd w:id="78"/>
    </w:p>
    <w:bookmarkStart w:id="79" w:name="_Toc214984866"/>
    <w:p w14:paraId="3D41832A" w14:textId="5B09BAD2" w:rsidR="00BA533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r>
                <w:rPr>
                  <w:rFonts w:ascii="Cambria Math" w:hAnsi="Cambria Math" w:cs="Arial"/>
                  <w:sz w:val="21"/>
                  <w:szCs w:val="21"/>
                  <w:lang w:val="en-GB" w:eastAsia="zh-CN"/>
                </w:rPr>
                <m:t>CR</m:t>
              </m:r>
              <m:r>
                <m:rPr>
                  <m:sty m:val="p"/>
                </m:rPr>
                <w:rPr>
                  <w:rFonts w:ascii="Cambria Math" w:hAnsi="Cambria Math" w:cs="Arial"/>
                  <w:sz w:val="21"/>
                  <w:szCs w:val="21"/>
                  <w:lang w:val="en-GB" w:eastAsia="zh-CN"/>
                </w:rPr>
                <m:t>=</m:t>
              </m:r>
              <m:r>
                <w:rPr>
                  <w:rFonts w:ascii="Cambria Math" w:hAnsi="Cambria Math" w:cs="Arial"/>
                  <w:sz w:val="21"/>
                  <w:szCs w:val="21"/>
                  <w:lang w:val="en-GB" w:eastAsia="zh-CN"/>
                </w:rPr>
                <m:t>P</m:t>
              </m:r>
              <m:r>
                <m:rPr>
                  <m:sty m:val="p"/>
                </m:rPr>
                <w:rPr>
                  <w:rFonts w:ascii="Cambria Math" w:hAnsi="Cambria Math" w:cs="Arial"/>
                  <w:sz w:val="21"/>
                  <w:szCs w:val="21"/>
                  <w:lang w:val="en-GB" w:eastAsia="zh-CN"/>
                </w:rPr>
                <m:t>×</m:t>
              </m:r>
              <m:r>
                <m:rPr>
                  <m:sty m:val="bi"/>
                </m:rPr>
                <w:rPr>
                  <w:rFonts w:ascii="Cambria Math" w:hAnsi="Cambria Math" w:cs="Arial"/>
                  <w:sz w:val="21"/>
                  <w:szCs w:val="21"/>
                  <w:lang w:val="en-GB" w:eastAsia="zh-CN"/>
                </w:rPr>
                <m:t>Q</m:t>
              </m:r>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4</m:t>
                  </m:r>
                </m:e>
              </m:d>
            </m:e>
          </m:eqArr>
        </m:oMath>
      </m:oMathPara>
      <w:bookmarkEnd w:id="79"/>
    </w:p>
    <w:p w14:paraId="40E7FD73" w14:textId="42187792" w:rsidR="004C3B7A" w:rsidRPr="00D16AB0" w:rsidRDefault="004C3B7A" w:rsidP="00C9242A">
      <w:pPr>
        <w:pStyle w:val="SMText"/>
        <w:spacing w:beforeLines="50" w:before="120" w:afterLines="50" w:after="120" w:line="276" w:lineRule="auto"/>
        <w:ind w:firstLine="0"/>
        <w:rPr>
          <w:rFonts w:ascii="Arial" w:hAnsi="Arial" w:cs="Arial"/>
          <w:sz w:val="21"/>
          <w:szCs w:val="21"/>
          <w:lang w:val="en-GB" w:eastAsia="zh-CN"/>
        </w:rPr>
      </w:pPr>
      <w:bookmarkStart w:id="80" w:name="_Toc214984867"/>
      <w:r w:rsidRPr="00D16AB0">
        <w:rPr>
          <w:rFonts w:ascii="Arial" w:hAnsi="Arial" w:cs="Arial"/>
          <w:sz w:val="21"/>
          <w:szCs w:val="21"/>
          <w:lang w:val="en-GB" w:eastAsia="zh-CN"/>
        </w:rPr>
        <w:t>Step 3: Calibrate the gaming behaviours by introducing an underreported bias in IRR (</w:t>
      </w:r>
      <m:oMath>
        <m:r>
          <w:rPr>
            <w:rFonts w:ascii="Cambria Math" w:hAnsi="Cambria Math" w:cs="Arial"/>
            <w:sz w:val="21"/>
            <w:szCs w:val="21"/>
            <w:lang w:val="en-GB" w:eastAsia="zh-CN"/>
          </w:rPr>
          <m:t>g</m:t>
        </m:r>
      </m:oMath>
      <w:r w:rsidRPr="00D16AB0">
        <w:rPr>
          <w:rFonts w:ascii="Arial" w:hAnsi="Arial" w:cs="Arial"/>
          <w:sz w:val="21"/>
          <w:szCs w:val="21"/>
          <w:lang w:val="en-GB" w:eastAsia="zh-CN"/>
        </w:rPr>
        <w:t xml:space="preserve">), i.e. the difference in reported and actual IRRs, </w:t>
      </w:r>
      <m:oMath>
        <m:r>
          <w:rPr>
            <w:rFonts w:ascii="Cambria Math" w:hAnsi="Cambria Math" w:cs="Arial"/>
            <w:sz w:val="21"/>
            <w:szCs w:val="21"/>
            <w:lang w:val="en-GB" w:eastAsia="zh-CN"/>
          </w:rPr>
          <m:t>g</m:t>
        </m:r>
        <m:r>
          <m:rPr>
            <m:sty m:val="p"/>
          </m:rPr>
          <w:rPr>
            <w:rFonts w:ascii="Cambria Math" w:hAnsi="Cambria Math" w:cs="Arial"/>
            <w:sz w:val="21"/>
            <w:szCs w:val="21"/>
            <w:lang w:val="en-GB" w:eastAsia="zh-CN"/>
          </w:rPr>
          <m:t xml:space="preserve">= </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 xml:space="preserve">- </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Basically, the two probability distributions,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w:t>
      </w:r>
      <w:r w:rsidR="002C26EE" w:rsidRPr="00D16AB0">
        <w:rPr>
          <w:rFonts w:ascii="Arial" w:hAnsi="Arial" w:cs="Arial"/>
          <w:sz w:val="21"/>
          <w:szCs w:val="21"/>
          <w:lang w:val="en-GB" w:eastAsia="zh-CN"/>
        </w:rPr>
        <w:t>claimed</w:t>
      </w:r>
      <w:r w:rsidRPr="00D16AB0">
        <w:rPr>
          <w:rFonts w:ascii="Arial" w:hAnsi="Arial" w:cs="Arial"/>
          <w:sz w:val="21"/>
          <w:szCs w:val="21"/>
          <w:lang w:val="en-GB" w:eastAsia="zh-CN"/>
        </w:rPr>
        <w:t xml:space="preserve"> IRR without offsets) and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(actual IRR without offsets) are assumed to be of identical shape but a distance </w:t>
      </w:r>
      <m:oMath>
        <m:r>
          <w:rPr>
            <w:rFonts w:ascii="Cambria Math" w:hAnsi="Cambria Math" w:cs="Arial"/>
            <w:sz w:val="21"/>
            <w:szCs w:val="21"/>
            <w:lang w:val="en-GB" w:eastAsia="zh-CN"/>
          </w:rPr>
          <m:t>g</m:t>
        </m:r>
      </m:oMath>
      <w:r w:rsidRPr="00D16AB0">
        <w:rPr>
          <w:rFonts w:ascii="Arial" w:hAnsi="Arial" w:cs="Arial"/>
          <w:sz w:val="21"/>
          <w:szCs w:val="21"/>
          <w:lang w:val="en-GB" w:eastAsia="zh-CN"/>
        </w:rPr>
        <w:t xml:space="preserve"> apart. The </w:t>
      </w:r>
      <w:bookmarkStart w:id="81" w:name="OLE_LINK3"/>
      <w:bookmarkStart w:id="82" w:name="OLE_LINK4"/>
      <w:r w:rsidRPr="00D16AB0">
        <w:rPr>
          <w:rFonts w:ascii="Arial" w:hAnsi="Arial" w:cs="Arial"/>
          <w:sz w:val="21"/>
          <w:szCs w:val="21"/>
          <w:lang w:val="en-GB" w:eastAsia="zh-CN"/>
        </w:rPr>
        <w:t>real additional proportion</w:t>
      </w:r>
      <w:bookmarkEnd w:id="81"/>
      <w:bookmarkEnd w:id="82"/>
      <w:r w:rsidRPr="00D16AB0">
        <w:rPr>
          <w:rFonts w:ascii="Arial" w:hAnsi="Arial" w:cs="Arial"/>
          <w:sz w:val="21"/>
          <w:szCs w:val="21"/>
          <w:lang w:val="en-GB" w:eastAsia="zh-CN"/>
        </w:rPr>
        <w:t xml:space="preserve"> in this project pool,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d</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that we are interested in is the area under the actual IRR curve below the hurdle rate. Mathematically, assume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F</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x</m:t>
            </m:r>
          </m:e>
        </m:d>
      </m:oMath>
      <w:r w:rsidRPr="00D16AB0">
        <w:rPr>
          <w:rFonts w:ascii="Arial" w:hAnsi="Arial" w:cs="Arial"/>
          <w:sz w:val="21"/>
          <w:szCs w:val="21"/>
          <w:lang w:val="en-GB" w:eastAsia="zh-CN"/>
        </w:rPr>
        <w:t xml:space="preserve"> is the cumulative distribution function (CDF) of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the additional proportion is defined as:</w:t>
      </w:r>
      <w:bookmarkEnd w:id="80"/>
    </w:p>
    <w:bookmarkStart w:id="83" w:name="_Toc214984868"/>
    <w:p w14:paraId="1EF2EECF" w14:textId="77777777" w:rsidR="004C3B7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r>
                <m:rPr>
                  <m:sty m:val="bi"/>
                </m:rPr>
                <w:rPr>
                  <w:rFonts w:ascii="Cambria Math" w:hAnsi="Cambria Math" w:cs="Arial"/>
                  <w:sz w:val="21"/>
                  <w:szCs w:val="21"/>
                  <w:lang w:val="en-GB" w:eastAsia="zh-CN"/>
                </w:rPr>
                <m:t>d</m:t>
              </m:r>
              <m:r>
                <m:rPr>
                  <m:sty m:val="p"/>
                </m:rPr>
                <w:rPr>
                  <w:rFonts w:ascii="Cambria Math" w:hAnsi="Cambria Math" w:cs="Arial"/>
                  <w:sz w:val="21"/>
                  <w:szCs w:val="21"/>
                  <w:lang w:val="en-GB" w:eastAsia="zh-CN"/>
                </w:rPr>
                <m:t>=</m:t>
              </m:r>
              <m:r>
                <w:rPr>
                  <w:rFonts w:ascii="Cambria Math" w:hAnsi="Cambria Math" w:cs="Arial"/>
                  <w:sz w:val="21"/>
                  <w:szCs w:val="21"/>
                  <w:lang w:val="en-GB" w:eastAsia="zh-CN"/>
                </w:rPr>
                <m:t>Pr</m:t>
              </m:r>
              <m:d>
                <m:dPr>
                  <m:ctrlPr>
                    <w:rPr>
                      <w:rFonts w:ascii="Cambria Math" w:hAnsi="Cambria Math" w:cs="Arial"/>
                      <w:sz w:val="21"/>
                      <w:szCs w:val="21"/>
                      <w:lang w:val="en-GB" w:eastAsia="zh-CN"/>
                    </w:rPr>
                  </m:ctrlPr>
                </m:d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e>
              </m:d>
              <m:r>
                <m:rPr>
                  <m:sty m:val="p"/>
                </m:rPr>
                <w:rPr>
                  <w:rFonts w:ascii="Cambria Math" w:hAnsi="Cambria Math" w:cs="Arial"/>
                  <w:sz w:val="21"/>
                  <w:szCs w:val="21"/>
                  <w:lang w:val="en-GB" w:eastAsia="zh-CN"/>
                </w:rPr>
                <m:t>=</m:t>
              </m:r>
              <m:nary>
                <m:naryPr>
                  <m:limLoc m:val="subSup"/>
                  <m:ctrlPr>
                    <w:rPr>
                      <w:rFonts w:ascii="Cambria Math" w:hAnsi="Cambria Math" w:cs="Arial"/>
                      <w:sz w:val="21"/>
                      <w:szCs w:val="21"/>
                      <w:lang w:val="en-GB" w:eastAsia="zh-CN"/>
                    </w:rPr>
                  </m:ctrlPr>
                </m:naryPr>
                <m:sub>
                  <m:r>
                    <m:rPr>
                      <m:sty m:val="p"/>
                    </m:rPr>
                    <w:rPr>
                      <w:rFonts w:ascii="Cambria Math" w:hAnsi="Cambria Math" w:cs="Arial"/>
                      <w:sz w:val="21"/>
                      <w:szCs w:val="21"/>
                      <w:lang w:val="en-GB" w:eastAsia="zh-CN"/>
                    </w:rPr>
                    <m:t>-∞</m:t>
                  </m:r>
                </m:sub>
                <m:sup>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sup>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f</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x</m:t>
                      </m:r>
                    </m:e>
                  </m:d>
                </m:e>
              </m:nary>
              <m:r>
                <w:rPr>
                  <w:rFonts w:ascii="Cambria Math" w:hAnsi="Cambria Math" w:cs="Arial"/>
                  <w:sz w:val="21"/>
                  <w:szCs w:val="21"/>
                  <w:lang w:val="en-GB" w:eastAsia="zh-CN"/>
                </w:rPr>
                <m:t>dx</m:t>
              </m:r>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F</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d>
                <m:dPr>
                  <m:ctrlPr>
                    <w:rPr>
                      <w:rFonts w:ascii="Cambria Math" w:hAnsi="Cambria Math" w:cs="Arial"/>
                      <w:sz w:val="21"/>
                      <w:szCs w:val="21"/>
                      <w:lang w:val="en-GB" w:eastAsia="zh-CN"/>
                    </w:rPr>
                  </m:ctrlPr>
                </m:dPr>
                <m:e>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e>
              </m:d>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5</m:t>
                  </m:r>
                </m:e>
              </m:d>
            </m:e>
          </m:eqArr>
        </m:oMath>
      </m:oMathPara>
      <w:bookmarkEnd w:id="83"/>
    </w:p>
    <w:p w14:paraId="68C0405B" w14:textId="77777777" w:rsidR="004C3B7A" w:rsidRPr="00D16AB0" w:rsidRDefault="004C3B7A" w:rsidP="00C9242A">
      <w:pPr>
        <w:pStyle w:val="SMText"/>
        <w:spacing w:beforeLines="50" w:before="120" w:afterLines="50" w:after="120" w:line="276" w:lineRule="auto"/>
        <w:ind w:firstLine="0"/>
        <w:rPr>
          <w:rFonts w:ascii="Arial" w:hAnsi="Arial" w:cs="Arial"/>
          <w:sz w:val="21"/>
          <w:szCs w:val="21"/>
          <w:lang w:val="en-GB" w:eastAsia="zh-CN"/>
        </w:rPr>
      </w:pPr>
      <w:bookmarkStart w:id="84" w:name="_Toc214984869"/>
      <w:r w:rsidRPr="00D16AB0">
        <w:rPr>
          <w:rFonts w:ascii="Arial" w:hAnsi="Arial" w:cs="Arial"/>
          <w:sz w:val="21"/>
          <w:szCs w:val="21"/>
          <w:lang w:val="en-GB" w:eastAsia="zh-CN"/>
        </w:rPr>
        <w:t xml:space="preserve">assume the quantile function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x</m:t>
            </m:r>
          </m:e>
        </m:d>
      </m:oMath>
      <w:r w:rsidRPr="00D16AB0">
        <w:rPr>
          <w:rFonts w:ascii="Arial" w:hAnsi="Arial" w:cs="Arial"/>
          <w:sz w:val="21"/>
          <w:szCs w:val="21"/>
          <w:lang w:val="en-GB" w:eastAsia="zh-CN"/>
        </w:rPr>
        <w:t xml:space="preserve"> is the inverse function of the CDF of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we can express it in another form:</w:t>
      </w:r>
      <w:bookmarkEnd w:id="84"/>
    </w:p>
    <w:bookmarkStart w:id="85" w:name="_Toc214984870"/>
    <w:p w14:paraId="3271D600" w14:textId="77777777" w:rsidR="004C3B7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r>
                <m:rPr>
                  <m:sty m:val="p"/>
                </m:rPr>
                <w:rPr>
                  <w:rFonts w:ascii="Cambria Math" w:hAnsi="Cambria Math" w:cs="Arial"/>
                  <w:sz w:val="21"/>
                  <w:szCs w:val="21"/>
                  <w:lang w:val="en-GB" w:eastAsia="zh-CN"/>
                </w:rPr>
                <m:t>=</m:t>
              </m:r>
              <m:sSup>
                <m:sSupPr>
                  <m:ctrlPr>
                    <w:rPr>
                      <w:rFonts w:ascii="Cambria Math" w:hAnsi="Cambria Math" w:cs="Arial"/>
                      <w:sz w:val="21"/>
                      <w:szCs w:val="21"/>
                      <w:lang w:val="en-GB" w:eastAsia="zh-CN"/>
                    </w:rPr>
                  </m:ctrlPr>
                </m:sSup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F</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e>
                <m:sup>
                  <m:r>
                    <m:rPr>
                      <m:sty m:val="p"/>
                    </m:rPr>
                    <w:rPr>
                      <w:rFonts w:ascii="Cambria Math" w:hAnsi="Cambria Math" w:cs="Arial"/>
                      <w:sz w:val="21"/>
                      <w:szCs w:val="21"/>
                      <w:lang w:val="en-GB" w:eastAsia="zh-CN"/>
                    </w:rPr>
                    <m:t>-1</m:t>
                  </m:r>
                </m:sup>
              </m:sSup>
              <m:d>
                <m:dPr>
                  <m:ctrlPr>
                    <w:rPr>
                      <w:rFonts w:ascii="Cambria Math" w:hAnsi="Cambria Math" w:cs="Arial"/>
                      <w:sz w:val="21"/>
                      <w:szCs w:val="21"/>
                      <w:lang w:val="en-GB" w:eastAsia="zh-CN"/>
                    </w:rPr>
                  </m:ctrlPr>
                </m:d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d</m:t>
                      </m:r>
                    </m:e>
                    <m:sub>
                      <m:r>
                        <m:rPr>
                          <m:sty m:val="p"/>
                        </m:rPr>
                        <w:rPr>
                          <w:rFonts w:ascii="Cambria Math" w:hAnsi="Cambria Math" w:cs="Arial"/>
                          <w:sz w:val="21"/>
                          <w:szCs w:val="21"/>
                          <w:lang w:val="en-GB" w:eastAsia="zh-CN"/>
                        </w:rPr>
                        <m:t>0</m:t>
                      </m:r>
                    </m:sub>
                  </m:sSub>
                </m:e>
              </m:d>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d</m:t>
                  </m:r>
                </m:e>
              </m:d>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g</m:t>
                  </m:r>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d</m:t>
                  </m:r>
                </m:e>
              </m:d>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6</m:t>
                  </m:r>
                </m:e>
              </m:d>
            </m:e>
          </m:eqArr>
        </m:oMath>
      </m:oMathPara>
      <w:bookmarkEnd w:id="85"/>
    </w:p>
    <w:p w14:paraId="542B89E7" w14:textId="77777777" w:rsidR="004C3B7A" w:rsidRPr="00D16AB0" w:rsidRDefault="004C3B7A" w:rsidP="00C9242A">
      <w:pPr>
        <w:pStyle w:val="SMText"/>
        <w:spacing w:beforeLines="50" w:before="120" w:afterLines="50" w:after="120" w:line="276" w:lineRule="auto"/>
        <w:ind w:firstLine="0"/>
        <w:rPr>
          <w:rFonts w:ascii="Arial" w:hAnsi="Arial" w:cs="Arial"/>
          <w:sz w:val="21"/>
          <w:szCs w:val="21"/>
          <w:lang w:val="en-GB" w:eastAsia="zh-CN"/>
        </w:rPr>
      </w:pPr>
      <w:bookmarkStart w:id="86" w:name="_Toc214984871"/>
      <w:r w:rsidRPr="00D16AB0">
        <w:rPr>
          <w:rFonts w:ascii="Arial" w:hAnsi="Arial" w:cs="Arial"/>
          <w:sz w:val="21"/>
          <w:szCs w:val="21"/>
          <w:lang w:val="en-GB" w:eastAsia="zh-CN"/>
        </w:rPr>
        <w:t>then compute the gaming parameter and the actual IRR without offsets:</w:t>
      </w:r>
      <w:bookmarkEnd w:id="86"/>
    </w:p>
    <w:bookmarkStart w:id="87" w:name="_Toc214984872"/>
    <w:p w14:paraId="25563CD5" w14:textId="77777777" w:rsidR="004C3B7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r>
                <m:rPr>
                  <m:sty m:val="bi"/>
                </m:rPr>
                <w:rPr>
                  <w:rFonts w:ascii="Cambria Math" w:hAnsi="Cambria Math" w:cs="Arial"/>
                  <w:sz w:val="21"/>
                  <w:szCs w:val="21"/>
                  <w:lang w:val="en-GB" w:eastAsia="zh-CN"/>
                </w:rPr>
                <m:t>g</m:t>
              </m:r>
              <m:r>
                <m:rPr>
                  <m:sty m:val="p"/>
                </m:rPr>
                <w:rPr>
                  <w:rFonts w:ascii="Cambria Math" w:hAnsi="Cambria Math" w:cs="Arial"/>
                  <w:sz w:val="21"/>
                  <w:szCs w:val="21"/>
                  <w:lang w:val="en-GB" w:eastAsia="zh-CN"/>
                </w:rPr>
                <m:t>=</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d</m:t>
                  </m:r>
                </m:e>
              </m:d>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7</m:t>
                  </m:r>
                </m:e>
              </m:d>
            </m:e>
          </m:eqArr>
        </m:oMath>
      </m:oMathPara>
      <w:bookmarkEnd w:id="87"/>
    </w:p>
    <w:bookmarkStart w:id="88" w:name="_Toc214984873"/>
    <w:p w14:paraId="78689004" w14:textId="77777777" w:rsidR="004C3B7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R</m:t>
                  </m:r>
                </m:e>
                <m:sub>
                  <m:r>
                    <m:rPr>
                      <m:sty m:val="b"/>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g</m:t>
              </m:r>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8</m:t>
                  </m:r>
                </m:e>
              </m:d>
            </m:e>
          </m:eqArr>
        </m:oMath>
      </m:oMathPara>
      <w:bookmarkEnd w:id="88"/>
    </w:p>
    <w:p w14:paraId="704563E4" w14:textId="1F50E8A0" w:rsidR="00BD27D6" w:rsidRPr="00D16AB0" w:rsidRDefault="004C3B7A" w:rsidP="00C9242A">
      <w:pPr>
        <w:pStyle w:val="SMText"/>
        <w:spacing w:beforeLines="50" w:before="120" w:afterLines="50" w:after="120" w:line="276" w:lineRule="auto"/>
        <w:ind w:firstLine="0"/>
        <w:rPr>
          <w:rFonts w:ascii="Arial" w:hAnsi="Arial" w:cs="Arial"/>
          <w:sz w:val="21"/>
          <w:szCs w:val="21"/>
          <w:lang w:val="en-GB" w:eastAsia="zh-CN"/>
        </w:rPr>
      </w:pPr>
      <w:bookmarkStart w:id="89" w:name="_Toc214984874"/>
      <w:r w:rsidRPr="00D16AB0">
        <w:rPr>
          <w:rFonts w:ascii="Arial" w:hAnsi="Arial" w:cs="Arial"/>
          <w:sz w:val="21"/>
          <w:szCs w:val="21"/>
          <w:lang w:val="en-GB" w:eastAsia="zh-CN"/>
        </w:rPr>
        <w:t xml:space="preserve">given the </w:t>
      </w:r>
      <w:r w:rsidR="00CF6C5F" w:rsidRPr="00D16AB0">
        <w:rPr>
          <w:rFonts w:ascii="Arial" w:hAnsi="Arial" w:cs="Arial"/>
          <w:sz w:val="21"/>
          <w:szCs w:val="21"/>
          <w:lang w:val="en-GB" w:eastAsia="zh-CN"/>
        </w:rPr>
        <w:t>reported</w:t>
      </w:r>
      <w:r w:rsidRPr="00D16AB0">
        <w:rPr>
          <w:rFonts w:ascii="Arial" w:hAnsi="Arial" w:cs="Arial"/>
          <w:sz w:val="21"/>
          <w:szCs w:val="21"/>
          <w:lang w:val="en-GB" w:eastAsia="zh-CN"/>
        </w:rPr>
        <w:t xml:space="preserve"> data, the additional proportion we set at </w:t>
      </w:r>
      <m:oMath>
        <m:r>
          <w:rPr>
            <w:rFonts w:ascii="Cambria Math" w:hAnsi="Cambria Math" w:cs="Arial"/>
            <w:sz w:val="21"/>
            <w:szCs w:val="21"/>
            <w:lang w:val="en-GB" w:eastAsia="zh-CN"/>
          </w:rPr>
          <m:t>d</m:t>
        </m:r>
      </m:oMath>
      <w:r w:rsidRPr="00D16AB0">
        <w:rPr>
          <w:rFonts w:ascii="Arial" w:hAnsi="Arial" w:cs="Arial"/>
          <w:sz w:val="21"/>
          <w:szCs w:val="21"/>
          <w:lang w:val="en-GB" w:eastAsia="zh-CN"/>
        </w:rPr>
        <w:t xml:space="preserve"> determines the difference in reported and actual IRRs without offsets.</w:t>
      </w:r>
      <w:bookmarkEnd w:id="89"/>
    </w:p>
    <w:p w14:paraId="38D645E9" w14:textId="15831022" w:rsidR="009452F7" w:rsidRPr="00D16AB0" w:rsidRDefault="004C3B7A" w:rsidP="00C9242A">
      <w:pPr>
        <w:pStyle w:val="SMText"/>
        <w:spacing w:beforeLines="50" w:before="120" w:afterLines="50" w:after="120" w:line="276" w:lineRule="auto"/>
        <w:ind w:firstLine="0"/>
        <w:rPr>
          <w:rFonts w:ascii="Arial" w:hAnsi="Arial" w:cs="Arial"/>
          <w:sz w:val="21"/>
          <w:szCs w:val="21"/>
          <w:lang w:val="en-GB" w:eastAsia="zh-CN"/>
        </w:rPr>
      </w:pPr>
      <w:bookmarkStart w:id="90" w:name="_Toc214984875"/>
      <w:r w:rsidRPr="00D16AB0">
        <w:rPr>
          <w:rFonts w:ascii="Arial" w:hAnsi="Arial" w:cs="Arial"/>
          <w:sz w:val="21"/>
          <w:szCs w:val="21"/>
          <w:lang w:val="en-GB" w:eastAsia="zh-CN"/>
        </w:rPr>
        <w:lastRenderedPageBreak/>
        <w:t>Step 4: Calculate unobserved actual annual cash flow (</w:t>
      </w:r>
      <m:oMath>
        <m:r>
          <w:rPr>
            <w:rFonts w:ascii="Cambria Math" w:hAnsi="Cambria Math" w:cs="Arial"/>
            <w:sz w:val="21"/>
            <w:szCs w:val="21"/>
            <w:lang w:val="en-GB" w:eastAsia="zh-CN"/>
          </w:rPr>
          <m:t>CF</m:t>
        </m:r>
      </m:oMath>
      <w:r w:rsidRPr="00D16AB0">
        <w:rPr>
          <w:rFonts w:ascii="Arial" w:hAnsi="Arial" w:cs="Arial"/>
          <w:sz w:val="21"/>
          <w:szCs w:val="21"/>
          <w:lang w:val="en-GB" w:eastAsia="zh-CN"/>
        </w:rPr>
        <w:t>), actual IRRs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 xml:space="preserve">, </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1</m:t>
            </m:r>
          </m:sub>
        </m:sSub>
      </m:oMath>
      <w:r w:rsidRPr="00D16AB0">
        <w:rPr>
          <w:rFonts w:ascii="Arial" w:hAnsi="Arial" w:cs="Arial"/>
          <w:sz w:val="21"/>
          <w:szCs w:val="21"/>
          <w:lang w:val="en-GB" w:eastAsia="zh-CN"/>
        </w:rPr>
        <w:t xml:space="preserv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2</m:t>
            </m:r>
          </m:sub>
        </m:sSub>
      </m:oMath>
      <w:r w:rsidRPr="00D16AB0">
        <w:rPr>
          <w:rFonts w:ascii="Arial" w:hAnsi="Arial" w:cs="Arial"/>
          <w:sz w:val="21"/>
          <w:szCs w:val="21"/>
          <w:lang w:val="en-GB" w:eastAsia="zh-CN"/>
        </w:rPr>
        <w:t>) and the actual change in IRR due to offset revenues under current and new additionality regime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F</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F</m:t>
            </m:r>
          </m:e>
          <m:sub>
            <m:r>
              <m:rPr>
                <m:sty m:val="p"/>
              </m:rPr>
              <w:rPr>
                <w:rFonts w:ascii="Cambria Math" w:hAnsi="Cambria Math" w:cs="Arial"/>
                <w:sz w:val="21"/>
                <w:szCs w:val="21"/>
                <w:lang w:val="en-GB" w:eastAsia="zh-CN"/>
              </w:rPr>
              <m:t>2</m:t>
            </m:r>
          </m:sub>
        </m:sSub>
      </m:oMath>
      <w:r w:rsidRPr="00D16AB0">
        <w:rPr>
          <w:rFonts w:ascii="Arial" w:hAnsi="Arial" w:cs="Arial"/>
          <w:sz w:val="21"/>
          <w:szCs w:val="21"/>
          <w:lang w:val="en-GB" w:eastAsia="zh-CN"/>
        </w:rPr>
        <w:t>).</w:t>
      </w:r>
      <w:bookmarkEnd w:id="90"/>
    </w:p>
    <w:p w14:paraId="7E0ECE72" w14:textId="279922BC" w:rsidR="004C3B7A" w:rsidRPr="00D16AB0" w:rsidRDefault="004C3B7A" w:rsidP="00C9242A">
      <w:pPr>
        <w:pStyle w:val="SMText"/>
        <w:spacing w:beforeLines="50" w:before="120" w:afterLines="50" w:after="120" w:line="276" w:lineRule="auto"/>
        <w:ind w:firstLine="0"/>
        <w:rPr>
          <w:rFonts w:ascii="Arial" w:hAnsi="Arial" w:cs="Arial"/>
          <w:sz w:val="21"/>
          <w:szCs w:val="21"/>
          <w:lang w:val="en-GB" w:eastAsia="zh-CN"/>
        </w:rPr>
      </w:pPr>
      <w:bookmarkStart w:id="91" w:name="_Toc214984876"/>
      <w:r w:rsidRPr="00D16AB0">
        <w:rPr>
          <w:rFonts w:ascii="Arial" w:hAnsi="Arial" w:cs="Arial"/>
          <w:sz w:val="21"/>
          <w:szCs w:val="21"/>
          <w:lang w:val="en-GB" w:eastAsia="zh-CN"/>
        </w:rPr>
        <w:t>In the current regime,</w:t>
      </w:r>
      <w:bookmarkEnd w:id="91"/>
    </w:p>
    <w:bookmarkStart w:id="92" w:name="_Toc214984877"/>
    <w:p w14:paraId="1912EF84" w14:textId="77777777" w:rsidR="004C3B7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m:rPr>
                      <m:sty m:val="bi"/>
                    </m:rPr>
                    <w:rPr>
                      <w:rFonts w:ascii="Cambria Math" w:hAnsi="Cambria Math" w:cs="Arial"/>
                      <w:sz w:val="21"/>
                      <w:szCs w:val="21"/>
                      <w:lang w:val="en-GB" w:eastAsia="zh-CN"/>
                    </w:rPr>
                    <m:t>CF</m:t>
                  </m:r>
                </m:num>
                <m:den>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m:rPr>
                      <m:sty m:val="bi"/>
                    </m:rPr>
                    <w:rPr>
                      <w:rFonts w:ascii="Cambria Math" w:hAnsi="Cambria Math" w:cs="Arial"/>
                      <w:sz w:val="21"/>
                      <w:szCs w:val="21"/>
                      <w:lang w:val="en-GB" w:eastAsia="zh-CN"/>
                    </w:rPr>
                    <m:t>CF</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e>
                      </m:d>
                    </m:e>
                    <m:sup>
                      <m:r>
                        <m:rPr>
                          <m:sty m:val="p"/>
                        </m:rPr>
                        <w:rPr>
                          <w:rFonts w:ascii="Cambria Math" w:hAnsi="Cambria Math" w:cs="Arial"/>
                          <w:sz w:val="21"/>
                          <w:szCs w:val="21"/>
                          <w:lang w:val="en-GB" w:eastAsia="zh-CN"/>
                        </w:rPr>
                        <m:t>2</m:t>
                      </m:r>
                    </m:sup>
                  </m:sSup>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m:rPr>
                      <m:sty m:val="bi"/>
                    </m:rPr>
                    <w:rPr>
                      <w:rFonts w:ascii="Cambria Math" w:hAnsi="Cambria Math" w:cs="Arial"/>
                      <w:sz w:val="21"/>
                      <w:szCs w:val="21"/>
                      <w:lang w:val="en-GB" w:eastAsia="zh-CN"/>
                    </w:rPr>
                    <m:t>CF</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e>
                      </m:d>
                    </m:e>
                    <m:sup>
                      <m:r>
                        <w:rPr>
                          <w:rFonts w:ascii="Cambria Math" w:hAnsi="Cambria Math" w:cs="Arial"/>
                          <w:sz w:val="21"/>
                          <w:szCs w:val="21"/>
                          <w:lang w:val="en-GB" w:eastAsia="zh-CN"/>
                        </w:rPr>
                        <m:t>T</m:t>
                      </m:r>
                    </m:sup>
                  </m:sSup>
                </m:den>
              </m:f>
              <m:r>
                <m:rPr>
                  <m:sty m:val="p"/>
                </m:rPr>
                <w:rPr>
                  <w:rFonts w:ascii="Cambria Math" w:hAnsi="Cambria Math" w:cs="Arial"/>
                  <w:sz w:val="21"/>
                  <w:szCs w:val="21"/>
                  <w:lang w:val="en-GB" w:eastAsia="zh-CN"/>
                </w:rPr>
                <m:t>=0#</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9</m:t>
                  </m:r>
                </m:e>
              </m:d>
            </m:e>
          </m:eqArr>
        </m:oMath>
      </m:oMathPara>
      <w:bookmarkEnd w:id="92"/>
    </w:p>
    <w:bookmarkStart w:id="93" w:name="_Toc214984878"/>
    <w:p w14:paraId="067B576D" w14:textId="77777777" w:rsidR="004C3B7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CR</m:t>
                  </m:r>
                </m:num>
                <m:den>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R</m:t>
                      </m:r>
                    </m:e>
                    <m:sub>
                      <m:r>
                        <m:rPr>
                          <m:sty m:val="b"/>
                        </m:rPr>
                        <w:rPr>
                          <w:rFonts w:ascii="Cambria Math" w:hAnsi="Cambria Math" w:cs="Arial"/>
                          <w:sz w:val="21"/>
                          <w:szCs w:val="21"/>
                          <w:lang w:val="en-GB" w:eastAsia="zh-CN"/>
                        </w:rPr>
                        <m:t>1</m:t>
                      </m:r>
                    </m:sub>
                  </m:sSub>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CR</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R</m:t>
                              </m:r>
                            </m:e>
                            <m:sub>
                              <m:r>
                                <m:rPr>
                                  <m:sty m:val="b"/>
                                </m:rPr>
                                <w:rPr>
                                  <w:rFonts w:ascii="Cambria Math" w:hAnsi="Cambria Math" w:cs="Arial"/>
                                  <w:sz w:val="21"/>
                                  <w:szCs w:val="21"/>
                                  <w:lang w:val="en-GB" w:eastAsia="zh-CN"/>
                                </w:rPr>
                                <m:t>1</m:t>
                              </m:r>
                            </m:sub>
                          </m:sSub>
                        </m:e>
                      </m:d>
                    </m:e>
                    <m:sup>
                      <m:r>
                        <m:rPr>
                          <m:sty m:val="p"/>
                        </m:rPr>
                        <w:rPr>
                          <w:rFonts w:ascii="Cambria Math" w:hAnsi="Cambria Math" w:cs="Arial"/>
                          <w:sz w:val="21"/>
                          <w:szCs w:val="21"/>
                          <w:lang w:val="en-GB" w:eastAsia="zh-CN"/>
                        </w:rPr>
                        <m:t>2</m:t>
                      </m:r>
                    </m:sup>
                  </m:sSup>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CR</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R</m:t>
                              </m:r>
                            </m:e>
                            <m:sub>
                              <m:r>
                                <m:rPr>
                                  <m:sty m:val="b"/>
                                </m:rPr>
                                <w:rPr>
                                  <w:rFonts w:ascii="Cambria Math" w:hAnsi="Cambria Math" w:cs="Arial"/>
                                  <w:sz w:val="21"/>
                                  <w:szCs w:val="21"/>
                                  <w:lang w:val="en-GB" w:eastAsia="zh-CN"/>
                                </w:rPr>
                                <m:t>1</m:t>
                              </m:r>
                            </m:sub>
                          </m:sSub>
                        </m:e>
                      </m:d>
                    </m:e>
                    <m:sup>
                      <m:r>
                        <w:rPr>
                          <w:rFonts w:ascii="Cambria Math" w:hAnsi="Cambria Math" w:cs="Arial"/>
                          <w:sz w:val="21"/>
                          <w:szCs w:val="21"/>
                          <w:lang w:val="en-GB" w:eastAsia="zh-CN"/>
                        </w:rPr>
                        <m:t>T</m:t>
                      </m:r>
                    </m:sup>
                  </m:sSup>
                </m:den>
              </m:f>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10</m:t>
                  </m:r>
                </m:e>
              </m:d>
            </m:e>
          </m:eqArr>
        </m:oMath>
      </m:oMathPara>
      <w:bookmarkEnd w:id="93"/>
    </w:p>
    <w:bookmarkStart w:id="94" w:name="_Toc214984879"/>
    <w:p w14:paraId="5FF8199F" w14:textId="7DF90FE6" w:rsidR="009452F7"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F</m:t>
                  </m:r>
                </m:e>
                <m:sub>
                  <m:r>
                    <m:rPr>
                      <m:sty m:val="b"/>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11</m:t>
                  </m:r>
                </m:e>
              </m:d>
            </m:e>
          </m:eqArr>
        </m:oMath>
      </m:oMathPara>
      <w:bookmarkEnd w:id="94"/>
    </w:p>
    <w:p w14:paraId="6F7D83A1" w14:textId="55834B0B" w:rsidR="004A0CE0" w:rsidRPr="00D16AB0" w:rsidRDefault="004C3B7A" w:rsidP="00C9242A">
      <w:pPr>
        <w:pStyle w:val="SMText"/>
        <w:spacing w:beforeLines="50" w:before="120" w:afterLines="50" w:after="120" w:line="276" w:lineRule="auto"/>
        <w:ind w:firstLine="0"/>
        <w:rPr>
          <w:rFonts w:ascii="Arial" w:hAnsi="Arial" w:cs="Arial"/>
          <w:sz w:val="21"/>
          <w:szCs w:val="21"/>
          <w:lang w:val="en-GB" w:eastAsia="zh-CN"/>
        </w:rPr>
      </w:pPr>
      <w:bookmarkStart w:id="95" w:name="_Toc214984880"/>
      <w:r w:rsidRPr="00D16AB0">
        <w:rPr>
          <w:rFonts w:ascii="Arial" w:hAnsi="Arial" w:cs="Arial"/>
          <w:sz w:val="21"/>
          <w:szCs w:val="21"/>
          <w:lang w:val="en-GB" w:eastAsia="zh-CN"/>
        </w:rPr>
        <w:t>In the proposed regime, for each verified tonne of CO2, the regulator applies a crediting rate (</w:t>
      </w:r>
      <m:oMath>
        <m:r>
          <w:rPr>
            <w:rFonts w:ascii="Cambria Math" w:hAnsi="Cambria Math" w:cs="Arial"/>
            <w:sz w:val="21"/>
            <w:szCs w:val="21"/>
            <w:lang w:val="en-GB" w:eastAsia="zh-CN"/>
          </w:rPr>
          <m:t>b</m:t>
        </m:r>
      </m:oMath>
      <w:r w:rsidRPr="00D16AB0">
        <w:rPr>
          <w:rFonts w:ascii="Arial" w:hAnsi="Arial" w:cs="Arial"/>
          <w:sz w:val="21"/>
          <w:szCs w:val="21"/>
          <w:lang w:val="en-GB" w:eastAsia="zh-CN"/>
        </w:rPr>
        <w:t xml:space="preserve">) by only issuing </w:t>
      </w:r>
      <w:bookmarkStart w:id="96" w:name="OLE_LINK7"/>
      <w:bookmarkStart w:id="97" w:name="OLE_LINK8"/>
      <w:r w:rsidRPr="00D16AB0">
        <w:rPr>
          <w:rFonts w:ascii="Arial" w:hAnsi="Arial" w:cs="Arial"/>
          <w:sz w:val="21"/>
          <w:szCs w:val="21"/>
          <w:lang w:val="en-GB" w:eastAsia="zh-CN"/>
        </w:rPr>
        <w:t>a fraction of offset credits</w:t>
      </w:r>
      <w:bookmarkEnd w:id="96"/>
      <w:bookmarkEnd w:id="97"/>
      <w:r w:rsidRPr="00D16AB0">
        <w:rPr>
          <w:rFonts w:ascii="Arial" w:hAnsi="Arial" w:cs="Arial"/>
          <w:sz w:val="21"/>
          <w:szCs w:val="21"/>
          <w:lang w:val="en-GB" w:eastAsia="zh-CN"/>
        </w:rPr>
        <w:t xml:space="preserve"> and partially subsidizing the project; then project developers receive a proportion of offset credit revenue after discount, </w:t>
      </w:r>
      <m:oMath>
        <m:r>
          <w:rPr>
            <w:rFonts w:ascii="Cambria Math" w:hAnsi="Cambria Math" w:cs="Arial"/>
            <w:sz w:val="21"/>
            <w:szCs w:val="21"/>
            <w:lang w:val="en-GB" w:eastAsia="zh-CN"/>
          </w:rPr>
          <m:t>CR</m:t>
        </m:r>
        <m:r>
          <m:rPr>
            <m:sty m:val="p"/>
          </m:rPr>
          <w:rPr>
            <w:rFonts w:ascii="Cambria Math" w:hAnsi="Cambria Math" w:cs="Arial"/>
            <w:sz w:val="21"/>
            <w:szCs w:val="21"/>
            <w:lang w:val="en-GB" w:eastAsia="zh-CN"/>
          </w:rPr>
          <m:t>×</m:t>
        </m:r>
        <m:r>
          <w:rPr>
            <w:rFonts w:ascii="Cambria Math" w:hAnsi="Cambria Math" w:cs="Arial"/>
            <w:sz w:val="21"/>
            <w:szCs w:val="21"/>
            <w:lang w:val="en-GB" w:eastAsia="zh-CN"/>
          </w:rPr>
          <m:t>b</m:t>
        </m:r>
      </m:oMath>
      <w:r w:rsidRPr="00D16AB0">
        <w:rPr>
          <w:rFonts w:ascii="Arial" w:hAnsi="Arial" w:cs="Arial"/>
          <w:sz w:val="21"/>
          <w:szCs w:val="21"/>
          <w:lang w:val="en-GB" w:eastAsia="zh-CN"/>
        </w:rPr>
        <w:t xml:space="preserve"> and the actual increase in IRR due to offsets,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F</m:t>
            </m:r>
          </m:e>
          <m:sub>
            <m:r>
              <m:rPr>
                <m:sty m:val="p"/>
              </m:rPr>
              <w:rPr>
                <w:rFonts w:ascii="Cambria Math" w:hAnsi="Cambria Math" w:cs="Arial"/>
                <w:sz w:val="21"/>
                <w:szCs w:val="21"/>
                <w:lang w:val="en-GB" w:eastAsia="zh-CN"/>
              </w:rPr>
              <m:t>2</m:t>
            </m:r>
          </m:sub>
        </m:sSub>
      </m:oMath>
      <w:r w:rsidRPr="00D16AB0">
        <w:rPr>
          <w:rFonts w:ascii="Arial" w:hAnsi="Arial" w:cs="Arial"/>
          <w:sz w:val="21"/>
          <w:szCs w:val="21"/>
          <w:lang w:val="en-GB" w:eastAsia="zh-CN"/>
        </w:rPr>
        <w:t xml:space="preserve"> will be smaller in the proposed regime.</w:t>
      </w:r>
      <w:bookmarkEnd w:id="95"/>
    </w:p>
    <w:bookmarkStart w:id="98" w:name="_Toc214984881"/>
    <w:p w14:paraId="244B4C15" w14:textId="77777777" w:rsidR="004C3B7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CR</m:t>
                  </m:r>
                  <m:r>
                    <m:rPr>
                      <m:sty m:val="p"/>
                    </m:rPr>
                    <w:rPr>
                      <w:rFonts w:ascii="Cambria Math" w:hAnsi="Cambria Math" w:cs="Arial"/>
                      <w:sz w:val="21"/>
                      <w:szCs w:val="21"/>
                      <w:lang w:val="en-GB" w:eastAsia="zh-CN"/>
                    </w:rPr>
                    <m:t>×</m:t>
                  </m:r>
                  <m:r>
                    <w:rPr>
                      <w:rFonts w:ascii="Cambria Math" w:hAnsi="Cambria Math" w:cs="Arial"/>
                      <w:sz w:val="21"/>
                      <w:szCs w:val="21"/>
                      <w:lang w:val="en-GB" w:eastAsia="zh-CN"/>
                    </w:rPr>
                    <m:t>b</m:t>
                  </m:r>
                </m:num>
                <m:den>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R</m:t>
                      </m:r>
                    </m:e>
                    <m:sub>
                      <m:r>
                        <m:rPr>
                          <m:sty m:val="b"/>
                        </m:rPr>
                        <w:rPr>
                          <w:rFonts w:ascii="Cambria Math" w:hAnsi="Cambria Math" w:cs="Arial"/>
                          <w:sz w:val="21"/>
                          <w:szCs w:val="21"/>
                          <w:lang w:val="en-GB" w:eastAsia="zh-CN"/>
                        </w:rPr>
                        <m:t>2</m:t>
                      </m:r>
                    </m:sub>
                  </m:sSub>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CR</m:t>
                  </m:r>
                  <m:r>
                    <m:rPr>
                      <m:sty m:val="p"/>
                    </m:rPr>
                    <w:rPr>
                      <w:rFonts w:ascii="Cambria Math" w:hAnsi="Cambria Math" w:cs="Arial"/>
                      <w:sz w:val="21"/>
                      <w:szCs w:val="21"/>
                      <w:lang w:val="en-GB" w:eastAsia="zh-CN"/>
                    </w:rPr>
                    <m:t>×</m:t>
                  </m:r>
                  <m:r>
                    <w:rPr>
                      <w:rFonts w:ascii="Cambria Math" w:hAnsi="Cambria Math" w:cs="Arial"/>
                      <w:sz w:val="21"/>
                      <w:szCs w:val="21"/>
                      <w:lang w:val="en-GB" w:eastAsia="zh-CN"/>
                    </w:rPr>
                    <m:t>b</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R</m:t>
                              </m:r>
                            </m:e>
                            <m:sub>
                              <m:r>
                                <m:rPr>
                                  <m:sty m:val="b"/>
                                </m:rPr>
                                <w:rPr>
                                  <w:rFonts w:ascii="Cambria Math" w:hAnsi="Cambria Math" w:cs="Arial"/>
                                  <w:sz w:val="21"/>
                                  <w:szCs w:val="21"/>
                                  <w:lang w:val="en-GB" w:eastAsia="zh-CN"/>
                                </w:rPr>
                                <m:t>2</m:t>
                              </m:r>
                            </m:sub>
                          </m:sSub>
                        </m:e>
                      </m:d>
                    </m:e>
                    <m:sup>
                      <m:r>
                        <m:rPr>
                          <m:sty m:val="p"/>
                        </m:rPr>
                        <w:rPr>
                          <w:rFonts w:ascii="Cambria Math" w:hAnsi="Cambria Math" w:cs="Arial"/>
                          <w:sz w:val="21"/>
                          <w:szCs w:val="21"/>
                          <w:lang w:val="en-GB" w:eastAsia="zh-CN"/>
                        </w:rPr>
                        <m:t>2</m:t>
                      </m:r>
                    </m:sup>
                  </m:sSup>
                </m:den>
              </m:f>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CR</m:t>
                  </m:r>
                  <m:r>
                    <m:rPr>
                      <m:sty m:val="p"/>
                    </m:rPr>
                    <w:rPr>
                      <w:rFonts w:ascii="Cambria Math" w:hAnsi="Cambria Math" w:cs="Arial"/>
                      <w:sz w:val="21"/>
                      <w:szCs w:val="21"/>
                      <w:lang w:val="en-GB" w:eastAsia="zh-CN"/>
                    </w:rPr>
                    <m:t>×</m:t>
                  </m:r>
                  <m:r>
                    <w:rPr>
                      <w:rFonts w:ascii="Cambria Math" w:hAnsi="Cambria Math" w:cs="Arial"/>
                      <w:sz w:val="21"/>
                      <w:szCs w:val="21"/>
                      <w:lang w:val="en-GB" w:eastAsia="zh-CN"/>
                    </w:rPr>
                    <m:t>b</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R</m:t>
                              </m:r>
                            </m:e>
                            <m:sub>
                              <m:r>
                                <m:rPr>
                                  <m:sty m:val="b"/>
                                </m:rPr>
                                <w:rPr>
                                  <w:rFonts w:ascii="Cambria Math" w:hAnsi="Cambria Math" w:cs="Arial"/>
                                  <w:sz w:val="21"/>
                                  <w:szCs w:val="21"/>
                                  <w:lang w:val="en-GB" w:eastAsia="zh-CN"/>
                                </w:rPr>
                                <m:t>2</m:t>
                              </m:r>
                            </m:sub>
                          </m:sSub>
                        </m:e>
                      </m:d>
                    </m:e>
                    <m:sup>
                      <m:r>
                        <w:rPr>
                          <w:rFonts w:ascii="Cambria Math" w:hAnsi="Cambria Math" w:cs="Arial"/>
                          <w:sz w:val="21"/>
                          <w:szCs w:val="21"/>
                          <w:lang w:val="en-GB" w:eastAsia="zh-CN"/>
                        </w:rPr>
                        <m:t>T</m:t>
                      </m:r>
                    </m:sup>
                  </m:sSup>
                </m:den>
              </m:f>
              <m:r>
                <m:rPr>
                  <m:sty m:val="p"/>
                </m:rPr>
                <w:rPr>
                  <w:rFonts w:ascii="Cambria Math" w:hAnsi="Cambria Math" w:cs="Arial"/>
                  <w:sz w:val="21"/>
                  <w:szCs w:val="21"/>
                  <w:lang w:val="en-GB" w:eastAsia="zh-CN"/>
                </w:rPr>
                <m:t>=0#</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12</m:t>
                  </m:r>
                </m:e>
              </m:d>
            </m:e>
          </m:eqArr>
        </m:oMath>
      </m:oMathPara>
      <w:bookmarkEnd w:id="98"/>
    </w:p>
    <w:bookmarkStart w:id="99" w:name="_Toc214984882"/>
    <w:p w14:paraId="77B28CC7" w14:textId="77777777" w:rsidR="004C3B7A" w:rsidRPr="00D16AB0" w:rsidRDefault="00000000" w:rsidP="00C9242A">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m:rPr>
                      <m:sty m:val="bi"/>
                    </m:rPr>
                    <w:rPr>
                      <w:rFonts w:ascii="Cambria Math" w:hAnsi="Cambria Math" w:cs="Arial"/>
                      <w:sz w:val="21"/>
                      <w:szCs w:val="21"/>
                      <w:lang w:val="en-GB" w:eastAsia="zh-CN"/>
                    </w:rPr>
                    <m:t>F</m:t>
                  </m:r>
                </m:e>
                <m:sub>
                  <m:r>
                    <m:rPr>
                      <m:sty m:val="b"/>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13</m:t>
                  </m:r>
                </m:e>
              </m:d>
            </m:e>
          </m:eqArr>
        </m:oMath>
      </m:oMathPara>
      <w:bookmarkEnd w:id="99"/>
    </w:p>
    <w:p w14:paraId="63FD45E5" w14:textId="56E3D939" w:rsidR="00D77333" w:rsidRPr="00D16AB0" w:rsidRDefault="004C3B7A" w:rsidP="00C9242A">
      <w:pPr>
        <w:pStyle w:val="SMText"/>
        <w:spacing w:beforeLines="50" w:before="120" w:afterLines="50" w:after="120" w:line="276" w:lineRule="auto"/>
        <w:ind w:firstLine="0"/>
        <w:rPr>
          <w:rFonts w:ascii="Arial" w:hAnsi="Arial" w:cs="Arial"/>
          <w:sz w:val="21"/>
          <w:szCs w:val="21"/>
          <w:lang w:val="en-GB" w:eastAsia="zh-CN"/>
        </w:rPr>
      </w:pPr>
      <w:bookmarkStart w:id="100" w:name="_Toc214984883"/>
      <w:r w:rsidRPr="00D16AB0">
        <w:rPr>
          <w:rFonts w:ascii="Arial" w:hAnsi="Arial" w:cs="Arial"/>
          <w:sz w:val="21"/>
          <w:szCs w:val="21"/>
          <w:lang w:val="en-GB" w:eastAsia="zh-CN"/>
        </w:rPr>
        <w:t xml:space="preserve">where the crediting rate, </w:t>
      </w:r>
      <m:oMath>
        <m:r>
          <w:rPr>
            <w:rFonts w:ascii="Cambria Math" w:hAnsi="Cambria Math" w:cs="Arial"/>
            <w:sz w:val="21"/>
            <w:szCs w:val="21"/>
            <w:lang w:val="en-GB" w:eastAsia="zh-CN"/>
          </w:rPr>
          <m:t>b</m:t>
        </m:r>
      </m:oMath>
      <w:r w:rsidRPr="00D16AB0">
        <w:rPr>
          <w:rFonts w:ascii="Arial" w:hAnsi="Arial" w:cs="Arial"/>
          <w:sz w:val="21"/>
          <w:szCs w:val="21"/>
          <w:lang w:val="en-GB" w:eastAsia="zh-CN"/>
        </w:rPr>
        <w:t xml:space="preserve">, practically, is positively correlated to the proportion of additional offsets,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d</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The higher non-additionality risk (smaller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d</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under the country-sector-specific context, the lower crediting rate (smaller </w:t>
      </w:r>
      <m:oMath>
        <m:r>
          <w:rPr>
            <w:rFonts w:ascii="Cambria Math" w:hAnsi="Cambria Math" w:cs="Arial"/>
            <w:sz w:val="21"/>
            <w:szCs w:val="21"/>
            <w:lang w:val="en-GB" w:eastAsia="zh-CN"/>
          </w:rPr>
          <m:t>b</m:t>
        </m:r>
      </m:oMath>
      <w:r w:rsidRPr="00D16AB0">
        <w:rPr>
          <w:rFonts w:ascii="Arial" w:hAnsi="Arial" w:cs="Arial"/>
          <w:sz w:val="21"/>
          <w:szCs w:val="21"/>
          <w:lang w:val="en-GB" w:eastAsia="zh-CN"/>
        </w:rPr>
        <w:t>) applied to these projects with larger discounts.</w:t>
      </w:r>
      <w:bookmarkEnd w:id="100"/>
    </w:p>
    <w:p w14:paraId="16B1ED71" w14:textId="3E3CEE57" w:rsidR="00FC63AB" w:rsidRDefault="004C3B7A" w:rsidP="00C9242A">
      <w:pPr>
        <w:pStyle w:val="SMText"/>
        <w:spacing w:beforeLines="50" w:before="120" w:afterLines="50" w:after="120" w:line="276" w:lineRule="auto"/>
        <w:ind w:firstLine="0"/>
        <w:rPr>
          <w:rFonts w:ascii="Arial" w:hAnsi="Arial" w:cs="Arial"/>
          <w:sz w:val="21"/>
          <w:szCs w:val="21"/>
          <w:lang w:val="en-GB" w:eastAsia="zh-CN"/>
        </w:rPr>
      </w:pPr>
      <w:bookmarkStart w:id="101" w:name="_Toc214984884"/>
      <w:r w:rsidRPr="00D16AB0">
        <w:rPr>
          <w:rFonts w:ascii="Arial" w:hAnsi="Arial" w:cs="Arial"/>
          <w:sz w:val="21"/>
          <w:szCs w:val="21"/>
          <w:lang w:val="en-GB" w:eastAsia="zh-CN"/>
        </w:rPr>
        <w:t xml:space="preserve">Following the four steps, the constructed synthetic project pool enables us to calibrate key parameters on realistic data and then model the decisions by project developers and the regulator endogenously as a function of project characteristics and simulate possible outcomes for the aggregate set of projects N, in terms of the regulatory system (current vs proposed additionality regime), the behaviour of decision makers (e.g., developers’ hurdle rate, the bias/stringency of the additionality test) and project characteristics (e.g. profitability with and without </w:t>
      </w:r>
      <w:r w:rsidR="00FA0113">
        <w:rPr>
          <w:rFonts w:ascii="Arial" w:hAnsi="Arial" w:cs="Arial" w:hint="eastAsia"/>
          <w:sz w:val="21"/>
          <w:szCs w:val="21"/>
          <w:lang w:val="en-GB" w:eastAsia="zh-CN"/>
        </w:rPr>
        <w:t>credits</w:t>
      </w:r>
      <w:r w:rsidRPr="00D16AB0">
        <w:rPr>
          <w:rFonts w:ascii="Arial" w:hAnsi="Arial" w:cs="Arial"/>
          <w:sz w:val="21"/>
          <w:szCs w:val="21"/>
          <w:lang w:val="en-GB" w:eastAsia="zh-CN"/>
        </w:rPr>
        <w:t>).</w:t>
      </w:r>
      <w:bookmarkEnd w:id="101"/>
    </w:p>
    <w:p w14:paraId="0CF26A6E" w14:textId="77777777" w:rsidR="004F1365" w:rsidRPr="00D16AB0" w:rsidRDefault="004F1365" w:rsidP="00C9242A">
      <w:pPr>
        <w:pStyle w:val="SMText"/>
        <w:spacing w:beforeLines="50" w:before="120" w:afterLines="50" w:after="120" w:line="276" w:lineRule="auto"/>
        <w:ind w:firstLine="0"/>
        <w:rPr>
          <w:rFonts w:ascii="Arial" w:hAnsi="Arial" w:cs="Arial"/>
          <w:sz w:val="21"/>
          <w:szCs w:val="21"/>
          <w:lang w:val="en-GB" w:eastAsia="zh-CN"/>
        </w:rPr>
      </w:pPr>
    </w:p>
    <w:p w14:paraId="1C80C79D" w14:textId="49874F3D" w:rsidR="00DB1C5C" w:rsidRPr="00D16AB0" w:rsidRDefault="00FC0205"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102" w:name="_Toc214984885"/>
      <w:bookmarkStart w:id="103" w:name="_Toc214985827"/>
      <w:bookmarkStart w:id="104" w:name="_Toc214986969"/>
      <w:r w:rsidRPr="00D16AB0">
        <w:rPr>
          <w:rFonts w:ascii="Arial" w:hAnsi="Arial" w:cs="Arial"/>
          <w:b/>
          <w:bCs/>
          <w:sz w:val="21"/>
          <w:szCs w:val="21"/>
          <w:u w:val="none"/>
          <w:lang w:val="en-GB"/>
        </w:rPr>
        <w:t>Decisions by project developers</w:t>
      </w:r>
      <w:bookmarkEnd w:id="102"/>
      <w:bookmarkEnd w:id="103"/>
      <w:bookmarkEnd w:id="104"/>
    </w:p>
    <w:p w14:paraId="42142790" w14:textId="7E11447B" w:rsidR="00A11117"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05" w:name="_Toc214984886"/>
      <w:r w:rsidRPr="00D16AB0">
        <w:rPr>
          <w:rFonts w:ascii="Arial" w:hAnsi="Arial" w:cs="Arial"/>
          <w:sz w:val="21"/>
          <w:szCs w:val="21"/>
          <w:lang w:val="en-GB" w:eastAsia="zh-CN"/>
        </w:rPr>
        <w:t xml:space="preserve">We assume project developers maximise profit. They are guided by a payoff function, </w:t>
      </w:r>
      <m:oMath>
        <m:r>
          <w:rPr>
            <w:rFonts w:ascii="Cambria Math" w:hAnsi="Cambria Math" w:cs="Arial"/>
            <w:sz w:val="21"/>
            <w:szCs w:val="21"/>
            <w:lang w:val="en-GB" w:eastAsia="zh-CN"/>
          </w:rPr>
          <m:t>π</m:t>
        </m:r>
      </m:oMath>
      <w:r w:rsidRPr="00D16AB0">
        <w:rPr>
          <w:rFonts w:ascii="Arial" w:hAnsi="Arial" w:cs="Arial"/>
          <w:sz w:val="21"/>
          <w:szCs w:val="21"/>
          <w:lang w:val="en-GB" w:eastAsia="zh-CN"/>
        </w:rPr>
        <w:t xml:space="preserve">, which reflects either the current rules or the proposed new rules. For each candidate project, the developer has to make two decisions under the two regimes: (1) whether to pursue the project </w:t>
      </w:r>
      <m:oMath>
        <m:sSub>
          <m:sSubPr>
            <m:ctrlPr>
              <w:rPr>
                <w:rFonts w:ascii="Cambria Math" w:hAnsi="Cambria Math" w:cs="Arial"/>
                <w:sz w:val="21"/>
                <w:szCs w:val="21"/>
                <w:lang w:val="en-GB" w:eastAsia="zh-CN"/>
              </w:rPr>
            </m:ctrlPr>
          </m:sSubPr>
          <m:e>
            <m:r>
              <m:rPr>
                <m:sty m:val="p"/>
              </m:rPr>
              <w:rPr>
                <w:rFonts w:ascii="Cambria Math" w:hAnsi="Cambria Math" w:cs="Arial"/>
                <w:sz w:val="21"/>
                <w:szCs w:val="21"/>
                <w:lang w:val="en-GB" w:eastAsia="zh-CN"/>
              </w:rPr>
              <m:t>(</m:t>
            </m:r>
            <m:r>
              <w:rPr>
                <w:rFonts w:ascii="Cambria Math" w:hAnsi="Cambria Math" w:cs="Arial"/>
                <w:sz w:val="21"/>
                <w:szCs w:val="21"/>
                <w:lang w:val="en-GB" w:eastAsia="zh-CN"/>
              </w:rPr>
              <m:t>s</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=1)</m:t>
        </m:r>
      </m:oMath>
      <w:r w:rsidRPr="00D16AB0">
        <w:rPr>
          <w:rFonts w:ascii="Arial" w:hAnsi="Arial" w:cs="Arial"/>
          <w:sz w:val="21"/>
          <w:szCs w:val="21"/>
          <w:lang w:val="en-GB" w:eastAsia="zh-CN"/>
        </w:rPr>
        <w:t xml:space="preserve"> or not </w:t>
      </w:r>
      <m:oMath>
        <m:sSub>
          <m:sSubPr>
            <m:ctrlPr>
              <w:rPr>
                <w:rFonts w:ascii="Cambria Math" w:hAnsi="Cambria Math" w:cs="Arial"/>
                <w:sz w:val="21"/>
                <w:szCs w:val="21"/>
                <w:lang w:val="en-GB" w:eastAsia="zh-CN"/>
              </w:rPr>
            </m:ctrlPr>
          </m:sSubPr>
          <m:e>
            <m:r>
              <m:rPr>
                <m:sty m:val="p"/>
              </m:rPr>
              <w:rPr>
                <w:rFonts w:ascii="Cambria Math" w:hAnsi="Cambria Math" w:cs="Arial"/>
                <w:sz w:val="21"/>
                <w:szCs w:val="21"/>
                <w:lang w:val="en-GB" w:eastAsia="zh-CN"/>
              </w:rPr>
              <m:t>(</m:t>
            </m:r>
            <m:r>
              <w:rPr>
                <w:rFonts w:ascii="Cambria Math" w:hAnsi="Cambria Math" w:cs="Arial"/>
                <w:sz w:val="21"/>
                <w:szCs w:val="21"/>
                <w:lang w:val="en-GB" w:eastAsia="zh-CN"/>
              </w:rPr>
              <m:t>s</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 xml:space="preserve">; (2) whether to apply for carbon offset status </w:t>
      </w:r>
      <m:oMath>
        <m:sSub>
          <m:sSubPr>
            <m:ctrlPr>
              <w:rPr>
                <w:rFonts w:ascii="Cambria Math" w:hAnsi="Cambria Math" w:cs="Arial"/>
                <w:sz w:val="21"/>
                <w:szCs w:val="21"/>
                <w:lang w:val="en-GB" w:eastAsia="zh-CN"/>
              </w:rPr>
            </m:ctrlPr>
          </m:sSubPr>
          <m:e>
            <m:r>
              <m:rPr>
                <m:sty m:val="p"/>
              </m:rPr>
              <w:rPr>
                <w:rFonts w:ascii="Cambria Math" w:hAnsi="Cambria Math" w:cs="Arial"/>
                <w:sz w:val="21"/>
                <w:szCs w:val="21"/>
                <w:lang w:val="en-GB" w:eastAsia="zh-CN"/>
              </w:rPr>
              <m:t>(</m:t>
            </m:r>
            <m:r>
              <w:rPr>
                <w:rFonts w:ascii="Cambria Math" w:hAnsi="Cambria Math" w:cs="Arial"/>
                <w:sz w:val="21"/>
                <w:szCs w:val="21"/>
                <w:lang w:val="en-GB" w:eastAsia="zh-CN"/>
              </w:rPr>
              <m:t>s</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=1)</m:t>
        </m:r>
      </m:oMath>
      <w:r w:rsidRPr="00D16AB0">
        <w:rPr>
          <w:rFonts w:ascii="Arial" w:hAnsi="Arial" w:cs="Arial"/>
          <w:sz w:val="21"/>
          <w:szCs w:val="21"/>
          <w:lang w:val="en-GB" w:eastAsia="zh-CN"/>
        </w:rPr>
        <w:t xml:space="preserve"> or not </w:t>
      </w:r>
      <m:oMath>
        <m:sSub>
          <m:sSubPr>
            <m:ctrlPr>
              <w:rPr>
                <w:rFonts w:ascii="Cambria Math" w:hAnsi="Cambria Math" w:cs="Arial"/>
                <w:sz w:val="21"/>
                <w:szCs w:val="21"/>
                <w:lang w:val="en-GB" w:eastAsia="zh-CN"/>
              </w:rPr>
            </m:ctrlPr>
          </m:sSubPr>
          <m:e>
            <m:r>
              <m:rPr>
                <m:sty m:val="p"/>
              </m:rPr>
              <w:rPr>
                <w:rFonts w:ascii="Cambria Math" w:hAnsi="Cambria Math" w:cs="Arial"/>
                <w:sz w:val="21"/>
                <w:szCs w:val="21"/>
                <w:lang w:val="en-GB" w:eastAsia="zh-CN"/>
              </w:rPr>
              <m:t>(</m:t>
            </m:r>
            <m:r>
              <w:rPr>
                <w:rFonts w:ascii="Cambria Math" w:hAnsi="Cambria Math" w:cs="Arial"/>
                <w:sz w:val="21"/>
                <w:szCs w:val="21"/>
                <w:lang w:val="en-GB" w:eastAsia="zh-CN"/>
              </w:rPr>
              <m:t>s</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w:t>
      </w:r>
      <w:bookmarkEnd w:id="105"/>
      <w:r w:rsidRPr="00D16AB0">
        <w:rPr>
          <w:rFonts w:ascii="Arial" w:hAnsi="Arial" w:cs="Arial"/>
          <w:sz w:val="21"/>
          <w:szCs w:val="21"/>
          <w:lang w:val="en-GB" w:eastAsia="zh-CN"/>
        </w:rPr>
        <w:t xml:space="preserve"> </w:t>
      </w:r>
    </w:p>
    <w:p w14:paraId="3B91598B" w14:textId="777D2EA6" w:rsidR="004D3B55"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06" w:name="_Toc214984887"/>
      <w:r w:rsidRPr="00D16AB0">
        <w:rPr>
          <w:rFonts w:ascii="Arial" w:hAnsi="Arial" w:cs="Arial"/>
          <w:sz w:val="21"/>
          <w:szCs w:val="21"/>
          <w:lang w:val="en-GB" w:eastAsia="zh-CN"/>
        </w:rPr>
        <w:t xml:space="preserve">Importantly, project developers are required to rigorously apply a relevant methodology to estimate their carbon emission reduction and prepare their PDDs to go through the development and validation stages. When entering the additionality test at the registration stage, the developmental fee,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d</m:t>
            </m:r>
          </m:sub>
        </m:sSub>
      </m:oMath>
      <w:r w:rsidRPr="00D16AB0">
        <w:rPr>
          <w:rFonts w:ascii="Arial" w:hAnsi="Arial" w:cs="Arial"/>
          <w:sz w:val="21"/>
          <w:szCs w:val="21"/>
          <w:lang w:val="en-GB" w:eastAsia="zh-CN"/>
        </w:rPr>
        <w:t xml:space="preserve"> and the validation fee,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v</m:t>
            </m:r>
          </m:sub>
        </m:sSub>
      </m:oMath>
      <w:r w:rsidRPr="00D16AB0">
        <w:rPr>
          <w:rFonts w:ascii="Arial" w:hAnsi="Arial" w:cs="Arial"/>
          <w:sz w:val="21"/>
          <w:szCs w:val="21"/>
          <w:lang w:val="en-GB" w:eastAsia="zh-CN"/>
        </w:rPr>
        <w:t xml:space="preserve"> are already sunk costs. The sunk cost, </w:t>
      </w:r>
      <m:oMath>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c</m:t>
            </m:r>
          </m:e>
        </m:acc>
      </m:oMath>
      <w:r w:rsidRPr="00D16AB0">
        <w:rPr>
          <w:rFonts w:ascii="Arial" w:hAnsi="Arial" w:cs="Arial"/>
          <w:sz w:val="21"/>
          <w:szCs w:val="21"/>
          <w:lang w:val="en-GB" w:eastAsia="zh-CN"/>
        </w:rPr>
        <w:t xml:space="preserve"> is incurred regardless of the outcome of the additionality test. If the project passes the test, it can register as an offset project after paying the registration fee.</w:t>
      </w:r>
      <w:bookmarkEnd w:id="106"/>
    </w:p>
    <w:p w14:paraId="12CA7123" w14:textId="77777777" w:rsidR="00FC0205"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07" w:name="_Toc214984888"/>
      <w:r w:rsidRPr="00D16AB0">
        <w:rPr>
          <w:rFonts w:ascii="Arial" w:hAnsi="Arial" w:cs="Arial"/>
          <w:sz w:val="21"/>
          <w:szCs w:val="21"/>
          <w:lang w:val="en-GB" w:eastAsia="zh-CN"/>
        </w:rPr>
        <w:t xml:space="preserve">The registration fee schedule by CDM EB proposes the share of proceeds to cover administrative expenses as follows: (1) USD 0.10 per CER issued for the first 15,000 tonnes of CO2 equivalent for which issuance is requested in a given year; (2) USD 0.20 per CER issued for any amount in excess of 15,000 tonnes of CO2 equivalent for which issuance is requested in a given year; (3) The </w:t>
      </w:r>
      <w:r w:rsidRPr="00D16AB0">
        <w:rPr>
          <w:rFonts w:ascii="Arial" w:hAnsi="Arial" w:cs="Arial"/>
          <w:sz w:val="21"/>
          <w:szCs w:val="21"/>
          <w:lang w:val="en-GB" w:eastAsia="zh-CN"/>
        </w:rPr>
        <w:lastRenderedPageBreak/>
        <w:t>maximum registration fee payable based on this calculation shall be USD 350,000. Mathematically, the registration fee is expressed as:</w:t>
      </w:r>
      <w:bookmarkEnd w:id="107"/>
    </w:p>
    <w:bookmarkStart w:id="108" w:name="_Toc214984889"/>
    <w:p w14:paraId="1B129650" w14:textId="18737BD6" w:rsidR="00D0081E" w:rsidRPr="00D16AB0" w:rsidRDefault="00000000" w:rsidP="003B32AE">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r</m:t>
                  </m:r>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Q</m:t>
                  </m:r>
                </m:e>
              </m:d>
              <m:r>
                <m:rPr>
                  <m:sty m:val="p"/>
                </m:rPr>
                <w:rPr>
                  <w:rFonts w:ascii="Cambria Math" w:hAnsi="Cambria Math" w:cs="Arial"/>
                  <w:sz w:val="21"/>
                  <w:szCs w:val="21"/>
                  <w:lang w:val="en-GB" w:eastAsia="zh-CN"/>
                </w:rPr>
                <m:t>=</m:t>
              </m:r>
              <m:d>
                <m:dPr>
                  <m:begChr m:val="{"/>
                  <m:endChr m:val=""/>
                  <m:ctrlPr>
                    <w:rPr>
                      <w:rFonts w:ascii="Cambria Math" w:hAnsi="Cambria Math" w:cs="Arial"/>
                      <w:sz w:val="21"/>
                      <w:szCs w:val="21"/>
                      <w:lang w:val="en-GB" w:eastAsia="zh-CN"/>
                    </w:rPr>
                  </m:ctrlPr>
                </m:dPr>
                <m:e>
                  <m:eqArr>
                    <m:eqArrPr>
                      <m:ctrlPr>
                        <w:rPr>
                          <w:rFonts w:ascii="Cambria Math" w:hAnsi="Cambria Math" w:cs="Arial"/>
                          <w:sz w:val="21"/>
                          <w:szCs w:val="21"/>
                          <w:lang w:val="en-GB" w:eastAsia="zh-CN"/>
                        </w:rPr>
                      </m:ctrlPr>
                    </m:eqArrPr>
                    <m:e>
                      <m:r>
                        <w:rPr>
                          <w:rFonts w:ascii="Cambria Math" w:hAnsi="Cambria Math" w:cs="Arial"/>
                          <w:sz w:val="21"/>
                          <w:szCs w:val="21"/>
                          <w:lang w:val="en-GB" w:eastAsia="zh-CN"/>
                        </w:rPr>
                        <m:t>Q</m:t>
                      </m:r>
                      <m:r>
                        <m:rPr>
                          <m:sty m:val="p"/>
                        </m:rPr>
                        <w:rPr>
                          <w:rFonts w:ascii="Cambria Math" w:hAnsi="Cambria Math" w:cs="Arial"/>
                          <w:sz w:val="21"/>
                          <w:szCs w:val="21"/>
                          <w:lang w:val="en-GB" w:eastAsia="zh-CN"/>
                        </w:rPr>
                        <m:t>×0.1,  &amp;</m:t>
                      </m:r>
                      <m:r>
                        <w:rPr>
                          <w:rFonts w:ascii="Cambria Math" w:hAnsi="Cambria Math" w:cs="Arial"/>
                          <w:sz w:val="21"/>
                          <w:szCs w:val="21"/>
                          <w:lang w:val="en-GB" w:eastAsia="zh-CN"/>
                        </w:rPr>
                        <m:t>Q</m:t>
                      </m:r>
                      <m:r>
                        <m:rPr>
                          <m:sty m:val="p"/>
                        </m:rPr>
                        <w:rPr>
                          <w:rFonts w:ascii="Cambria Math" w:hAnsi="Cambria Math" w:cs="Arial"/>
                          <w:sz w:val="21"/>
                          <w:szCs w:val="21"/>
                          <w:lang w:val="en-GB" w:eastAsia="zh-CN"/>
                        </w:rPr>
                        <m:t>&lt;15,000</m:t>
                      </m:r>
                    </m:e>
                    <m:e>
                      <m:r>
                        <w:rPr>
                          <w:rFonts w:ascii="Cambria Math" w:hAnsi="Cambria Math" w:cs="Arial"/>
                          <w:sz w:val="21"/>
                          <w:szCs w:val="21"/>
                          <w:lang w:val="en-GB" w:eastAsia="zh-CN"/>
                        </w:rPr>
                        <m:t>min</m:t>
                      </m:r>
                      <m:r>
                        <m:rPr>
                          <m:sty m:val="p"/>
                        </m:rPr>
                        <w:rPr>
                          <w:rFonts w:ascii="Cambria Math" w:hAnsi="Cambria Math" w:cs="Arial"/>
                          <w:sz w:val="21"/>
                          <w:szCs w:val="21"/>
                          <w:lang w:val="en-GB" w:eastAsia="zh-CN"/>
                        </w:rPr>
                        <m:t>{15,000×0.1+(</m:t>
                      </m:r>
                      <m:r>
                        <w:rPr>
                          <w:rFonts w:ascii="Cambria Math" w:hAnsi="Cambria Math" w:cs="Arial"/>
                          <w:sz w:val="21"/>
                          <w:szCs w:val="21"/>
                          <w:lang w:val="en-GB" w:eastAsia="zh-CN"/>
                        </w:rPr>
                        <m:t>Q</m:t>
                      </m:r>
                      <m:r>
                        <m:rPr>
                          <m:sty m:val="p"/>
                        </m:rPr>
                        <w:rPr>
                          <w:rFonts w:ascii="Cambria Math" w:hAnsi="Cambria Math" w:cs="Arial"/>
                          <w:sz w:val="21"/>
                          <w:szCs w:val="21"/>
                          <w:lang w:val="en-GB" w:eastAsia="zh-CN"/>
                        </w:rPr>
                        <m:t>-15,000)×0.2, 350,000},  &amp;</m:t>
                      </m:r>
                      <m:r>
                        <w:rPr>
                          <w:rFonts w:ascii="Cambria Math" w:hAnsi="Cambria Math" w:cs="Arial"/>
                          <w:sz w:val="21"/>
                          <w:szCs w:val="21"/>
                          <w:lang w:val="en-GB" w:eastAsia="zh-CN"/>
                        </w:rPr>
                        <m:t>Q</m:t>
                      </m:r>
                      <m:r>
                        <m:rPr>
                          <m:sty m:val="p"/>
                        </m:rPr>
                        <w:rPr>
                          <w:rFonts w:ascii="Cambria Math" w:hAnsi="Cambria Math" w:cs="Arial"/>
                          <w:sz w:val="21"/>
                          <w:szCs w:val="21"/>
                          <w:lang w:val="en-GB" w:eastAsia="zh-CN"/>
                        </w:rPr>
                        <m:t>≥15,000</m:t>
                      </m:r>
                    </m:e>
                  </m:eqArr>
                </m:e>
              </m:d>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14</m:t>
                  </m:r>
                </m:e>
              </m:d>
            </m:e>
          </m:eqArr>
        </m:oMath>
      </m:oMathPara>
      <w:bookmarkEnd w:id="108"/>
    </w:p>
    <w:p w14:paraId="218E3956" w14:textId="22686C61" w:rsidR="00FC0205"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09" w:name="_Toc214984890"/>
      <w:r w:rsidRPr="00D16AB0">
        <w:rPr>
          <w:rFonts w:ascii="Arial" w:hAnsi="Arial" w:cs="Arial"/>
          <w:sz w:val="21"/>
          <w:szCs w:val="21"/>
          <w:lang w:val="en-GB" w:eastAsia="zh-CN"/>
        </w:rPr>
        <w:t>The difference between the two regimes is that project developers are exempt from additionality testing and only need to check whether they satisfy the eligibility criteria and are covered in the positive lists. Accordingly, they no longer pay the developmental and registration fees under the new rules due to free of project design document drafting and administrative expenses. Therefore, the costs of applying for carbon offset status under the two regimes are:</w:t>
      </w:r>
      <w:bookmarkEnd w:id="109"/>
    </w:p>
    <w:bookmarkStart w:id="110" w:name="_Toc214984891"/>
    <w:p w14:paraId="683A4F2A" w14:textId="77777777" w:rsidR="00FC0205" w:rsidRPr="00D16AB0" w:rsidRDefault="00000000" w:rsidP="003B32AE">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d</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v</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r</m:t>
                  </m:r>
                </m:sub>
              </m:sSub>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15</m:t>
                  </m:r>
                </m:e>
              </m:d>
            </m:e>
          </m:eqArr>
        </m:oMath>
      </m:oMathPara>
      <w:bookmarkEnd w:id="110"/>
    </w:p>
    <w:bookmarkStart w:id="111" w:name="_Toc214984892"/>
    <w:p w14:paraId="1FFBDD92" w14:textId="77777777" w:rsidR="00FC0205" w:rsidRPr="00D16AB0" w:rsidRDefault="00000000" w:rsidP="003B32AE">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v</m:t>
                  </m:r>
                </m:sub>
              </m:sSub>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16</m:t>
                  </m:r>
                </m:e>
              </m:d>
            </m:e>
          </m:eqArr>
        </m:oMath>
      </m:oMathPara>
      <w:bookmarkEnd w:id="111"/>
    </w:p>
    <w:p w14:paraId="1C6FDF51" w14:textId="2C000F87" w:rsidR="00FC0205"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12" w:name="_Toc214984893"/>
      <w:r w:rsidRPr="00D16AB0">
        <w:rPr>
          <w:rFonts w:ascii="Arial" w:hAnsi="Arial" w:cs="Arial"/>
          <w:sz w:val="21"/>
          <w:szCs w:val="21"/>
          <w:lang w:val="en-GB" w:eastAsia="zh-CN"/>
        </w:rPr>
        <w:t>The actual net present value (NPV) of the project without offsets under the two regimes is the same:</w:t>
      </w:r>
      <w:bookmarkEnd w:id="112"/>
    </w:p>
    <w:bookmarkStart w:id="113" w:name="_Toc214984894"/>
    <w:p w14:paraId="0AD6DF86" w14:textId="77777777" w:rsidR="00FC0205" w:rsidRPr="00D16AB0" w:rsidRDefault="00000000" w:rsidP="003B32AE">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b</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nary>
                <m:naryPr>
                  <m:chr m:val="∑"/>
                  <m:limLoc m:val="undOvr"/>
                  <m:ctrlPr>
                    <w:rPr>
                      <w:rFonts w:ascii="Cambria Math" w:hAnsi="Cambria Math" w:cs="Arial"/>
                      <w:sz w:val="21"/>
                      <w:szCs w:val="21"/>
                      <w:lang w:val="en-GB" w:eastAsia="zh-CN"/>
                    </w:rPr>
                  </m:ctrlPr>
                </m:naryPr>
                <m:sub>
                  <m:r>
                    <w:rPr>
                      <w:rFonts w:ascii="Cambria Math" w:hAnsi="Cambria Math" w:cs="Arial"/>
                      <w:sz w:val="21"/>
                      <w:szCs w:val="21"/>
                      <w:lang w:val="en-GB" w:eastAsia="zh-CN"/>
                    </w:rPr>
                    <m:t>n</m:t>
                  </m:r>
                  <m:r>
                    <m:rPr>
                      <m:sty m:val="p"/>
                    </m:rPr>
                    <w:rPr>
                      <w:rFonts w:ascii="Cambria Math" w:hAnsi="Cambria Math" w:cs="Arial"/>
                      <w:sz w:val="21"/>
                      <w:szCs w:val="21"/>
                      <w:lang w:val="en-GB" w:eastAsia="zh-CN"/>
                    </w:rPr>
                    <m:t>=1</m:t>
                  </m:r>
                </m:sub>
                <m:sup>
                  <m:r>
                    <w:rPr>
                      <w:rFonts w:ascii="Cambria Math" w:hAnsi="Cambria Math" w:cs="Arial"/>
                      <w:sz w:val="21"/>
                      <w:szCs w:val="21"/>
                      <w:lang w:val="en-GB" w:eastAsia="zh-CN"/>
                    </w:rPr>
                    <m:t>T</m:t>
                  </m:r>
                </m:sup>
                <m:e>
                  <m:f>
                    <m:fPr>
                      <m:ctrlPr>
                        <w:rPr>
                          <w:rFonts w:ascii="Cambria Math" w:hAnsi="Cambria Math" w:cs="Arial"/>
                          <w:sz w:val="21"/>
                          <w:szCs w:val="21"/>
                          <w:lang w:val="en-GB" w:eastAsia="zh-CN"/>
                        </w:rPr>
                      </m:ctrlPr>
                    </m:fPr>
                    <m:num>
                      <m:r>
                        <w:rPr>
                          <w:rFonts w:ascii="Cambria Math" w:hAnsi="Cambria Math" w:cs="Arial"/>
                          <w:sz w:val="21"/>
                          <w:szCs w:val="21"/>
                          <w:lang w:val="en-GB" w:eastAsia="zh-CN"/>
                        </w:rPr>
                        <m:t>CF</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e>
                          </m:d>
                        </m:e>
                        <m:sup>
                          <m:r>
                            <w:rPr>
                              <w:rFonts w:ascii="Cambria Math" w:hAnsi="Cambria Math" w:cs="Arial"/>
                              <w:sz w:val="21"/>
                              <w:szCs w:val="21"/>
                              <w:lang w:val="en-GB" w:eastAsia="zh-CN"/>
                            </w:rPr>
                            <m:t>n</m:t>
                          </m:r>
                        </m:sup>
                      </m:sSup>
                    </m:den>
                  </m:f>
                </m:e>
              </m:nary>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17</m:t>
                  </m:r>
                </m:e>
              </m:d>
            </m:e>
          </m:eqArr>
        </m:oMath>
      </m:oMathPara>
      <w:bookmarkEnd w:id="113"/>
    </w:p>
    <w:p w14:paraId="7049DAE3" w14:textId="08EFC7C3" w:rsidR="00FC0205"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14" w:name="_Toc214984895"/>
      <w:r w:rsidRPr="00D16AB0">
        <w:rPr>
          <w:rFonts w:ascii="Arial" w:hAnsi="Arial" w:cs="Arial"/>
          <w:sz w:val="21"/>
          <w:szCs w:val="21"/>
          <w:lang w:val="en-GB" w:eastAsia="zh-CN"/>
        </w:rPr>
        <w:t>while the present values</w:t>
      </w:r>
      <w:r w:rsidR="00985AC1" w:rsidRPr="00D16AB0">
        <w:rPr>
          <w:rFonts w:ascii="Arial" w:hAnsi="Arial" w:cs="Arial"/>
          <w:sz w:val="21"/>
          <w:szCs w:val="21"/>
          <w:lang w:val="en-GB" w:eastAsia="zh-CN"/>
        </w:rPr>
        <w:t xml:space="preserve"> (PV</w:t>
      </w:r>
      <w:r w:rsidR="009A17B1" w:rsidRPr="00D16AB0">
        <w:rPr>
          <w:rFonts w:ascii="Arial" w:hAnsi="Arial" w:cs="Arial"/>
          <w:sz w:val="21"/>
          <w:szCs w:val="21"/>
          <w:lang w:val="en-GB" w:eastAsia="zh-CN"/>
        </w:rPr>
        <w:t>s</w:t>
      </w:r>
      <w:r w:rsidR="00985AC1" w:rsidRPr="00D16AB0">
        <w:rPr>
          <w:rFonts w:ascii="Arial" w:hAnsi="Arial" w:cs="Arial"/>
          <w:sz w:val="21"/>
          <w:szCs w:val="21"/>
          <w:lang w:val="en-GB" w:eastAsia="zh-CN"/>
        </w:rPr>
        <w:t>)</w:t>
      </w:r>
      <w:r w:rsidRPr="00D16AB0">
        <w:rPr>
          <w:rFonts w:ascii="Arial" w:hAnsi="Arial" w:cs="Arial"/>
          <w:sz w:val="21"/>
          <w:szCs w:val="21"/>
          <w:lang w:val="en-GB" w:eastAsia="zh-CN"/>
        </w:rPr>
        <w:t xml:space="preserve"> of the benefit of applying for carbon offset status are different:</w:t>
      </w:r>
      <w:bookmarkEnd w:id="114"/>
    </w:p>
    <w:bookmarkStart w:id="115" w:name="_Toc214984896"/>
    <w:p w14:paraId="5C5F340B" w14:textId="77777777" w:rsidR="00FC0205" w:rsidRPr="00D16AB0" w:rsidRDefault="00000000" w:rsidP="003B32AE">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b</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nary>
                <m:naryPr>
                  <m:chr m:val="∑"/>
                  <m:limLoc m:val="undOvr"/>
                  <m:ctrlPr>
                    <w:rPr>
                      <w:rFonts w:ascii="Cambria Math" w:hAnsi="Cambria Math" w:cs="Arial"/>
                      <w:sz w:val="21"/>
                      <w:szCs w:val="21"/>
                      <w:lang w:val="en-GB" w:eastAsia="zh-CN"/>
                    </w:rPr>
                  </m:ctrlPr>
                </m:naryPr>
                <m:sub>
                  <m:r>
                    <w:rPr>
                      <w:rFonts w:ascii="Cambria Math" w:hAnsi="Cambria Math" w:cs="Arial"/>
                      <w:sz w:val="21"/>
                      <w:szCs w:val="21"/>
                      <w:lang w:val="en-GB" w:eastAsia="zh-CN"/>
                    </w:rPr>
                    <m:t>n</m:t>
                  </m:r>
                  <m:r>
                    <m:rPr>
                      <m:sty m:val="p"/>
                    </m:rPr>
                    <w:rPr>
                      <w:rFonts w:ascii="Cambria Math" w:hAnsi="Cambria Math" w:cs="Arial"/>
                      <w:sz w:val="21"/>
                      <w:szCs w:val="21"/>
                      <w:lang w:val="en-GB" w:eastAsia="zh-CN"/>
                    </w:rPr>
                    <m:t>=1</m:t>
                  </m:r>
                </m:sub>
                <m:sup>
                  <m:r>
                    <w:rPr>
                      <w:rFonts w:ascii="Cambria Math" w:hAnsi="Cambria Math" w:cs="Arial"/>
                      <w:sz w:val="21"/>
                      <w:szCs w:val="21"/>
                      <w:lang w:val="en-GB" w:eastAsia="zh-CN"/>
                    </w:rPr>
                    <m:t>T</m:t>
                  </m:r>
                </m:sup>
                <m:e>
                  <m:f>
                    <m:fPr>
                      <m:ctrlPr>
                        <w:rPr>
                          <w:rFonts w:ascii="Cambria Math" w:hAnsi="Cambria Math" w:cs="Arial"/>
                          <w:sz w:val="21"/>
                          <w:szCs w:val="21"/>
                          <w:lang w:val="en-GB" w:eastAsia="zh-CN"/>
                        </w:rPr>
                      </m:ctrlPr>
                    </m:fPr>
                    <m:num>
                      <m:r>
                        <w:rPr>
                          <w:rFonts w:ascii="Cambria Math" w:hAnsi="Cambria Math" w:cs="Arial"/>
                          <w:sz w:val="21"/>
                          <w:szCs w:val="21"/>
                          <w:lang w:val="en-GB" w:eastAsia="zh-CN"/>
                        </w:rPr>
                        <m:t>CR</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e>
                          </m:d>
                        </m:e>
                        <m:sup>
                          <m:r>
                            <w:rPr>
                              <w:rFonts w:ascii="Cambria Math" w:hAnsi="Cambria Math" w:cs="Arial"/>
                              <w:sz w:val="21"/>
                              <w:szCs w:val="21"/>
                              <w:lang w:val="en-GB" w:eastAsia="zh-CN"/>
                            </w:rPr>
                            <m:t>n</m:t>
                          </m:r>
                        </m:sup>
                      </m:sSup>
                    </m:den>
                  </m:f>
                </m:e>
              </m:nary>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18</m:t>
                  </m:r>
                </m:e>
              </m:d>
            </m:e>
          </m:eqArr>
        </m:oMath>
      </m:oMathPara>
      <w:bookmarkEnd w:id="115"/>
    </w:p>
    <w:bookmarkStart w:id="116" w:name="_Toc214984897"/>
    <w:p w14:paraId="4B5C7452" w14:textId="77777777" w:rsidR="00FC0205" w:rsidRPr="00D16AB0" w:rsidRDefault="00000000" w:rsidP="003B32AE">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b</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m:t>
              </m:r>
              <m:nary>
                <m:naryPr>
                  <m:chr m:val="∑"/>
                  <m:limLoc m:val="undOvr"/>
                  <m:ctrlPr>
                    <w:rPr>
                      <w:rFonts w:ascii="Cambria Math" w:hAnsi="Cambria Math" w:cs="Arial"/>
                      <w:sz w:val="21"/>
                      <w:szCs w:val="21"/>
                      <w:lang w:val="en-GB" w:eastAsia="zh-CN"/>
                    </w:rPr>
                  </m:ctrlPr>
                </m:naryPr>
                <m:sub>
                  <m:r>
                    <w:rPr>
                      <w:rFonts w:ascii="Cambria Math" w:hAnsi="Cambria Math" w:cs="Arial"/>
                      <w:sz w:val="21"/>
                      <w:szCs w:val="21"/>
                      <w:lang w:val="en-GB" w:eastAsia="zh-CN"/>
                    </w:rPr>
                    <m:t>n</m:t>
                  </m:r>
                  <m:r>
                    <m:rPr>
                      <m:sty m:val="p"/>
                    </m:rPr>
                    <w:rPr>
                      <w:rFonts w:ascii="Cambria Math" w:hAnsi="Cambria Math" w:cs="Arial"/>
                      <w:sz w:val="21"/>
                      <w:szCs w:val="21"/>
                      <w:lang w:val="en-GB" w:eastAsia="zh-CN"/>
                    </w:rPr>
                    <m:t>=1</m:t>
                  </m:r>
                </m:sub>
                <m:sup>
                  <m:r>
                    <w:rPr>
                      <w:rFonts w:ascii="Cambria Math" w:hAnsi="Cambria Math" w:cs="Arial"/>
                      <w:sz w:val="21"/>
                      <w:szCs w:val="21"/>
                      <w:lang w:val="en-GB" w:eastAsia="zh-CN"/>
                    </w:rPr>
                    <m:t>T</m:t>
                  </m:r>
                </m:sup>
                <m:e>
                  <m:f>
                    <m:fPr>
                      <m:ctrlPr>
                        <w:rPr>
                          <w:rFonts w:ascii="Cambria Math" w:hAnsi="Cambria Math" w:cs="Arial"/>
                          <w:sz w:val="21"/>
                          <w:szCs w:val="21"/>
                          <w:lang w:val="en-GB" w:eastAsia="zh-CN"/>
                        </w:rPr>
                      </m:ctrlPr>
                    </m:fPr>
                    <m:num>
                      <m:r>
                        <w:rPr>
                          <w:rFonts w:ascii="Cambria Math" w:hAnsi="Cambria Math" w:cs="Arial"/>
                          <w:sz w:val="21"/>
                          <w:szCs w:val="21"/>
                          <w:lang w:val="en-GB" w:eastAsia="zh-CN"/>
                        </w:rPr>
                        <m:t>CR</m:t>
                      </m:r>
                      <m:r>
                        <m:rPr>
                          <m:sty m:val="p"/>
                        </m:rPr>
                        <w:rPr>
                          <w:rFonts w:ascii="Cambria Math" w:hAnsi="Cambria Math" w:cs="Arial"/>
                          <w:sz w:val="21"/>
                          <w:szCs w:val="21"/>
                          <w:lang w:val="en-GB" w:eastAsia="zh-CN"/>
                        </w:rPr>
                        <m:t>×</m:t>
                      </m:r>
                      <m:r>
                        <w:rPr>
                          <w:rFonts w:ascii="Cambria Math" w:hAnsi="Cambria Math" w:cs="Arial"/>
                          <w:sz w:val="21"/>
                          <w:szCs w:val="21"/>
                          <w:lang w:val="en-GB" w:eastAsia="zh-CN"/>
                        </w:rPr>
                        <m:t>b</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e>
                          </m:d>
                        </m:e>
                        <m:sup>
                          <m:r>
                            <w:rPr>
                              <w:rFonts w:ascii="Cambria Math" w:hAnsi="Cambria Math" w:cs="Arial"/>
                              <w:sz w:val="21"/>
                              <w:szCs w:val="21"/>
                              <w:lang w:val="en-GB" w:eastAsia="zh-CN"/>
                            </w:rPr>
                            <m:t>n</m:t>
                          </m:r>
                        </m:sup>
                      </m:sSup>
                    </m:den>
                  </m:f>
                </m:e>
              </m:nary>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19</m:t>
                  </m:r>
                </m:e>
              </m:d>
            </m:e>
          </m:eqArr>
        </m:oMath>
      </m:oMathPara>
      <w:bookmarkEnd w:id="116"/>
    </w:p>
    <w:p w14:paraId="34E73DF7" w14:textId="77777777" w:rsidR="00FC0205"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17" w:name="_Toc214984898"/>
      <w:r w:rsidRPr="00D16AB0">
        <w:rPr>
          <w:rFonts w:ascii="Arial" w:hAnsi="Arial" w:cs="Arial"/>
          <w:sz w:val="21"/>
          <w:szCs w:val="21"/>
          <w:lang w:val="en-GB" w:eastAsia="zh-CN"/>
        </w:rPr>
        <w:t>Under the proposed regime, a certain proportion of offset benefit is secured; while under the current regime, project developers may fail to register, so the expected value of net benefit (profit) is smaller. The PVs of the net profit (</w:t>
      </w:r>
      <w:r w:rsidRPr="00D16AB0">
        <w:rPr>
          <w:rFonts w:ascii="Cambria Math" w:hAnsi="Cambria Math" w:cs="Cambria Math"/>
          <w:sz w:val="21"/>
          <w:szCs w:val="21"/>
          <w:lang w:val="en-GB" w:eastAsia="zh-CN"/>
        </w:rPr>
        <w:t>𝑛𝑝</w:t>
      </w:r>
      <w:r w:rsidRPr="00D16AB0">
        <w:rPr>
          <w:rFonts w:ascii="Arial" w:hAnsi="Arial" w:cs="Arial"/>
          <w:sz w:val="21"/>
          <w:szCs w:val="21"/>
          <w:lang w:val="en-GB" w:eastAsia="zh-CN"/>
        </w:rPr>
        <w:t>) and the expected net profit (</w:t>
      </w:r>
      <w:r w:rsidRPr="00D16AB0">
        <w:rPr>
          <w:rFonts w:ascii="Cambria Math" w:hAnsi="Cambria Math" w:cs="Cambria Math"/>
          <w:sz w:val="21"/>
          <w:szCs w:val="21"/>
          <w:lang w:val="en-GB" w:eastAsia="zh-CN"/>
        </w:rPr>
        <w:t>𝑒𝑛𝑝</w:t>
      </w:r>
      <w:r w:rsidRPr="00D16AB0">
        <w:rPr>
          <w:rFonts w:ascii="Arial" w:hAnsi="Arial" w:cs="Arial"/>
          <w:sz w:val="21"/>
          <w:szCs w:val="21"/>
          <w:lang w:val="en-GB" w:eastAsia="zh-CN"/>
        </w:rPr>
        <w:t>) of applying for carbon offset status are respectively:</w:t>
      </w:r>
      <w:bookmarkEnd w:id="117"/>
    </w:p>
    <w:bookmarkStart w:id="118" w:name="_Toc214984899"/>
    <w:p w14:paraId="2640EDD8" w14:textId="77777777" w:rsidR="00FC0205" w:rsidRPr="00D16AB0" w:rsidRDefault="00000000" w:rsidP="003B32AE">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np</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nary>
                <m:naryPr>
                  <m:chr m:val="∑"/>
                  <m:limLoc m:val="undOvr"/>
                  <m:ctrlPr>
                    <w:rPr>
                      <w:rFonts w:ascii="Cambria Math" w:hAnsi="Cambria Math" w:cs="Arial"/>
                      <w:sz w:val="21"/>
                      <w:szCs w:val="21"/>
                      <w:lang w:val="en-GB" w:eastAsia="zh-CN"/>
                    </w:rPr>
                  </m:ctrlPr>
                </m:naryPr>
                <m:sub>
                  <m:r>
                    <w:rPr>
                      <w:rFonts w:ascii="Cambria Math" w:hAnsi="Cambria Math" w:cs="Arial"/>
                      <w:sz w:val="21"/>
                      <w:szCs w:val="21"/>
                      <w:lang w:val="en-GB" w:eastAsia="zh-CN"/>
                    </w:rPr>
                    <m:t>n</m:t>
                  </m:r>
                  <m:r>
                    <m:rPr>
                      <m:sty m:val="p"/>
                    </m:rPr>
                    <w:rPr>
                      <w:rFonts w:ascii="Cambria Math" w:hAnsi="Cambria Math" w:cs="Arial"/>
                      <w:sz w:val="21"/>
                      <w:szCs w:val="21"/>
                      <w:lang w:val="en-GB" w:eastAsia="zh-CN"/>
                    </w:rPr>
                    <m:t>=1</m:t>
                  </m:r>
                </m:sub>
                <m:sup>
                  <m:r>
                    <w:rPr>
                      <w:rFonts w:ascii="Cambria Math" w:hAnsi="Cambria Math" w:cs="Arial"/>
                      <w:sz w:val="21"/>
                      <w:szCs w:val="21"/>
                      <w:lang w:val="en-GB" w:eastAsia="zh-CN"/>
                    </w:rPr>
                    <m:t>T</m:t>
                  </m:r>
                </m:sup>
                <m:e>
                  <m:f>
                    <m:fPr>
                      <m:ctrlPr>
                        <w:rPr>
                          <w:rFonts w:ascii="Cambria Math" w:hAnsi="Cambria Math" w:cs="Arial"/>
                          <w:sz w:val="21"/>
                          <w:szCs w:val="21"/>
                          <w:lang w:val="en-GB" w:eastAsia="zh-CN"/>
                        </w:rPr>
                      </m:ctrlPr>
                    </m:fPr>
                    <m:num>
                      <m:r>
                        <w:rPr>
                          <w:rFonts w:ascii="Cambria Math" w:hAnsi="Cambria Math" w:cs="Arial"/>
                          <w:sz w:val="21"/>
                          <w:szCs w:val="21"/>
                          <w:lang w:val="en-GB" w:eastAsia="zh-CN"/>
                        </w:rPr>
                        <m:t>CR</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e>
                          </m:d>
                        </m:e>
                        <m:sup>
                          <m:r>
                            <w:rPr>
                              <w:rFonts w:ascii="Cambria Math" w:hAnsi="Cambria Math" w:cs="Arial"/>
                              <w:sz w:val="21"/>
                              <w:szCs w:val="21"/>
                              <w:lang w:val="en-GB" w:eastAsia="zh-CN"/>
                            </w:rPr>
                            <m:t>n</m:t>
                          </m:r>
                        </m:sup>
                      </m:sSup>
                    </m:den>
                  </m:f>
                </m:e>
              </m:nary>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r</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d</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v</m:t>
                  </m:r>
                </m:sub>
              </m:sSub>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20</m:t>
                  </m:r>
                </m:e>
              </m:d>
            </m:e>
          </m:eqArr>
        </m:oMath>
      </m:oMathPara>
      <w:bookmarkEnd w:id="118"/>
    </w:p>
    <w:bookmarkStart w:id="119" w:name="_Toc214984900"/>
    <w:p w14:paraId="23F14B64" w14:textId="77777777" w:rsidR="00FC0205" w:rsidRPr="00D16AB0" w:rsidRDefault="00000000" w:rsidP="003B32AE">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enp</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q</m:t>
              </m:r>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nary>
                    <m:naryPr>
                      <m:chr m:val="∑"/>
                      <m:limLoc m:val="undOvr"/>
                      <m:ctrlPr>
                        <w:rPr>
                          <w:rFonts w:ascii="Cambria Math" w:hAnsi="Cambria Math" w:cs="Arial"/>
                          <w:sz w:val="21"/>
                          <w:szCs w:val="21"/>
                          <w:lang w:val="en-GB" w:eastAsia="zh-CN"/>
                        </w:rPr>
                      </m:ctrlPr>
                    </m:naryPr>
                    <m:sub>
                      <m:r>
                        <w:rPr>
                          <w:rFonts w:ascii="Cambria Math" w:hAnsi="Cambria Math" w:cs="Arial"/>
                          <w:sz w:val="21"/>
                          <w:szCs w:val="21"/>
                          <w:lang w:val="en-GB" w:eastAsia="zh-CN"/>
                        </w:rPr>
                        <m:t>n</m:t>
                      </m:r>
                      <m:r>
                        <m:rPr>
                          <m:sty m:val="p"/>
                        </m:rPr>
                        <w:rPr>
                          <w:rFonts w:ascii="Cambria Math" w:hAnsi="Cambria Math" w:cs="Arial"/>
                          <w:sz w:val="21"/>
                          <w:szCs w:val="21"/>
                          <w:lang w:val="en-GB" w:eastAsia="zh-CN"/>
                        </w:rPr>
                        <m:t>=1</m:t>
                      </m:r>
                    </m:sub>
                    <m:sup>
                      <m:r>
                        <w:rPr>
                          <w:rFonts w:ascii="Cambria Math" w:hAnsi="Cambria Math" w:cs="Arial"/>
                          <w:sz w:val="21"/>
                          <w:szCs w:val="21"/>
                          <w:lang w:val="en-GB" w:eastAsia="zh-CN"/>
                        </w:rPr>
                        <m:t>T</m:t>
                      </m:r>
                    </m:sup>
                    <m:e>
                      <m:f>
                        <m:fPr>
                          <m:ctrlPr>
                            <w:rPr>
                              <w:rFonts w:ascii="Cambria Math" w:hAnsi="Cambria Math" w:cs="Arial"/>
                              <w:sz w:val="21"/>
                              <w:szCs w:val="21"/>
                              <w:lang w:val="en-GB" w:eastAsia="zh-CN"/>
                            </w:rPr>
                          </m:ctrlPr>
                        </m:fPr>
                        <m:num>
                          <m:r>
                            <w:rPr>
                              <w:rFonts w:ascii="Cambria Math" w:hAnsi="Cambria Math" w:cs="Arial"/>
                              <w:sz w:val="21"/>
                              <w:szCs w:val="21"/>
                              <w:lang w:val="en-GB" w:eastAsia="zh-CN"/>
                            </w:rPr>
                            <m:t>CR</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e>
                              </m:d>
                            </m:e>
                            <m:sup>
                              <m:r>
                                <w:rPr>
                                  <w:rFonts w:ascii="Cambria Math" w:hAnsi="Cambria Math" w:cs="Arial"/>
                                  <w:sz w:val="21"/>
                                  <w:szCs w:val="21"/>
                                  <w:lang w:val="en-GB" w:eastAsia="zh-CN"/>
                                </w:rPr>
                                <m:t>n</m:t>
                              </m:r>
                            </m:sup>
                          </m:sSup>
                        </m:den>
                      </m:f>
                    </m:e>
                  </m:nary>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r</m:t>
                      </m:r>
                    </m:sub>
                  </m:sSub>
                </m:e>
              </m:d>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d</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v</m:t>
                  </m:r>
                </m:sub>
              </m:sSub>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21</m:t>
                  </m:r>
                </m:e>
              </m:d>
            </m:e>
          </m:eqArr>
        </m:oMath>
      </m:oMathPara>
      <w:bookmarkEnd w:id="119"/>
    </w:p>
    <w:bookmarkStart w:id="120" w:name="_Toc214984901"/>
    <w:p w14:paraId="7AE5FF96" w14:textId="77777777" w:rsidR="00FC0205" w:rsidRPr="00D16AB0" w:rsidRDefault="00000000" w:rsidP="003B32AE">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np</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enp</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m:t>
              </m:r>
              <m:nary>
                <m:naryPr>
                  <m:chr m:val="∑"/>
                  <m:limLoc m:val="undOvr"/>
                  <m:ctrlPr>
                    <w:rPr>
                      <w:rFonts w:ascii="Cambria Math" w:hAnsi="Cambria Math" w:cs="Arial"/>
                      <w:sz w:val="21"/>
                      <w:szCs w:val="21"/>
                      <w:lang w:val="en-GB" w:eastAsia="zh-CN"/>
                    </w:rPr>
                  </m:ctrlPr>
                </m:naryPr>
                <m:sub>
                  <m:r>
                    <w:rPr>
                      <w:rFonts w:ascii="Cambria Math" w:hAnsi="Cambria Math" w:cs="Arial"/>
                      <w:sz w:val="21"/>
                      <w:szCs w:val="21"/>
                      <w:lang w:val="en-GB" w:eastAsia="zh-CN"/>
                    </w:rPr>
                    <m:t>n</m:t>
                  </m:r>
                  <m:r>
                    <m:rPr>
                      <m:sty m:val="p"/>
                    </m:rPr>
                    <w:rPr>
                      <w:rFonts w:ascii="Cambria Math" w:hAnsi="Cambria Math" w:cs="Arial"/>
                      <w:sz w:val="21"/>
                      <w:szCs w:val="21"/>
                      <w:lang w:val="en-GB" w:eastAsia="zh-CN"/>
                    </w:rPr>
                    <m:t>=1</m:t>
                  </m:r>
                </m:sub>
                <m:sup>
                  <m:r>
                    <w:rPr>
                      <w:rFonts w:ascii="Cambria Math" w:hAnsi="Cambria Math" w:cs="Arial"/>
                      <w:sz w:val="21"/>
                      <w:szCs w:val="21"/>
                      <w:lang w:val="en-GB" w:eastAsia="zh-CN"/>
                    </w:rPr>
                    <m:t>T</m:t>
                  </m:r>
                </m:sup>
                <m:e>
                  <m:f>
                    <m:fPr>
                      <m:ctrlPr>
                        <w:rPr>
                          <w:rFonts w:ascii="Cambria Math" w:hAnsi="Cambria Math" w:cs="Arial"/>
                          <w:sz w:val="21"/>
                          <w:szCs w:val="21"/>
                          <w:lang w:val="en-GB" w:eastAsia="zh-CN"/>
                        </w:rPr>
                      </m:ctrlPr>
                    </m:fPr>
                    <m:num>
                      <m:r>
                        <w:rPr>
                          <w:rFonts w:ascii="Cambria Math" w:hAnsi="Cambria Math" w:cs="Arial"/>
                          <w:sz w:val="21"/>
                          <w:szCs w:val="21"/>
                          <w:lang w:val="en-GB" w:eastAsia="zh-CN"/>
                        </w:rPr>
                        <m:t>CR</m:t>
                      </m:r>
                      <m:r>
                        <m:rPr>
                          <m:sty m:val="p"/>
                        </m:rPr>
                        <w:rPr>
                          <w:rFonts w:ascii="Cambria Math" w:hAnsi="Cambria Math" w:cs="Arial"/>
                          <w:sz w:val="21"/>
                          <w:szCs w:val="21"/>
                          <w:lang w:val="en-GB" w:eastAsia="zh-CN"/>
                        </w:rPr>
                        <m:t>×</m:t>
                      </m:r>
                      <m:r>
                        <w:rPr>
                          <w:rFonts w:ascii="Cambria Math" w:hAnsi="Cambria Math" w:cs="Arial"/>
                          <w:sz w:val="21"/>
                          <w:szCs w:val="21"/>
                          <w:lang w:val="en-GB" w:eastAsia="zh-CN"/>
                        </w:rPr>
                        <m:t>b</m:t>
                      </m:r>
                    </m:num>
                    <m:den>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e>
                          </m:d>
                        </m:e>
                        <m:sup>
                          <m:r>
                            <w:rPr>
                              <w:rFonts w:ascii="Cambria Math" w:hAnsi="Cambria Math" w:cs="Arial"/>
                              <w:sz w:val="21"/>
                              <w:szCs w:val="21"/>
                              <w:lang w:val="en-GB" w:eastAsia="zh-CN"/>
                            </w:rPr>
                            <m:t>n</m:t>
                          </m:r>
                        </m:sup>
                      </m:sSup>
                    </m:den>
                  </m:f>
                </m:e>
              </m:nary>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w:rPr>
                      <w:rFonts w:ascii="Cambria Math" w:hAnsi="Cambria Math" w:cs="Arial"/>
                      <w:sz w:val="21"/>
                      <w:szCs w:val="21"/>
                      <w:lang w:val="en-GB" w:eastAsia="zh-CN"/>
                    </w:rPr>
                    <m:t>v</m:t>
                  </m:r>
                </m:sub>
              </m:sSub>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22</m:t>
                  </m:r>
                </m:e>
              </m:d>
            </m:e>
          </m:eqArr>
        </m:oMath>
      </m:oMathPara>
      <w:bookmarkEnd w:id="120"/>
    </w:p>
    <w:p w14:paraId="66C298B8" w14:textId="21627904" w:rsidR="001C4DEB"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21" w:name="_Toc214984902"/>
      <w:r w:rsidRPr="00D16AB0">
        <w:rPr>
          <w:rFonts w:ascii="Arial" w:hAnsi="Arial" w:cs="Arial"/>
          <w:sz w:val="21"/>
          <w:szCs w:val="21"/>
          <w:lang w:val="en-GB" w:eastAsia="zh-CN"/>
        </w:rPr>
        <w:t xml:space="preserve">where </w:t>
      </w:r>
      <m:oMath>
        <m:r>
          <w:rPr>
            <w:rFonts w:ascii="Cambria Math" w:hAnsi="Cambria Math" w:cs="Arial"/>
            <w:sz w:val="21"/>
            <w:szCs w:val="21"/>
            <w:lang w:val="en-GB" w:eastAsia="zh-CN"/>
          </w:rPr>
          <m:t>q</m:t>
        </m:r>
      </m:oMath>
      <w:r w:rsidRPr="00D16AB0">
        <w:rPr>
          <w:rFonts w:ascii="Arial" w:hAnsi="Arial" w:cs="Arial"/>
          <w:sz w:val="21"/>
          <w:szCs w:val="21"/>
          <w:lang w:val="en-GB" w:eastAsia="zh-CN"/>
        </w:rPr>
        <w:t xml:space="preserve"> is the probability of a successful additionality decision, that is, the probability of securing the annual offset benefit </w:t>
      </w:r>
      <m:oMath>
        <m:r>
          <w:rPr>
            <w:rFonts w:ascii="Cambria Math" w:hAnsi="Cambria Math" w:cs="Arial"/>
            <w:sz w:val="21"/>
            <w:szCs w:val="21"/>
            <w:lang w:val="en-GB" w:eastAsia="zh-CN"/>
          </w:rPr>
          <m:t>CR</m:t>
        </m:r>
      </m:oMath>
      <w:r w:rsidRPr="00D16AB0">
        <w:rPr>
          <w:rFonts w:ascii="Arial" w:hAnsi="Arial" w:cs="Arial"/>
          <w:sz w:val="21"/>
          <w:szCs w:val="21"/>
          <w:lang w:val="en-GB" w:eastAsia="zh-CN"/>
        </w:rPr>
        <w:t>. We will discuss decisions of regulators in the next subsection.</w:t>
      </w:r>
      <w:bookmarkEnd w:id="121"/>
      <w:r w:rsidRPr="00D16AB0">
        <w:rPr>
          <w:rFonts w:ascii="Arial" w:hAnsi="Arial" w:cs="Arial"/>
          <w:sz w:val="21"/>
          <w:szCs w:val="21"/>
          <w:lang w:val="en-GB" w:eastAsia="zh-CN"/>
        </w:rPr>
        <w:t xml:space="preserve"> </w:t>
      </w:r>
    </w:p>
    <w:p w14:paraId="1920B23E" w14:textId="59C951BD" w:rsidR="00036534"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22" w:name="_Toc214984903"/>
      <w:r w:rsidRPr="00D16AB0">
        <w:rPr>
          <w:rFonts w:ascii="Arial" w:hAnsi="Arial" w:cs="Arial"/>
          <w:sz w:val="21"/>
          <w:szCs w:val="21"/>
          <w:lang w:val="en-GB" w:eastAsia="zh-CN"/>
        </w:rPr>
        <w:t>Under both regimes, if the PV of the expected profit of applying for carbon offset status is negative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enp</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enp</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&lt;0</m:t>
        </m:r>
      </m:oMath>
      <w:r w:rsidRPr="00D16AB0">
        <w:rPr>
          <w:rFonts w:ascii="Arial" w:hAnsi="Arial" w:cs="Arial"/>
          <w:sz w:val="21"/>
          <w:szCs w:val="21"/>
          <w:lang w:val="en-GB" w:eastAsia="zh-CN"/>
        </w:rPr>
        <w:t xml:space="preserve">), the project developer won’t apply </w:t>
      </w:r>
      <m:oMath>
        <m:sSub>
          <m:sSubPr>
            <m:ctrlPr>
              <w:rPr>
                <w:rFonts w:ascii="Cambria Math" w:hAnsi="Cambria Math" w:cs="Arial"/>
                <w:sz w:val="21"/>
                <w:szCs w:val="21"/>
                <w:lang w:val="en-GB" w:eastAsia="zh-CN"/>
              </w:rPr>
            </m:ctrlPr>
          </m:sSubPr>
          <m:e>
            <m:r>
              <m:rPr>
                <m:sty m:val="p"/>
              </m:rPr>
              <w:rPr>
                <w:rFonts w:ascii="Cambria Math" w:hAnsi="Cambria Math" w:cs="Arial"/>
                <w:sz w:val="21"/>
                <w:szCs w:val="21"/>
                <w:lang w:val="en-GB" w:eastAsia="zh-CN"/>
              </w:rPr>
              <m:t>(</m:t>
            </m:r>
            <m:r>
              <w:rPr>
                <w:rFonts w:ascii="Cambria Math" w:hAnsi="Cambria Math" w:cs="Arial"/>
                <w:sz w:val="21"/>
                <w:szCs w:val="21"/>
                <w:lang w:val="en-GB" w:eastAsia="zh-CN"/>
              </w:rPr>
              <m:t>s</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 If it is positive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enp</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enp</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&gt;0</m:t>
        </m:r>
      </m:oMath>
      <w:r w:rsidRPr="00D16AB0">
        <w:rPr>
          <w:rFonts w:ascii="Arial" w:hAnsi="Arial" w:cs="Arial"/>
          <w:sz w:val="21"/>
          <w:szCs w:val="21"/>
          <w:lang w:val="en-GB" w:eastAsia="zh-CN"/>
        </w:rPr>
        <w:t xml:space="preserve">), the project developer will consider applying for carbon offset status </w:t>
      </w:r>
      <m:oMath>
        <m:sSub>
          <m:sSubPr>
            <m:ctrlPr>
              <w:rPr>
                <w:rFonts w:ascii="Cambria Math" w:hAnsi="Cambria Math" w:cs="Arial"/>
                <w:sz w:val="21"/>
                <w:szCs w:val="21"/>
                <w:lang w:val="en-GB" w:eastAsia="zh-CN"/>
              </w:rPr>
            </m:ctrlPr>
          </m:sSubPr>
          <m:e>
            <m:r>
              <m:rPr>
                <m:sty m:val="p"/>
              </m:rPr>
              <w:rPr>
                <w:rFonts w:ascii="Cambria Math" w:hAnsi="Cambria Math" w:cs="Arial"/>
                <w:sz w:val="21"/>
                <w:szCs w:val="21"/>
                <w:lang w:val="en-GB" w:eastAsia="zh-CN"/>
              </w:rPr>
              <m:t>(</m:t>
            </m:r>
            <m:r>
              <w:rPr>
                <w:rFonts w:ascii="Cambria Math" w:hAnsi="Cambria Math" w:cs="Arial"/>
                <w:sz w:val="21"/>
                <w:szCs w:val="21"/>
                <w:lang w:val="en-GB" w:eastAsia="zh-CN"/>
              </w:rPr>
              <m:t>s</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=1)</m:t>
        </m:r>
      </m:oMath>
      <w:r w:rsidRPr="00D16AB0">
        <w:rPr>
          <w:rFonts w:ascii="Arial" w:hAnsi="Arial" w:cs="Arial"/>
          <w:sz w:val="21"/>
          <w:szCs w:val="21"/>
          <w:lang w:val="en-GB" w:eastAsia="zh-CN"/>
        </w:rPr>
        <w:t>.</w:t>
      </w:r>
      <w:bookmarkEnd w:id="122"/>
    </w:p>
    <w:p w14:paraId="72B06928" w14:textId="1B519DD9" w:rsidR="009452A0" w:rsidRPr="00D16AB0" w:rsidRDefault="00FC0205" w:rsidP="003B32AE">
      <w:pPr>
        <w:pStyle w:val="SMText"/>
        <w:spacing w:beforeLines="50" w:before="120" w:afterLines="50" w:after="120" w:line="276" w:lineRule="auto"/>
        <w:ind w:firstLine="0"/>
        <w:rPr>
          <w:rFonts w:ascii="Arial" w:hAnsi="Arial" w:cs="Arial"/>
          <w:sz w:val="21"/>
          <w:szCs w:val="21"/>
          <w:lang w:val="en-GB" w:eastAsia="zh-CN"/>
        </w:rPr>
      </w:pPr>
      <w:bookmarkStart w:id="123" w:name="_Toc214984904"/>
      <w:r w:rsidRPr="00D16AB0">
        <w:rPr>
          <w:rFonts w:ascii="Arial" w:hAnsi="Arial" w:cs="Arial"/>
          <w:sz w:val="21"/>
          <w:szCs w:val="21"/>
          <w:lang w:val="en-GB" w:eastAsia="zh-CN"/>
        </w:rPr>
        <w:lastRenderedPageBreak/>
        <w:t xml:space="preserve">Even if project developers apply for carbon offset status and expect to secure the offset benefit, they still have to give up pursuing/implementing the project if the project is financially unattractive and lack investments. Basically, project developers won’t pursue the project </w:t>
      </w:r>
      <m:oMath>
        <m:sSub>
          <m:sSubPr>
            <m:ctrlPr>
              <w:rPr>
                <w:rFonts w:ascii="Cambria Math" w:hAnsi="Cambria Math" w:cs="Arial"/>
                <w:sz w:val="21"/>
                <w:szCs w:val="21"/>
                <w:lang w:val="en-GB" w:eastAsia="zh-CN"/>
              </w:rPr>
            </m:ctrlPr>
          </m:sSubPr>
          <m:e>
            <m:r>
              <m:rPr>
                <m:sty m:val="p"/>
              </m:rPr>
              <w:rPr>
                <w:rFonts w:ascii="Cambria Math" w:hAnsi="Cambria Math" w:cs="Arial"/>
                <w:sz w:val="21"/>
                <w:szCs w:val="21"/>
                <w:lang w:val="en-GB" w:eastAsia="zh-CN"/>
              </w:rPr>
              <m:t>(</m:t>
            </m:r>
            <m:r>
              <w:rPr>
                <w:rFonts w:ascii="Cambria Math" w:hAnsi="Cambria Math" w:cs="Arial"/>
                <w:sz w:val="21"/>
                <w:szCs w:val="21"/>
                <w:lang w:val="en-GB" w:eastAsia="zh-CN"/>
              </w:rPr>
              <m:t>s</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 xml:space="preserve"> if the IRR with offsets is still below the hurdle rate; they will pursue the project </w:t>
      </w:r>
      <m:oMath>
        <m:sSub>
          <m:sSubPr>
            <m:ctrlPr>
              <w:rPr>
                <w:rFonts w:ascii="Cambria Math" w:hAnsi="Cambria Math" w:cs="Arial"/>
                <w:sz w:val="21"/>
                <w:szCs w:val="21"/>
                <w:lang w:val="en-GB" w:eastAsia="zh-CN"/>
              </w:rPr>
            </m:ctrlPr>
          </m:sSubPr>
          <m:e>
            <m:r>
              <m:rPr>
                <m:sty m:val="p"/>
              </m:rPr>
              <w:rPr>
                <w:rFonts w:ascii="Cambria Math" w:hAnsi="Cambria Math" w:cs="Arial"/>
                <w:sz w:val="21"/>
                <w:szCs w:val="21"/>
                <w:lang w:val="en-GB" w:eastAsia="zh-CN"/>
              </w:rPr>
              <m:t>(</m:t>
            </m:r>
            <m:r>
              <w:rPr>
                <w:rFonts w:ascii="Cambria Math" w:hAnsi="Cambria Math" w:cs="Arial"/>
                <w:sz w:val="21"/>
                <w:szCs w:val="21"/>
                <w:lang w:val="en-GB" w:eastAsia="zh-CN"/>
              </w:rPr>
              <m:t>s</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=1)</m:t>
        </m:r>
      </m:oMath>
      <w:r w:rsidRPr="00D16AB0">
        <w:rPr>
          <w:rFonts w:ascii="Arial" w:hAnsi="Arial" w:cs="Arial"/>
          <w:sz w:val="21"/>
          <w:szCs w:val="21"/>
          <w:lang w:val="en-GB" w:eastAsia="zh-CN"/>
        </w:rPr>
        <w:t xml:space="preserve"> only if the NPV of candidate projects with offsets is positive, in other words, the IRR with offsets is above the hurdle rate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 xml:space="preserve">, </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&gt;</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oMath>
      <w:r w:rsidRPr="00D16AB0">
        <w:rPr>
          <w:rFonts w:ascii="Arial" w:hAnsi="Arial" w:cs="Arial"/>
          <w:sz w:val="21"/>
          <w:szCs w:val="21"/>
          <w:lang w:val="en-GB" w:eastAsia="zh-CN"/>
        </w:rPr>
        <w:t>).</w:t>
      </w:r>
      <w:bookmarkStart w:id="124" w:name="OLE_LINK5"/>
      <w:bookmarkStart w:id="125" w:name="OLE_LINK6"/>
      <w:bookmarkEnd w:id="123"/>
    </w:p>
    <w:p w14:paraId="1473C689" w14:textId="6CC39AC2" w:rsidR="00976469" w:rsidRPr="00D16AB0" w:rsidRDefault="00FC0205" w:rsidP="0066246C">
      <w:pPr>
        <w:pStyle w:val="SMText"/>
        <w:spacing w:beforeLines="50" w:before="120" w:afterLines="50" w:after="120" w:line="276" w:lineRule="auto"/>
        <w:ind w:firstLine="0"/>
        <w:rPr>
          <w:rFonts w:ascii="Arial" w:hAnsi="Arial" w:cs="Arial"/>
          <w:sz w:val="21"/>
          <w:szCs w:val="21"/>
          <w:lang w:val="en-GB" w:eastAsia="zh-CN"/>
        </w:rPr>
      </w:pPr>
      <w:bookmarkStart w:id="126" w:name="_Toc214984905"/>
      <w:r w:rsidRPr="00D16AB0">
        <w:rPr>
          <w:rFonts w:ascii="Arial" w:hAnsi="Arial" w:cs="Arial"/>
          <w:sz w:val="21"/>
          <w:szCs w:val="21"/>
          <w:lang w:val="en-GB" w:eastAsia="zh-CN"/>
        </w:rPr>
        <w:t xml:space="preserve">Therefore, the payoff functions,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π</m:t>
            </m:r>
          </m:e>
          <m:sub>
            <m:r>
              <w:rPr>
                <w:rFonts w:ascii="Cambria Math" w:hAnsi="Cambria Math" w:cs="Arial"/>
                <w:sz w:val="21"/>
                <w:szCs w:val="21"/>
                <w:lang w:val="en-GB" w:eastAsia="zh-CN"/>
              </w:rPr>
              <m:t>i</m:t>
            </m:r>
          </m:sub>
        </m:sSub>
      </m:oMath>
      <w:r w:rsidRPr="00D16AB0">
        <w:rPr>
          <w:rFonts w:ascii="Arial" w:hAnsi="Arial" w:cs="Arial"/>
          <w:sz w:val="21"/>
          <w:szCs w:val="21"/>
          <w:lang w:val="en-GB" w:eastAsia="zh-CN"/>
        </w:rPr>
        <w:t xml:space="preserve"> (</w:t>
      </w:r>
      <m:oMath>
        <m:r>
          <w:rPr>
            <w:rFonts w:ascii="Cambria Math" w:hAnsi="Cambria Math" w:cs="Arial"/>
            <w:sz w:val="21"/>
            <w:szCs w:val="21"/>
            <w:lang w:val="en-GB" w:eastAsia="zh-CN"/>
          </w:rPr>
          <m:t>i</m:t>
        </m:r>
        <m:r>
          <m:rPr>
            <m:sty m:val="p"/>
          </m:rPr>
          <w:rPr>
            <w:rFonts w:ascii="Cambria Math" w:hAnsi="Cambria Math" w:cs="Arial"/>
            <w:sz w:val="21"/>
            <w:szCs w:val="21"/>
            <w:lang w:val="en-GB" w:eastAsia="zh-CN"/>
          </w:rPr>
          <m:t>=1, 2</m:t>
        </m:r>
      </m:oMath>
      <w:r w:rsidRPr="00D16AB0">
        <w:rPr>
          <w:rFonts w:ascii="Arial" w:hAnsi="Arial" w:cs="Arial"/>
          <w:sz w:val="21"/>
          <w:szCs w:val="21"/>
          <w:lang w:val="en-GB" w:eastAsia="zh-CN"/>
        </w:rPr>
        <w:t>), are specified as follows:</w:t>
      </w:r>
      <w:bookmarkEnd w:id="126"/>
    </w:p>
    <w:tbl>
      <w:tblPr>
        <w:tblStyle w:val="affffb"/>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4"/>
      </w:tblGrid>
      <w:tr w:rsidR="00FC0205" w:rsidRPr="00D16AB0" w14:paraId="7635A527" w14:textId="77777777" w:rsidTr="00F069E3">
        <w:trPr>
          <w:jc w:val="center"/>
        </w:trPr>
        <w:tc>
          <w:tcPr>
            <w:tcW w:w="4390" w:type="dxa"/>
            <w:tcBorders>
              <w:top w:val="single" w:sz="4" w:space="0" w:color="auto"/>
              <w:bottom w:val="single" w:sz="4" w:space="0" w:color="auto"/>
            </w:tcBorders>
          </w:tcPr>
          <w:p w14:paraId="7717DCC1" w14:textId="77777777" w:rsidR="00FC0205" w:rsidRPr="00D16AB0" w:rsidRDefault="00FC0205" w:rsidP="00B70951">
            <w:pPr>
              <w:pStyle w:val="SMText"/>
              <w:spacing w:beforeLines="20" w:before="48" w:afterLines="20" w:after="48" w:line="276" w:lineRule="auto"/>
              <w:ind w:firstLine="482"/>
              <w:rPr>
                <w:rFonts w:ascii="Arial" w:hAnsi="Arial" w:cs="Arial"/>
                <w:sz w:val="21"/>
                <w:szCs w:val="21"/>
              </w:rPr>
            </w:pPr>
            <w:bookmarkStart w:id="127" w:name="_Toc214984906"/>
            <w:bookmarkEnd w:id="124"/>
            <w:bookmarkEnd w:id="125"/>
            <w:r w:rsidRPr="00D16AB0">
              <w:rPr>
                <w:rFonts w:ascii="Arial" w:hAnsi="Arial" w:cs="Arial"/>
                <w:sz w:val="21"/>
                <w:szCs w:val="21"/>
              </w:rPr>
              <w:t>Current binary additionality regime</w:t>
            </w:r>
            <w:bookmarkEnd w:id="127"/>
          </w:p>
        </w:tc>
        <w:tc>
          <w:tcPr>
            <w:tcW w:w="4394" w:type="dxa"/>
            <w:tcBorders>
              <w:top w:val="single" w:sz="4" w:space="0" w:color="auto"/>
              <w:bottom w:val="single" w:sz="4" w:space="0" w:color="auto"/>
            </w:tcBorders>
          </w:tcPr>
          <w:p w14:paraId="697CDCF5" w14:textId="77777777" w:rsidR="00FC0205" w:rsidRPr="00D16AB0" w:rsidRDefault="00FC0205" w:rsidP="00B70951">
            <w:pPr>
              <w:pStyle w:val="SMText"/>
              <w:spacing w:beforeLines="20" w:before="48" w:afterLines="20" w:after="48" w:line="276" w:lineRule="auto"/>
              <w:ind w:firstLine="482"/>
              <w:rPr>
                <w:rFonts w:ascii="Arial" w:hAnsi="Arial" w:cs="Arial"/>
                <w:sz w:val="21"/>
                <w:szCs w:val="21"/>
              </w:rPr>
            </w:pPr>
            <w:bookmarkStart w:id="128" w:name="_Toc214984907"/>
            <w:r w:rsidRPr="00D16AB0">
              <w:rPr>
                <w:rFonts w:ascii="Arial" w:hAnsi="Arial" w:cs="Arial"/>
                <w:sz w:val="21"/>
                <w:szCs w:val="21"/>
              </w:rPr>
              <w:t>New continuous additionality regime</w:t>
            </w:r>
            <w:bookmarkEnd w:id="128"/>
          </w:p>
        </w:tc>
      </w:tr>
      <w:tr w:rsidR="00FC0205" w:rsidRPr="00D16AB0" w14:paraId="71BA3CEF" w14:textId="77777777" w:rsidTr="00472445">
        <w:trPr>
          <w:trHeight w:val="624"/>
          <w:jc w:val="center"/>
        </w:trPr>
        <w:tc>
          <w:tcPr>
            <w:tcW w:w="4390" w:type="dxa"/>
            <w:tcBorders>
              <w:top w:val="single" w:sz="4" w:space="0" w:color="auto"/>
            </w:tcBorders>
            <w:vAlign w:val="center"/>
          </w:tcPr>
          <w:p w14:paraId="030DB691" w14:textId="77777777" w:rsidR="00FC0205" w:rsidRPr="00D16AB0" w:rsidRDefault="00FC0205" w:rsidP="00B70951">
            <w:pPr>
              <w:pStyle w:val="SMText"/>
              <w:spacing w:beforeLines="20" w:before="48" w:afterLines="20" w:after="48" w:line="276" w:lineRule="auto"/>
              <w:ind w:firstLine="482"/>
              <w:rPr>
                <w:rFonts w:ascii="Arial" w:hAnsi="Arial" w:cs="Arial"/>
                <w:sz w:val="21"/>
                <w:szCs w:val="21"/>
              </w:rPr>
            </w:pPr>
            <w:bookmarkStart w:id="129" w:name="_Toc214984908"/>
            <m:oMathPara>
              <m:oMath>
                <m:r>
                  <w:rPr>
                    <w:rFonts w:ascii="Cambria Math" w:hAnsi="Cambria Math" w:cs="Arial"/>
                    <w:sz w:val="21"/>
                    <w:szCs w:val="21"/>
                  </w:rPr>
                  <m:t>max</m:t>
                </m:r>
                <m:r>
                  <m:rPr>
                    <m:sty m:val="p"/>
                  </m:rPr>
                  <w:rPr>
                    <w:rFonts w:ascii="Cambria Math" w:hAnsi="Cambria Math" w:cs="Arial"/>
                    <w:sz w:val="21"/>
                    <w:szCs w:val="21"/>
                  </w:rPr>
                  <m:t xml:space="preserve"> </m:t>
                </m:r>
                <m:sSub>
                  <m:sSubPr>
                    <m:ctrlPr>
                      <w:rPr>
                        <w:rFonts w:ascii="Cambria Math" w:hAnsi="Cambria Math" w:cs="Arial"/>
                        <w:sz w:val="21"/>
                        <w:szCs w:val="21"/>
                      </w:rPr>
                    </m:ctrlPr>
                  </m:sSubPr>
                  <m:e>
                    <m:r>
                      <w:rPr>
                        <w:rFonts w:ascii="Cambria Math" w:hAnsi="Cambria Math" w:cs="Arial"/>
                        <w:sz w:val="21"/>
                        <w:szCs w:val="21"/>
                      </w:rPr>
                      <m:t>s</m:t>
                    </m:r>
                  </m:e>
                  <m:sub>
                    <m:r>
                      <m:rPr>
                        <m:sty m:val="p"/>
                      </m:rPr>
                      <w:rPr>
                        <w:rFonts w:ascii="Cambria Math" w:hAnsi="Cambria Math" w:cs="Arial"/>
                        <w:sz w:val="21"/>
                        <w:szCs w:val="21"/>
                      </w:rPr>
                      <m:t>1,2</m:t>
                    </m:r>
                  </m:sub>
                </m:sSub>
                <m:d>
                  <m:dPr>
                    <m:ctrlPr>
                      <w:rPr>
                        <w:rFonts w:ascii="Cambria Math" w:hAnsi="Cambria Math" w:cs="Arial"/>
                        <w:sz w:val="21"/>
                        <w:szCs w:val="21"/>
                      </w:rPr>
                    </m:ctrlPr>
                  </m:dPr>
                  <m:e>
                    <m:sSub>
                      <m:sSubPr>
                        <m:ctrlPr>
                          <w:rPr>
                            <w:rFonts w:ascii="Cambria Math" w:hAnsi="Cambria Math" w:cs="Arial"/>
                            <w:sz w:val="21"/>
                            <w:szCs w:val="21"/>
                          </w:rPr>
                        </m:ctrlPr>
                      </m:sSubPr>
                      <m:e>
                        <m:r>
                          <w:rPr>
                            <w:rFonts w:ascii="Cambria Math" w:hAnsi="Cambria Math" w:cs="Arial"/>
                            <w:sz w:val="21"/>
                            <w:szCs w:val="21"/>
                          </w:rPr>
                          <m:t>enp</m:t>
                        </m:r>
                      </m:e>
                      <m:sub>
                        <m:r>
                          <m:rPr>
                            <m:sty m:val="p"/>
                          </m:rPr>
                          <w:rPr>
                            <w:rFonts w:ascii="Cambria Math" w:hAnsi="Cambria Math" w:cs="Arial"/>
                            <w:sz w:val="21"/>
                            <w:szCs w:val="21"/>
                          </w:rPr>
                          <m:t>1</m:t>
                        </m:r>
                      </m:sub>
                    </m:sSub>
                  </m:e>
                </m:d>
              </m:oMath>
            </m:oMathPara>
            <w:bookmarkEnd w:id="129"/>
          </w:p>
          <w:bookmarkStart w:id="130" w:name="_Toc214984909"/>
          <w:p w14:paraId="402193A5" w14:textId="77777777" w:rsidR="00FC0205" w:rsidRPr="00D16AB0" w:rsidRDefault="00000000" w:rsidP="00B70951">
            <w:pPr>
              <w:pStyle w:val="SMText"/>
              <w:spacing w:beforeLines="20" w:before="48" w:afterLines="20" w:after="48" w:line="276" w:lineRule="auto"/>
              <w:ind w:firstLine="482"/>
              <w:rPr>
                <w:rFonts w:ascii="Arial" w:hAnsi="Arial" w:cs="Arial"/>
                <w:sz w:val="21"/>
                <w:szCs w:val="21"/>
              </w:rPr>
            </w:pPr>
            <m:oMathPara>
              <m:oMath>
                <m:func>
                  <m:funcPr>
                    <m:ctrlPr>
                      <w:rPr>
                        <w:rFonts w:ascii="Cambria Math" w:hAnsi="Cambria Math" w:cs="Arial"/>
                        <w:sz w:val="21"/>
                        <w:szCs w:val="21"/>
                      </w:rPr>
                    </m:ctrlPr>
                  </m:funcPr>
                  <m:fName>
                    <m:r>
                      <w:rPr>
                        <w:rFonts w:ascii="Cambria Math" w:hAnsi="Cambria Math" w:cs="Arial"/>
                        <w:sz w:val="21"/>
                        <w:szCs w:val="21"/>
                      </w:rPr>
                      <m:t>max</m:t>
                    </m:r>
                  </m:fName>
                  <m:e>
                    <m:sSub>
                      <m:sSubPr>
                        <m:ctrlPr>
                          <w:rPr>
                            <w:rFonts w:ascii="Cambria Math" w:hAnsi="Cambria Math" w:cs="Arial"/>
                            <w:sz w:val="21"/>
                            <w:szCs w:val="21"/>
                          </w:rPr>
                        </m:ctrlPr>
                      </m:sSubPr>
                      <m:e>
                        <m:r>
                          <w:rPr>
                            <w:rFonts w:ascii="Cambria Math" w:hAnsi="Cambria Math" w:cs="Arial"/>
                            <w:sz w:val="21"/>
                            <w:szCs w:val="21"/>
                          </w:rPr>
                          <m:t>π</m:t>
                        </m:r>
                      </m:e>
                      <m:sub>
                        <m:r>
                          <m:rPr>
                            <m:sty m:val="p"/>
                          </m:rPr>
                          <w:rPr>
                            <w:rFonts w:ascii="Cambria Math" w:hAnsi="Cambria Math" w:cs="Arial"/>
                            <w:sz w:val="21"/>
                            <w:szCs w:val="21"/>
                          </w:rPr>
                          <m:t>1</m:t>
                        </m:r>
                      </m:sub>
                    </m:sSub>
                  </m:e>
                </m:func>
                <m:r>
                  <m:rPr>
                    <m:sty m:val="p"/>
                  </m:rPr>
                  <w:rPr>
                    <w:rFonts w:ascii="Cambria Math" w:hAnsi="Cambria Math" w:cs="Arial"/>
                    <w:sz w:val="21"/>
                    <w:szCs w:val="21"/>
                  </w:rPr>
                  <m:t>=</m:t>
                </m:r>
                <m:sSub>
                  <m:sSubPr>
                    <m:ctrlPr>
                      <w:rPr>
                        <w:rFonts w:ascii="Cambria Math" w:hAnsi="Cambria Math" w:cs="Arial"/>
                        <w:sz w:val="21"/>
                        <w:szCs w:val="21"/>
                      </w:rPr>
                    </m:ctrlPr>
                  </m:sSubPr>
                  <m:e>
                    <m:r>
                      <w:rPr>
                        <w:rFonts w:ascii="Cambria Math" w:hAnsi="Cambria Math" w:cs="Arial"/>
                        <w:sz w:val="21"/>
                        <w:szCs w:val="21"/>
                      </w:rPr>
                      <m:t>s</m:t>
                    </m:r>
                  </m:e>
                  <m:sub>
                    <m:r>
                      <m:rPr>
                        <m:sty m:val="p"/>
                      </m:rPr>
                      <w:rPr>
                        <w:rFonts w:ascii="Cambria Math" w:hAnsi="Cambria Math" w:cs="Arial"/>
                        <w:sz w:val="21"/>
                        <w:szCs w:val="21"/>
                      </w:rPr>
                      <m:t>1,1</m:t>
                    </m:r>
                  </m:sub>
                </m:sSub>
                <m:d>
                  <m:dPr>
                    <m:ctrlPr>
                      <w:rPr>
                        <w:rFonts w:ascii="Cambria Math" w:hAnsi="Cambria Math" w:cs="Arial"/>
                        <w:sz w:val="21"/>
                        <w:szCs w:val="21"/>
                      </w:rPr>
                    </m:ctrlPr>
                  </m:dPr>
                  <m:e>
                    <m:sSub>
                      <m:sSubPr>
                        <m:ctrlPr>
                          <w:rPr>
                            <w:rFonts w:ascii="Cambria Math" w:hAnsi="Cambria Math" w:cs="Arial"/>
                            <w:sz w:val="21"/>
                            <w:szCs w:val="21"/>
                          </w:rPr>
                        </m:ctrlPr>
                      </m:sSubPr>
                      <m:e>
                        <m:r>
                          <w:rPr>
                            <w:rFonts w:ascii="Cambria Math" w:hAnsi="Cambria Math" w:cs="Arial"/>
                            <w:sz w:val="21"/>
                            <w:szCs w:val="21"/>
                          </w:rPr>
                          <m:t>b</m:t>
                        </m:r>
                      </m:e>
                      <m:sub>
                        <m:r>
                          <m:rPr>
                            <m:sty m:val="p"/>
                          </m:rPr>
                          <w:rPr>
                            <w:rFonts w:ascii="Cambria Math" w:hAnsi="Cambria Math" w:cs="Arial"/>
                            <w:sz w:val="21"/>
                            <w:szCs w:val="21"/>
                          </w:rPr>
                          <m:t>0</m:t>
                        </m:r>
                      </m:sub>
                    </m:sSub>
                    <m:r>
                      <m:rPr>
                        <m:sty m:val="p"/>
                      </m:rPr>
                      <w:rPr>
                        <w:rFonts w:ascii="Cambria Math" w:hAnsi="Cambria Math" w:cs="Arial"/>
                        <w:sz w:val="21"/>
                        <w:szCs w:val="21"/>
                      </w:rPr>
                      <m:t>+</m:t>
                    </m:r>
                    <m:sSub>
                      <m:sSubPr>
                        <m:ctrlPr>
                          <w:rPr>
                            <w:rFonts w:ascii="Cambria Math" w:hAnsi="Cambria Math" w:cs="Arial"/>
                            <w:sz w:val="21"/>
                            <w:szCs w:val="21"/>
                          </w:rPr>
                        </m:ctrlPr>
                      </m:sSubPr>
                      <m:e>
                        <m:r>
                          <w:rPr>
                            <w:rFonts w:ascii="Cambria Math" w:hAnsi="Cambria Math" w:cs="Arial"/>
                            <w:sz w:val="21"/>
                            <w:szCs w:val="21"/>
                          </w:rPr>
                          <m:t>s</m:t>
                        </m:r>
                      </m:e>
                      <m:sub>
                        <m:r>
                          <m:rPr>
                            <m:sty m:val="p"/>
                          </m:rPr>
                          <w:rPr>
                            <w:rFonts w:ascii="Cambria Math" w:hAnsi="Cambria Math" w:cs="Arial"/>
                            <w:sz w:val="21"/>
                            <w:szCs w:val="21"/>
                          </w:rPr>
                          <m:t>1,2</m:t>
                        </m:r>
                      </m:sub>
                    </m:sSub>
                    <m:r>
                      <w:rPr>
                        <w:rFonts w:ascii="Cambria Math" w:hAnsi="Cambria Math" w:cs="Arial"/>
                        <w:sz w:val="21"/>
                        <w:szCs w:val="21"/>
                      </w:rPr>
                      <m:t>n</m:t>
                    </m:r>
                    <m:sSub>
                      <m:sSubPr>
                        <m:ctrlPr>
                          <w:rPr>
                            <w:rFonts w:ascii="Cambria Math" w:hAnsi="Cambria Math" w:cs="Arial"/>
                            <w:sz w:val="21"/>
                            <w:szCs w:val="21"/>
                          </w:rPr>
                        </m:ctrlPr>
                      </m:sSubPr>
                      <m:e>
                        <m:r>
                          <w:rPr>
                            <w:rFonts w:ascii="Cambria Math" w:hAnsi="Cambria Math" w:cs="Arial"/>
                            <w:sz w:val="21"/>
                            <w:szCs w:val="21"/>
                          </w:rPr>
                          <m:t>p</m:t>
                        </m:r>
                      </m:e>
                      <m:sub>
                        <m:r>
                          <m:rPr>
                            <m:sty m:val="p"/>
                          </m:rPr>
                          <w:rPr>
                            <w:rFonts w:ascii="Cambria Math" w:hAnsi="Cambria Math" w:cs="Arial"/>
                            <w:sz w:val="21"/>
                            <w:szCs w:val="21"/>
                          </w:rPr>
                          <m:t>1</m:t>
                        </m:r>
                      </m:sub>
                    </m:sSub>
                  </m:e>
                </m:d>
              </m:oMath>
            </m:oMathPara>
            <w:bookmarkEnd w:id="130"/>
          </w:p>
        </w:tc>
        <w:tc>
          <w:tcPr>
            <w:tcW w:w="4394" w:type="dxa"/>
            <w:tcBorders>
              <w:top w:val="single" w:sz="4" w:space="0" w:color="auto"/>
            </w:tcBorders>
            <w:vAlign w:val="center"/>
          </w:tcPr>
          <w:p w14:paraId="6329F8E8" w14:textId="77777777" w:rsidR="00FC0205" w:rsidRPr="00D16AB0" w:rsidRDefault="00FC0205" w:rsidP="00B70951">
            <w:pPr>
              <w:pStyle w:val="SMText"/>
              <w:spacing w:beforeLines="20" w:before="48" w:afterLines="20" w:after="48" w:line="276" w:lineRule="auto"/>
              <w:ind w:firstLine="482"/>
              <w:rPr>
                <w:rFonts w:ascii="Arial" w:hAnsi="Arial" w:cs="Arial"/>
                <w:sz w:val="21"/>
                <w:szCs w:val="21"/>
              </w:rPr>
            </w:pPr>
            <w:bookmarkStart w:id="131" w:name="_Toc214984910"/>
            <m:oMathPara>
              <m:oMath>
                <m:r>
                  <w:rPr>
                    <w:rFonts w:ascii="Cambria Math" w:hAnsi="Cambria Math" w:cs="Arial"/>
                    <w:sz w:val="21"/>
                    <w:szCs w:val="21"/>
                  </w:rPr>
                  <m:t>max</m:t>
                </m:r>
                <m:r>
                  <m:rPr>
                    <m:sty m:val="p"/>
                  </m:rPr>
                  <w:rPr>
                    <w:rFonts w:ascii="Cambria Math" w:hAnsi="Cambria Math" w:cs="Arial"/>
                    <w:sz w:val="21"/>
                    <w:szCs w:val="21"/>
                  </w:rPr>
                  <m:t xml:space="preserve"> </m:t>
                </m:r>
                <m:sSub>
                  <m:sSubPr>
                    <m:ctrlPr>
                      <w:rPr>
                        <w:rFonts w:ascii="Cambria Math" w:hAnsi="Cambria Math" w:cs="Arial"/>
                        <w:sz w:val="21"/>
                        <w:szCs w:val="21"/>
                      </w:rPr>
                    </m:ctrlPr>
                  </m:sSubPr>
                  <m:e>
                    <m:r>
                      <w:rPr>
                        <w:rFonts w:ascii="Cambria Math" w:hAnsi="Cambria Math" w:cs="Arial"/>
                        <w:sz w:val="21"/>
                        <w:szCs w:val="21"/>
                      </w:rPr>
                      <m:t>s</m:t>
                    </m:r>
                  </m:e>
                  <m:sub>
                    <m:r>
                      <m:rPr>
                        <m:sty m:val="p"/>
                      </m:rPr>
                      <w:rPr>
                        <w:rFonts w:ascii="Cambria Math" w:hAnsi="Cambria Math" w:cs="Arial"/>
                        <w:sz w:val="21"/>
                        <w:szCs w:val="21"/>
                      </w:rPr>
                      <m:t>2,2</m:t>
                    </m:r>
                  </m:sub>
                </m:sSub>
                <m:d>
                  <m:dPr>
                    <m:ctrlPr>
                      <w:rPr>
                        <w:rFonts w:ascii="Cambria Math" w:hAnsi="Cambria Math" w:cs="Arial"/>
                        <w:sz w:val="21"/>
                        <w:szCs w:val="21"/>
                      </w:rPr>
                    </m:ctrlPr>
                  </m:dPr>
                  <m:e>
                    <m:sSub>
                      <m:sSubPr>
                        <m:ctrlPr>
                          <w:rPr>
                            <w:rFonts w:ascii="Cambria Math" w:hAnsi="Cambria Math" w:cs="Arial"/>
                            <w:sz w:val="21"/>
                            <w:szCs w:val="21"/>
                          </w:rPr>
                        </m:ctrlPr>
                      </m:sSubPr>
                      <m:e>
                        <m:r>
                          <w:rPr>
                            <w:rFonts w:ascii="Cambria Math" w:hAnsi="Cambria Math" w:cs="Arial"/>
                            <w:sz w:val="21"/>
                            <w:szCs w:val="21"/>
                          </w:rPr>
                          <m:t>enp</m:t>
                        </m:r>
                      </m:e>
                      <m:sub>
                        <m:r>
                          <m:rPr>
                            <m:sty m:val="p"/>
                          </m:rPr>
                          <w:rPr>
                            <w:rFonts w:ascii="Cambria Math" w:hAnsi="Cambria Math" w:cs="Arial"/>
                            <w:sz w:val="21"/>
                            <w:szCs w:val="21"/>
                          </w:rPr>
                          <m:t>2</m:t>
                        </m:r>
                      </m:sub>
                    </m:sSub>
                  </m:e>
                </m:d>
              </m:oMath>
            </m:oMathPara>
            <w:bookmarkEnd w:id="131"/>
          </w:p>
          <w:bookmarkStart w:id="132" w:name="_Toc214984911"/>
          <w:p w14:paraId="5C3ED690" w14:textId="77777777" w:rsidR="00FC0205" w:rsidRPr="00D16AB0" w:rsidRDefault="00000000" w:rsidP="00B70951">
            <w:pPr>
              <w:pStyle w:val="SMText"/>
              <w:spacing w:beforeLines="20" w:before="48" w:afterLines="20" w:after="48" w:line="276" w:lineRule="auto"/>
              <w:ind w:firstLine="482"/>
              <w:rPr>
                <w:rFonts w:ascii="Arial" w:hAnsi="Arial" w:cs="Arial"/>
                <w:sz w:val="21"/>
                <w:szCs w:val="21"/>
              </w:rPr>
            </w:pPr>
            <m:oMathPara>
              <m:oMath>
                <m:func>
                  <m:funcPr>
                    <m:ctrlPr>
                      <w:rPr>
                        <w:rFonts w:ascii="Cambria Math" w:hAnsi="Cambria Math" w:cs="Arial"/>
                        <w:sz w:val="21"/>
                        <w:szCs w:val="21"/>
                      </w:rPr>
                    </m:ctrlPr>
                  </m:funcPr>
                  <m:fName>
                    <m:r>
                      <w:rPr>
                        <w:rFonts w:ascii="Cambria Math" w:hAnsi="Cambria Math" w:cs="Arial"/>
                        <w:sz w:val="21"/>
                        <w:szCs w:val="21"/>
                      </w:rPr>
                      <m:t>max</m:t>
                    </m:r>
                  </m:fName>
                  <m:e>
                    <m:sSub>
                      <m:sSubPr>
                        <m:ctrlPr>
                          <w:rPr>
                            <w:rFonts w:ascii="Cambria Math" w:hAnsi="Cambria Math" w:cs="Arial"/>
                            <w:sz w:val="21"/>
                            <w:szCs w:val="21"/>
                          </w:rPr>
                        </m:ctrlPr>
                      </m:sSubPr>
                      <m:e>
                        <m:r>
                          <w:rPr>
                            <w:rFonts w:ascii="Cambria Math" w:hAnsi="Cambria Math" w:cs="Arial"/>
                            <w:sz w:val="21"/>
                            <w:szCs w:val="21"/>
                          </w:rPr>
                          <m:t>π</m:t>
                        </m:r>
                      </m:e>
                      <m:sub>
                        <m:r>
                          <m:rPr>
                            <m:sty m:val="p"/>
                          </m:rPr>
                          <w:rPr>
                            <w:rFonts w:ascii="Cambria Math" w:hAnsi="Cambria Math" w:cs="Arial"/>
                            <w:sz w:val="21"/>
                            <w:szCs w:val="21"/>
                          </w:rPr>
                          <m:t>2</m:t>
                        </m:r>
                      </m:sub>
                    </m:sSub>
                  </m:e>
                </m:func>
                <m:r>
                  <m:rPr>
                    <m:sty m:val="p"/>
                  </m:rPr>
                  <w:rPr>
                    <w:rFonts w:ascii="Cambria Math" w:hAnsi="Cambria Math" w:cs="Arial"/>
                    <w:sz w:val="21"/>
                    <w:szCs w:val="21"/>
                  </w:rPr>
                  <m:t>=</m:t>
                </m:r>
                <m:sSub>
                  <m:sSubPr>
                    <m:ctrlPr>
                      <w:rPr>
                        <w:rFonts w:ascii="Cambria Math" w:hAnsi="Cambria Math" w:cs="Arial"/>
                        <w:sz w:val="21"/>
                        <w:szCs w:val="21"/>
                      </w:rPr>
                    </m:ctrlPr>
                  </m:sSubPr>
                  <m:e>
                    <m:r>
                      <w:rPr>
                        <w:rFonts w:ascii="Cambria Math" w:hAnsi="Cambria Math" w:cs="Arial"/>
                        <w:sz w:val="21"/>
                        <w:szCs w:val="21"/>
                      </w:rPr>
                      <m:t>s</m:t>
                    </m:r>
                  </m:e>
                  <m:sub>
                    <m:r>
                      <m:rPr>
                        <m:sty m:val="p"/>
                      </m:rPr>
                      <w:rPr>
                        <w:rFonts w:ascii="Cambria Math" w:hAnsi="Cambria Math" w:cs="Arial"/>
                        <w:sz w:val="21"/>
                        <w:szCs w:val="21"/>
                      </w:rPr>
                      <m:t>2,1</m:t>
                    </m:r>
                  </m:sub>
                </m:sSub>
                <m:r>
                  <m:rPr>
                    <m:sty m:val="p"/>
                  </m:rPr>
                  <w:rPr>
                    <w:rFonts w:ascii="Cambria Math" w:hAnsi="Cambria Math" w:cs="Arial"/>
                    <w:sz w:val="21"/>
                    <w:szCs w:val="21"/>
                  </w:rPr>
                  <m:t>(</m:t>
                </m:r>
                <m:sSub>
                  <m:sSubPr>
                    <m:ctrlPr>
                      <w:rPr>
                        <w:rFonts w:ascii="Cambria Math" w:hAnsi="Cambria Math" w:cs="Arial"/>
                        <w:sz w:val="21"/>
                        <w:szCs w:val="21"/>
                      </w:rPr>
                    </m:ctrlPr>
                  </m:sSubPr>
                  <m:e>
                    <m:r>
                      <w:rPr>
                        <w:rFonts w:ascii="Cambria Math" w:hAnsi="Cambria Math" w:cs="Arial"/>
                        <w:sz w:val="21"/>
                        <w:szCs w:val="21"/>
                      </w:rPr>
                      <m:t>b</m:t>
                    </m:r>
                  </m:e>
                  <m:sub>
                    <m:r>
                      <m:rPr>
                        <m:sty m:val="p"/>
                      </m:rPr>
                      <w:rPr>
                        <w:rFonts w:ascii="Cambria Math" w:hAnsi="Cambria Math" w:cs="Arial"/>
                        <w:sz w:val="21"/>
                        <w:szCs w:val="21"/>
                      </w:rPr>
                      <m:t>0</m:t>
                    </m:r>
                  </m:sub>
                </m:sSub>
                <m:r>
                  <m:rPr>
                    <m:sty m:val="p"/>
                  </m:rPr>
                  <w:rPr>
                    <w:rFonts w:ascii="Cambria Math" w:hAnsi="Cambria Math" w:cs="Arial"/>
                    <w:sz w:val="21"/>
                    <w:szCs w:val="21"/>
                  </w:rPr>
                  <m:t>+</m:t>
                </m:r>
                <m:sSub>
                  <m:sSubPr>
                    <m:ctrlPr>
                      <w:rPr>
                        <w:rFonts w:ascii="Cambria Math" w:hAnsi="Cambria Math" w:cs="Arial"/>
                        <w:sz w:val="21"/>
                        <w:szCs w:val="21"/>
                      </w:rPr>
                    </m:ctrlPr>
                  </m:sSubPr>
                  <m:e>
                    <m:r>
                      <w:rPr>
                        <w:rFonts w:ascii="Cambria Math" w:hAnsi="Cambria Math" w:cs="Arial"/>
                        <w:sz w:val="21"/>
                        <w:szCs w:val="21"/>
                      </w:rPr>
                      <m:t>s</m:t>
                    </m:r>
                  </m:e>
                  <m:sub>
                    <m:r>
                      <m:rPr>
                        <m:sty m:val="p"/>
                      </m:rPr>
                      <w:rPr>
                        <w:rFonts w:ascii="Cambria Math" w:hAnsi="Cambria Math" w:cs="Arial"/>
                        <w:sz w:val="21"/>
                        <w:szCs w:val="21"/>
                      </w:rPr>
                      <m:t>2,2</m:t>
                    </m:r>
                  </m:sub>
                </m:sSub>
                <m:sSub>
                  <m:sSubPr>
                    <m:ctrlPr>
                      <w:rPr>
                        <w:rFonts w:ascii="Cambria Math" w:hAnsi="Cambria Math" w:cs="Arial"/>
                        <w:sz w:val="21"/>
                        <w:szCs w:val="21"/>
                      </w:rPr>
                    </m:ctrlPr>
                  </m:sSubPr>
                  <m:e>
                    <m:r>
                      <w:rPr>
                        <w:rFonts w:ascii="Cambria Math" w:hAnsi="Cambria Math" w:cs="Arial"/>
                        <w:sz w:val="21"/>
                        <w:szCs w:val="21"/>
                      </w:rPr>
                      <m:t>np</m:t>
                    </m:r>
                  </m:e>
                  <m:sub>
                    <m:r>
                      <m:rPr>
                        <m:sty m:val="p"/>
                      </m:rPr>
                      <w:rPr>
                        <w:rFonts w:ascii="Cambria Math" w:hAnsi="Cambria Math" w:cs="Arial"/>
                        <w:sz w:val="21"/>
                        <w:szCs w:val="21"/>
                      </w:rPr>
                      <m:t>2</m:t>
                    </m:r>
                  </m:sub>
                </m:sSub>
                <m:r>
                  <m:rPr>
                    <m:sty m:val="p"/>
                  </m:rPr>
                  <w:rPr>
                    <w:rFonts w:ascii="Cambria Math" w:hAnsi="Cambria Math" w:cs="Arial"/>
                    <w:sz w:val="21"/>
                    <w:szCs w:val="21"/>
                  </w:rPr>
                  <m:t>)</m:t>
                </m:r>
              </m:oMath>
            </m:oMathPara>
            <w:bookmarkEnd w:id="132"/>
          </w:p>
        </w:tc>
      </w:tr>
    </w:tbl>
    <w:p w14:paraId="10C088E0" w14:textId="77777777" w:rsidR="00FC0205" w:rsidRPr="00D16AB0" w:rsidRDefault="00FC0205" w:rsidP="00961066">
      <w:pPr>
        <w:pStyle w:val="SMSubheading"/>
        <w:spacing w:beforeLines="50" w:before="120" w:afterLines="50" w:after="120" w:line="276" w:lineRule="auto"/>
        <w:rPr>
          <w:rFonts w:ascii="Arial" w:hAnsi="Arial" w:cs="Arial"/>
          <w:bCs/>
          <w:sz w:val="21"/>
          <w:szCs w:val="21"/>
          <w:u w:val="none"/>
          <w:lang w:val="en-GB"/>
        </w:rPr>
      </w:pPr>
    </w:p>
    <w:p w14:paraId="5A02F121" w14:textId="77777777" w:rsidR="00866602" w:rsidRPr="00D16AB0" w:rsidRDefault="00267A80"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133" w:name="_Toc214984912"/>
      <w:bookmarkStart w:id="134" w:name="_Toc214985828"/>
      <w:bookmarkStart w:id="135" w:name="_Toc214986970"/>
      <w:r w:rsidRPr="00D16AB0">
        <w:rPr>
          <w:rFonts w:ascii="Arial" w:hAnsi="Arial" w:cs="Arial"/>
          <w:b/>
          <w:bCs/>
          <w:sz w:val="21"/>
          <w:szCs w:val="21"/>
          <w:u w:val="none"/>
          <w:lang w:val="en-GB"/>
        </w:rPr>
        <w:t>Decisions by the regulator</w:t>
      </w:r>
      <w:bookmarkEnd w:id="133"/>
      <w:bookmarkEnd w:id="134"/>
      <w:bookmarkEnd w:id="135"/>
    </w:p>
    <w:p w14:paraId="019F3ECF" w14:textId="25214DAC" w:rsidR="00A137EA" w:rsidRPr="00D16AB0" w:rsidRDefault="00A137EA" w:rsidP="006B1474">
      <w:pPr>
        <w:pStyle w:val="SMText"/>
        <w:spacing w:beforeLines="50" w:before="120" w:afterLines="50" w:after="120" w:line="276" w:lineRule="auto"/>
        <w:ind w:firstLine="0"/>
        <w:rPr>
          <w:rFonts w:ascii="Arial" w:hAnsi="Arial" w:cs="Arial"/>
          <w:sz w:val="21"/>
          <w:szCs w:val="21"/>
          <w:lang w:val="en-GB" w:eastAsia="zh-CN"/>
        </w:rPr>
      </w:pPr>
      <w:bookmarkStart w:id="136" w:name="_Toc214984913"/>
      <w:r w:rsidRPr="00D16AB0">
        <w:rPr>
          <w:rFonts w:ascii="Arial" w:hAnsi="Arial" w:cs="Arial"/>
          <w:sz w:val="21"/>
          <w:szCs w:val="21"/>
          <w:lang w:val="en-GB" w:eastAsia="zh-CN"/>
        </w:rPr>
        <w:t>Under the current regime, the regulator judges whether a project is deemed additional (</w:t>
      </w:r>
      <m:oMath>
        <m:r>
          <w:rPr>
            <w:rFonts w:ascii="Cambria Math" w:hAnsi="Cambria Math" w:cs="Arial"/>
            <w:sz w:val="21"/>
            <w:szCs w:val="21"/>
            <w:lang w:val="en-GB" w:eastAsia="zh-CN"/>
          </w:rPr>
          <m:t>q</m:t>
        </m:r>
        <m:r>
          <m:rPr>
            <m:sty m:val="p"/>
          </m:rPr>
          <w:rPr>
            <w:rFonts w:ascii="Cambria Math" w:hAnsi="Cambria Math" w:cs="Arial"/>
            <w:sz w:val="21"/>
            <w:szCs w:val="21"/>
            <w:lang w:val="en-GB" w:eastAsia="zh-CN"/>
          </w:rPr>
          <m:t>=1</m:t>
        </m:r>
      </m:oMath>
      <w:r w:rsidRPr="00D16AB0">
        <w:rPr>
          <w:rFonts w:ascii="Arial" w:hAnsi="Arial" w:cs="Arial"/>
          <w:sz w:val="21"/>
          <w:szCs w:val="21"/>
          <w:lang w:val="en-GB" w:eastAsia="zh-CN"/>
        </w:rPr>
        <w:t>) or not (</w:t>
      </w:r>
      <m:oMath>
        <m:r>
          <w:rPr>
            <w:rFonts w:ascii="Cambria Math" w:hAnsi="Cambria Math" w:cs="Arial"/>
            <w:sz w:val="21"/>
            <w:szCs w:val="21"/>
            <w:lang w:val="en-GB" w:eastAsia="zh-CN"/>
          </w:rPr>
          <m:t>q</m:t>
        </m:r>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 and decides whether to accept (</w:t>
      </w:r>
      <m:oMath>
        <m:r>
          <w:rPr>
            <w:rFonts w:ascii="Cambria Math" w:hAnsi="Cambria Math" w:cs="Arial"/>
            <w:sz w:val="21"/>
            <w:szCs w:val="21"/>
            <w:lang w:val="en-GB" w:eastAsia="zh-CN"/>
          </w:rPr>
          <m:t>ac</m:t>
        </m:r>
        <m:r>
          <m:rPr>
            <m:sty m:val="p"/>
          </m:rPr>
          <w:rPr>
            <w:rFonts w:ascii="Cambria Math" w:hAnsi="Cambria Math" w:cs="Arial"/>
            <w:sz w:val="21"/>
            <w:szCs w:val="21"/>
            <w:lang w:val="en-GB" w:eastAsia="zh-CN"/>
          </w:rPr>
          <m:t>=1</m:t>
        </m:r>
      </m:oMath>
      <w:r w:rsidRPr="00D16AB0">
        <w:rPr>
          <w:rFonts w:ascii="Arial" w:hAnsi="Arial" w:cs="Arial"/>
          <w:sz w:val="21"/>
          <w:szCs w:val="21"/>
          <w:lang w:val="en-GB" w:eastAsia="zh-CN"/>
        </w:rPr>
        <w:t>) or reject (</w:t>
      </w:r>
      <m:oMath>
        <m:r>
          <w:rPr>
            <w:rFonts w:ascii="Cambria Math" w:hAnsi="Cambria Math" w:cs="Arial"/>
            <w:sz w:val="21"/>
            <w:szCs w:val="21"/>
            <w:lang w:val="en-GB" w:eastAsia="zh-CN"/>
          </w:rPr>
          <m:t>ac</m:t>
        </m:r>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 xml:space="preserve">) the application. Unlike the decisions by the project developer, which are known with certainty, there is an element of randomness in regulatory decisions due to information asymmetry. Project developers have </w:t>
      </w:r>
      <w:r w:rsidR="00030BAE" w:rsidRPr="00D16AB0">
        <w:rPr>
          <w:rFonts w:ascii="Arial" w:hAnsi="Arial" w:cs="Arial"/>
          <w:sz w:val="21"/>
          <w:szCs w:val="21"/>
          <w:lang w:val="en-GB" w:eastAsia="zh-CN"/>
        </w:rPr>
        <w:t>more</w:t>
      </w:r>
      <w:r w:rsidRPr="00D16AB0">
        <w:rPr>
          <w:rFonts w:ascii="Arial" w:hAnsi="Arial" w:cs="Arial"/>
          <w:sz w:val="21"/>
          <w:szCs w:val="21"/>
          <w:lang w:val="en-GB" w:eastAsia="zh-CN"/>
        </w:rPr>
        <w:t xml:space="preserve"> information about project characteristics</w:t>
      </w:r>
      <w:r w:rsidR="00595DF8" w:rsidRPr="00D16AB0">
        <w:rPr>
          <w:rFonts w:ascii="Arial" w:hAnsi="Arial" w:cs="Arial"/>
          <w:sz w:val="21"/>
          <w:szCs w:val="21"/>
          <w:lang w:val="en-GB" w:eastAsia="zh-CN"/>
        </w:rPr>
        <w:t xml:space="preserve"> than the regulator</w:t>
      </w:r>
      <w:r w:rsidRPr="00D16AB0">
        <w:rPr>
          <w:rFonts w:ascii="Arial" w:hAnsi="Arial" w:cs="Arial"/>
          <w:sz w:val="21"/>
          <w:szCs w:val="21"/>
          <w:lang w:val="en-GB" w:eastAsia="zh-CN"/>
        </w:rPr>
        <w:t xml:space="preserve">, </w:t>
      </w:r>
      <w:r w:rsidR="003F2578" w:rsidRPr="00D16AB0">
        <w:rPr>
          <w:rFonts w:ascii="Arial" w:hAnsi="Arial" w:cs="Arial"/>
          <w:sz w:val="21"/>
          <w:szCs w:val="21"/>
          <w:lang w:val="en-GB" w:eastAsia="zh-CN"/>
        </w:rPr>
        <w:t>while</w:t>
      </w:r>
      <w:r w:rsidRPr="00D16AB0">
        <w:rPr>
          <w:rFonts w:ascii="Arial" w:hAnsi="Arial" w:cs="Arial"/>
          <w:sz w:val="21"/>
          <w:szCs w:val="21"/>
          <w:lang w:val="en-GB" w:eastAsia="zh-CN"/>
        </w:rPr>
        <w:t xml:space="preserve"> the regulator can only make the decisions on observed data in reports with a probability of being fabricated.</w:t>
      </w:r>
      <w:bookmarkEnd w:id="136"/>
    </w:p>
    <w:p w14:paraId="4ABC0803" w14:textId="09AD9009" w:rsidR="00951556" w:rsidRPr="00D16AB0" w:rsidRDefault="00A137EA" w:rsidP="006B1474">
      <w:pPr>
        <w:pStyle w:val="SMText"/>
        <w:spacing w:beforeLines="50" w:before="120" w:afterLines="50" w:after="120" w:line="276" w:lineRule="auto"/>
        <w:ind w:firstLine="0"/>
        <w:rPr>
          <w:rFonts w:ascii="Arial" w:hAnsi="Arial" w:cs="Arial"/>
          <w:sz w:val="21"/>
          <w:szCs w:val="21"/>
          <w:lang w:val="en-GB" w:eastAsia="zh-CN"/>
        </w:rPr>
      </w:pPr>
      <w:bookmarkStart w:id="137" w:name="_Toc214984914"/>
      <w:r w:rsidRPr="00D16AB0">
        <w:rPr>
          <w:rFonts w:ascii="Arial" w:hAnsi="Arial" w:cs="Arial"/>
          <w:sz w:val="21"/>
          <w:szCs w:val="21"/>
          <w:lang w:val="en-GB" w:eastAsia="zh-CN"/>
        </w:rPr>
        <w:t xml:space="preserve">A rational regulator will speculate the gaming behaviours and estimate the actual data on the </w:t>
      </w:r>
      <w:r w:rsidR="00113B3D" w:rsidRPr="00D16AB0">
        <w:rPr>
          <w:rFonts w:ascii="Arial" w:hAnsi="Arial" w:cs="Arial"/>
          <w:sz w:val="21"/>
          <w:szCs w:val="21"/>
          <w:lang w:val="en-GB" w:eastAsia="zh-CN"/>
        </w:rPr>
        <w:t>reported</w:t>
      </w:r>
      <w:r w:rsidRPr="00D16AB0">
        <w:rPr>
          <w:rFonts w:ascii="Arial" w:hAnsi="Arial" w:cs="Arial"/>
          <w:sz w:val="21"/>
          <w:szCs w:val="21"/>
          <w:lang w:val="en-GB" w:eastAsia="zh-CN"/>
        </w:rPr>
        <w:t xml:space="preserve"> data. Ideally, the perfect regulation makes all additional projects accepted (“true positives”) and all non-additional projects rejected (“true negatives”) but the regulation is not perfect. In front of incomplete information, regulators always face a statistical probability of accepting non-additional projects (“false positives”) and rejecting additional projects (“false negatives”). Practically, regulators must use their knowledge and experience to determine a certain value as the policy hurdle rate and reject IRR-above-policy-hurdle-rate projects. At a result, the regulation can be unbiased when the policy hurdle rate equals the real hurdle rate or too lenient (strict) if the policy hurdle rate is larger (smaller) than the real hurdle rate. The inclusive (exclusive) regulation will allow for more false acceptances (more false rejections). In addition, when the actual IRR without offsets of a project is near the real hurdle rate, it’s more difficult for the regulator to make a correct decision so the regulation will be inaccurate when the tests fail to distinguish whether or not a project has an IRR above the policy hurdle rate.</w:t>
      </w:r>
      <w:bookmarkEnd w:id="137"/>
    </w:p>
    <w:p w14:paraId="1BB69DD4" w14:textId="77777777" w:rsidR="00A137EA" w:rsidRPr="00D16AB0" w:rsidRDefault="00A137EA" w:rsidP="006B1474">
      <w:pPr>
        <w:pStyle w:val="SMText"/>
        <w:spacing w:beforeLines="50" w:before="120" w:afterLines="50" w:after="120" w:line="276" w:lineRule="auto"/>
        <w:ind w:firstLine="0"/>
        <w:rPr>
          <w:rFonts w:ascii="Arial" w:hAnsi="Arial" w:cs="Arial"/>
          <w:sz w:val="21"/>
          <w:szCs w:val="21"/>
          <w:lang w:val="en-GB" w:eastAsia="zh-CN"/>
        </w:rPr>
      </w:pPr>
      <w:bookmarkStart w:id="138" w:name="_Toc214984915"/>
      <w:r w:rsidRPr="00D16AB0">
        <w:rPr>
          <w:rFonts w:ascii="Arial" w:hAnsi="Arial" w:cs="Arial"/>
          <w:sz w:val="21"/>
          <w:szCs w:val="21"/>
          <w:lang w:val="en-GB" w:eastAsia="zh-CN"/>
        </w:rPr>
        <w:t>Since the regulator is more likely to reject a project as its profit goes up, we stipulate that the probability of a successful additionality decision (</w:t>
      </w:r>
      <m:oMath>
        <m:r>
          <w:rPr>
            <w:rFonts w:ascii="Cambria Math" w:hAnsi="Cambria Math" w:cs="Arial"/>
            <w:sz w:val="21"/>
            <w:szCs w:val="21"/>
            <w:lang w:val="en-GB" w:eastAsia="zh-CN"/>
          </w:rPr>
          <m:t>q</m:t>
        </m:r>
      </m:oMath>
      <w:r w:rsidRPr="00D16AB0">
        <w:rPr>
          <w:rFonts w:ascii="Arial" w:hAnsi="Arial" w:cs="Arial"/>
          <w:sz w:val="21"/>
          <w:szCs w:val="21"/>
          <w:lang w:val="en-GB" w:eastAsia="zh-CN"/>
        </w:rPr>
        <w:t>) is negatively correlated with the actual IRR without offsets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We specify these properties through (the inverse of) a logistic function with a range between 0 and 1,</w:t>
      </w:r>
      <w:bookmarkEnd w:id="138"/>
    </w:p>
    <w:bookmarkStart w:id="139" w:name="_Toc214984916"/>
    <w:p w14:paraId="47D19319" w14:textId="40D9A08F" w:rsidR="00A137EA" w:rsidRPr="00D16AB0" w:rsidRDefault="00000000" w:rsidP="006B1474">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r>
                <w:rPr>
                  <w:rFonts w:ascii="Cambria Math" w:hAnsi="Cambria Math" w:cs="Arial"/>
                  <w:sz w:val="21"/>
                  <w:szCs w:val="21"/>
                  <w:lang w:val="en-GB" w:eastAsia="zh-CN"/>
                </w:rPr>
                <m:t>q</m:t>
              </m:r>
              <m:d>
                <m:dPr>
                  <m:ctrlPr>
                    <w:rPr>
                      <w:rFonts w:ascii="Cambria Math" w:hAnsi="Cambria Math" w:cs="Arial"/>
                      <w:sz w:val="21"/>
                      <w:szCs w:val="21"/>
                      <w:lang w:val="en-GB" w:eastAsia="zh-CN"/>
                    </w:rPr>
                  </m:ctrlPr>
                </m:dPr>
                <m:e>
                  <m:r>
                    <w:rPr>
                      <w:rFonts w:ascii="Cambria Math" w:hAnsi="Cambria Math" w:cs="Arial"/>
                      <w:sz w:val="21"/>
                      <w:szCs w:val="21"/>
                      <w:lang w:val="en-GB" w:eastAsia="zh-CN"/>
                    </w:rPr>
                    <m:t>R</m:t>
                  </m:r>
                </m:e>
              </m:d>
              <m:r>
                <m:rPr>
                  <m:sty m:val="p"/>
                </m:rPr>
                <w:rPr>
                  <w:rFonts w:ascii="Cambria Math" w:hAnsi="Cambria Math" w:cs="Arial"/>
                  <w:sz w:val="21"/>
                  <w:szCs w:val="21"/>
                  <w:lang w:val="en-GB" w:eastAsia="zh-CN"/>
                </w:rPr>
                <m:t>=</m:t>
              </m:r>
              <m:d>
                <m:dPr>
                  <m:begChr m:val="{"/>
                  <m:endChr m:val=""/>
                  <m:ctrlPr>
                    <w:rPr>
                      <w:rFonts w:ascii="Cambria Math" w:hAnsi="Cambria Math" w:cs="Arial"/>
                      <w:sz w:val="21"/>
                      <w:szCs w:val="21"/>
                      <w:lang w:val="en-GB" w:eastAsia="zh-CN"/>
                    </w:rPr>
                  </m:ctrlPr>
                </m:dPr>
                <m:e>
                  <m:eqArr>
                    <m:eqArrPr>
                      <m:ctrlPr>
                        <w:rPr>
                          <w:rFonts w:ascii="Cambria Math" w:hAnsi="Cambria Math" w:cs="Arial"/>
                          <w:sz w:val="21"/>
                          <w:szCs w:val="21"/>
                          <w:lang w:val="en-GB" w:eastAsia="zh-CN"/>
                        </w:rPr>
                      </m:ctrlPr>
                    </m:eqArrPr>
                    <m:e>
                      <m:r>
                        <m:rPr>
                          <m:sty m:val="p"/>
                        </m:rPr>
                        <w:rPr>
                          <w:rFonts w:ascii="Cambria Math" w:hAnsi="Cambria Math" w:cs="Arial"/>
                          <w:sz w:val="21"/>
                          <w:szCs w:val="21"/>
                          <w:lang w:val="en-GB" w:eastAsia="zh-CN"/>
                        </w:rPr>
                        <m:t>1-</m:t>
                      </m:r>
                      <m:f>
                        <m:fPr>
                          <m:ctrlPr>
                            <w:rPr>
                              <w:rFonts w:ascii="Cambria Math" w:hAnsi="Cambria Math" w:cs="Arial"/>
                              <w:sz w:val="21"/>
                              <w:szCs w:val="21"/>
                              <w:lang w:val="en-GB" w:eastAsia="zh-CN"/>
                            </w:rPr>
                          </m:ctrlPr>
                        </m:fPr>
                        <m:num>
                          <m:r>
                            <m:rPr>
                              <m:sty m:val="p"/>
                            </m:rPr>
                            <w:rPr>
                              <w:rFonts w:ascii="Cambria Math" w:hAnsi="Cambria Math" w:cs="Arial"/>
                              <w:sz w:val="21"/>
                              <w:szCs w:val="21"/>
                              <w:lang w:val="en-GB" w:eastAsia="zh-CN"/>
                            </w:rPr>
                            <m:t>1</m:t>
                          </m:r>
                        </m:num>
                        <m:den>
                          <m:r>
                            <m:rPr>
                              <m:sty m:val="p"/>
                            </m:rPr>
                            <w:rPr>
                              <w:rFonts w:ascii="Cambria Math" w:hAnsi="Cambria Math" w:cs="Arial"/>
                              <w:sz w:val="21"/>
                              <w:szCs w:val="21"/>
                              <w:lang w:val="en-GB" w:eastAsia="zh-CN"/>
                            </w:rPr>
                            <m:t xml:space="preserve">1+ </m:t>
                          </m:r>
                          <m:sSup>
                            <m:sSupPr>
                              <m:ctrlPr>
                                <w:rPr>
                                  <w:rFonts w:ascii="Cambria Math" w:hAnsi="Cambria Math" w:cs="Arial"/>
                                  <w:sz w:val="21"/>
                                  <w:szCs w:val="21"/>
                                  <w:lang w:val="en-GB" w:eastAsia="zh-CN"/>
                                </w:rPr>
                              </m:ctrlPr>
                            </m:sSupPr>
                            <m:e>
                              <m:r>
                                <w:rPr>
                                  <w:rFonts w:ascii="Cambria Math" w:hAnsi="Cambria Math" w:cs="Arial"/>
                                  <w:sz w:val="21"/>
                                  <w:szCs w:val="21"/>
                                  <w:lang w:val="en-GB" w:eastAsia="zh-CN"/>
                                </w:rPr>
                                <m:t>e</m:t>
                              </m:r>
                            </m:e>
                            <m:sup>
                              <m:r>
                                <m:rPr>
                                  <m:sty m:val="p"/>
                                </m:rPr>
                                <w:rPr>
                                  <w:rFonts w:ascii="Cambria Math" w:hAnsi="Cambria Math" w:cs="Arial"/>
                                  <w:sz w:val="21"/>
                                  <w:szCs w:val="21"/>
                                  <w:lang w:val="en-GB" w:eastAsia="zh-CN"/>
                                </w:rPr>
                                <m:t>-</m:t>
                              </m:r>
                              <m:r>
                                <w:rPr>
                                  <w:rFonts w:ascii="Cambria Math" w:hAnsi="Cambria Math" w:cs="Arial"/>
                                  <w:sz w:val="21"/>
                                  <w:szCs w:val="21"/>
                                  <w:lang w:val="en-GB" w:eastAsia="zh-CN"/>
                                </w:rPr>
                                <m:t>k</m:t>
                              </m:r>
                              <m:d>
                                <m:dPr>
                                  <m:ctrlPr>
                                    <w:rPr>
                                      <w:rFonts w:ascii="Cambria Math" w:hAnsi="Cambria Math" w:cs="Arial"/>
                                      <w:sz w:val="21"/>
                                      <w:szCs w:val="21"/>
                                      <w:lang w:val="en-GB" w:eastAsia="zh-CN"/>
                                    </w:rPr>
                                  </m:ctrlPr>
                                </m:dPr>
                                <m:e>
                                  <m:r>
                                    <w:rPr>
                                      <w:rFonts w:ascii="Cambria Math" w:hAnsi="Cambria Math" w:cs="Arial"/>
                                      <w:sz w:val="21"/>
                                      <w:szCs w:val="21"/>
                                      <w:lang w:val="en-GB" w:eastAsia="zh-CN"/>
                                    </w:rPr>
                                    <m:t>R</m:t>
                                  </m:r>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w:rPr>
                                          <w:rFonts w:ascii="Cambria Math" w:hAnsi="Cambria Math" w:cs="Arial"/>
                                          <w:sz w:val="21"/>
                                          <w:szCs w:val="21"/>
                                          <w:lang w:val="en-GB" w:eastAsia="zh-CN"/>
                                        </w:rPr>
                                        <m:t>p</m:t>
                                      </m:r>
                                    </m:sub>
                                  </m:sSub>
                                </m:e>
                              </m:d>
                            </m:sup>
                          </m:sSup>
                        </m:den>
                      </m:f>
                      <m:r>
                        <m:rPr>
                          <m:sty m:val="p"/>
                        </m:rPr>
                        <w:rPr>
                          <w:rFonts w:ascii="Cambria Math" w:hAnsi="Cambria Math" w:cs="Arial"/>
                          <w:sz w:val="21"/>
                          <w:szCs w:val="21"/>
                          <w:lang w:val="en-GB" w:eastAsia="zh-CN"/>
                        </w:rPr>
                        <m:t>,  &amp;</m:t>
                      </m:r>
                      <m:r>
                        <w:rPr>
                          <w:rFonts w:ascii="Cambria Math" w:hAnsi="Cambria Math" w:cs="Arial"/>
                          <w:sz w:val="21"/>
                          <w:szCs w:val="21"/>
                          <w:lang w:val="en-GB" w:eastAsia="zh-CN"/>
                        </w:rPr>
                        <m:t>k</m:t>
                      </m:r>
                      <m:r>
                        <m:rPr>
                          <m:sty m:val="p"/>
                        </m:rPr>
                        <w:rPr>
                          <w:rFonts w:ascii="Cambria Math" w:hAnsi="Cambria Math" w:cs="Arial"/>
                          <w:sz w:val="21"/>
                          <w:szCs w:val="21"/>
                          <w:lang w:val="en-GB" w:eastAsia="zh-CN"/>
                        </w:rPr>
                        <m:t>&gt;0</m:t>
                      </m:r>
                    </m:e>
                    <m:e>
                      <m:r>
                        <w:rPr>
                          <w:rFonts w:ascii="Cambria Math" w:hAnsi="Cambria Math" w:cs="Arial"/>
                          <w:sz w:val="21"/>
                          <w:szCs w:val="21"/>
                          <w:lang w:val="en-GB" w:eastAsia="zh-CN"/>
                        </w:rPr>
                        <m:t>p</m:t>
                      </m:r>
                      <m:r>
                        <m:rPr>
                          <m:sty m:val="p"/>
                        </m:rPr>
                        <w:rPr>
                          <w:rFonts w:ascii="Cambria Math" w:hAnsi="Cambria Math" w:cs="Arial"/>
                          <w:sz w:val="21"/>
                          <w:szCs w:val="21"/>
                          <w:lang w:val="en-GB" w:eastAsia="zh-CN"/>
                        </w:rPr>
                        <m:t>,  &amp;</m:t>
                      </m:r>
                      <m:r>
                        <w:rPr>
                          <w:rFonts w:ascii="Cambria Math" w:hAnsi="Cambria Math" w:cs="Arial"/>
                          <w:sz w:val="21"/>
                          <w:szCs w:val="21"/>
                          <w:lang w:val="en-GB" w:eastAsia="zh-CN"/>
                        </w:rPr>
                        <m:t>k</m:t>
                      </m:r>
                      <m:r>
                        <m:rPr>
                          <m:sty m:val="p"/>
                        </m:rPr>
                        <w:rPr>
                          <w:rFonts w:ascii="Cambria Math" w:hAnsi="Cambria Math" w:cs="Arial"/>
                          <w:sz w:val="21"/>
                          <w:szCs w:val="21"/>
                          <w:lang w:val="en-GB" w:eastAsia="zh-CN"/>
                        </w:rPr>
                        <m:t>=0</m:t>
                      </m:r>
                    </m:e>
                  </m:eqArr>
                </m:e>
              </m:d>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23</m:t>
                  </m:r>
                </m:e>
              </m:d>
            </m:e>
          </m:eqArr>
        </m:oMath>
      </m:oMathPara>
      <w:bookmarkEnd w:id="139"/>
    </w:p>
    <w:p w14:paraId="224999E3" w14:textId="769022C4" w:rsidR="00770059" w:rsidRPr="00D16AB0" w:rsidRDefault="00A137EA" w:rsidP="006B1474">
      <w:pPr>
        <w:pStyle w:val="SMText"/>
        <w:spacing w:beforeLines="50" w:before="120" w:afterLines="50" w:after="120" w:line="276" w:lineRule="auto"/>
        <w:ind w:firstLine="0"/>
        <w:rPr>
          <w:rFonts w:ascii="Arial" w:hAnsi="Arial" w:cs="Arial"/>
          <w:sz w:val="21"/>
          <w:szCs w:val="21"/>
          <w:lang w:val="en-GB" w:eastAsia="zh-CN"/>
        </w:rPr>
      </w:pPr>
      <w:bookmarkStart w:id="140" w:name="_Toc214984917"/>
      <w:r w:rsidRPr="00D16AB0">
        <w:rPr>
          <w:rFonts w:ascii="Arial" w:hAnsi="Arial" w:cs="Arial"/>
          <w:sz w:val="21"/>
          <w:szCs w:val="21"/>
          <w:lang w:val="en-GB" w:eastAsia="zh-CN"/>
        </w:rPr>
        <w:t xml:space="preserve">where </w:t>
      </w:r>
      <m:oMath>
        <m:r>
          <w:rPr>
            <w:rFonts w:ascii="Cambria Math" w:hAnsi="Cambria Math" w:cs="Arial"/>
            <w:sz w:val="21"/>
            <w:szCs w:val="21"/>
            <w:lang w:val="en-GB" w:eastAsia="zh-CN"/>
          </w:rPr>
          <m:t>k</m:t>
        </m:r>
      </m:oMath>
      <w:r w:rsidRPr="00D16AB0">
        <w:rPr>
          <w:rFonts w:ascii="Arial" w:hAnsi="Arial" w:cs="Arial"/>
          <w:sz w:val="21"/>
          <w:szCs w:val="21"/>
          <w:lang w:val="en-GB" w:eastAsia="zh-CN"/>
        </w:rPr>
        <w:t xml:space="preserve"> measures the steepness of the curve; the larger </w:t>
      </w:r>
      <m:oMath>
        <m:r>
          <w:rPr>
            <w:rFonts w:ascii="Cambria Math" w:hAnsi="Cambria Math" w:cs="Arial"/>
            <w:sz w:val="21"/>
            <w:szCs w:val="21"/>
            <w:lang w:val="en-GB" w:eastAsia="zh-CN"/>
          </w:rPr>
          <m:t>k</m:t>
        </m:r>
      </m:oMath>
      <w:r w:rsidRPr="00D16AB0">
        <w:rPr>
          <w:rFonts w:ascii="Arial" w:hAnsi="Arial" w:cs="Arial"/>
          <w:sz w:val="21"/>
          <w:szCs w:val="21"/>
          <w:lang w:val="en-GB" w:eastAsia="zh-CN"/>
        </w:rPr>
        <w:t xml:space="preserve">, the more accurate the regulation. A flatter curve means a more unpredictable regime. For </w:t>
      </w:r>
      <m:oMath>
        <m:r>
          <w:rPr>
            <w:rFonts w:ascii="Cambria Math" w:hAnsi="Cambria Math" w:cs="Arial"/>
            <w:sz w:val="21"/>
            <w:szCs w:val="21"/>
            <w:lang w:val="en-GB" w:eastAsia="zh-CN"/>
          </w:rPr>
          <m:t>k</m:t>
        </m:r>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 we get a random regulation where each project has the same probability of acceptance, independent of the project IRR;</w:t>
      </w:r>
      <w:r w:rsidR="001B6498" w:rsidRPr="00D16AB0">
        <w:rPr>
          <w:rFonts w:ascii="Arial" w:hAnsi="Arial" w:cs="Arial"/>
          <w:sz w:val="21"/>
          <w:szCs w:val="21"/>
          <w:lang w:val="en-GB" w:eastAsia="zh-CN"/>
        </w:rPr>
        <w:t xml:space="preserve"> </w:t>
      </w:r>
      <m:oMath>
        <m:r>
          <w:rPr>
            <w:rFonts w:ascii="Cambria Math" w:hAnsi="Cambria Math" w:cs="Arial"/>
            <w:sz w:val="21"/>
            <w:szCs w:val="21"/>
            <w:lang w:val="en-GB" w:eastAsia="zh-CN"/>
          </w:rPr>
          <m:t>p</m:t>
        </m:r>
      </m:oMath>
      <w:r w:rsidR="008640EB" w:rsidRPr="00D16AB0">
        <w:rPr>
          <w:rFonts w:ascii="Arial" w:hAnsi="Arial" w:cs="Arial"/>
          <w:sz w:val="21"/>
          <w:szCs w:val="21"/>
          <w:lang w:val="en-GB" w:eastAsia="zh-CN"/>
        </w:rPr>
        <w:t xml:space="preserve"> </w:t>
      </w:r>
      <w:r w:rsidR="001A5C46" w:rsidRPr="00D16AB0">
        <w:rPr>
          <w:rFonts w:ascii="Arial" w:hAnsi="Arial" w:cs="Arial"/>
          <w:sz w:val="21"/>
          <w:szCs w:val="21"/>
          <w:lang w:val="en-GB" w:eastAsia="zh-CN"/>
        </w:rPr>
        <w:t>refers to</w:t>
      </w:r>
      <w:r w:rsidR="008640EB" w:rsidRPr="00D16AB0">
        <w:rPr>
          <w:rFonts w:ascii="Arial" w:hAnsi="Arial" w:cs="Arial"/>
          <w:sz w:val="21"/>
          <w:szCs w:val="21"/>
          <w:lang w:val="en-GB" w:eastAsia="zh-CN"/>
        </w:rPr>
        <w:t xml:space="preserve"> </w:t>
      </w:r>
      <w:r w:rsidR="001B6498" w:rsidRPr="00D16AB0">
        <w:rPr>
          <w:rFonts w:ascii="Arial" w:hAnsi="Arial" w:cs="Arial"/>
          <w:sz w:val="21"/>
          <w:szCs w:val="21"/>
          <w:lang w:val="en-GB" w:eastAsia="zh-CN"/>
        </w:rPr>
        <w:t xml:space="preserve">the </w:t>
      </w:r>
      <w:r w:rsidR="001B6498" w:rsidRPr="00D16AB0">
        <w:rPr>
          <w:rFonts w:ascii="Arial" w:hAnsi="Arial" w:cs="Arial"/>
          <w:sz w:val="21"/>
          <w:szCs w:val="21"/>
          <w:lang w:val="en-GB" w:eastAsia="zh-CN"/>
        </w:rPr>
        <w:lastRenderedPageBreak/>
        <w:t>regulator’s belief in the unobserved actual additional proportion within one sector in one host country</w:t>
      </w:r>
      <w:r w:rsidR="00C20E71" w:rsidRPr="00D16AB0">
        <w:rPr>
          <w:rFonts w:ascii="Arial" w:hAnsi="Arial" w:cs="Arial"/>
          <w:sz w:val="21"/>
          <w:szCs w:val="21"/>
          <w:lang w:val="en-GB" w:eastAsia="zh-CN"/>
        </w:rPr>
        <w:t xml:space="preserve"> and</w:t>
      </w:r>
      <w:r w:rsidRPr="00D16AB0">
        <w:rPr>
          <w:rFonts w:ascii="Arial" w:hAnsi="Arial" w:cs="Arial"/>
          <w:sz w:val="21"/>
          <w:szCs w:val="21"/>
          <w:lang w:val="en-GB" w:eastAsia="zh-CN"/>
        </w:rPr>
        <w:t xml:space="preserv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w:rPr>
                <w:rFonts w:ascii="Cambria Math" w:hAnsi="Cambria Math" w:cs="Arial"/>
                <w:sz w:val="21"/>
                <w:szCs w:val="21"/>
                <w:lang w:val="en-GB" w:eastAsia="zh-CN"/>
              </w:rPr>
              <m:t>p</m:t>
            </m:r>
          </m:sub>
        </m:sSub>
      </m:oMath>
      <w:r w:rsidRPr="00D16AB0">
        <w:rPr>
          <w:rFonts w:ascii="Arial" w:hAnsi="Arial" w:cs="Arial"/>
          <w:sz w:val="21"/>
          <w:szCs w:val="21"/>
          <w:lang w:val="en-GB" w:eastAsia="zh-CN"/>
        </w:rPr>
        <w:t xml:space="preserve"> is the inflection point; regulation is unbiased for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w:rPr>
                <w:rFonts w:ascii="Cambria Math" w:hAnsi="Cambria Math" w:cs="Arial"/>
                <w:sz w:val="21"/>
                <w:szCs w:val="21"/>
                <w:lang w:val="en-GB" w:eastAsia="zh-CN"/>
              </w:rPr>
              <m:t>p</m:t>
            </m:r>
          </m:sub>
        </m:sSub>
        <m:r>
          <m:rPr>
            <m:sty m:val="p"/>
          </m:rPr>
          <w:rPr>
            <w:rFonts w:ascii="Cambria Math" w:hAnsi="Cambria Math" w:cs="Arial"/>
            <w:sz w:val="21"/>
            <w:szCs w:val="21"/>
            <w:lang w:val="en-GB" w:eastAsia="zh-CN"/>
          </w:rPr>
          <m:t xml:space="preserve">= </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oMath>
      <w:r w:rsidRPr="00D16AB0">
        <w:rPr>
          <w:rFonts w:ascii="Arial" w:hAnsi="Arial" w:cs="Arial"/>
          <w:sz w:val="21"/>
          <w:szCs w:val="21"/>
          <w:lang w:val="en-GB" w:eastAsia="zh-CN"/>
        </w:rPr>
        <w:t xml:space="preserve">; regulation is biased toward inclusion for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w:rPr>
                <w:rFonts w:ascii="Cambria Math" w:hAnsi="Cambria Math" w:cs="Arial"/>
                <w:sz w:val="21"/>
                <w:szCs w:val="21"/>
                <w:lang w:val="en-GB" w:eastAsia="zh-CN"/>
              </w:rPr>
              <m:t>p</m:t>
            </m:r>
          </m:sub>
        </m:sSub>
        <m:r>
          <m:rPr>
            <m:sty m:val="p"/>
          </m:rPr>
          <w:rPr>
            <w:rFonts w:ascii="Cambria Math" w:hAnsi="Cambria Math" w:cs="Arial"/>
            <w:sz w:val="21"/>
            <w:szCs w:val="21"/>
            <w:lang w:val="en-GB" w:eastAsia="zh-CN"/>
          </w:rPr>
          <m:t xml:space="preserve">&gt; </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oMath>
      <w:r w:rsidRPr="00D16AB0">
        <w:rPr>
          <w:rFonts w:ascii="Arial" w:hAnsi="Arial" w:cs="Arial"/>
          <w:sz w:val="21"/>
          <w:szCs w:val="21"/>
          <w:lang w:val="en-GB" w:eastAsia="zh-CN"/>
        </w:rPr>
        <w:t xml:space="preserve"> and biased toward exclusion for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w:rPr>
                <w:rFonts w:ascii="Cambria Math" w:hAnsi="Cambria Math" w:cs="Arial"/>
                <w:sz w:val="21"/>
                <w:szCs w:val="21"/>
                <w:lang w:val="en-GB" w:eastAsia="zh-CN"/>
              </w:rPr>
              <m:t>p</m:t>
            </m:r>
          </m:sub>
        </m:sSub>
        <m:r>
          <m:rPr>
            <m:sty m:val="p"/>
          </m:rPr>
          <w:rPr>
            <w:rFonts w:ascii="Cambria Math" w:hAnsi="Cambria Math" w:cs="Arial"/>
            <w:sz w:val="21"/>
            <w:szCs w:val="21"/>
            <w:lang w:val="en-GB" w:eastAsia="zh-CN"/>
          </w:rPr>
          <m:t xml:space="preserve">&lt; </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oMath>
      <w:r w:rsidRPr="00D16AB0">
        <w:rPr>
          <w:rFonts w:ascii="Arial" w:hAnsi="Arial" w:cs="Arial"/>
          <w:sz w:val="21"/>
          <w:szCs w:val="21"/>
          <w:lang w:val="en-GB" w:eastAsia="zh-CN"/>
        </w:rPr>
        <w:t xml:space="preserve">; </w:t>
      </w:r>
      <m:oMath>
        <m:r>
          <w:rPr>
            <w:rFonts w:ascii="Cambria Math" w:hAnsi="Cambria Math" w:cs="Arial"/>
            <w:sz w:val="21"/>
            <w:szCs w:val="21"/>
            <w:lang w:val="en-GB" w:eastAsia="zh-CN"/>
          </w:rPr>
          <m:t>q</m:t>
        </m:r>
      </m:oMath>
      <w:r w:rsidRPr="00D16AB0">
        <w:rPr>
          <w:rFonts w:ascii="Arial" w:hAnsi="Arial" w:cs="Arial"/>
          <w:sz w:val="21"/>
          <w:szCs w:val="21"/>
          <w:lang w:val="en-GB" w:eastAsia="zh-CN"/>
        </w:rPr>
        <w:t xml:space="preserve"> determines the probability of getting accepted, i.e. </w:t>
      </w:r>
      <m:oMath>
        <m:r>
          <w:rPr>
            <w:rFonts w:ascii="Cambria Math" w:hAnsi="Cambria Math" w:cs="Arial"/>
            <w:sz w:val="21"/>
            <w:szCs w:val="21"/>
            <w:lang w:val="en-GB" w:eastAsia="zh-CN"/>
          </w:rPr>
          <m:t>q</m:t>
        </m:r>
        <m:r>
          <m:rPr>
            <m:sty m:val="p"/>
          </m:rPr>
          <w:rPr>
            <w:rFonts w:ascii="Cambria Math" w:hAnsi="Cambria Math" w:cs="Arial"/>
            <w:sz w:val="21"/>
            <w:szCs w:val="21"/>
            <w:lang w:val="en-GB" w:eastAsia="zh-CN"/>
          </w:rPr>
          <m:t>=0.6</m:t>
        </m:r>
      </m:oMath>
      <w:r w:rsidRPr="00D16AB0">
        <w:rPr>
          <w:rFonts w:ascii="Arial" w:hAnsi="Arial" w:cs="Arial"/>
          <w:sz w:val="21"/>
          <w:szCs w:val="21"/>
          <w:lang w:val="en-GB" w:eastAsia="zh-CN"/>
        </w:rPr>
        <w:t xml:space="preserve"> means there is a probability of 0.6 being accepted (</w:t>
      </w:r>
      <m:oMath>
        <m:r>
          <w:rPr>
            <w:rFonts w:ascii="Cambria Math" w:hAnsi="Cambria Math" w:cs="Arial"/>
            <w:sz w:val="21"/>
            <w:szCs w:val="21"/>
            <w:lang w:val="en-GB" w:eastAsia="zh-CN"/>
          </w:rPr>
          <m:t>ac</m:t>
        </m:r>
        <m:r>
          <m:rPr>
            <m:sty m:val="p"/>
          </m:rPr>
          <w:rPr>
            <w:rFonts w:ascii="Cambria Math" w:hAnsi="Cambria Math" w:cs="Arial"/>
            <w:sz w:val="21"/>
            <w:szCs w:val="21"/>
            <w:lang w:val="en-GB" w:eastAsia="zh-CN"/>
          </w:rPr>
          <m:t>=1</m:t>
        </m:r>
      </m:oMath>
      <w:r w:rsidRPr="00D16AB0">
        <w:rPr>
          <w:rFonts w:ascii="Arial" w:hAnsi="Arial" w:cs="Arial"/>
          <w:sz w:val="21"/>
          <w:szCs w:val="21"/>
          <w:lang w:val="en-GB" w:eastAsia="zh-CN"/>
        </w:rPr>
        <w:t>) and a probability of 0.4 being rejected (</w:t>
      </w:r>
      <m:oMath>
        <m:r>
          <w:rPr>
            <w:rFonts w:ascii="Cambria Math" w:hAnsi="Cambria Math" w:cs="Arial"/>
            <w:sz w:val="21"/>
            <w:szCs w:val="21"/>
            <w:lang w:val="en-GB" w:eastAsia="zh-CN"/>
          </w:rPr>
          <m:t>ac</m:t>
        </m:r>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w:t>
      </w:r>
      <w:bookmarkEnd w:id="140"/>
    </w:p>
    <w:p w14:paraId="4618B3C5" w14:textId="1292A0D5" w:rsidR="00980398" w:rsidRPr="00D16AB0" w:rsidRDefault="00A137EA" w:rsidP="006B1474">
      <w:pPr>
        <w:pStyle w:val="SMText"/>
        <w:spacing w:beforeLines="50" w:before="120" w:afterLines="50" w:after="120" w:line="276" w:lineRule="auto"/>
        <w:ind w:firstLine="0"/>
        <w:rPr>
          <w:rFonts w:ascii="Arial" w:hAnsi="Arial" w:cs="Arial"/>
          <w:sz w:val="21"/>
          <w:szCs w:val="21"/>
          <w:lang w:val="en-GB" w:eastAsia="zh-CN"/>
        </w:rPr>
      </w:pPr>
      <w:bookmarkStart w:id="141" w:name="_Toc214984918"/>
      <w:r w:rsidRPr="00D16AB0">
        <w:rPr>
          <w:rFonts w:ascii="Arial" w:hAnsi="Arial" w:cs="Arial"/>
          <w:sz w:val="21"/>
          <w:szCs w:val="21"/>
          <w:lang w:val="en-GB" w:eastAsia="zh-CN"/>
        </w:rPr>
        <w:t>Therefore, at a country-sector level, the additional testing performance can be evaluated from two aspects of unbiasedness and accuracy</w:t>
      </w:r>
      <w:r w:rsidR="008122A7" w:rsidRPr="00D16AB0">
        <w:rPr>
          <w:rFonts w:ascii="Arial" w:hAnsi="Arial" w:cs="Arial"/>
          <w:sz w:val="21"/>
          <w:szCs w:val="21"/>
          <w:lang w:val="en-GB" w:eastAsia="zh-CN"/>
        </w:rPr>
        <w:t>;</w:t>
      </w:r>
      <w:r w:rsidRPr="00D16AB0">
        <w:rPr>
          <w:rFonts w:ascii="Arial" w:hAnsi="Arial" w:cs="Arial"/>
          <w:sz w:val="21"/>
          <w:szCs w:val="21"/>
          <w:lang w:val="en-GB" w:eastAsia="zh-CN"/>
        </w:rPr>
        <w:t xml:space="preserve"> the regulatory performance has six types: 1) unbiased and accurate; 2) inclusively biased and accurate; 3) exclusively biased and accurate; 4) unbiased and inaccurate; 5) inclusively biased and inaccurate; 6) exclusively biased and inaccurate.</w:t>
      </w:r>
      <w:bookmarkEnd w:id="141"/>
      <w:r w:rsidRPr="00D16AB0">
        <w:rPr>
          <w:rFonts w:ascii="Arial" w:hAnsi="Arial" w:cs="Arial"/>
          <w:sz w:val="21"/>
          <w:szCs w:val="21"/>
          <w:lang w:val="en-GB" w:eastAsia="zh-CN"/>
        </w:rPr>
        <w:t xml:space="preserve"> </w:t>
      </w:r>
    </w:p>
    <w:p w14:paraId="3392731C" w14:textId="06CA543E" w:rsidR="00A137EA" w:rsidRPr="00D16AB0" w:rsidRDefault="00980398" w:rsidP="006B1474">
      <w:pPr>
        <w:pStyle w:val="SMText"/>
        <w:spacing w:beforeLines="50" w:before="120" w:afterLines="50" w:after="120" w:line="276" w:lineRule="auto"/>
        <w:ind w:firstLine="0"/>
        <w:rPr>
          <w:rFonts w:ascii="Arial" w:hAnsi="Arial" w:cs="Arial"/>
          <w:sz w:val="21"/>
          <w:szCs w:val="21"/>
          <w:lang w:val="en-GB" w:eastAsia="zh-CN"/>
        </w:rPr>
      </w:pPr>
      <w:bookmarkStart w:id="142" w:name="_Toc214984919"/>
      <w:r w:rsidRPr="00D16AB0">
        <w:rPr>
          <w:rFonts w:ascii="Arial" w:hAnsi="Arial" w:cs="Arial"/>
          <w:sz w:val="21"/>
          <w:szCs w:val="21"/>
          <w:lang w:val="en-GB" w:eastAsia="zh-CN"/>
        </w:rPr>
        <w:t xml:space="preserve">As the policy hurdle rate </w:t>
      </w:r>
      <w:r w:rsidR="00ED7CE8" w:rsidRPr="00D16AB0">
        <w:rPr>
          <w:rFonts w:ascii="Arial" w:hAnsi="Arial" w:cs="Arial"/>
          <w:sz w:val="21"/>
          <w:szCs w:val="21"/>
          <w:lang w:val="en-GB" w:eastAsia="zh-CN"/>
        </w:rPr>
        <w:t>is</w:t>
      </w:r>
      <w:r w:rsidR="00934C6A" w:rsidRPr="00D16AB0">
        <w:rPr>
          <w:rFonts w:ascii="Arial" w:hAnsi="Arial" w:cs="Arial"/>
          <w:sz w:val="21"/>
          <w:szCs w:val="21"/>
          <w:lang w:val="en-GB" w:eastAsia="zh-CN"/>
        </w:rPr>
        <w:t xml:space="preserve"> </w:t>
      </w:r>
      <w:r w:rsidRPr="00D16AB0">
        <w:rPr>
          <w:rFonts w:ascii="Arial" w:hAnsi="Arial" w:cs="Arial"/>
          <w:sz w:val="21"/>
          <w:szCs w:val="21"/>
          <w:lang w:val="en-GB" w:eastAsia="zh-CN"/>
        </w:rPr>
        <w:t xml:space="preserve">determined by the regulator’s belief in the unobserved actual additional proportion within one sector in one </w:t>
      </w:r>
      <w:r w:rsidR="003F3AD2" w:rsidRPr="00D16AB0">
        <w:rPr>
          <w:rFonts w:ascii="Arial" w:hAnsi="Arial" w:cs="Arial"/>
          <w:sz w:val="21"/>
          <w:szCs w:val="21"/>
          <w:lang w:val="en-GB" w:eastAsia="zh-CN"/>
        </w:rPr>
        <w:t xml:space="preserve">host </w:t>
      </w:r>
      <w:r w:rsidRPr="00D16AB0">
        <w:rPr>
          <w:rFonts w:ascii="Arial" w:hAnsi="Arial" w:cs="Arial"/>
          <w:sz w:val="21"/>
          <w:szCs w:val="21"/>
          <w:lang w:val="en-GB" w:eastAsia="zh-CN"/>
        </w:rPr>
        <w:t xml:space="preserve">country </w:t>
      </w:r>
      <m:oMath>
        <m:r>
          <w:rPr>
            <w:rFonts w:ascii="Cambria Math" w:hAnsi="Cambria Math" w:cs="Arial"/>
            <w:sz w:val="21"/>
            <w:szCs w:val="21"/>
            <w:lang w:val="en-GB" w:eastAsia="zh-CN"/>
          </w:rPr>
          <m:t>p</m:t>
        </m:r>
      </m:oMath>
      <w:r w:rsidR="007E6039" w:rsidRPr="00D16AB0">
        <w:rPr>
          <w:rFonts w:ascii="Arial" w:hAnsi="Arial" w:cs="Arial"/>
          <w:sz w:val="21"/>
          <w:szCs w:val="21"/>
          <w:lang w:val="en-GB" w:eastAsia="zh-CN"/>
        </w:rPr>
        <w:t>,</w:t>
      </w:r>
      <w:r w:rsidR="00B96149" w:rsidRPr="00D16AB0">
        <w:rPr>
          <w:rFonts w:ascii="Arial" w:hAnsi="Arial" w:cs="Arial"/>
          <w:sz w:val="21"/>
          <w:szCs w:val="21"/>
          <w:lang w:val="en-GB" w:eastAsia="zh-CN"/>
        </w:rPr>
        <w:t xml:space="preserve"> </w:t>
      </w:r>
      <w:r w:rsidR="00A137EA" w:rsidRPr="00D16AB0">
        <w:rPr>
          <w:rFonts w:ascii="Arial" w:hAnsi="Arial" w:cs="Arial"/>
          <w:sz w:val="21"/>
          <w:szCs w:val="21"/>
          <w:lang w:val="en-GB" w:eastAsia="zh-CN"/>
        </w:rPr>
        <w:t xml:space="preserve">we </w:t>
      </w:r>
      <w:r w:rsidR="00AF6848" w:rsidRPr="00D16AB0">
        <w:rPr>
          <w:rFonts w:ascii="Arial" w:hAnsi="Arial" w:cs="Arial"/>
          <w:sz w:val="21"/>
          <w:szCs w:val="21"/>
          <w:lang w:val="en-GB" w:eastAsia="zh-CN"/>
        </w:rPr>
        <w:t xml:space="preserve">calibrate them on realistic data and </w:t>
      </w:r>
      <w:r w:rsidR="00A137EA" w:rsidRPr="00D16AB0">
        <w:rPr>
          <w:rFonts w:ascii="Arial" w:hAnsi="Arial" w:cs="Arial"/>
          <w:sz w:val="21"/>
          <w:szCs w:val="21"/>
          <w:lang w:val="en-GB" w:eastAsia="zh-CN"/>
        </w:rPr>
        <w:t xml:space="preserve">assume that the policy hurdle rate can be </w:t>
      </w:r>
      <w:r w:rsidR="00B11177" w:rsidRPr="00D16AB0">
        <w:rPr>
          <w:rFonts w:ascii="Arial" w:hAnsi="Arial" w:cs="Arial"/>
          <w:sz w:val="21"/>
          <w:szCs w:val="21"/>
          <w:lang w:val="en-GB" w:eastAsia="zh-CN"/>
        </w:rPr>
        <w:t>estimated</w:t>
      </w:r>
      <w:r w:rsidR="00A137EA" w:rsidRPr="00D16AB0">
        <w:rPr>
          <w:rFonts w:ascii="Arial" w:hAnsi="Arial" w:cs="Arial"/>
          <w:sz w:val="21"/>
          <w:szCs w:val="21"/>
          <w:lang w:val="en-GB" w:eastAsia="zh-CN"/>
        </w:rPr>
        <w:t xml:space="preserve"> by the observed </w:t>
      </w:r>
      <w:r w:rsidR="00DE5ED3" w:rsidRPr="00D16AB0">
        <w:rPr>
          <w:rFonts w:ascii="Arial" w:hAnsi="Arial" w:cs="Arial"/>
          <w:sz w:val="21"/>
          <w:szCs w:val="21"/>
          <w:lang w:val="en-GB" w:eastAsia="zh-CN"/>
        </w:rPr>
        <w:t xml:space="preserve">reported </w:t>
      </w:r>
      <w:r w:rsidR="00A137EA" w:rsidRPr="00D16AB0">
        <w:rPr>
          <w:rFonts w:ascii="Arial" w:hAnsi="Arial" w:cs="Arial"/>
          <w:sz w:val="21"/>
          <w:szCs w:val="21"/>
          <w:lang w:val="en-GB" w:eastAsia="zh-CN"/>
        </w:rPr>
        <w:t xml:space="preserve">acceptance rate </w:t>
      </w:r>
      <w:r w:rsidR="009F4FD9" w:rsidRPr="00D16AB0">
        <w:rPr>
          <w:rFonts w:ascii="Arial" w:hAnsi="Arial" w:cs="Arial"/>
          <w:sz w:val="21"/>
          <w:szCs w:val="21"/>
          <w:lang w:val="en-GB" w:eastAsia="zh-CN"/>
        </w:rPr>
        <w:t xml:space="preserve">within this context </w:t>
      </w:r>
      <w:r w:rsidR="00A137EA" w:rsidRPr="00D16AB0">
        <w:rPr>
          <w:rFonts w:ascii="Arial" w:hAnsi="Arial" w:cs="Arial"/>
          <w:sz w:val="21"/>
          <w:szCs w:val="21"/>
          <w:lang w:val="en-GB" w:eastAsia="zh-CN"/>
        </w:rPr>
        <w:t>(</w:t>
      </w:r>
      <m:oMath>
        <m:r>
          <w:rPr>
            <w:rFonts w:ascii="Cambria Math" w:hAnsi="Cambria Math" w:cs="Arial"/>
            <w:sz w:val="21"/>
            <w:szCs w:val="21"/>
            <w:lang w:val="en-GB" w:eastAsia="zh-CN"/>
          </w:rPr>
          <m:t>AC</m:t>
        </m:r>
        <m:r>
          <m:rPr>
            <m:sty m:val="p"/>
          </m:rPr>
          <w:rPr>
            <w:rFonts w:ascii="Cambria Math" w:hAnsi="Cambria Math" w:cs="Arial"/>
            <w:sz w:val="21"/>
            <w:szCs w:val="21"/>
            <w:lang w:val="en-GB" w:eastAsia="zh-CN"/>
          </w:rPr>
          <m:t>≈</m:t>
        </m:r>
        <m:r>
          <w:rPr>
            <w:rFonts w:ascii="Cambria Math" w:hAnsi="Cambria Math" w:cs="Arial"/>
            <w:sz w:val="21"/>
            <w:szCs w:val="21"/>
            <w:lang w:val="en-GB" w:eastAsia="zh-CN"/>
          </w:rPr>
          <m:t>p</m:t>
        </m:r>
      </m:oMath>
      <w:r w:rsidR="00A137EA" w:rsidRPr="00D16AB0">
        <w:rPr>
          <w:rFonts w:ascii="Arial" w:hAnsi="Arial" w:cs="Arial"/>
          <w:sz w:val="21"/>
          <w:szCs w:val="21"/>
          <w:lang w:val="en-GB" w:eastAsia="zh-CN"/>
        </w:rPr>
        <w:t>). We then get</w:t>
      </w:r>
      <w:bookmarkEnd w:id="142"/>
      <w:r w:rsidR="00A137EA" w:rsidRPr="00D16AB0">
        <w:rPr>
          <w:rFonts w:ascii="Arial" w:hAnsi="Arial" w:cs="Arial"/>
          <w:sz w:val="21"/>
          <w:szCs w:val="21"/>
          <w:lang w:val="en-GB" w:eastAsia="zh-CN"/>
        </w:rPr>
        <w:t xml:space="preserve"> </w:t>
      </w:r>
    </w:p>
    <w:bookmarkStart w:id="143" w:name="_Toc214984920"/>
    <w:p w14:paraId="1456D2B7" w14:textId="77777777" w:rsidR="00A137EA" w:rsidRPr="00D16AB0" w:rsidRDefault="00000000" w:rsidP="006B1474">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w:rPr>
                      <w:rFonts w:ascii="Cambria Math" w:hAnsi="Cambria Math" w:cs="Arial"/>
                      <w:sz w:val="21"/>
                      <w:szCs w:val="21"/>
                      <w:lang w:val="en-GB" w:eastAsia="zh-CN"/>
                    </w:rPr>
                    <m:t>p</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p</m:t>
                  </m:r>
                </m:e>
              </m:d>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AC</m:t>
                  </m:r>
                </m:e>
              </m:d>
              <m:r>
                <m:rPr>
                  <m:sty m:val="p"/>
                </m:rPr>
                <w:rPr>
                  <w:rFonts w:ascii="Cambria Math" w:hAnsi="Cambria Math" w:cs="Arial"/>
                  <w:sz w:val="21"/>
                  <w:szCs w:val="21"/>
                  <w:lang w:val="en-GB" w:eastAsia="zh-CN"/>
                </w:rPr>
                <m:t>#</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24</m:t>
                  </m:r>
                </m:e>
              </m:d>
            </m:e>
          </m:eqArr>
        </m:oMath>
      </m:oMathPara>
      <w:bookmarkEnd w:id="143"/>
    </w:p>
    <w:p w14:paraId="06112A33" w14:textId="4AFFFF2D" w:rsidR="006073EA" w:rsidRPr="00D16AB0" w:rsidRDefault="00A137EA" w:rsidP="006B1474">
      <w:pPr>
        <w:pStyle w:val="SMText"/>
        <w:spacing w:beforeLines="50" w:before="120" w:afterLines="50" w:after="120" w:line="276" w:lineRule="auto"/>
        <w:ind w:firstLine="0"/>
        <w:rPr>
          <w:rFonts w:ascii="Arial" w:hAnsi="Arial" w:cs="Arial"/>
          <w:sz w:val="21"/>
          <w:szCs w:val="21"/>
          <w:lang w:val="en-GB" w:eastAsia="zh-CN"/>
        </w:rPr>
      </w:pPr>
      <w:bookmarkStart w:id="144" w:name="_Toc214984921"/>
      <w:r w:rsidRPr="00D16AB0">
        <w:rPr>
          <w:rFonts w:ascii="Arial" w:hAnsi="Arial" w:cs="Arial"/>
          <w:sz w:val="21"/>
          <w:szCs w:val="21"/>
          <w:lang w:val="en-GB" w:eastAsia="zh-CN"/>
        </w:rPr>
        <w:t>One reference we could consider is 56% non-additional projects among accepted wind power projects in India</w:t>
      </w:r>
      <w:r w:rsidRPr="00D16AB0">
        <w:rPr>
          <w:rFonts w:ascii="Arial" w:hAnsi="Arial" w:cs="Arial"/>
          <w:sz w:val="21"/>
          <w:szCs w:val="21"/>
          <w:vertAlign w:val="superscript"/>
          <w:lang w:val="en-GB" w:eastAsia="zh-CN"/>
        </w:rPr>
        <w:fldChar w:fldCharType="begin"/>
      </w:r>
      <w:r w:rsidR="001A6C96" w:rsidRPr="00D16AB0">
        <w:rPr>
          <w:rFonts w:ascii="Arial" w:hAnsi="Arial" w:cs="Arial"/>
          <w:sz w:val="21"/>
          <w:szCs w:val="21"/>
          <w:vertAlign w:val="superscript"/>
          <w:lang w:val="en-GB" w:eastAsia="zh-CN"/>
        </w:rPr>
        <w:instrText xml:space="preserve"> ADDIN ZOTERO_ITEM CSL_CITATION {"citationID":"a2mqe24f3vk","properties":{"unsorted":false,"formattedCitation":"\\super 14\\nosupersub{}","plainCitation":"14","noteIndex":0},"citationItems":[{"id":4890,"uris":["http://zotero.org/groups/4647276/items/N9VYBI9G"],"itemData":{"id":4890,"type":"article-journal","abstract":"We develop and implement a new method for identifying wasted subsidies and use it to provide systematic evidence of the misallocation of carbon offsets in the Clean Development Mechanism—the world's largest carbon offset program. Using newly constructed data on the locations and characteristics of over 1,000 wind farms in India, we estimate that at least 52 percent of approved carbon offsets were allocated to projects that would very likely have been built anyway. We estimate that the sale of these offsets to regulated polluters resulted in substantially higher global carbon dioxide emissions.(JEL H23, O13, Q42, Q54, Q58)","container-title":"American Economic Journal: Applied Economics","DOI":"10.1257/app.20230052","ISSN":"1945-7782, 1945-7790","issue":"1","journalAbbreviation":"American Economic Journal: Applied Economics","language":"en","page":"1-40","source":"DOI.org (Crossref)","title":"Do carbon offsets offset carbon?","volume":"17","author":[{"family":"Calel","given":"Raphael"},{"family":"Colmer","given":"Jonathan"},{"family":"Dechezleprêtre","given":"Antoine"},{"family":"Glachant","given":"Matthieu"}],"issued":{"date-parts":[["2025",1,1]]}}}],"schema":"https://github.com/citation-style-language/schema/raw/master/csl-citation.json"} </w:instrText>
      </w:r>
      <w:r w:rsidRPr="00D16AB0">
        <w:rPr>
          <w:rFonts w:ascii="Arial" w:hAnsi="Arial" w:cs="Arial"/>
          <w:sz w:val="21"/>
          <w:szCs w:val="21"/>
          <w:vertAlign w:val="superscript"/>
          <w:lang w:val="en-GB" w:eastAsia="zh-CN"/>
        </w:rPr>
        <w:fldChar w:fldCharType="separate"/>
      </w:r>
      <w:r w:rsidR="001A6C96" w:rsidRPr="00D16AB0">
        <w:rPr>
          <w:rFonts w:ascii="Arial" w:hAnsi="Arial" w:cs="Arial"/>
          <w:sz w:val="21"/>
          <w:szCs w:val="21"/>
          <w:vertAlign w:val="superscript"/>
          <w:lang w:val="en-GB" w:eastAsia="zh-CN"/>
        </w:rPr>
        <w:t>14</w:t>
      </w:r>
      <w:r w:rsidRPr="00D16AB0">
        <w:rPr>
          <w:rFonts w:ascii="Arial" w:hAnsi="Arial" w:cs="Arial"/>
          <w:sz w:val="21"/>
          <w:szCs w:val="21"/>
          <w:vertAlign w:val="superscript"/>
          <w:lang w:val="en-GB" w:eastAsia="zh-CN"/>
        </w:rPr>
        <w:fldChar w:fldCharType="end"/>
      </w:r>
      <w:r w:rsidRPr="00D16AB0">
        <w:rPr>
          <w:rFonts w:ascii="Arial" w:hAnsi="Arial" w:cs="Arial"/>
          <w:sz w:val="21"/>
          <w:szCs w:val="21"/>
          <w:lang w:val="en-GB" w:eastAsia="zh-CN"/>
        </w:rPr>
        <w:t>. This suggests that the regulation could be even worse than random selection.</w:t>
      </w:r>
      <w:bookmarkEnd w:id="144"/>
    </w:p>
    <w:p w14:paraId="5C306EB1" w14:textId="09350E37" w:rsidR="006C43FD" w:rsidRPr="00D16AB0" w:rsidRDefault="00A137EA"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145" w:name="_Toc214984922"/>
      <w:bookmarkStart w:id="146" w:name="_Toc214985829"/>
      <w:bookmarkStart w:id="147" w:name="_Toc214986971"/>
      <w:r w:rsidRPr="00D16AB0">
        <w:rPr>
          <w:rFonts w:ascii="Arial" w:hAnsi="Arial" w:cs="Arial"/>
          <w:b/>
          <w:bCs/>
          <w:sz w:val="21"/>
          <w:szCs w:val="21"/>
          <w:u w:val="none"/>
          <w:lang w:val="en-GB"/>
        </w:rPr>
        <w:t>Project outcomes</w:t>
      </w:r>
      <w:bookmarkEnd w:id="145"/>
      <w:bookmarkEnd w:id="146"/>
      <w:bookmarkEnd w:id="147"/>
    </w:p>
    <w:p w14:paraId="2B11D689" w14:textId="1E30C6F3" w:rsidR="002B63B3" w:rsidRPr="00D16AB0" w:rsidRDefault="00A137EA" w:rsidP="007C5D3B">
      <w:pPr>
        <w:pStyle w:val="SMText"/>
        <w:spacing w:beforeLines="50" w:before="120" w:afterLines="50" w:after="120" w:line="276" w:lineRule="auto"/>
        <w:ind w:firstLine="0"/>
        <w:rPr>
          <w:rFonts w:ascii="Arial" w:hAnsi="Arial" w:cs="Arial"/>
          <w:sz w:val="21"/>
          <w:szCs w:val="21"/>
          <w:lang w:val="en-GB" w:eastAsia="zh-CN"/>
        </w:rPr>
      </w:pPr>
      <w:bookmarkStart w:id="148" w:name="_Toc214984923"/>
      <w:r w:rsidRPr="00D16AB0">
        <w:rPr>
          <w:rFonts w:ascii="Arial" w:hAnsi="Arial" w:cs="Arial"/>
          <w:sz w:val="21"/>
          <w:szCs w:val="21"/>
          <w:lang w:val="en-GB" w:eastAsia="zh-CN"/>
        </w:rPr>
        <w:t>Once we construct the synthetic project pool and the decisions by project developers and the regulator, we can run simulations to analyse the outcomes, including the proportion of each category of cases (true/false positives/negatives, unsubmitted ones) and the contribution of offset programs to global climate mitigation. More importantly, the comparison between the outcomes of the two additionality regimes provides insights for policy design and implementation.</w:t>
      </w:r>
      <w:bookmarkEnd w:id="148"/>
    </w:p>
    <w:p w14:paraId="210FDCBE" w14:textId="7B4BD040" w:rsidR="00166AB4" w:rsidRPr="00D16AB0" w:rsidRDefault="00A137EA" w:rsidP="007C5D3B">
      <w:pPr>
        <w:pStyle w:val="SMText"/>
        <w:spacing w:beforeLines="50" w:before="120" w:afterLines="50" w:after="120" w:line="276" w:lineRule="auto"/>
        <w:ind w:firstLine="0"/>
        <w:rPr>
          <w:rFonts w:ascii="Arial" w:hAnsi="Arial" w:cs="Arial"/>
          <w:sz w:val="21"/>
          <w:szCs w:val="21"/>
          <w:lang w:val="en-GB" w:eastAsia="zh-CN"/>
        </w:rPr>
      </w:pPr>
      <w:bookmarkStart w:id="149" w:name="_Toc214984924"/>
      <w:r w:rsidRPr="00D16AB0">
        <w:rPr>
          <w:rFonts w:ascii="Arial" w:hAnsi="Arial" w:cs="Arial"/>
          <w:sz w:val="21"/>
          <w:szCs w:val="21"/>
          <w:lang w:val="en-GB" w:eastAsia="zh-CN"/>
        </w:rPr>
        <w:t xml:space="preserve">Table </w:t>
      </w:r>
      <w:r w:rsidR="00F27CBB">
        <w:rPr>
          <w:rFonts w:ascii="Arial" w:hAnsi="Arial" w:cs="Arial"/>
          <w:sz w:val="21"/>
          <w:szCs w:val="21"/>
          <w:lang w:val="en-GB" w:eastAsia="zh-CN"/>
        </w:rPr>
        <w:t>2</w:t>
      </w:r>
      <w:r w:rsidRPr="00D16AB0">
        <w:rPr>
          <w:rFonts w:ascii="Arial" w:hAnsi="Arial" w:cs="Arial"/>
          <w:sz w:val="21"/>
          <w:szCs w:val="21"/>
          <w:lang w:val="en-GB" w:eastAsia="zh-CN"/>
        </w:rPr>
        <w:t xml:space="preserve"> presents the categories of cases under the two regimes. Each project type is characteri</w:t>
      </w:r>
      <w:r w:rsidR="00D30F37" w:rsidRPr="00D16AB0">
        <w:rPr>
          <w:rFonts w:ascii="Arial" w:hAnsi="Arial" w:cs="Arial"/>
          <w:sz w:val="21"/>
          <w:szCs w:val="21"/>
          <w:lang w:val="en-GB" w:eastAsia="zh-CN"/>
        </w:rPr>
        <w:t>s</w:t>
      </w:r>
      <w:r w:rsidRPr="00D16AB0">
        <w:rPr>
          <w:rFonts w:ascii="Arial" w:hAnsi="Arial" w:cs="Arial"/>
          <w:sz w:val="21"/>
          <w:szCs w:val="21"/>
          <w:lang w:val="en-GB" w:eastAsia="zh-CN"/>
        </w:rPr>
        <w:t>ed by a particular condition.</w:t>
      </w:r>
      <w:bookmarkEnd w:id="149"/>
    </w:p>
    <w:p w14:paraId="089666E9" w14:textId="391BC204" w:rsidR="0054596E" w:rsidRPr="00D16AB0" w:rsidRDefault="00A137EA" w:rsidP="007C5D3B">
      <w:pPr>
        <w:pStyle w:val="SMText"/>
        <w:spacing w:beforeLines="50" w:before="120" w:afterLines="50" w:after="120" w:line="276" w:lineRule="auto"/>
        <w:ind w:firstLine="0"/>
        <w:rPr>
          <w:rFonts w:ascii="Arial" w:hAnsi="Arial" w:cs="Arial"/>
          <w:sz w:val="21"/>
          <w:szCs w:val="21"/>
          <w:lang w:val="en-GB" w:eastAsia="zh-CN"/>
        </w:rPr>
      </w:pPr>
      <w:bookmarkStart w:id="150" w:name="_Toc214984925"/>
      <w:r w:rsidRPr="00D16AB0">
        <w:rPr>
          <w:rFonts w:ascii="Arial" w:hAnsi="Arial" w:cs="Arial"/>
          <w:sz w:val="21"/>
          <w:szCs w:val="21"/>
          <w:lang w:val="en-GB" w:eastAsia="zh-CN"/>
        </w:rPr>
        <w:t>High-IRR projects are built in any case. If they decide to game the parameters and apply for carbon offsets, the current regime may correctly reject them. However, if not, the accepted non-additional projects will receive substantial extra revenue from issued offset credits. These credits are not only wasted without contributing to carbon emission reductions but also are transferred to emitting units in other places, weakening their climate regulation. Although the proposed regime cannot exclude the non-additional projects, the credits allocated to them would be discounted and the partial crediting design would avoid giving the other party too many emission allowances.</w:t>
      </w:r>
      <w:bookmarkEnd w:id="150"/>
    </w:p>
    <w:p w14:paraId="2C7BD5CE" w14:textId="78EEE3C6" w:rsidR="007E2D32" w:rsidRPr="00D16AB0" w:rsidRDefault="00A137EA" w:rsidP="007C5D3B">
      <w:pPr>
        <w:pStyle w:val="SMText"/>
        <w:spacing w:beforeLines="50" w:before="120" w:afterLines="50" w:after="120" w:line="276" w:lineRule="auto"/>
        <w:ind w:firstLine="0"/>
        <w:rPr>
          <w:rFonts w:ascii="Arial" w:hAnsi="Arial" w:cs="Arial"/>
          <w:sz w:val="21"/>
          <w:szCs w:val="21"/>
          <w:lang w:val="en-GB" w:eastAsia="zh-CN"/>
        </w:rPr>
      </w:pPr>
      <w:bookmarkStart w:id="151" w:name="_Toc214984926"/>
      <w:r w:rsidRPr="00D16AB0">
        <w:rPr>
          <w:rFonts w:ascii="Arial" w:hAnsi="Arial" w:cs="Arial"/>
          <w:sz w:val="21"/>
          <w:szCs w:val="21"/>
          <w:lang w:val="en-GB" w:eastAsia="zh-CN"/>
        </w:rPr>
        <w:t>Medium-IRR projects are additional and largely depend on offset revenues to develop. They will apply, possibly honestly, and expect to register as an offset, however, the current regime may falsely reject them due to the flawed regulation and lose opportunities to reduce global carbon emissions. In the proposed regime, a proportion of offset benefits are still secured for all validated projects.</w:t>
      </w:r>
      <w:bookmarkEnd w:id="151"/>
    </w:p>
    <w:p w14:paraId="0EB57A74" w14:textId="7FA51857" w:rsidR="00E744B1" w:rsidRPr="00D16AB0" w:rsidRDefault="00A137EA" w:rsidP="007C5D3B">
      <w:pPr>
        <w:pStyle w:val="SMText"/>
        <w:spacing w:beforeLines="50" w:before="120" w:afterLines="50" w:after="120" w:line="276" w:lineRule="auto"/>
        <w:ind w:firstLine="0"/>
        <w:rPr>
          <w:rFonts w:ascii="Arial" w:hAnsi="Arial" w:cs="Arial"/>
          <w:sz w:val="21"/>
          <w:szCs w:val="21"/>
          <w:lang w:val="en-GB" w:eastAsia="zh-CN"/>
        </w:rPr>
      </w:pPr>
      <w:bookmarkStart w:id="152" w:name="_Toc214984927"/>
      <w:r w:rsidRPr="00D16AB0">
        <w:rPr>
          <w:rFonts w:ascii="Arial" w:hAnsi="Arial" w:cs="Arial"/>
          <w:sz w:val="21"/>
          <w:szCs w:val="21"/>
          <w:lang w:val="en-GB" w:eastAsia="zh-CN"/>
        </w:rPr>
        <w:t>Unattractive (low-IRR) projects cannot be built anyway and will not apply to have the additional test. The introduction of continuous additionality may make a small proportion of additional projects unattractive, but it may also mitigate the systematic over-crediting issue in the current regime and give more confidence to project developers when they negotiate with potential investors.</w:t>
      </w:r>
      <w:bookmarkEnd w:id="152"/>
    </w:p>
    <w:p w14:paraId="68204CE7" w14:textId="7BA3B3B8" w:rsidR="001C6D24" w:rsidRPr="00D16AB0" w:rsidRDefault="00A137EA" w:rsidP="007C5D3B">
      <w:pPr>
        <w:pStyle w:val="SMText"/>
        <w:spacing w:beforeLines="50" w:before="120" w:afterLines="50" w:after="120" w:line="276" w:lineRule="auto"/>
        <w:ind w:firstLine="0"/>
        <w:rPr>
          <w:rFonts w:ascii="Arial" w:hAnsi="Arial" w:cs="Arial"/>
          <w:sz w:val="21"/>
          <w:szCs w:val="21"/>
          <w:lang w:val="en-GB" w:eastAsia="zh-CN"/>
        </w:rPr>
      </w:pPr>
      <w:bookmarkStart w:id="153" w:name="_Toc214984928"/>
      <w:r w:rsidRPr="00D16AB0">
        <w:rPr>
          <w:rFonts w:ascii="Arial" w:hAnsi="Arial" w:cs="Arial"/>
          <w:sz w:val="21"/>
          <w:szCs w:val="21"/>
          <w:lang w:val="en-GB" w:eastAsia="zh-CN"/>
        </w:rPr>
        <w:t>As a first step, we count how often each case occurs over the drawn sample. Subsequently, we translate this into environmental outcomes and development outcomes.</w:t>
      </w:r>
      <w:bookmarkEnd w:id="153"/>
      <w:r w:rsidRPr="00D16AB0">
        <w:rPr>
          <w:rFonts w:ascii="Arial" w:hAnsi="Arial" w:cs="Arial"/>
          <w:sz w:val="21"/>
          <w:szCs w:val="21"/>
          <w:lang w:val="en-GB" w:eastAsia="zh-CN"/>
        </w:rPr>
        <w:t xml:space="preserve"> </w:t>
      </w:r>
    </w:p>
    <w:p w14:paraId="2EF7487A" w14:textId="4EE952F4" w:rsidR="00A137EA" w:rsidRPr="00D16AB0" w:rsidRDefault="00A137EA" w:rsidP="007C5D3B">
      <w:pPr>
        <w:pStyle w:val="SMText"/>
        <w:spacing w:beforeLines="50" w:before="120" w:afterLines="50" w:after="120" w:line="276" w:lineRule="auto"/>
        <w:ind w:firstLine="0"/>
        <w:rPr>
          <w:rFonts w:ascii="Arial" w:hAnsi="Arial" w:cs="Arial"/>
          <w:sz w:val="21"/>
          <w:szCs w:val="21"/>
          <w:lang w:val="en-GB" w:eastAsia="zh-CN"/>
        </w:rPr>
      </w:pPr>
      <w:bookmarkStart w:id="154" w:name="_Toc214984929"/>
      <w:r w:rsidRPr="00D16AB0">
        <w:rPr>
          <w:rFonts w:ascii="Arial" w:hAnsi="Arial" w:cs="Arial"/>
          <w:sz w:val="21"/>
          <w:szCs w:val="21"/>
          <w:lang w:val="en-GB" w:eastAsia="zh-CN"/>
        </w:rPr>
        <w:lastRenderedPageBreak/>
        <w:t>The annual financial flows (offset trade volume) are:</w:t>
      </w:r>
      <w:bookmarkEnd w:id="154"/>
    </w:p>
    <w:bookmarkStart w:id="155" w:name="_Toc214984930"/>
    <w:p w14:paraId="5FA444C3" w14:textId="77777777" w:rsidR="00A137EA" w:rsidRPr="00D16AB0" w:rsidRDefault="00000000" w:rsidP="007C5D3B">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Trade</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CR</m:t>
                  </m:r>
                </m:e>
                <m:sub>
                  <m:r>
                    <w:rPr>
                      <w:rFonts w:ascii="Cambria Math" w:hAnsi="Cambria Math" w:cs="Arial"/>
                      <w:sz w:val="21"/>
                      <w:szCs w:val="21"/>
                      <w:lang w:val="en-GB" w:eastAsia="zh-CN"/>
                    </w:rPr>
                    <m:t>correctly</m:t>
                  </m:r>
                  <m:r>
                    <m:rPr>
                      <m:sty m:val="p"/>
                    </m:rPr>
                    <w:rPr>
                      <w:rFonts w:ascii="Cambria Math" w:hAnsi="Cambria Math" w:cs="Arial"/>
                      <w:sz w:val="21"/>
                      <w:szCs w:val="21"/>
                      <w:lang w:val="en-GB" w:eastAsia="zh-CN"/>
                    </w:rPr>
                    <m:t xml:space="preserve"> </m:t>
                  </m:r>
                  <m:r>
                    <w:rPr>
                      <w:rFonts w:ascii="Cambria Math" w:hAnsi="Cambria Math" w:cs="Arial"/>
                      <w:sz w:val="21"/>
                      <w:szCs w:val="21"/>
                      <w:lang w:val="en-GB" w:eastAsia="zh-CN"/>
                    </w:rPr>
                    <m:t>accepted</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CR</m:t>
                  </m:r>
                </m:e>
                <m:sub>
                  <m:r>
                    <w:rPr>
                      <w:rFonts w:ascii="Cambria Math" w:hAnsi="Cambria Math" w:cs="Arial"/>
                      <w:sz w:val="21"/>
                      <w:szCs w:val="21"/>
                      <w:lang w:val="en-GB" w:eastAsia="zh-CN"/>
                    </w:rPr>
                    <m:t>falsely</m:t>
                  </m:r>
                  <m:r>
                    <m:rPr>
                      <m:sty m:val="p"/>
                    </m:rPr>
                    <w:rPr>
                      <w:rFonts w:ascii="Cambria Math" w:hAnsi="Cambria Math" w:cs="Arial"/>
                      <w:sz w:val="21"/>
                      <w:szCs w:val="21"/>
                      <w:lang w:val="en-GB" w:eastAsia="zh-CN"/>
                    </w:rPr>
                    <m:t xml:space="preserve"> </m:t>
                  </m:r>
                  <m:r>
                    <w:rPr>
                      <w:rFonts w:ascii="Cambria Math" w:hAnsi="Cambria Math" w:cs="Arial"/>
                      <w:sz w:val="21"/>
                      <w:szCs w:val="21"/>
                      <w:lang w:val="en-GB" w:eastAsia="zh-CN"/>
                    </w:rPr>
                    <m:t>accepted</m:t>
                  </m:r>
                </m:sub>
              </m:sSub>
              <m:r>
                <m:rPr>
                  <m:sty m:val="p"/>
                </m:rPr>
                <w:rPr>
                  <w:rFonts w:ascii="Cambria Math" w:hAnsi="Cambria Math" w:cs="Arial"/>
                  <w:sz w:val="21"/>
                  <w:szCs w:val="21"/>
                  <w:lang w:val="en-GB" w:eastAsia="zh-CN"/>
                </w:rPr>
                <m:t>#</m:t>
              </m:r>
              <m:d>
                <m:dPr>
                  <m:begChr m:val="（"/>
                  <m:endChr m:val="）"/>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25</m:t>
                  </m:r>
                </m:e>
              </m:d>
            </m:e>
          </m:eqArr>
        </m:oMath>
      </m:oMathPara>
      <w:bookmarkEnd w:id="155"/>
    </w:p>
    <w:bookmarkStart w:id="156" w:name="_Toc214984931"/>
    <w:p w14:paraId="511BF022" w14:textId="52328C42" w:rsidR="007427B9" w:rsidRPr="00D16AB0" w:rsidRDefault="00000000" w:rsidP="007C5D3B">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Trade</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CR</m:t>
                  </m:r>
                </m:e>
                <m:sub>
                  <m:r>
                    <w:rPr>
                      <w:rFonts w:ascii="Cambria Math" w:hAnsi="Cambria Math" w:cs="Arial"/>
                      <w:sz w:val="21"/>
                      <w:szCs w:val="21"/>
                      <w:lang w:val="en-GB" w:eastAsia="zh-CN"/>
                    </w:rPr>
                    <m:t>correctly</m:t>
                  </m:r>
                  <m:r>
                    <m:rPr>
                      <m:sty m:val="p"/>
                    </m:rPr>
                    <w:rPr>
                      <w:rFonts w:ascii="Cambria Math" w:hAnsi="Cambria Math" w:cs="Arial"/>
                      <w:sz w:val="21"/>
                      <w:szCs w:val="21"/>
                      <w:lang w:val="en-GB" w:eastAsia="zh-CN"/>
                    </w:rPr>
                    <m:t xml:space="preserve"> </m:t>
                  </m:r>
                  <m:r>
                    <w:rPr>
                      <w:rFonts w:ascii="Cambria Math" w:hAnsi="Cambria Math" w:cs="Arial"/>
                      <w:sz w:val="21"/>
                      <w:szCs w:val="21"/>
                      <w:lang w:val="en-GB" w:eastAsia="zh-CN"/>
                    </w:rPr>
                    <m:t>accepted</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d</m:t>
              </m:r>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CR</m:t>
                  </m:r>
                </m:e>
                <m:sub>
                  <m:r>
                    <w:rPr>
                      <w:rFonts w:ascii="Cambria Math" w:hAnsi="Cambria Math" w:cs="Arial"/>
                      <w:sz w:val="21"/>
                      <w:szCs w:val="21"/>
                      <w:lang w:val="en-GB" w:eastAsia="zh-CN"/>
                    </w:rPr>
                    <m:t>falsely</m:t>
                  </m:r>
                  <m:r>
                    <m:rPr>
                      <m:sty m:val="p"/>
                    </m:rPr>
                    <w:rPr>
                      <w:rFonts w:ascii="Cambria Math" w:hAnsi="Cambria Math" w:cs="Arial"/>
                      <w:sz w:val="21"/>
                      <w:szCs w:val="21"/>
                      <w:lang w:val="en-GB" w:eastAsia="zh-CN"/>
                    </w:rPr>
                    <m:t xml:space="preserve"> </m:t>
                  </m:r>
                  <m:r>
                    <w:rPr>
                      <w:rFonts w:ascii="Cambria Math" w:hAnsi="Cambria Math" w:cs="Arial"/>
                      <w:sz w:val="21"/>
                      <w:szCs w:val="21"/>
                      <w:lang w:val="en-GB" w:eastAsia="zh-CN"/>
                    </w:rPr>
                    <m:t>accepted</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d</m:t>
              </m:r>
              <m:r>
                <m:rPr>
                  <m:sty m:val="p"/>
                </m:rPr>
                <w:rPr>
                  <w:rFonts w:ascii="Cambria Math" w:hAnsi="Cambria Math" w:cs="Arial"/>
                  <w:sz w:val="21"/>
                  <w:szCs w:val="21"/>
                  <w:lang w:val="en-GB" w:eastAsia="zh-CN"/>
                </w:rPr>
                <m:t>#</m:t>
              </m:r>
              <m:d>
                <m:dPr>
                  <m:begChr m:val="（"/>
                  <m:endChr m:val="）"/>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26</m:t>
                  </m:r>
                </m:e>
              </m:d>
            </m:e>
          </m:eqArr>
        </m:oMath>
      </m:oMathPara>
      <w:bookmarkEnd w:id="156"/>
    </w:p>
    <w:p w14:paraId="565C43F0" w14:textId="2064ABB5" w:rsidR="00A137EA" w:rsidRPr="00D16AB0" w:rsidRDefault="00A137EA" w:rsidP="007C5D3B">
      <w:pPr>
        <w:pStyle w:val="SMText"/>
        <w:spacing w:beforeLines="50" w:before="120" w:afterLines="50" w:after="120" w:line="276" w:lineRule="auto"/>
        <w:ind w:firstLine="0"/>
        <w:rPr>
          <w:rFonts w:ascii="Arial" w:hAnsi="Arial" w:cs="Arial"/>
          <w:sz w:val="21"/>
          <w:szCs w:val="21"/>
          <w:lang w:val="en-GB" w:eastAsia="zh-CN"/>
        </w:rPr>
      </w:pPr>
      <w:bookmarkStart w:id="157" w:name="_Toc214984932"/>
      <w:r w:rsidRPr="00D16AB0">
        <w:rPr>
          <w:rFonts w:ascii="Arial" w:hAnsi="Arial" w:cs="Arial"/>
          <w:sz w:val="21"/>
          <w:szCs w:val="21"/>
          <w:lang w:val="en-GB" w:eastAsia="zh-CN"/>
        </w:rPr>
        <w:t>The emissions reductions are:</w:t>
      </w:r>
      <w:bookmarkEnd w:id="157"/>
    </w:p>
    <w:bookmarkStart w:id="158" w:name="_Toc214984933"/>
    <w:p w14:paraId="2CA727CE" w14:textId="77777777" w:rsidR="00A137EA" w:rsidRPr="00D16AB0" w:rsidRDefault="00000000" w:rsidP="007C5D3B">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Red</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r>
                    <w:rPr>
                      <w:rFonts w:ascii="Cambria Math" w:hAnsi="Cambria Math" w:cs="Arial"/>
                      <w:sz w:val="21"/>
                      <w:szCs w:val="21"/>
                      <w:lang w:val="en-GB" w:eastAsia="zh-CN"/>
                    </w:rPr>
                    <m:t>correctly</m:t>
                  </m:r>
                  <m:r>
                    <m:rPr>
                      <m:sty m:val="p"/>
                    </m:rPr>
                    <w:rPr>
                      <w:rFonts w:ascii="Cambria Math" w:hAnsi="Cambria Math" w:cs="Arial"/>
                      <w:sz w:val="21"/>
                      <w:szCs w:val="21"/>
                      <w:lang w:val="en-GB" w:eastAsia="zh-CN"/>
                    </w:rPr>
                    <m:t xml:space="preserve"> </m:t>
                  </m:r>
                  <m:r>
                    <w:rPr>
                      <w:rFonts w:ascii="Cambria Math" w:hAnsi="Cambria Math" w:cs="Arial"/>
                      <w:sz w:val="21"/>
                      <w:szCs w:val="21"/>
                      <w:lang w:val="en-GB" w:eastAsia="zh-CN"/>
                    </w:rPr>
                    <m:t>accepted</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r>
                    <w:rPr>
                      <w:rFonts w:ascii="Cambria Math" w:hAnsi="Cambria Math" w:cs="Arial"/>
                      <w:sz w:val="21"/>
                      <w:szCs w:val="21"/>
                      <w:lang w:val="en-GB" w:eastAsia="zh-CN"/>
                    </w:rPr>
                    <m:t>falsely</m:t>
                  </m:r>
                  <m:r>
                    <m:rPr>
                      <m:sty m:val="p"/>
                    </m:rPr>
                    <w:rPr>
                      <w:rFonts w:ascii="Cambria Math" w:hAnsi="Cambria Math" w:cs="Arial"/>
                      <w:sz w:val="21"/>
                      <w:szCs w:val="21"/>
                      <w:lang w:val="en-GB" w:eastAsia="zh-CN"/>
                    </w:rPr>
                    <m:t xml:space="preserve"> </m:t>
                  </m:r>
                  <m:r>
                    <w:rPr>
                      <w:rFonts w:ascii="Cambria Math" w:hAnsi="Cambria Math" w:cs="Arial"/>
                      <w:sz w:val="21"/>
                      <w:szCs w:val="21"/>
                      <w:lang w:val="en-GB" w:eastAsia="zh-CN"/>
                    </w:rPr>
                    <m:t>accepted</m:t>
                  </m:r>
                </m:sub>
              </m:sSub>
              <m:r>
                <m:rPr>
                  <m:sty m:val="p"/>
                </m:rPr>
                <w:rPr>
                  <w:rFonts w:ascii="Cambria Math" w:hAnsi="Cambria Math" w:cs="Arial"/>
                  <w:sz w:val="21"/>
                  <w:szCs w:val="21"/>
                  <w:lang w:val="en-GB" w:eastAsia="zh-CN"/>
                </w:rPr>
                <m:t>#</m:t>
              </m:r>
              <m:d>
                <m:dPr>
                  <m:begChr m:val="（"/>
                  <m:endChr m:val="）"/>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27</m:t>
                  </m:r>
                </m:e>
              </m:d>
            </m:e>
          </m:eqArr>
        </m:oMath>
      </m:oMathPara>
      <w:bookmarkEnd w:id="158"/>
    </w:p>
    <w:bookmarkStart w:id="159" w:name="_Toc214984934"/>
    <w:p w14:paraId="77ECB742" w14:textId="783BA7E6" w:rsidR="007427B9" w:rsidRPr="00D16AB0" w:rsidRDefault="00000000" w:rsidP="007C5D3B">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Red</m:t>
                  </m:r>
                </m:e>
                <m:sub>
                  <m:r>
                    <m:rPr>
                      <m:sty m:val="p"/>
                    </m:rPr>
                    <w:rPr>
                      <w:rFonts w:ascii="Cambria Math" w:hAnsi="Cambria Math" w:cs="Arial"/>
                      <w:sz w:val="21"/>
                      <w:szCs w:val="21"/>
                      <w:lang w:val="en-GB" w:eastAsia="zh-CN"/>
                    </w:rPr>
                    <m:t>2</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r>
                    <w:rPr>
                      <w:rFonts w:ascii="Cambria Math" w:hAnsi="Cambria Math" w:cs="Arial"/>
                      <w:sz w:val="21"/>
                      <w:szCs w:val="21"/>
                      <w:lang w:val="en-GB" w:eastAsia="zh-CN"/>
                    </w:rPr>
                    <m:t>correctly</m:t>
                  </m:r>
                  <m:r>
                    <m:rPr>
                      <m:sty m:val="p"/>
                    </m:rPr>
                    <w:rPr>
                      <w:rFonts w:ascii="Cambria Math" w:hAnsi="Cambria Math" w:cs="Arial"/>
                      <w:sz w:val="21"/>
                      <w:szCs w:val="21"/>
                      <w:lang w:val="en-GB" w:eastAsia="zh-CN"/>
                    </w:rPr>
                    <m:t xml:space="preserve"> </m:t>
                  </m:r>
                  <m:r>
                    <w:rPr>
                      <w:rFonts w:ascii="Cambria Math" w:hAnsi="Cambria Math" w:cs="Arial"/>
                      <w:sz w:val="21"/>
                      <w:szCs w:val="21"/>
                      <w:lang w:val="en-GB" w:eastAsia="zh-CN"/>
                    </w:rPr>
                    <m:t>accepted</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r>
                    <w:rPr>
                      <w:rFonts w:ascii="Cambria Math" w:hAnsi="Cambria Math" w:cs="Arial"/>
                      <w:sz w:val="21"/>
                      <w:szCs w:val="21"/>
                      <w:lang w:val="en-GB" w:eastAsia="zh-CN"/>
                    </w:rPr>
                    <m:t>falsely</m:t>
                  </m:r>
                  <m:r>
                    <m:rPr>
                      <m:sty m:val="p"/>
                    </m:rPr>
                    <w:rPr>
                      <w:rFonts w:ascii="Cambria Math" w:hAnsi="Cambria Math" w:cs="Arial"/>
                      <w:sz w:val="21"/>
                      <w:szCs w:val="21"/>
                      <w:lang w:val="en-GB" w:eastAsia="zh-CN"/>
                    </w:rPr>
                    <m:t xml:space="preserve"> </m:t>
                  </m:r>
                  <m:r>
                    <w:rPr>
                      <w:rFonts w:ascii="Cambria Math" w:hAnsi="Cambria Math" w:cs="Arial"/>
                      <w:sz w:val="21"/>
                      <w:szCs w:val="21"/>
                      <w:lang w:val="en-GB" w:eastAsia="zh-CN"/>
                    </w:rPr>
                    <m:t>accepted</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d</m:t>
              </m:r>
              <m:r>
                <m:rPr>
                  <m:sty m:val="p"/>
                </m:rPr>
                <w:rPr>
                  <w:rFonts w:ascii="Cambria Math" w:hAnsi="Cambria Math" w:cs="Arial"/>
                  <w:sz w:val="21"/>
                  <w:szCs w:val="21"/>
                  <w:lang w:val="en-GB" w:eastAsia="zh-CN"/>
                </w:rPr>
                <m:t>#</m:t>
              </m:r>
              <m:d>
                <m:dPr>
                  <m:begChr m:val="（"/>
                  <m:endChr m:val="）"/>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28</m:t>
                  </m:r>
                </m:e>
              </m:d>
            </m:e>
          </m:eqArr>
        </m:oMath>
      </m:oMathPara>
      <w:bookmarkEnd w:id="159"/>
    </w:p>
    <w:p w14:paraId="0305E7B4" w14:textId="37D816BA" w:rsidR="00A137EA" w:rsidRPr="00D16AB0" w:rsidRDefault="00A137EA" w:rsidP="007C5D3B">
      <w:pPr>
        <w:pStyle w:val="SMText"/>
        <w:spacing w:beforeLines="50" w:before="120" w:afterLines="50" w:after="120" w:line="276" w:lineRule="auto"/>
        <w:ind w:firstLine="0"/>
        <w:rPr>
          <w:rFonts w:ascii="Arial" w:hAnsi="Arial" w:cs="Arial"/>
          <w:sz w:val="21"/>
          <w:szCs w:val="21"/>
          <w:lang w:val="en-GB" w:eastAsia="zh-CN"/>
        </w:rPr>
      </w:pPr>
      <w:bookmarkStart w:id="160" w:name="_Toc214984935"/>
      <w:r w:rsidRPr="00D16AB0">
        <w:rPr>
          <w:rFonts w:ascii="Arial" w:hAnsi="Arial" w:cs="Arial"/>
          <w:sz w:val="21"/>
          <w:szCs w:val="21"/>
          <w:lang w:val="en-GB" w:eastAsia="zh-CN"/>
        </w:rPr>
        <w:t>The programme climate mitigation efficiency can be calculated by:</w:t>
      </w:r>
      <w:bookmarkEnd w:id="160"/>
    </w:p>
    <w:bookmarkStart w:id="161" w:name="_Toc214984936"/>
    <w:p w14:paraId="14968B22" w14:textId="77777777" w:rsidR="00A137EA" w:rsidRPr="00D16AB0" w:rsidRDefault="00000000" w:rsidP="007C5D3B">
      <w:pPr>
        <w:pStyle w:val="SMText"/>
        <w:spacing w:beforeLines="50" w:before="120" w:afterLines="50" w:after="120" w:line="276" w:lineRule="auto"/>
        <w:ind w:firstLine="0"/>
        <w:rPr>
          <w:rFonts w:ascii="Arial" w:hAnsi="Arial" w:cs="Arial"/>
          <w:sz w:val="21"/>
          <w:szCs w:val="21"/>
          <w:lang w:val="en-GB" w:eastAsia="zh-CN"/>
        </w:rPr>
      </w:pPr>
      <m:oMathPara>
        <m:oMath>
          <m:eqArr>
            <m:eqArrPr>
              <m:maxDist m:val="1"/>
              <m:ctrlPr>
                <w:rPr>
                  <w:rFonts w:ascii="Cambria Math" w:hAnsi="Cambria Math" w:cs="Arial"/>
                  <w:sz w:val="21"/>
                  <w:szCs w:val="21"/>
                  <w:lang w:val="en-GB" w:eastAsia="zh-CN"/>
                </w:rPr>
              </m:ctrlPr>
            </m:eqArr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Efficency</m:t>
                  </m:r>
                </m:e>
                <m:sub>
                  <m:r>
                    <w:rPr>
                      <w:rFonts w:ascii="Cambria Math" w:hAnsi="Cambria Math" w:cs="Arial"/>
                      <w:sz w:val="21"/>
                      <w:szCs w:val="21"/>
                      <w:lang w:val="en-GB" w:eastAsia="zh-CN"/>
                    </w:rPr>
                    <m:t>i</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Red</m:t>
                  </m:r>
                </m:e>
                <m:sub>
                  <m:r>
                    <w:rPr>
                      <w:rFonts w:ascii="Cambria Math" w:hAnsi="Cambria Math" w:cs="Arial"/>
                      <w:sz w:val="21"/>
                      <w:szCs w:val="21"/>
                      <w:lang w:val="en-GB" w:eastAsia="zh-CN"/>
                    </w:rPr>
                    <m:t>i</m:t>
                  </m:r>
                </m:sub>
              </m:sSub>
              <m:r>
                <m:rPr>
                  <m:lit/>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Trade</m:t>
                  </m:r>
                </m:e>
                <m:sub>
                  <m:r>
                    <w:rPr>
                      <w:rFonts w:ascii="Cambria Math" w:hAnsi="Cambria Math" w:cs="Arial"/>
                      <w:sz w:val="21"/>
                      <w:szCs w:val="21"/>
                      <w:lang w:val="en-GB" w:eastAsia="zh-CN"/>
                    </w:rPr>
                    <m:t>i</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i</m:t>
              </m:r>
              <m:r>
                <m:rPr>
                  <m:sty m:val="p"/>
                </m:rPr>
                <w:rPr>
                  <w:rFonts w:ascii="Cambria Math" w:hAnsi="Cambria Math" w:cs="Arial"/>
                  <w:sz w:val="21"/>
                  <w:szCs w:val="21"/>
                  <w:lang w:val="en-GB" w:eastAsia="zh-CN"/>
                </w:rPr>
                <m:t>=1,2#</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29</m:t>
                  </m:r>
                </m:e>
              </m:d>
            </m:e>
          </m:eqArr>
        </m:oMath>
      </m:oMathPara>
      <w:bookmarkEnd w:id="161"/>
    </w:p>
    <w:p w14:paraId="56AD2154" w14:textId="77777777" w:rsidR="00FC63AB" w:rsidRPr="00D16AB0" w:rsidRDefault="00FC63AB" w:rsidP="00961066">
      <w:pPr>
        <w:pStyle w:val="SMSubheading"/>
        <w:spacing w:beforeLines="50" w:before="120" w:afterLines="50" w:after="120" w:line="276" w:lineRule="auto"/>
        <w:rPr>
          <w:rFonts w:ascii="Arial" w:hAnsi="Arial" w:cs="Arial"/>
          <w:bCs/>
          <w:sz w:val="21"/>
          <w:szCs w:val="21"/>
          <w:u w:val="none"/>
          <w:lang w:val="en-GB"/>
        </w:rPr>
      </w:pPr>
    </w:p>
    <w:p w14:paraId="176B3539" w14:textId="2FA1489F" w:rsidR="008D11EC" w:rsidRPr="00D16AB0" w:rsidRDefault="00E172A5" w:rsidP="00961066">
      <w:pPr>
        <w:pStyle w:val="SMHeading"/>
        <w:numPr>
          <w:ilvl w:val="0"/>
          <w:numId w:val="21"/>
        </w:numPr>
        <w:spacing w:beforeLines="50" w:before="120" w:afterLines="50" w:after="120" w:line="276" w:lineRule="auto"/>
        <w:ind w:left="357" w:hanging="357"/>
        <w:rPr>
          <w:rFonts w:ascii="Arial" w:hAnsi="Arial" w:cs="Arial"/>
          <w:sz w:val="21"/>
          <w:szCs w:val="21"/>
          <w:lang w:val="en-GB"/>
        </w:rPr>
      </w:pPr>
      <w:bookmarkStart w:id="162" w:name="_Toc214982029"/>
      <w:bookmarkStart w:id="163" w:name="_Toc214984253"/>
      <w:bookmarkStart w:id="164" w:name="_Toc214984279"/>
      <w:bookmarkStart w:id="165" w:name="_Toc214984937"/>
      <w:bookmarkStart w:id="166" w:name="_Toc214985830"/>
      <w:bookmarkStart w:id="167" w:name="_Toc214986972"/>
      <w:r w:rsidRPr="00D16AB0">
        <w:rPr>
          <w:rFonts w:ascii="Arial" w:hAnsi="Arial" w:cs="Arial"/>
          <w:sz w:val="21"/>
          <w:szCs w:val="21"/>
          <w:lang w:val="en-GB"/>
        </w:rPr>
        <w:t>Model Calibration</w:t>
      </w:r>
      <w:bookmarkEnd w:id="162"/>
      <w:bookmarkEnd w:id="163"/>
      <w:bookmarkEnd w:id="164"/>
      <w:bookmarkEnd w:id="165"/>
      <w:bookmarkEnd w:id="166"/>
      <w:bookmarkEnd w:id="167"/>
    </w:p>
    <w:p w14:paraId="6AE95C1F" w14:textId="6D4C1C2B" w:rsidR="00611D9D" w:rsidRPr="00D16AB0" w:rsidRDefault="007E60CF"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168" w:name="_Toc214984938"/>
      <w:bookmarkStart w:id="169" w:name="_Toc214985831"/>
      <w:bookmarkStart w:id="170" w:name="_Toc214986973"/>
      <w:r w:rsidRPr="00D16AB0">
        <w:rPr>
          <w:rFonts w:ascii="Arial" w:hAnsi="Arial" w:cs="Arial"/>
          <w:b/>
          <w:bCs/>
          <w:sz w:val="21"/>
          <w:szCs w:val="21"/>
          <w:u w:val="none"/>
          <w:lang w:val="en-GB"/>
        </w:rPr>
        <w:t>CDM Pipeline and voluntary registry offsets database</w:t>
      </w:r>
      <w:bookmarkEnd w:id="168"/>
      <w:bookmarkEnd w:id="169"/>
      <w:bookmarkEnd w:id="170"/>
    </w:p>
    <w:p w14:paraId="7536C7FE" w14:textId="35888C0B" w:rsidR="0045645B" w:rsidRPr="00D16AB0" w:rsidRDefault="007E60CF" w:rsidP="00C861C5">
      <w:pPr>
        <w:pStyle w:val="SMText"/>
        <w:spacing w:beforeLines="50" w:before="120" w:afterLines="50" w:after="120" w:line="276" w:lineRule="auto"/>
        <w:ind w:firstLine="0"/>
        <w:rPr>
          <w:rFonts w:ascii="Arial" w:hAnsi="Arial" w:cs="Arial"/>
          <w:sz w:val="21"/>
          <w:szCs w:val="21"/>
          <w:lang w:val="en-GB" w:eastAsia="zh-CN"/>
        </w:rPr>
      </w:pPr>
      <w:bookmarkStart w:id="171" w:name="_Toc214984939"/>
      <w:r w:rsidRPr="00D16AB0">
        <w:rPr>
          <w:rFonts w:ascii="Arial" w:hAnsi="Arial" w:cs="Arial"/>
          <w:sz w:val="21"/>
          <w:szCs w:val="21"/>
          <w:lang w:val="en-GB" w:eastAsia="zh-CN"/>
        </w:rPr>
        <w:t>The proposed regime requires careful analysis of country-project-type-specific contexts, specifically the heterogeneity and the additional proportion. On one hand, the less heterogeneity in one sector in one country, the easier the design of standardised credit allocation rules and eligibility criteria would be. On the other hand, the higher proportion of additional offsets within a context, the higher proportion of offset credits the regulators would like to allocate. Therefore, we need to analyse the distribution of industry-level benchmark IRRs and the registration rates in historical data.</w:t>
      </w:r>
      <w:bookmarkEnd w:id="171"/>
      <w:r w:rsidRPr="00D16AB0">
        <w:rPr>
          <w:rFonts w:ascii="Arial" w:hAnsi="Arial" w:cs="Arial"/>
          <w:sz w:val="21"/>
          <w:szCs w:val="21"/>
          <w:lang w:val="en-GB" w:eastAsia="zh-CN"/>
        </w:rPr>
        <w:t xml:space="preserve"> </w:t>
      </w:r>
    </w:p>
    <w:p w14:paraId="7F55D2F7" w14:textId="651B1C62" w:rsidR="0045645B" w:rsidRPr="00D16AB0" w:rsidRDefault="007E60CF" w:rsidP="00C861C5">
      <w:pPr>
        <w:pStyle w:val="SMText"/>
        <w:spacing w:beforeLines="50" w:before="120" w:afterLines="50" w:after="120" w:line="276" w:lineRule="auto"/>
        <w:ind w:firstLine="0"/>
        <w:rPr>
          <w:rFonts w:ascii="Arial" w:hAnsi="Arial" w:cs="Arial"/>
          <w:sz w:val="21"/>
          <w:szCs w:val="21"/>
          <w:lang w:val="en-GB" w:eastAsia="zh-CN"/>
        </w:rPr>
      </w:pPr>
      <w:bookmarkStart w:id="172" w:name="_Toc214984940"/>
      <w:r w:rsidRPr="00D16AB0">
        <w:rPr>
          <w:rFonts w:ascii="Arial" w:hAnsi="Arial" w:cs="Arial"/>
          <w:sz w:val="21"/>
          <w:szCs w:val="21"/>
          <w:lang w:val="en-GB" w:eastAsia="zh-CN"/>
        </w:rPr>
        <w:t xml:space="preserve">CDM, as the world’s largest carbon offset program, provides a rich sample of the existing carbon offset projects globally. The CDM Pipeline database was retrieved from the official website of UN Environmental Programme Copenhagen Climate Centre (UNEP-CCC). It gives an overview of the CDM’s implementation as of October 2023 and covers 13,152 CDM projects that used to apply for </w:t>
      </w:r>
      <w:r w:rsidR="00E963D7" w:rsidRPr="00D16AB0">
        <w:rPr>
          <w:rFonts w:ascii="Arial" w:hAnsi="Arial" w:cs="Arial"/>
          <w:sz w:val="21"/>
          <w:szCs w:val="21"/>
          <w:lang w:val="en-GB" w:eastAsia="zh-CN"/>
        </w:rPr>
        <w:t>CERs</w:t>
      </w:r>
      <w:r w:rsidRPr="00D16AB0">
        <w:rPr>
          <w:rFonts w:ascii="Arial" w:hAnsi="Arial" w:cs="Arial"/>
          <w:sz w:val="21"/>
          <w:szCs w:val="21"/>
          <w:lang w:val="en-GB" w:eastAsia="zh-CN"/>
        </w:rPr>
        <w:t xml:space="preserve">. To help take a closer look at the data, Table </w:t>
      </w:r>
      <w:r w:rsidR="00F27CBB">
        <w:rPr>
          <w:rFonts w:ascii="Arial" w:hAnsi="Arial" w:cs="Arial"/>
          <w:sz w:val="21"/>
          <w:szCs w:val="21"/>
          <w:lang w:val="en-GB" w:eastAsia="zh-CN"/>
        </w:rPr>
        <w:t>3</w:t>
      </w:r>
      <w:r w:rsidRPr="00D16AB0">
        <w:rPr>
          <w:rFonts w:ascii="Arial" w:hAnsi="Arial" w:cs="Arial"/>
          <w:sz w:val="21"/>
          <w:szCs w:val="21"/>
          <w:lang w:val="en-GB" w:eastAsia="zh-CN"/>
        </w:rPr>
        <w:t xml:space="preserve"> and Table </w:t>
      </w:r>
      <w:r w:rsidR="00F27CBB">
        <w:rPr>
          <w:rFonts w:ascii="Arial" w:hAnsi="Arial" w:cs="Arial"/>
          <w:sz w:val="21"/>
          <w:szCs w:val="21"/>
          <w:lang w:val="en-GB" w:eastAsia="zh-CN"/>
        </w:rPr>
        <w:t>4</w:t>
      </w:r>
      <w:r w:rsidRPr="00D16AB0">
        <w:rPr>
          <w:rFonts w:ascii="Arial" w:hAnsi="Arial" w:cs="Arial"/>
          <w:sz w:val="21"/>
          <w:szCs w:val="21"/>
          <w:lang w:val="en-GB" w:eastAsia="zh-CN"/>
        </w:rPr>
        <w:t xml:space="preserve"> present the summary statistics of the categorical and numerical variables respectively. Importantly, this database not only does disclose all registered projects (n = 8195, ~62.3%), but also include other failed projects (e.g., deregistered, provisional, rejected, validation replaced, validation terminated, validation public, withdrawn, pending publication). As the largest carbon offset programme connecting the developed and developing worlds, most of the projects are located in China (n = 5045), India (n = 3400) and Brazil (n = 764); and more than half of them are related to renewable energy, including wind (n = 3087, ~24%), hydro (n = 3035, ~23%) and biomass (n = 1514, ~11%).</w:t>
      </w:r>
      <w:bookmarkEnd w:id="172"/>
    </w:p>
    <w:p w14:paraId="310FF46C" w14:textId="06448091" w:rsidR="008D11EC" w:rsidRPr="00D16AB0" w:rsidRDefault="007E60CF" w:rsidP="00C861C5">
      <w:pPr>
        <w:pStyle w:val="SMText"/>
        <w:spacing w:beforeLines="50" w:before="120" w:afterLines="50" w:after="120" w:line="276" w:lineRule="auto"/>
        <w:ind w:firstLine="0"/>
        <w:rPr>
          <w:rFonts w:ascii="Arial" w:hAnsi="Arial" w:cs="Arial"/>
          <w:sz w:val="21"/>
          <w:szCs w:val="21"/>
          <w:lang w:val="en-GB" w:eastAsia="zh-CN"/>
        </w:rPr>
      </w:pPr>
      <w:bookmarkStart w:id="173" w:name="_Toc214984941"/>
      <w:r w:rsidRPr="00D16AB0">
        <w:rPr>
          <w:rFonts w:ascii="Arial" w:hAnsi="Arial" w:cs="Arial"/>
          <w:sz w:val="21"/>
          <w:szCs w:val="21"/>
          <w:lang w:val="en-GB" w:eastAsia="zh-CN"/>
        </w:rPr>
        <w:t xml:space="preserve">The voluntary registry offset database developed by the Berkeley Carbon Trading Project covers all carbon offset projects listed by four major voluntary offset project registries, specifically, ACR, CAR, GS and VCS. We retrieved the August 2024 version of the dataset including important information on project name, status, type, location, credit issuances and retirements. Table </w:t>
      </w:r>
      <w:r w:rsidR="00F27CBB">
        <w:rPr>
          <w:rFonts w:ascii="Arial" w:hAnsi="Arial" w:cs="Arial"/>
          <w:sz w:val="21"/>
          <w:szCs w:val="21"/>
          <w:lang w:val="en-GB" w:eastAsia="zh-CN"/>
        </w:rPr>
        <w:t>5</w:t>
      </w:r>
      <w:r w:rsidRPr="00D16AB0">
        <w:rPr>
          <w:rFonts w:ascii="Arial" w:hAnsi="Arial" w:cs="Arial"/>
          <w:sz w:val="21"/>
          <w:szCs w:val="21"/>
          <w:lang w:val="en-GB" w:eastAsia="zh-CN"/>
        </w:rPr>
        <w:t xml:space="preserve"> shows the summary statistics of important variables in the database. The database includes 8850 voluntary carbon offset projects from four major voluntary offset project registries with a registration rate of 72.88% on average. Among these voluntary projects, 5% were from ACR, 7% from CAR, 39% from GS, and 49% from VCS. Different from CDM, the number of carbon removal projects occupies about 6% of the data sample. In addition, five major project types are cookstoves (n = 1503), wind farms (n = 1015), improved forest management (n = 633), hydropower (n = 532) and afforestation/reforestation (n = 526). More African countries have engaged in offset projects related </w:t>
      </w:r>
      <w:r w:rsidRPr="00D16AB0">
        <w:rPr>
          <w:rFonts w:ascii="Arial" w:hAnsi="Arial" w:cs="Arial"/>
          <w:sz w:val="21"/>
          <w:szCs w:val="21"/>
          <w:lang w:val="en-GB" w:eastAsia="zh-CN"/>
        </w:rPr>
        <w:lastRenderedPageBreak/>
        <w:t>to clean water and cookstoves, including Uganda, Rwanda, Nigeria, Mozambique, Malawi, Madagascar, Burkina Faso, and Kenya. Meanwhile, forestry offsets play an important role in the international voluntary carbon offset market.</w:t>
      </w:r>
      <w:bookmarkEnd w:id="173"/>
    </w:p>
    <w:p w14:paraId="4BFA5778" w14:textId="6F146E21" w:rsidR="00D74DF2" w:rsidRPr="00D16AB0" w:rsidRDefault="00B2693E"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The benchmark IRR reflects the risk of investing in climate mitigation activities, and its distribution outlines the industry developmental situations and the heterogeneity of the context. As such, the analysis of historical data on financial metrics is beneficial to understand different contexts. Table 6 shows the distribution of the benchmark IRR and the number of unique benchmark IRRs by host country and project type under CDM for three major host countries. </w:t>
      </w:r>
    </w:p>
    <w:p w14:paraId="3901B763" w14:textId="7DD1EC29" w:rsidR="007E052D" w:rsidRPr="00D16AB0" w:rsidRDefault="00B2693E"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First of all, the selection of benchmark IRR varies across contexts. The average benchmark IRR in different sectors across three major countries (Brazil, China, India) is distributed between 8% and 16%; by host country, it is relatively low in China (around 10%), compared to Brazil (around 13%) and India (around 15%); as for project type, it is relatively higher in Brazil’s biomass energy (14.74%) and hydro (15.31%), China’s cement (12.17%) and EE industry (12.38%) and India’s EE own generation (15.45%) and mixed renewables (16.33%). This indicates that it may be generally riskier to develop an offset project in India and Brazil than in China. </w:t>
      </w:r>
    </w:p>
    <w:p w14:paraId="29A572C4" w14:textId="795DCA9D" w:rsidR="004665EE" w:rsidRPr="00D16AB0" w:rsidRDefault="00B2693E"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In addition, the standard deviation of the benchmark IRR varies and reflects the extent of heterogeneity. Most of them are densely distributed with a relatively small standard deviation (below 4%), except for Brazil’s biomass energy, China’s N2O, and India’s EE households, EE own generation, and transport. These categories may require further classification into sub-types to reduce heterogeneity for non-additionality risk assessments.</w:t>
      </w:r>
    </w:p>
    <w:p w14:paraId="5DACBCFD" w14:textId="1E32F4A1" w:rsidR="007502A5" w:rsidRPr="00D16AB0" w:rsidRDefault="00B2693E"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Lastly, the number of unique values across sectors and countries interestingly shows that project developers in China prefer to apply a standardised IRR as the benchmark, while project developers in India enjoy choosing their own unique benchmark IRR</w:t>
      </w:r>
      <w:r w:rsidR="00371EB3" w:rsidRPr="00D16AB0">
        <w:rPr>
          <w:rFonts w:ascii="Arial" w:hAnsi="Arial" w:cs="Arial"/>
          <w:sz w:val="21"/>
          <w:szCs w:val="21"/>
          <w:lang w:val="en-GB" w:eastAsia="zh-CN"/>
        </w:rPr>
        <w:t>s</w:t>
      </w:r>
      <w:r w:rsidRPr="00D16AB0">
        <w:rPr>
          <w:rFonts w:ascii="Arial" w:hAnsi="Arial" w:cs="Arial"/>
          <w:sz w:val="21"/>
          <w:szCs w:val="21"/>
          <w:lang w:val="en-GB" w:eastAsia="zh-CN"/>
        </w:rPr>
        <w:t>. For example, there are only 2 unique values (</w:t>
      </w:r>
      <w:r w:rsidR="00A701B8" w:rsidRPr="00D16AB0">
        <w:rPr>
          <w:rFonts w:ascii="Arial" w:hAnsi="Arial" w:cs="Arial"/>
          <w:sz w:val="21"/>
          <w:szCs w:val="21"/>
          <w:lang w:val="en-GB" w:eastAsia="zh-CN"/>
        </w:rPr>
        <w:t>mostly</w:t>
      </w:r>
      <w:r w:rsidRPr="00D16AB0">
        <w:rPr>
          <w:rFonts w:ascii="Arial" w:hAnsi="Arial" w:cs="Arial"/>
          <w:sz w:val="21"/>
          <w:szCs w:val="21"/>
          <w:lang w:val="en-GB" w:eastAsia="zh-CN"/>
        </w:rPr>
        <w:t xml:space="preserve"> 8%</w:t>
      </w:r>
      <w:r w:rsidR="00FB2B5D" w:rsidRPr="00D16AB0">
        <w:rPr>
          <w:rFonts w:ascii="Arial" w:hAnsi="Arial" w:cs="Arial"/>
          <w:sz w:val="21"/>
          <w:szCs w:val="21"/>
          <w:lang w:val="en-GB" w:eastAsia="zh-CN"/>
        </w:rPr>
        <w:t>,</w:t>
      </w:r>
      <w:r w:rsidRPr="00D16AB0">
        <w:rPr>
          <w:rFonts w:ascii="Arial" w:hAnsi="Arial" w:cs="Arial"/>
          <w:sz w:val="21"/>
          <w:szCs w:val="21"/>
          <w:lang w:val="en-GB" w:eastAsia="zh-CN"/>
        </w:rPr>
        <w:t xml:space="preserve"> </w:t>
      </w:r>
      <w:r w:rsidR="001704D5" w:rsidRPr="00D16AB0">
        <w:rPr>
          <w:rFonts w:ascii="Arial" w:hAnsi="Arial" w:cs="Arial"/>
          <w:sz w:val="21"/>
          <w:szCs w:val="21"/>
          <w:lang w:val="en-GB" w:eastAsia="zh-CN"/>
        </w:rPr>
        <w:t>a few</w:t>
      </w:r>
      <w:r w:rsidR="00724F14" w:rsidRPr="00D16AB0">
        <w:rPr>
          <w:rFonts w:ascii="Arial" w:hAnsi="Arial" w:cs="Arial"/>
          <w:sz w:val="21"/>
          <w:szCs w:val="21"/>
          <w:lang w:val="en-GB" w:eastAsia="zh-CN"/>
        </w:rPr>
        <w:t xml:space="preserve"> </w:t>
      </w:r>
      <w:r w:rsidRPr="00D16AB0">
        <w:rPr>
          <w:rFonts w:ascii="Arial" w:hAnsi="Arial" w:cs="Arial"/>
          <w:sz w:val="21"/>
          <w:szCs w:val="21"/>
          <w:lang w:val="en-GB" w:eastAsia="zh-CN"/>
        </w:rPr>
        <w:t>10%) for 1614 wind farms in China, however, there are 335 unique values among 1107 Indian wind farms, though the standard deviation of 2.57% is not very high.</w:t>
      </w:r>
    </w:p>
    <w:p w14:paraId="050AD6FF" w14:textId="472FE0AC" w:rsidR="00902F7A" w:rsidRPr="00D16AB0" w:rsidRDefault="00B2693E"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Regulation quality matters while relying on human judgement to identify non -additional projects and avoid credit misallocation. Table </w:t>
      </w:r>
      <w:r w:rsidR="00F27CBB">
        <w:rPr>
          <w:rFonts w:ascii="Arial" w:hAnsi="Arial" w:cs="Arial"/>
          <w:sz w:val="21"/>
          <w:szCs w:val="21"/>
          <w:lang w:val="en-GB" w:eastAsia="zh-CN"/>
        </w:rPr>
        <w:t>7</w:t>
      </w:r>
      <w:r w:rsidRPr="00D16AB0">
        <w:rPr>
          <w:rFonts w:ascii="Arial" w:hAnsi="Arial" w:cs="Arial"/>
          <w:sz w:val="21"/>
          <w:szCs w:val="21"/>
          <w:lang w:val="en-GB" w:eastAsia="zh-CN"/>
        </w:rPr>
        <w:t xml:space="preserve"> presents the number of CDM projects and the registration rate by host country and project type and Table </w:t>
      </w:r>
      <w:r w:rsidR="00F27CBB">
        <w:rPr>
          <w:rFonts w:ascii="Arial" w:hAnsi="Arial" w:cs="Arial"/>
          <w:sz w:val="21"/>
          <w:szCs w:val="21"/>
          <w:lang w:val="en-GB" w:eastAsia="zh-CN"/>
        </w:rPr>
        <w:t>8</w:t>
      </w:r>
      <w:r w:rsidRPr="00D16AB0">
        <w:rPr>
          <w:rFonts w:ascii="Arial" w:hAnsi="Arial" w:cs="Arial"/>
          <w:sz w:val="21"/>
          <w:szCs w:val="21"/>
          <w:lang w:val="en-GB" w:eastAsia="zh-CN"/>
        </w:rPr>
        <w:t xml:space="preserve"> shows the number of VCM projects and the registration rate by host country and project type. The reason why we examine this is that the registration rate, in other words, application success rates, can be viewed as the proportion of additional projects within a sector in a country that the offset programme regulators believe or have confidence in.</w:t>
      </w:r>
    </w:p>
    <w:p w14:paraId="2BE29E63" w14:textId="217CDBC6" w:rsidR="003A6C7C" w:rsidRPr="00D16AB0" w:rsidRDefault="00B2693E"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Given the overall registration rate of 62.3% (8165 out of 13152) under the CDM, it’s observed that some categories have quite a few applications (n &gt; 10) and a high registration rate (&gt; 75%), including Chile’s wind (n = 26, 84.62%), China’s hydro (n = 1738, 76.29%), solar (n = 175, 93.71%) and wind (n = 1614, 93.68%), Indonesia’s landfill gas (n = 13, 84.62%), Mexico’s wind (n = 38, 76.32%), Philippines’s hydro (n = 14, 78.57%), Thailand’s solar (n = 28, 100%), and Vietnam’s hydro (n = 227, 89.43%). On the contrary, the CDM EB seems to be more suspicious regarding Brazil’s biomass energy (n = 184, 26.09%), Chile’s solar (n = 47, 42.55%), China’s energy efficient own generation (n = 497, 42.05%), India’s EE own generation (n = 245, 30.61%) and methane avoidance (n = 102, 33.33%), Indonesia’s biomass energy (n = 38, 36.84%), Malaysia’s landfill gas (n =22, 40.91%), Philippines’s biomass energy (n = 20, 25%) and Thailand’s EE own generation (n = 15, 26.67%).</w:t>
      </w:r>
    </w:p>
    <w:p w14:paraId="7B088D67" w14:textId="4E080CFA" w:rsidR="0092298B" w:rsidRPr="00D16AB0" w:rsidRDefault="00B2693E"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lastRenderedPageBreak/>
        <w:t>Given the overall registration rate of 72.88% (6450 out of 8850) under the VCM, it’s observed that certain categories exhibited high application success rates (&gt; 90%) with quite a few applications (n &gt; 10), including Bangladesh’s cookstoves (n = 118, 96.61%), Brazil’s biomass (n = 50, 90%), Burkina Faso’s clean water (n = 22, 100%), China’s cookstoves (n = 25, 92%), solar (n = 34, 91.18%), and biodigesters ( n = 125, 92%), India’s biodigesters ( n = 68, 91.18%), Kenya’s afforestation/reforestation (n = 15, 93.33%), Uganda’s afforestation/reforestation (n = 21, 95.24%), United States’ wind (n = 12, 100%) and landfill methane (n = 173, 90.75%). On the contrary, voluntary carbon offset registries seemed to be more suspicious regarding China’s rice emission reductions (n = 266, 10.9%), Mozambique’s cookstoves (n = 50, 40%).</w:t>
      </w:r>
    </w:p>
    <w:p w14:paraId="100732E5" w14:textId="25E6A8B1" w:rsidR="00C414AA" w:rsidRPr="00D16AB0" w:rsidRDefault="00B2693E"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The substantial difference in the registration rates shows that regulators consciously or unconsciously expect a higher additional proportion, equivalent to a higher policy hurdle rate, within some contexts. More importantly, this helps find the inconsistency in regulators’ judgement on non-additionality risks across different carbon offset registries. For example, the registration rate of Brazil’s biomass projects under the CDM was only 26.09% yet 90% under the VCM. This indicates either some significant market/policy changes in the biomass sector over time in Brazil or severe regulators’ biases towards this context in the mandatory or voluntary carbon offset market.</w:t>
      </w:r>
    </w:p>
    <w:p w14:paraId="2B0B8E3F" w14:textId="2312153D" w:rsidR="00BF3D85" w:rsidRDefault="00B2693E"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The statistical analysis of the CDM Pipeline and the voluntary registry offsets database delivers an informative global overview of the offset project investment and development environment, the extent of heterogeneity under different contexts, and the expectation/belief of additionality regulators. This largely benefits the design of country-</w:t>
      </w:r>
      <w:r w:rsidR="002A5182" w:rsidRPr="00D16AB0">
        <w:rPr>
          <w:rFonts w:ascii="Arial" w:hAnsi="Arial" w:cs="Arial"/>
          <w:sz w:val="21"/>
          <w:szCs w:val="21"/>
          <w:lang w:val="en-GB" w:eastAsia="zh-CN"/>
        </w:rPr>
        <w:t xml:space="preserve"> and </w:t>
      </w:r>
      <w:r w:rsidR="00A86CA7" w:rsidRPr="00D16AB0">
        <w:rPr>
          <w:rFonts w:ascii="Arial" w:hAnsi="Arial" w:cs="Arial"/>
          <w:sz w:val="21"/>
          <w:szCs w:val="21"/>
          <w:lang w:val="en-GB" w:eastAsia="zh-CN"/>
        </w:rPr>
        <w:t>project-type</w:t>
      </w:r>
      <w:r w:rsidRPr="00D16AB0">
        <w:rPr>
          <w:rFonts w:ascii="Arial" w:hAnsi="Arial" w:cs="Arial"/>
          <w:sz w:val="21"/>
          <w:szCs w:val="21"/>
          <w:lang w:val="en-GB" w:eastAsia="zh-CN"/>
        </w:rPr>
        <w:t>-specific positive</w:t>
      </w:r>
      <w:r w:rsidR="002508E7" w:rsidRPr="00D16AB0">
        <w:rPr>
          <w:rFonts w:ascii="Arial" w:hAnsi="Arial" w:cs="Arial"/>
          <w:sz w:val="21"/>
          <w:szCs w:val="21"/>
          <w:lang w:val="en-GB" w:eastAsia="zh-CN"/>
        </w:rPr>
        <w:t xml:space="preserve"> inclusion</w:t>
      </w:r>
      <w:r w:rsidRPr="00D16AB0">
        <w:rPr>
          <w:rFonts w:ascii="Arial" w:hAnsi="Arial" w:cs="Arial"/>
          <w:sz w:val="21"/>
          <w:szCs w:val="21"/>
          <w:lang w:val="en-GB" w:eastAsia="zh-CN"/>
        </w:rPr>
        <w:t xml:space="preserve"> lists and the selection of</w:t>
      </w:r>
      <w:r w:rsidR="005E2FC3" w:rsidRPr="00D16AB0">
        <w:rPr>
          <w:rFonts w:ascii="Arial" w:hAnsi="Arial" w:cs="Arial"/>
          <w:sz w:val="21"/>
          <w:szCs w:val="21"/>
          <w:lang w:val="en-GB" w:eastAsia="zh-CN"/>
        </w:rPr>
        <w:t xml:space="preserve"> baseline</w:t>
      </w:r>
      <w:r w:rsidRPr="00D16AB0">
        <w:rPr>
          <w:rFonts w:ascii="Arial" w:hAnsi="Arial" w:cs="Arial"/>
          <w:sz w:val="21"/>
          <w:szCs w:val="21"/>
          <w:lang w:val="en-GB" w:eastAsia="zh-CN"/>
        </w:rPr>
        <w:t xml:space="preserve"> crediting rates. However, a key challenge remains in in assessing the robustness of additionality tests to gaming: how to identify the complete set of potential projects in one context, which is unobserved, rather than just the subset of projects which is observed from these two databases.</w:t>
      </w:r>
    </w:p>
    <w:p w14:paraId="5B20180E" w14:textId="77777777" w:rsidR="002D143B" w:rsidRPr="00D16AB0" w:rsidRDefault="002D143B" w:rsidP="00961066">
      <w:pPr>
        <w:pStyle w:val="SMText"/>
        <w:spacing w:beforeLines="50" w:before="120" w:afterLines="50" w:after="120" w:line="276" w:lineRule="auto"/>
        <w:ind w:firstLine="0"/>
        <w:rPr>
          <w:rFonts w:ascii="Arial" w:hAnsi="Arial" w:cs="Arial"/>
          <w:sz w:val="21"/>
          <w:szCs w:val="21"/>
          <w:lang w:val="en-GB" w:eastAsia="zh-CN"/>
        </w:rPr>
      </w:pPr>
    </w:p>
    <w:p w14:paraId="4D73D59C" w14:textId="77777777" w:rsidR="008C4A70" w:rsidRPr="00D16AB0" w:rsidRDefault="00822231"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174" w:name="_Toc214984942"/>
      <w:bookmarkStart w:id="175" w:name="_Toc214985832"/>
      <w:bookmarkStart w:id="176" w:name="_Toc214986974"/>
      <w:r w:rsidRPr="00D16AB0">
        <w:rPr>
          <w:rFonts w:ascii="Arial" w:hAnsi="Arial" w:cs="Arial"/>
          <w:b/>
          <w:bCs/>
          <w:sz w:val="21"/>
          <w:szCs w:val="21"/>
          <w:u w:val="none"/>
          <w:lang w:val="en-GB"/>
        </w:rPr>
        <w:t>Parameter</w:t>
      </w:r>
      <w:r w:rsidR="0077705E" w:rsidRPr="00D16AB0">
        <w:rPr>
          <w:rFonts w:ascii="Arial" w:hAnsi="Arial" w:cs="Arial"/>
          <w:b/>
          <w:bCs/>
          <w:sz w:val="21"/>
          <w:szCs w:val="21"/>
          <w:u w:val="none"/>
          <w:lang w:val="en-GB"/>
        </w:rPr>
        <w:t xml:space="preserve"> Calibration</w:t>
      </w:r>
      <w:bookmarkEnd w:id="174"/>
      <w:bookmarkEnd w:id="175"/>
      <w:bookmarkEnd w:id="176"/>
    </w:p>
    <w:p w14:paraId="31D68B29" w14:textId="1CE247EC" w:rsidR="00A34CED" w:rsidRPr="00D16AB0" w:rsidRDefault="00A34CED" w:rsidP="00C21918">
      <w:pPr>
        <w:pStyle w:val="SMText"/>
        <w:spacing w:beforeLines="50" w:before="120" w:afterLines="50" w:after="120" w:line="276" w:lineRule="auto"/>
        <w:ind w:firstLine="0"/>
        <w:rPr>
          <w:rFonts w:ascii="Arial" w:hAnsi="Arial" w:cs="Arial"/>
          <w:sz w:val="21"/>
          <w:szCs w:val="21"/>
          <w:lang w:val="en-GB" w:eastAsia="zh-CN"/>
        </w:rPr>
      </w:pPr>
      <w:bookmarkStart w:id="177" w:name="_Toc214984943"/>
      <w:r w:rsidRPr="00D16AB0">
        <w:rPr>
          <w:rFonts w:ascii="Arial" w:hAnsi="Arial" w:cs="Arial"/>
          <w:sz w:val="21"/>
          <w:szCs w:val="21"/>
          <w:lang w:val="en-GB" w:eastAsia="zh-CN"/>
        </w:rPr>
        <w:t>To test the regulatory performance of two different regimes and ensure data representation and simple size, we need to select one context with rich historical data to construct the synthetical pool for simulation analysis. As such, we take the CDM’s wind projects in China for parameter calibration and model simulation in this section and the subsequent ones, since the sample size is large enough to be representative (n = 1614); these projects are relatively homogeneous involving solely the construction of wind farms ; and the CDM Pipeline provides historical data on project characteristics and specific financial metrics.</w:t>
      </w:r>
      <w:bookmarkEnd w:id="177"/>
    </w:p>
    <w:p w14:paraId="523EB881" w14:textId="585D5433" w:rsidR="00095800" w:rsidRPr="00D16AB0" w:rsidRDefault="00A34CED"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Fig</w:t>
      </w:r>
      <w:r w:rsidR="005C05BF" w:rsidRPr="00D16AB0">
        <w:rPr>
          <w:rFonts w:ascii="Arial" w:hAnsi="Arial" w:cs="Arial"/>
          <w:sz w:val="21"/>
          <w:szCs w:val="21"/>
          <w:lang w:val="en-GB" w:eastAsia="zh-CN"/>
        </w:rPr>
        <w:t>ure</w:t>
      </w:r>
      <w:r w:rsidRPr="00D16AB0">
        <w:rPr>
          <w:rFonts w:ascii="Arial" w:hAnsi="Arial" w:cs="Arial"/>
          <w:sz w:val="21"/>
          <w:szCs w:val="21"/>
          <w:lang w:val="en-GB" w:eastAsia="zh-CN"/>
        </w:rPr>
        <w:t xml:space="preserve"> </w:t>
      </w:r>
      <w:r w:rsidR="00F27CBB">
        <w:rPr>
          <w:rFonts w:ascii="Arial" w:hAnsi="Arial" w:cs="Arial"/>
          <w:sz w:val="21"/>
          <w:szCs w:val="21"/>
          <w:lang w:val="en-GB" w:eastAsia="zh-CN"/>
        </w:rPr>
        <w:t>4</w:t>
      </w:r>
      <w:r w:rsidRPr="00D16AB0">
        <w:rPr>
          <w:rFonts w:ascii="Arial" w:hAnsi="Arial" w:cs="Arial"/>
          <w:sz w:val="21"/>
          <w:szCs w:val="21"/>
          <w:lang w:val="en-GB" w:eastAsia="zh-CN"/>
        </w:rPr>
        <w:t xml:space="preserve"> presents a series of histograms of key characteristics for wind projects in China. It’s clearly observed from the histograms that the benchmark IRR is 8%; the capacity is densely concentrated around 50 MW; most projects have a crediting/operating period of 7 years. An average wind project in China has an initial investment cost of 66 million USD, an IRR without CERs of 6.2%, and a 2.8% increase in IRR by selling CERs at the price of 12.5 USD/tCO2e. In addition, the observed IRR without CERs, the increase in IRR due to CER revenue, and the initial investment cost are close to a normal distribution. These projects are supposed to be additional since their submitted IRRs without CERs are below the benchmark IRR (8%). However, there are still about 10% of projects rejected by the CDM EB. This suggests that the regulators believe that a small proportion of the non-additional projects game their financial parameters to apply for carbon offsets. </w:t>
      </w:r>
    </w:p>
    <w:p w14:paraId="44DD8161" w14:textId="0FA471B1" w:rsidR="00A34CED" w:rsidRPr="00D16AB0" w:rsidRDefault="000919CF"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lastRenderedPageBreak/>
        <w:t>Fig</w:t>
      </w:r>
      <w:r w:rsidR="00A728C8" w:rsidRPr="00D16AB0">
        <w:rPr>
          <w:rFonts w:ascii="Arial" w:hAnsi="Arial" w:cs="Arial"/>
          <w:sz w:val="21"/>
          <w:szCs w:val="21"/>
          <w:lang w:val="en-GB" w:eastAsia="zh-CN"/>
        </w:rPr>
        <w:t>ure</w:t>
      </w:r>
      <w:r w:rsidRPr="00D16AB0">
        <w:rPr>
          <w:rFonts w:ascii="Arial" w:hAnsi="Arial" w:cs="Arial"/>
          <w:sz w:val="21"/>
          <w:szCs w:val="21"/>
          <w:lang w:val="en-GB" w:eastAsia="zh-CN"/>
        </w:rPr>
        <w:t xml:space="preserve"> </w:t>
      </w:r>
      <w:r w:rsidR="00F27CBB">
        <w:rPr>
          <w:rFonts w:ascii="Arial" w:hAnsi="Arial" w:cs="Arial"/>
          <w:sz w:val="21"/>
          <w:szCs w:val="21"/>
          <w:lang w:val="en-GB" w:eastAsia="zh-CN"/>
        </w:rPr>
        <w:t>5</w:t>
      </w:r>
      <w:r w:rsidRPr="00D16AB0">
        <w:rPr>
          <w:rFonts w:ascii="Arial" w:hAnsi="Arial" w:cs="Arial"/>
          <w:sz w:val="21"/>
          <w:szCs w:val="21"/>
          <w:lang w:val="en-GB" w:eastAsia="zh-CN"/>
        </w:rPr>
        <w:t xml:space="preserve"> shows a correlogram of the four parameters for the CDM’s wind projects in China: IRR % excl. CER,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emission reductions, </w:t>
      </w:r>
      <m:oMath>
        <m:r>
          <w:rPr>
            <w:rFonts w:ascii="Cambria Math" w:hAnsi="Cambria Math" w:cs="Arial"/>
            <w:sz w:val="21"/>
            <w:szCs w:val="21"/>
            <w:lang w:val="en-GB" w:eastAsia="zh-CN"/>
          </w:rPr>
          <m:t>Q</m:t>
        </m:r>
      </m:oMath>
      <w:r w:rsidRPr="00D16AB0">
        <w:rPr>
          <w:rFonts w:ascii="Arial" w:hAnsi="Arial" w:cs="Arial"/>
          <w:sz w:val="21"/>
          <w:szCs w:val="21"/>
          <w:lang w:val="en-GB" w:eastAsia="zh-CN"/>
        </w:rPr>
        <w:t xml:space="preserve"> (ktCO2e/yr); CER price, </w:t>
      </w:r>
      <m:oMath>
        <m:r>
          <w:rPr>
            <w:rFonts w:ascii="Cambria Math" w:hAnsi="Cambria Math" w:cs="Arial"/>
            <w:sz w:val="21"/>
            <w:szCs w:val="21"/>
            <w:lang w:val="en-GB" w:eastAsia="zh-CN"/>
          </w:rPr>
          <m:t>P</m:t>
        </m:r>
      </m:oMath>
      <w:r w:rsidRPr="00D16AB0">
        <w:rPr>
          <w:rFonts w:ascii="Arial" w:hAnsi="Arial" w:cs="Arial"/>
          <w:sz w:val="21"/>
          <w:szCs w:val="21"/>
          <w:lang w:val="en-GB" w:eastAsia="zh-CN"/>
        </w:rPr>
        <w:t xml:space="preserve"> (US$/tCO2); and increase in IRR due to CER (%), </w:t>
      </w:r>
      <m:oMath>
        <m:r>
          <w:rPr>
            <w:rFonts w:ascii="Cambria Math" w:hAnsi="Cambria Math" w:cs="Arial"/>
            <w:sz w:val="21"/>
            <w:szCs w:val="21"/>
            <w:lang w:val="en-GB" w:eastAsia="zh-CN"/>
          </w:rPr>
          <m:t>f</m:t>
        </m:r>
      </m:oMath>
      <w:r w:rsidRPr="00D16AB0">
        <w:rPr>
          <w:rFonts w:ascii="Arial" w:hAnsi="Arial" w:cs="Arial"/>
          <w:sz w:val="21"/>
          <w:szCs w:val="21"/>
          <w:lang w:val="en-GB" w:eastAsia="zh-CN"/>
        </w:rPr>
        <w:t xml:space="preserve">. The pre-offset return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is negatively correlated with the offset return </w:t>
      </w:r>
      <m:oMath>
        <m:r>
          <w:rPr>
            <w:rFonts w:ascii="Cambria Math" w:hAnsi="Cambria Math" w:cs="Arial"/>
            <w:sz w:val="21"/>
            <w:szCs w:val="21"/>
            <w:lang w:val="en-GB" w:eastAsia="zh-CN"/>
          </w:rPr>
          <m:t>f</m:t>
        </m:r>
      </m:oMath>
      <w:r w:rsidRPr="00D16AB0">
        <w:rPr>
          <w:rFonts w:ascii="Arial" w:hAnsi="Arial" w:cs="Arial"/>
          <w:sz w:val="21"/>
          <w:szCs w:val="21"/>
          <w:lang w:val="en-GB" w:eastAsia="zh-CN"/>
        </w:rPr>
        <w:t xml:space="preserve"> (correlation coefficient -0.31) and the offset price, </w:t>
      </w:r>
      <m:oMath>
        <m:r>
          <w:rPr>
            <w:rFonts w:ascii="Cambria Math" w:hAnsi="Cambria Math" w:cs="Arial"/>
            <w:sz w:val="21"/>
            <w:szCs w:val="21"/>
            <w:lang w:val="en-GB" w:eastAsia="zh-CN"/>
          </w:rPr>
          <m:t>P</m:t>
        </m:r>
      </m:oMath>
      <w:r w:rsidRPr="00D16AB0">
        <w:rPr>
          <w:rFonts w:ascii="Arial" w:hAnsi="Arial" w:cs="Arial"/>
          <w:sz w:val="21"/>
          <w:szCs w:val="21"/>
          <w:lang w:val="en-GB" w:eastAsia="zh-CN"/>
        </w:rPr>
        <w:t xml:space="preserve"> (correlation coefficient -0.14). This indicates that the wind plants with lower IRRs can increase their IRRs more after receiving offset revenues and tend to sell their credits at a higher price. The initial investment cost is relatively independent of other variables.</w:t>
      </w:r>
    </w:p>
    <w:p w14:paraId="21ED9BF5" w14:textId="48561E61" w:rsidR="00A34CED" w:rsidRPr="00D16AB0" w:rsidRDefault="00A34CED"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Based on the observed parameters from Fig</w:t>
      </w:r>
      <w:r w:rsidR="00236DBF" w:rsidRPr="00D16AB0">
        <w:rPr>
          <w:rFonts w:ascii="Arial" w:hAnsi="Arial" w:cs="Arial"/>
          <w:sz w:val="21"/>
          <w:szCs w:val="21"/>
          <w:lang w:val="en-GB" w:eastAsia="zh-CN"/>
        </w:rPr>
        <w:t xml:space="preserve">ure </w:t>
      </w:r>
      <w:r w:rsidR="00F27CBB">
        <w:rPr>
          <w:rFonts w:ascii="Arial" w:hAnsi="Arial" w:cs="Arial"/>
          <w:sz w:val="21"/>
          <w:szCs w:val="21"/>
          <w:lang w:val="en-GB" w:eastAsia="zh-CN"/>
        </w:rPr>
        <w:t>4</w:t>
      </w:r>
      <w:r w:rsidRPr="00D16AB0">
        <w:rPr>
          <w:rFonts w:ascii="Arial" w:hAnsi="Arial" w:cs="Arial"/>
          <w:sz w:val="21"/>
          <w:szCs w:val="21"/>
          <w:lang w:val="en-GB" w:eastAsia="zh-CN"/>
        </w:rPr>
        <w:t xml:space="preserve"> and </w:t>
      </w:r>
      <w:r w:rsidR="00EC43BC" w:rsidRPr="00D16AB0">
        <w:rPr>
          <w:rFonts w:ascii="Arial" w:hAnsi="Arial" w:cs="Arial"/>
          <w:sz w:val="21"/>
          <w:szCs w:val="21"/>
          <w:lang w:val="en-GB" w:eastAsia="zh-CN"/>
        </w:rPr>
        <w:t xml:space="preserve">Figure </w:t>
      </w:r>
      <w:r w:rsidR="00F27CBB">
        <w:rPr>
          <w:rFonts w:ascii="Arial" w:hAnsi="Arial" w:cs="Arial"/>
          <w:sz w:val="21"/>
          <w:szCs w:val="21"/>
          <w:lang w:val="en-GB" w:eastAsia="zh-CN"/>
        </w:rPr>
        <w:t>5</w:t>
      </w:r>
      <w:r w:rsidRPr="00D16AB0">
        <w:rPr>
          <w:rFonts w:ascii="Arial" w:hAnsi="Arial" w:cs="Arial"/>
          <w:sz w:val="21"/>
          <w:szCs w:val="21"/>
          <w:lang w:val="en-GB" w:eastAsia="zh-CN"/>
        </w:rPr>
        <w:t>, we therefore construct a synthetic project pool that consists of 10,000 wind projects in China each with a capacity of 50 MW; the benchmark IRR (</w:t>
      </w:r>
      <m:oMath>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oMath>
      <w:r w:rsidRPr="00D16AB0">
        <w:rPr>
          <w:rFonts w:ascii="Arial" w:hAnsi="Arial" w:cs="Arial"/>
          <w:sz w:val="21"/>
          <w:szCs w:val="21"/>
          <w:lang w:val="en-GB" w:eastAsia="zh-CN"/>
        </w:rPr>
        <w:t xml:space="preserve">), or the hurdle rate, is 8%; </w:t>
      </w:r>
      <w:r w:rsidR="000434A9" w:rsidRPr="00D16AB0">
        <w:rPr>
          <w:rFonts w:ascii="Arial" w:hAnsi="Arial" w:cs="Arial"/>
          <w:sz w:val="21"/>
          <w:szCs w:val="21"/>
          <w:lang w:val="en-GB" w:eastAsia="zh-CN"/>
        </w:rPr>
        <w:t xml:space="preserve">and </w:t>
      </w:r>
      <w:r w:rsidRPr="00D16AB0">
        <w:rPr>
          <w:rFonts w:ascii="Arial" w:hAnsi="Arial" w:cs="Arial"/>
          <w:sz w:val="21"/>
          <w:szCs w:val="21"/>
          <w:lang w:val="en-GB" w:eastAsia="zh-CN"/>
        </w:rPr>
        <w:t>the crediting period (</w:t>
      </w:r>
      <m:oMath>
        <m:r>
          <w:rPr>
            <w:rFonts w:ascii="Cambria Math" w:hAnsi="Cambria Math" w:cs="Arial"/>
            <w:sz w:val="21"/>
            <w:szCs w:val="21"/>
            <w:lang w:val="en-GB" w:eastAsia="zh-CN"/>
          </w:rPr>
          <m:t>T</m:t>
        </m:r>
      </m:oMath>
      <w:r w:rsidRPr="00D16AB0">
        <w:rPr>
          <w:rFonts w:ascii="Arial" w:hAnsi="Arial" w:cs="Arial"/>
          <w:sz w:val="21"/>
          <w:szCs w:val="21"/>
          <w:lang w:val="en-GB" w:eastAsia="zh-CN"/>
        </w:rPr>
        <w:t>) is 7 years. The initial investment cost (million US$), the IRR without CER</w:t>
      </w:r>
      <w:r w:rsidR="00596F25" w:rsidRPr="00D16AB0">
        <w:rPr>
          <w:rFonts w:ascii="Arial" w:hAnsi="Arial" w:cs="Arial"/>
          <w:sz w:val="21"/>
          <w:szCs w:val="21"/>
          <w:lang w:val="en-GB" w:eastAsia="zh-CN"/>
        </w:rPr>
        <w:t>s</w:t>
      </w:r>
      <w:r w:rsidRPr="00D16AB0">
        <w:rPr>
          <w:rFonts w:ascii="Arial" w:hAnsi="Arial" w:cs="Arial"/>
          <w:sz w:val="21"/>
          <w:szCs w:val="21"/>
          <w:lang w:val="en-GB" w:eastAsia="zh-CN"/>
        </w:rPr>
        <w:t xml:space="preserve"> (%), the increase in IRR due to CER</w:t>
      </w:r>
      <w:r w:rsidR="00F66E50" w:rsidRPr="00D16AB0">
        <w:rPr>
          <w:rFonts w:ascii="Arial" w:hAnsi="Arial" w:cs="Arial"/>
          <w:sz w:val="21"/>
          <w:szCs w:val="21"/>
          <w:lang w:val="en-GB" w:eastAsia="zh-CN"/>
        </w:rPr>
        <w:t>s</w:t>
      </w:r>
      <w:r w:rsidRPr="00D16AB0">
        <w:rPr>
          <w:rFonts w:ascii="Arial" w:hAnsi="Arial" w:cs="Arial"/>
          <w:sz w:val="21"/>
          <w:szCs w:val="21"/>
          <w:lang w:val="en-GB" w:eastAsia="zh-CN"/>
        </w:rPr>
        <w:t xml:space="preserve"> (%) and the CER price (US$/tCO2e) are each normally distributed. Mathematically, the probability density function (PDF) of these four parameters is presented as follows.</w:t>
      </w:r>
    </w:p>
    <w:p w14:paraId="7FCB0F5D" w14:textId="25E9ABF4" w:rsidR="009150A8" w:rsidRPr="00D16AB0" w:rsidRDefault="00000000" w:rsidP="00961066">
      <w:pPr>
        <w:pStyle w:val="SMText"/>
        <w:spacing w:beforeLines="50" w:before="120" w:afterLines="50" w:after="120" w:line="276" w:lineRule="auto"/>
        <w:ind w:firstLine="0"/>
        <w:rPr>
          <w:rFonts w:ascii="Arial" w:hAnsi="Arial" w:cs="Arial"/>
          <w:sz w:val="21"/>
          <w:szCs w:val="21"/>
          <w:lang w:val="en-GB" w:eastAsia="zh-CN"/>
        </w:rPr>
      </w:pPr>
      <m:oMathPara>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f</m:t>
              </m:r>
            </m:e>
            <m:sub>
              <m:r>
                <w:rPr>
                  <w:rFonts w:ascii="Cambria Math" w:hAnsi="Cambria Math" w:cs="Arial"/>
                  <w:sz w:val="21"/>
                  <w:szCs w:val="21"/>
                  <w:lang w:val="en-GB" w:eastAsia="zh-CN"/>
                </w:rPr>
                <m:t>i</m:t>
              </m:r>
            </m:sub>
          </m:sSub>
          <m:d>
            <m:dPr>
              <m:ctrlPr>
                <w:rPr>
                  <w:rFonts w:ascii="Cambria Math" w:hAnsi="Cambria Math" w:cs="Arial"/>
                  <w:sz w:val="21"/>
                  <w:szCs w:val="21"/>
                  <w:lang w:val="en-GB" w:eastAsia="zh-CN"/>
                </w:rPr>
              </m:ctrlPr>
            </m:dPr>
            <m:e>
              <m:r>
                <w:rPr>
                  <w:rFonts w:ascii="Cambria Math" w:hAnsi="Cambria Math" w:cs="Arial"/>
                  <w:sz w:val="21"/>
                  <w:szCs w:val="21"/>
                  <w:lang w:val="en-GB" w:eastAsia="zh-CN"/>
                </w:rPr>
                <m:t>x</m:t>
              </m:r>
            </m:e>
          </m:d>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r>
                <m:rPr>
                  <m:sty m:val="p"/>
                </m:rPr>
                <w:rPr>
                  <w:rFonts w:ascii="Cambria Math" w:hAnsi="Cambria Math" w:cs="Arial"/>
                  <w:sz w:val="21"/>
                  <w:szCs w:val="21"/>
                  <w:lang w:val="en-GB" w:eastAsia="zh-CN"/>
                </w:rPr>
                <m:t>1</m:t>
              </m:r>
            </m:num>
            <m:den>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σ</m:t>
                  </m:r>
                </m:e>
                <m:sub>
                  <m:r>
                    <w:rPr>
                      <w:rFonts w:ascii="Cambria Math" w:hAnsi="Cambria Math" w:cs="Arial"/>
                      <w:sz w:val="21"/>
                      <w:szCs w:val="21"/>
                      <w:lang w:val="en-GB" w:eastAsia="zh-CN"/>
                    </w:rPr>
                    <m:t>i</m:t>
                  </m:r>
                </m:sub>
              </m:sSub>
              <m:rad>
                <m:radPr>
                  <m:degHide m:val="1"/>
                  <m:ctrlPr>
                    <w:rPr>
                      <w:rFonts w:ascii="Cambria Math" w:hAnsi="Cambria Math" w:cs="Arial"/>
                      <w:sz w:val="21"/>
                      <w:szCs w:val="21"/>
                      <w:lang w:val="en-GB" w:eastAsia="zh-CN"/>
                    </w:rPr>
                  </m:ctrlPr>
                </m:radPr>
                <m:deg/>
                <m:e>
                  <m:r>
                    <m:rPr>
                      <m:sty m:val="p"/>
                    </m:rPr>
                    <w:rPr>
                      <w:rFonts w:ascii="Cambria Math" w:hAnsi="Cambria Math" w:cs="Arial"/>
                      <w:sz w:val="21"/>
                      <w:szCs w:val="21"/>
                      <w:lang w:val="en-GB" w:eastAsia="zh-CN"/>
                    </w:rPr>
                    <m:t>2</m:t>
                  </m:r>
                  <m:r>
                    <w:rPr>
                      <w:rFonts w:ascii="Cambria Math" w:hAnsi="Cambria Math" w:cs="Arial"/>
                      <w:sz w:val="21"/>
                      <w:szCs w:val="21"/>
                      <w:lang w:val="en-GB" w:eastAsia="zh-CN"/>
                    </w:rPr>
                    <m:t>π</m:t>
                  </m:r>
                </m:e>
              </m:rad>
            </m:den>
          </m:f>
          <m:sSup>
            <m:sSupPr>
              <m:ctrlPr>
                <w:rPr>
                  <w:rFonts w:ascii="Cambria Math" w:hAnsi="Cambria Math" w:cs="Arial"/>
                  <w:sz w:val="21"/>
                  <w:szCs w:val="21"/>
                  <w:lang w:val="en-GB" w:eastAsia="zh-CN"/>
                </w:rPr>
              </m:ctrlPr>
            </m:sSupPr>
            <m:e>
              <m:r>
                <w:rPr>
                  <w:rFonts w:ascii="Cambria Math" w:hAnsi="Cambria Math" w:cs="Arial"/>
                  <w:sz w:val="21"/>
                  <w:szCs w:val="21"/>
                  <w:lang w:val="en-GB" w:eastAsia="zh-CN"/>
                </w:rPr>
                <m:t>e</m:t>
              </m:r>
            </m:e>
            <m:sup>
              <m:r>
                <m:rPr>
                  <m:sty m:val="p"/>
                </m:rPr>
                <w:rPr>
                  <w:rFonts w:ascii="Cambria Math" w:hAnsi="Cambria Math" w:cs="Arial"/>
                  <w:sz w:val="21"/>
                  <w:szCs w:val="21"/>
                  <w:lang w:val="en-GB" w:eastAsia="zh-CN"/>
                </w:rPr>
                <m:t>-</m:t>
              </m:r>
              <m:f>
                <m:fPr>
                  <m:ctrlPr>
                    <w:rPr>
                      <w:rFonts w:ascii="Cambria Math" w:hAnsi="Cambria Math" w:cs="Arial"/>
                      <w:sz w:val="21"/>
                      <w:szCs w:val="21"/>
                      <w:lang w:val="en-GB" w:eastAsia="zh-CN"/>
                    </w:rPr>
                  </m:ctrlPr>
                </m:fPr>
                <m:num>
                  <m:sSup>
                    <m:sSupPr>
                      <m:ctrlPr>
                        <w:rPr>
                          <w:rFonts w:ascii="Cambria Math" w:hAnsi="Cambria Math" w:cs="Arial"/>
                          <w:sz w:val="21"/>
                          <w:szCs w:val="21"/>
                          <w:lang w:val="en-GB" w:eastAsia="zh-CN"/>
                        </w:rPr>
                      </m:ctrlPr>
                    </m:sSupPr>
                    <m:e>
                      <m:d>
                        <m:dPr>
                          <m:ctrlPr>
                            <w:rPr>
                              <w:rFonts w:ascii="Cambria Math" w:hAnsi="Cambria Math" w:cs="Arial"/>
                              <w:sz w:val="21"/>
                              <w:szCs w:val="21"/>
                              <w:lang w:val="en-GB" w:eastAsia="zh-CN"/>
                            </w:rPr>
                          </m:ctrlPr>
                        </m:dPr>
                        <m:e>
                          <m:r>
                            <w:rPr>
                              <w:rFonts w:ascii="Cambria Math" w:hAnsi="Cambria Math" w:cs="Arial"/>
                              <w:sz w:val="21"/>
                              <w:szCs w:val="21"/>
                              <w:lang w:val="en-GB" w:eastAsia="zh-CN"/>
                            </w:rPr>
                            <m:t>x</m:t>
                          </m:r>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μ</m:t>
                              </m:r>
                            </m:e>
                            <m:sub>
                              <m:r>
                                <w:rPr>
                                  <w:rFonts w:ascii="Cambria Math" w:hAnsi="Cambria Math" w:cs="Arial"/>
                                  <w:sz w:val="21"/>
                                  <w:szCs w:val="21"/>
                                  <w:lang w:val="en-GB" w:eastAsia="zh-CN"/>
                                </w:rPr>
                                <m:t>i</m:t>
                              </m:r>
                            </m:sub>
                          </m:sSub>
                        </m:e>
                      </m:d>
                    </m:e>
                    <m:sup>
                      <m:r>
                        <m:rPr>
                          <m:sty m:val="p"/>
                        </m:rPr>
                        <w:rPr>
                          <w:rFonts w:ascii="Cambria Math" w:hAnsi="Cambria Math" w:cs="Arial"/>
                          <w:sz w:val="21"/>
                          <w:szCs w:val="21"/>
                          <w:lang w:val="en-GB" w:eastAsia="zh-CN"/>
                        </w:rPr>
                        <m:t>2</m:t>
                      </m:r>
                    </m:sup>
                  </m:sSup>
                </m:num>
                <m:den>
                  <m:r>
                    <m:rPr>
                      <m:sty m:val="p"/>
                    </m:rPr>
                    <w:rPr>
                      <w:rFonts w:ascii="Cambria Math" w:hAnsi="Cambria Math" w:cs="Arial"/>
                      <w:sz w:val="21"/>
                      <w:szCs w:val="21"/>
                      <w:lang w:val="en-GB" w:eastAsia="zh-CN"/>
                    </w:rPr>
                    <m:t>2</m:t>
                  </m:r>
                  <m:sSup>
                    <m:sSupPr>
                      <m:ctrlPr>
                        <w:rPr>
                          <w:rFonts w:ascii="Cambria Math" w:hAnsi="Cambria Math" w:cs="Arial"/>
                          <w:sz w:val="21"/>
                          <w:szCs w:val="21"/>
                          <w:lang w:val="en-GB" w:eastAsia="zh-CN"/>
                        </w:rPr>
                      </m:ctrlPr>
                    </m:sSup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σ</m:t>
                          </m:r>
                        </m:e>
                        <m:sub>
                          <m:r>
                            <w:rPr>
                              <w:rFonts w:ascii="Cambria Math" w:hAnsi="Cambria Math" w:cs="Arial"/>
                              <w:sz w:val="21"/>
                              <w:szCs w:val="21"/>
                              <w:lang w:val="en-GB" w:eastAsia="zh-CN"/>
                            </w:rPr>
                            <m:t>i</m:t>
                          </m:r>
                        </m:sub>
                      </m:sSub>
                    </m:e>
                    <m:sup>
                      <m:r>
                        <m:rPr>
                          <m:sty m:val="p"/>
                        </m:rPr>
                        <w:rPr>
                          <w:rFonts w:ascii="Cambria Math" w:hAnsi="Cambria Math" w:cs="Arial"/>
                          <w:sz w:val="21"/>
                          <w:szCs w:val="21"/>
                          <w:lang w:val="en-GB" w:eastAsia="zh-CN"/>
                        </w:rPr>
                        <m:t>2</m:t>
                      </m:r>
                    </m:sup>
                  </m:sSup>
                </m:den>
              </m:f>
            </m:sup>
          </m:sSup>
          <m:r>
            <m:rPr>
              <m:sty m:val="p"/>
            </m:rPr>
            <w:rPr>
              <w:rFonts w:ascii="Cambria Math" w:hAnsi="Cambria Math" w:cs="Arial"/>
              <w:sz w:val="21"/>
              <w:szCs w:val="21"/>
              <w:lang w:val="en-GB" w:eastAsia="zh-CN"/>
            </w:rPr>
            <m:t>,</m:t>
          </m:r>
          <m:r>
            <w:rPr>
              <w:rFonts w:ascii="Cambria Math" w:hAnsi="Cambria Math" w:cs="Arial"/>
              <w:sz w:val="21"/>
              <w:szCs w:val="21"/>
              <w:lang w:val="en-GB" w:eastAsia="zh-CN"/>
            </w:rPr>
            <m:t>i</m:t>
          </m:r>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P</m:t>
          </m:r>
        </m:oMath>
      </m:oMathPara>
    </w:p>
    <w:p w14:paraId="08D1B292" w14:textId="0AD3F0D7" w:rsidR="00A34CED" w:rsidRPr="00D16AB0" w:rsidRDefault="00A34CED"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Using the expression form of </w:t>
      </w:r>
      <m:oMath>
        <m:r>
          <w:rPr>
            <w:rFonts w:ascii="Cambria Math" w:hAnsi="Cambria Math" w:cs="Arial"/>
            <w:sz w:val="21"/>
            <w:szCs w:val="21"/>
            <w:lang w:val="en-GB" w:eastAsia="zh-CN"/>
          </w:rPr>
          <m:t>N</m:t>
        </m:r>
        <m:d>
          <m:dPr>
            <m:ctrlPr>
              <w:rPr>
                <w:rFonts w:ascii="Cambria Math" w:hAnsi="Cambria Math" w:cs="Arial"/>
                <w:sz w:val="21"/>
                <w:szCs w:val="21"/>
                <w:lang w:val="en-GB" w:eastAsia="zh-CN"/>
              </w:rPr>
            </m:ctrlPr>
          </m:d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μ</m:t>
                </m:r>
              </m:e>
              <m:sub>
                <m:r>
                  <w:rPr>
                    <w:rFonts w:ascii="Cambria Math" w:hAnsi="Cambria Math" w:cs="Arial"/>
                    <w:sz w:val="21"/>
                    <w:szCs w:val="21"/>
                    <w:lang w:val="en-GB" w:eastAsia="zh-CN"/>
                  </w:rPr>
                  <m:t>i</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σ</m:t>
                </m:r>
              </m:e>
              <m:sub>
                <m:r>
                  <w:rPr>
                    <w:rFonts w:ascii="Cambria Math" w:hAnsi="Cambria Math" w:cs="Arial"/>
                    <w:sz w:val="21"/>
                    <w:szCs w:val="21"/>
                    <w:lang w:val="en-GB" w:eastAsia="zh-CN"/>
                  </w:rPr>
                  <m:t>i</m:t>
                </m:r>
              </m:sub>
            </m:sSub>
          </m:e>
        </m:d>
      </m:oMath>
      <w:r w:rsidRPr="00D16AB0">
        <w:rPr>
          <w:rFonts w:ascii="Arial" w:hAnsi="Arial" w:cs="Arial"/>
          <w:sz w:val="21"/>
          <w:szCs w:val="21"/>
          <w:lang w:val="en-GB" w:eastAsia="zh-CN"/>
        </w:rPr>
        <w:t>, the distribution of the four parameters is:</w:t>
      </w:r>
    </w:p>
    <w:p w14:paraId="6FBC4209" w14:textId="77777777" w:rsidR="00A34CED" w:rsidRPr="00D16AB0" w:rsidRDefault="00000000" w:rsidP="00961066">
      <w:pPr>
        <w:pStyle w:val="SMText"/>
        <w:spacing w:beforeLines="50" w:before="120" w:afterLines="50" w:after="120" w:line="276" w:lineRule="auto"/>
        <w:ind w:firstLine="0"/>
        <w:rPr>
          <w:rFonts w:ascii="Arial" w:hAnsi="Arial" w:cs="Arial"/>
          <w:sz w:val="21"/>
          <w:szCs w:val="21"/>
          <w:lang w:val="en-GB" w:eastAsia="zh-CN"/>
        </w:rPr>
      </w:pP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N</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66, 12</m:t>
            </m:r>
          </m:e>
        </m:d>
      </m:oMath>
      <w:r w:rsidR="00A34CED" w:rsidRPr="00D16AB0">
        <w:rPr>
          <w:rFonts w:ascii="Arial" w:hAnsi="Arial" w:cs="Arial"/>
          <w:sz w:val="21"/>
          <w:szCs w:val="21"/>
          <w:lang w:val="en-GB" w:eastAsia="zh-CN"/>
        </w:rPr>
        <w:t xml:space="preserve">;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N</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6.2, 0.57</m:t>
            </m:r>
          </m:e>
        </m:d>
      </m:oMath>
      <w:r w:rsidR="00A34CED" w:rsidRPr="00D16AB0">
        <w:rPr>
          <w:rFonts w:ascii="Arial" w:hAnsi="Arial" w:cs="Arial"/>
          <w:sz w:val="21"/>
          <w:szCs w:val="21"/>
          <w:lang w:val="en-GB" w:eastAsia="zh-CN"/>
        </w:rPr>
        <w:t xml:space="preserve">; </w:t>
      </w:r>
      <m:oMath>
        <m:r>
          <w:rPr>
            <w:rFonts w:ascii="Cambria Math" w:hAnsi="Cambria Math" w:cs="Arial"/>
            <w:sz w:val="21"/>
            <w:szCs w:val="21"/>
            <w:lang w:val="en-GB" w:eastAsia="zh-CN"/>
          </w:rPr>
          <m:t>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N</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2.81, 0.54</m:t>
            </m:r>
          </m:e>
        </m:d>
      </m:oMath>
      <w:r w:rsidR="00A34CED" w:rsidRPr="00D16AB0">
        <w:rPr>
          <w:rFonts w:ascii="Arial" w:hAnsi="Arial" w:cs="Arial"/>
          <w:sz w:val="21"/>
          <w:szCs w:val="21"/>
          <w:lang w:val="en-GB" w:eastAsia="zh-CN"/>
        </w:rPr>
        <w:t xml:space="preserve">; </w:t>
      </w:r>
      <m:oMath>
        <m:r>
          <w:rPr>
            <w:rFonts w:ascii="Cambria Math" w:hAnsi="Cambria Math" w:cs="Arial"/>
            <w:sz w:val="21"/>
            <w:szCs w:val="21"/>
            <w:lang w:val="en-GB" w:eastAsia="zh-CN"/>
          </w:rPr>
          <m:t>P</m:t>
        </m:r>
        <m:r>
          <m:rPr>
            <m:sty m:val="p"/>
          </m:rPr>
          <w:rPr>
            <w:rFonts w:ascii="Cambria Math" w:hAnsi="Cambria Math" w:cs="Arial"/>
            <w:sz w:val="21"/>
            <w:szCs w:val="21"/>
            <w:lang w:val="en-GB" w:eastAsia="zh-CN"/>
          </w:rPr>
          <m:t>~</m:t>
        </m:r>
        <m:r>
          <w:rPr>
            <w:rFonts w:ascii="Cambria Math" w:hAnsi="Cambria Math" w:cs="Arial"/>
            <w:sz w:val="21"/>
            <w:szCs w:val="21"/>
            <w:lang w:val="en-GB" w:eastAsia="zh-CN"/>
          </w:rPr>
          <m:t>N</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12.5, 1</m:t>
            </m:r>
          </m:e>
        </m:d>
      </m:oMath>
    </w:p>
    <w:p w14:paraId="243E398C" w14:textId="77777777" w:rsidR="00A34CED" w:rsidRPr="00D16AB0" w:rsidRDefault="00A34CED" w:rsidP="00961066">
      <w:pPr>
        <w:pStyle w:val="SMText"/>
        <w:spacing w:beforeLines="50" w:before="120" w:afterLines="50" w:after="120" w:line="276" w:lineRule="auto"/>
        <w:ind w:firstLine="0"/>
        <w:rPr>
          <w:rFonts w:ascii="Arial" w:hAnsi="Arial" w:cs="Arial"/>
          <w:sz w:val="21"/>
          <w:szCs w:val="21"/>
          <w:lang w:val="en-GB" w:eastAsia="zh-CN"/>
        </w:rPr>
      </w:pPr>
      <m:oMath>
        <m:r>
          <w:rPr>
            <w:rFonts w:ascii="Cambria Math" w:hAnsi="Cambria Math" w:cs="Arial"/>
            <w:sz w:val="21"/>
            <w:szCs w:val="21"/>
            <w:lang w:val="en-GB" w:eastAsia="zh-CN"/>
          </w:rPr>
          <m:t>corr</m:t>
        </m:r>
        <m:d>
          <m:dPr>
            <m:ctrlPr>
              <w:rPr>
                <w:rFonts w:ascii="Cambria Math" w:hAnsi="Cambria Math" w:cs="Arial"/>
                <w:sz w:val="21"/>
                <w:szCs w:val="21"/>
                <w:lang w:val="en-GB" w:eastAsia="zh-CN"/>
              </w:rPr>
            </m:ctrlPr>
          </m:d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f</m:t>
            </m:r>
          </m:e>
        </m:d>
        <m:r>
          <m:rPr>
            <m:sty m:val="p"/>
          </m:rPr>
          <w:rPr>
            <w:rFonts w:ascii="Cambria Math" w:hAnsi="Cambria Math" w:cs="Arial"/>
            <w:sz w:val="21"/>
            <w:szCs w:val="21"/>
            <w:lang w:val="en-GB" w:eastAsia="zh-CN"/>
          </w:rPr>
          <m:t>=-0.3</m:t>
        </m:r>
      </m:oMath>
      <w:r w:rsidRPr="00D16AB0">
        <w:rPr>
          <w:rFonts w:ascii="Arial" w:hAnsi="Arial" w:cs="Arial"/>
          <w:sz w:val="21"/>
          <w:szCs w:val="21"/>
          <w:lang w:val="en-GB" w:eastAsia="zh-CN"/>
        </w:rPr>
        <w:t xml:space="preserve">; </w:t>
      </w:r>
      <m:oMath>
        <m:r>
          <w:rPr>
            <w:rFonts w:ascii="Cambria Math" w:hAnsi="Cambria Math" w:cs="Arial"/>
            <w:sz w:val="21"/>
            <w:szCs w:val="21"/>
            <w:lang w:val="en-GB" w:eastAsia="zh-CN"/>
          </w:rPr>
          <m:t>corr</m:t>
        </m:r>
        <m:d>
          <m:dPr>
            <m:ctrlPr>
              <w:rPr>
                <w:rFonts w:ascii="Cambria Math" w:hAnsi="Cambria Math" w:cs="Arial"/>
                <w:sz w:val="21"/>
                <w:szCs w:val="21"/>
                <w:lang w:val="en-GB" w:eastAsia="zh-CN"/>
              </w:rPr>
            </m:ctrlPr>
          </m:d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P</m:t>
            </m:r>
          </m:e>
        </m:d>
        <m:r>
          <m:rPr>
            <m:sty m:val="p"/>
          </m:rPr>
          <w:rPr>
            <w:rFonts w:ascii="Cambria Math" w:hAnsi="Cambria Math" w:cs="Arial"/>
            <w:sz w:val="21"/>
            <w:szCs w:val="21"/>
            <w:lang w:val="en-GB" w:eastAsia="zh-CN"/>
          </w:rPr>
          <m:t>=-0.15</m:t>
        </m:r>
      </m:oMath>
      <w:r w:rsidRPr="00D16AB0">
        <w:rPr>
          <w:rFonts w:ascii="Arial" w:hAnsi="Arial" w:cs="Arial"/>
          <w:sz w:val="21"/>
          <w:szCs w:val="21"/>
          <w:lang w:val="en-GB" w:eastAsia="zh-CN"/>
        </w:rPr>
        <w:t xml:space="preserve">; </w:t>
      </w:r>
      <m:oMath>
        <m:r>
          <w:rPr>
            <w:rFonts w:ascii="Cambria Math" w:hAnsi="Cambria Math" w:cs="Arial"/>
            <w:sz w:val="21"/>
            <w:szCs w:val="21"/>
            <w:lang w:val="en-GB" w:eastAsia="zh-CN"/>
          </w:rPr>
          <m:t>corr</m:t>
        </m:r>
        <m:d>
          <m:dPr>
            <m:ctrlPr>
              <w:rPr>
                <w:rFonts w:ascii="Cambria Math" w:hAnsi="Cambria Math" w:cs="Arial"/>
                <w:sz w:val="21"/>
                <w:szCs w:val="21"/>
                <w:lang w:val="en-GB" w:eastAsia="zh-CN"/>
              </w:rPr>
            </m:ctrlPr>
          </m:dPr>
          <m:e>
            <m:r>
              <w:rPr>
                <w:rFonts w:ascii="Cambria Math" w:hAnsi="Cambria Math" w:cs="Arial"/>
                <w:sz w:val="21"/>
                <w:szCs w:val="21"/>
                <w:lang w:val="en-GB" w:eastAsia="zh-CN"/>
              </w:rPr>
              <m:t>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P</m:t>
            </m:r>
          </m:e>
        </m:d>
        <m:r>
          <m:rPr>
            <m:sty m:val="p"/>
          </m:rPr>
          <w:rPr>
            <w:rFonts w:ascii="Cambria Math" w:hAnsi="Cambria Math" w:cs="Arial"/>
            <w:sz w:val="21"/>
            <w:szCs w:val="21"/>
            <w:lang w:val="en-GB" w:eastAsia="zh-CN"/>
          </w:rPr>
          <m:t>=0.2</m:t>
        </m:r>
      </m:oMath>
      <w:r w:rsidRPr="00D16AB0">
        <w:rPr>
          <w:rFonts w:ascii="Arial" w:hAnsi="Arial" w:cs="Arial"/>
          <w:sz w:val="21"/>
          <w:szCs w:val="21"/>
          <w:lang w:val="en-GB" w:eastAsia="zh-CN"/>
        </w:rPr>
        <w:t xml:space="preserve">; </w:t>
      </w:r>
      <m:oMath>
        <m:r>
          <w:rPr>
            <w:rFonts w:ascii="Cambria Math" w:hAnsi="Cambria Math" w:cs="Arial"/>
            <w:sz w:val="21"/>
            <w:szCs w:val="21"/>
            <w:lang w:val="en-GB" w:eastAsia="zh-CN"/>
          </w:rPr>
          <m:t>corr</m:t>
        </m:r>
        <m:d>
          <m:dPr>
            <m:ctrlPr>
              <w:rPr>
                <w:rFonts w:ascii="Cambria Math" w:hAnsi="Cambria Math" w:cs="Arial"/>
                <w:sz w:val="21"/>
                <w:szCs w:val="21"/>
                <w:lang w:val="en-GB" w:eastAsia="zh-CN"/>
              </w:rPr>
            </m:ctrlPr>
          </m:dPr>
          <m:e>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C</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j</m:t>
            </m:r>
          </m:e>
        </m:d>
        <m:r>
          <m:rPr>
            <m:sty m:val="p"/>
          </m:rPr>
          <w:rPr>
            <w:rFonts w:ascii="Cambria Math" w:hAnsi="Cambria Math" w:cs="Arial"/>
            <w:sz w:val="21"/>
            <w:szCs w:val="21"/>
            <w:lang w:val="en-GB" w:eastAsia="zh-CN"/>
          </w:rPr>
          <m:t>=0,</m:t>
        </m:r>
        <m:r>
          <w:rPr>
            <w:rFonts w:ascii="Cambria Math" w:hAnsi="Cambria Math" w:cs="Arial"/>
            <w:sz w:val="21"/>
            <w:szCs w:val="21"/>
            <w:lang w:val="en-GB" w:eastAsia="zh-CN"/>
          </w:rPr>
          <m:t>j</m:t>
        </m:r>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f</m:t>
        </m:r>
        <m:r>
          <m:rPr>
            <m:sty m:val="p"/>
          </m:rPr>
          <w:rPr>
            <w:rFonts w:ascii="Cambria Math" w:hAnsi="Cambria Math" w:cs="Arial"/>
            <w:sz w:val="21"/>
            <w:szCs w:val="21"/>
            <w:lang w:val="en-GB" w:eastAsia="zh-CN"/>
          </w:rPr>
          <m:t>,</m:t>
        </m:r>
        <m:r>
          <w:rPr>
            <w:rFonts w:ascii="Cambria Math" w:hAnsi="Cambria Math" w:cs="Arial"/>
            <w:sz w:val="21"/>
            <w:szCs w:val="21"/>
            <w:lang w:val="en-GB" w:eastAsia="zh-CN"/>
          </w:rPr>
          <m:t>P</m:t>
        </m:r>
      </m:oMath>
    </w:p>
    <w:p w14:paraId="720724EC" w14:textId="4372AD1D" w:rsidR="00D31867" w:rsidRPr="00D16AB0" w:rsidRDefault="00A34CED"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then the IRR with CER (%) is distributed as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1</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N</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9, 0.68</m:t>
            </m:r>
          </m:e>
        </m:d>
      </m:oMath>
      <w:r w:rsidRPr="00D16AB0">
        <w:rPr>
          <w:rFonts w:ascii="Arial" w:hAnsi="Arial" w:cs="Arial"/>
          <w:sz w:val="21"/>
          <w:szCs w:val="21"/>
          <w:lang w:val="en-GB" w:eastAsia="zh-CN"/>
        </w:rPr>
        <w:t>.</w:t>
      </w:r>
    </w:p>
    <w:p w14:paraId="78188106" w14:textId="21680F6C" w:rsidR="00154A43" w:rsidRPr="00D16AB0" w:rsidRDefault="00A34CED"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Under the main scenario, we assume </w:t>
      </w:r>
      <w:r w:rsidR="00414FB9" w:rsidRPr="00D16AB0">
        <w:rPr>
          <w:rFonts w:ascii="Arial" w:hAnsi="Arial" w:cs="Arial"/>
          <w:sz w:val="21"/>
          <w:szCs w:val="21"/>
          <w:lang w:val="en-GB" w:eastAsia="zh-CN"/>
        </w:rPr>
        <w:t xml:space="preserve">that </w:t>
      </w:r>
      <w:r w:rsidRPr="00D16AB0">
        <w:rPr>
          <w:rFonts w:ascii="Arial" w:hAnsi="Arial" w:cs="Arial"/>
          <w:sz w:val="21"/>
          <w:szCs w:val="21"/>
          <w:lang w:val="en-GB" w:eastAsia="zh-CN"/>
        </w:rPr>
        <w:t xml:space="preserve">the additional proportion </w:t>
      </w:r>
      <m:oMath>
        <m:r>
          <w:rPr>
            <w:rFonts w:ascii="Cambria Math" w:hAnsi="Cambria Math" w:cs="Arial"/>
            <w:sz w:val="21"/>
            <w:szCs w:val="21"/>
            <w:lang w:val="en-GB" w:eastAsia="zh-CN"/>
          </w:rPr>
          <m:t>d</m:t>
        </m:r>
      </m:oMath>
      <w:r w:rsidRPr="00D16AB0">
        <w:rPr>
          <w:rFonts w:ascii="Arial" w:hAnsi="Arial" w:cs="Arial"/>
          <w:sz w:val="21"/>
          <w:szCs w:val="21"/>
          <w:lang w:val="en-GB" w:eastAsia="zh-CN"/>
        </w:rPr>
        <w:t xml:space="preserve"> in the equation (5) is 0.5, which means that 50% of the project sample are non-additional. Accordingly, the gaming parameter is </w:t>
      </w:r>
      <m:oMath>
        <m:r>
          <w:rPr>
            <w:rFonts w:ascii="Cambria Math" w:hAnsi="Cambria Math" w:cs="Arial"/>
            <w:sz w:val="21"/>
            <w:szCs w:val="21"/>
            <w:lang w:val="en-GB" w:eastAsia="zh-CN"/>
          </w:rPr>
          <m:t>g</m:t>
        </m:r>
        <m:r>
          <m:rPr>
            <m:sty m:val="p"/>
          </m:rPr>
          <w:rPr>
            <w:rFonts w:ascii="Cambria Math" w:hAnsi="Cambria Math" w:cs="Arial"/>
            <w:sz w:val="21"/>
            <w:szCs w:val="21"/>
            <w:lang w:val="en-GB" w:eastAsia="zh-CN"/>
          </w:rPr>
          <m:t>=1.8</m:t>
        </m:r>
      </m:oMath>
      <w:r w:rsidRPr="00D16AB0">
        <w:rPr>
          <w:rFonts w:ascii="Arial" w:hAnsi="Arial" w:cs="Arial"/>
          <w:sz w:val="21"/>
          <w:szCs w:val="21"/>
          <w:lang w:val="en-GB" w:eastAsia="zh-CN"/>
        </w:rPr>
        <w:t xml:space="preserve"> derived from the equation (7) and the actual IRR follows the distribution: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r>
          <m:rPr>
            <m:sty m:val="p"/>
          </m:rPr>
          <w:rPr>
            <w:rFonts w:ascii="Cambria Math" w:hAnsi="Cambria Math" w:cs="Arial"/>
            <w:sz w:val="21"/>
            <w:szCs w:val="21"/>
            <w:lang w:val="en-GB" w:eastAsia="zh-CN"/>
          </w:rPr>
          <m:t>~</m:t>
        </m:r>
        <m:r>
          <w:rPr>
            <w:rFonts w:ascii="Cambria Math" w:hAnsi="Cambria Math" w:cs="Arial"/>
            <w:sz w:val="21"/>
            <w:szCs w:val="21"/>
            <w:lang w:val="en-GB" w:eastAsia="zh-CN"/>
          </w:rPr>
          <m:t>N</m:t>
        </m:r>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8, 0.57</m:t>
            </m:r>
          </m:e>
        </m:d>
      </m:oMath>
      <w:r w:rsidRPr="00D16AB0">
        <w:rPr>
          <w:rFonts w:ascii="Arial" w:hAnsi="Arial" w:cs="Arial"/>
          <w:sz w:val="21"/>
          <w:szCs w:val="21"/>
          <w:lang w:val="en-GB" w:eastAsia="zh-CN"/>
        </w:rPr>
        <w:t xml:space="preserve">. We next assume </w:t>
      </w:r>
      <w:r w:rsidR="0024554D" w:rsidRPr="00D16AB0">
        <w:rPr>
          <w:rFonts w:ascii="Arial" w:hAnsi="Arial" w:cs="Arial"/>
          <w:sz w:val="21"/>
          <w:szCs w:val="21"/>
          <w:lang w:val="en-GB" w:eastAsia="zh-CN"/>
        </w:rPr>
        <w:t xml:space="preserve">that </w:t>
      </w:r>
      <w:r w:rsidRPr="00D16AB0">
        <w:rPr>
          <w:rFonts w:ascii="Arial" w:hAnsi="Arial" w:cs="Arial"/>
          <w:sz w:val="21"/>
          <w:szCs w:val="21"/>
          <w:lang w:val="en-GB" w:eastAsia="zh-CN"/>
        </w:rPr>
        <w:t xml:space="preserve">the crediting rate </w:t>
      </w:r>
      <m:oMath>
        <m:r>
          <w:rPr>
            <w:rFonts w:ascii="Cambria Math" w:hAnsi="Cambria Math" w:cs="Arial"/>
            <w:sz w:val="21"/>
            <w:szCs w:val="21"/>
            <w:lang w:val="en-GB" w:eastAsia="zh-CN"/>
          </w:rPr>
          <m:t>b</m:t>
        </m:r>
      </m:oMath>
      <w:r w:rsidRPr="00D16AB0">
        <w:rPr>
          <w:rFonts w:ascii="Arial" w:hAnsi="Arial" w:cs="Arial"/>
          <w:sz w:val="21"/>
          <w:szCs w:val="21"/>
          <w:lang w:val="en-GB" w:eastAsia="zh-CN"/>
        </w:rPr>
        <w:t xml:space="preserve"> in the equation (12) is also 0.5, which means that the regulator only issues 50% of CERs to each validated project in the proposed regime.</w:t>
      </w:r>
    </w:p>
    <w:p w14:paraId="5BDF47D4" w14:textId="7E32E4A7" w:rsidR="00A34CED" w:rsidRPr="00D16AB0" w:rsidRDefault="00A34CED"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Fig</w:t>
      </w:r>
      <w:r w:rsidR="0089170B" w:rsidRPr="00D16AB0">
        <w:rPr>
          <w:rFonts w:ascii="Arial" w:hAnsi="Arial" w:cs="Arial"/>
          <w:sz w:val="21"/>
          <w:szCs w:val="21"/>
          <w:lang w:val="en-GB" w:eastAsia="zh-CN"/>
        </w:rPr>
        <w:t>ure</w:t>
      </w:r>
      <w:r w:rsidRPr="00D16AB0">
        <w:rPr>
          <w:rFonts w:ascii="Arial" w:hAnsi="Arial" w:cs="Arial"/>
          <w:sz w:val="21"/>
          <w:szCs w:val="21"/>
          <w:lang w:val="en-GB" w:eastAsia="zh-CN"/>
        </w:rPr>
        <w:t xml:space="preserve"> </w:t>
      </w:r>
      <w:r w:rsidR="00F27CBB">
        <w:rPr>
          <w:rFonts w:ascii="Arial" w:hAnsi="Arial" w:cs="Arial"/>
          <w:sz w:val="21"/>
          <w:szCs w:val="21"/>
          <w:lang w:val="en-GB" w:eastAsia="zh-CN"/>
        </w:rPr>
        <w:t>6</w:t>
      </w:r>
      <w:r w:rsidRPr="00D16AB0">
        <w:rPr>
          <w:rFonts w:ascii="Arial" w:hAnsi="Arial" w:cs="Arial"/>
          <w:sz w:val="21"/>
          <w:szCs w:val="21"/>
          <w:lang w:val="en-GB" w:eastAsia="zh-CN"/>
        </w:rPr>
        <w:t xml:space="preserve"> visualises the distribution of observed and actual IRRs in the pool under two regimes. The observed IRRs without CERs (dark blue) are all below the benchmark IRR, and the observed IRR with CERs (dark green) are modestly above the benchmark IRR. However, given a very likely non-additional proportion of 50%, the actual IRRs without CERs (light blue) are centred around 8% and the actual IRRs with CERs (light green) are considerably above the benchmark IRR. This indicates that a number of non-additional projects can be very financially attractive with extra revenues, and the issued credits are wasted and potentially increase the emissions elsewhere. However, the actual IRRs with partial CERs (light yellow) are mostly above the benchmark IRR. This suggests that given an additional proportion of 50%, issuing only half the number of offset credits will achieve more carbon emissions reduction with fewer wasted credits.</w:t>
      </w:r>
    </w:p>
    <w:p w14:paraId="3673D8DF" w14:textId="0065B159" w:rsidR="007C33AE" w:rsidRPr="00D16AB0" w:rsidRDefault="000416BF"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The </w:t>
      </w:r>
      <w:bookmarkStart w:id="178" w:name="_Hlk213011670"/>
      <w:r w:rsidRPr="00D16AB0">
        <w:rPr>
          <w:rFonts w:ascii="Arial" w:hAnsi="Arial" w:cs="Arial"/>
          <w:sz w:val="21"/>
          <w:szCs w:val="21"/>
          <w:lang w:val="en-GB" w:eastAsia="zh-CN"/>
        </w:rPr>
        <w:t>registration rate of</w:t>
      </w:r>
      <w:bookmarkEnd w:id="178"/>
      <w:r w:rsidRPr="00D16AB0">
        <w:rPr>
          <w:rFonts w:ascii="Arial" w:hAnsi="Arial" w:cs="Arial"/>
          <w:sz w:val="21"/>
          <w:szCs w:val="21"/>
          <w:lang w:val="en-GB" w:eastAsia="zh-CN"/>
        </w:rPr>
        <w:t xml:space="preserve"> China’s wind farms in the CDM Pipeline is 93.68% so the regulation may be too lenient in this case. Given the assumed additional proportion of 50%, the regulation can be described as inclusively biased since the regulator believes a very high additional proportion in China’s wind while the reality is probably not. </w:t>
      </w:r>
      <w:r w:rsidR="006C5637" w:rsidRPr="00D16AB0">
        <w:rPr>
          <w:rFonts w:ascii="Arial" w:hAnsi="Arial" w:cs="Arial"/>
          <w:sz w:val="21"/>
          <w:szCs w:val="21"/>
          <w:lang w:val="en-GB" w:eastAsia="zh-CN"/>
        </w:rPr>
        <w:t xml:space="preserve">Given the </w:t>
      </w:r>
      <w:r w:rsidR="009B57BC" w:rsidRPr="00D16AB0">
        <w:rPr>
          <w:rFonts w:ascii="Arial" w:hAnsi="Arial" w:cs="Arial"/>
          <w:sz w:val="21"/>
          <w:szCs w:val="21"/>
          <w:lang w:val="en-GB" w:eastAsia="zh-CN"/>
        </w:rPr>
        <w:t>registration rate of 93.68%, w</w:t>
      </w:r>
      <w:r w:rsidRPr="00D16AB0">
        <w:rPr>
          <w:rFonts w:ascii="Arial" w:hAnsi="Arial" w:cs="Arial"/>
          <w:sz w:val="21"/>
          <w:szCs w:val="21"/>
          <w:lang w:val="en-GB" w:eastAsia="zh-CN"/>
        </w:rPr>
        <w:t xml:space="preserve">e assume that the policy regulator believes 90% of wind farms in China are additional and then calculate the policy hurdle rate based on the equation (24),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w:rPr>
                <w:rFonts w:ascii="Cambria Math" w:hAnsi="Cambria Math" w:cs="Arial"/>
                <w:sz w:val="21"/>
                <w:szCs w:val="21"/>
                <w:lang w:val="en-GB" w:eastAsia="zh-CN"/>
              </w:rPr>
              <m:t>p</m:t>
            </m:r>
          </m:sub>
        </m:sSub>
        <m:r>
          <m:rPr>
            <m:sty m:val="p"/>
          </m:rPr>
          <w:rPr>
            <w:rFonts w:ascii="Cambria Math" w:hAnsi="Cambria Math" w:cs="Arial"/>
            <w:sz w:val="21"/>
            <w:szCs w:val="21"/>
            <w:lang w:val="en-GB" w:eastAsia="zh-CN"/>
          </w:rPr>
          <m:t>=</m:t>
        </m:r>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Q</m:t>
            </m:r>
          </m:e>
          <m:sub>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sub>
        </m:sSub>
        <m:d>
          <m:dPr>
            <m:ctrlPr>
              <w:rPr>
                <w:rFonts w:ascii="Cambria Math" w:hAnsi="Cambria Math" w:cs="Arial"/>
                <w:sz w:val="21"/>
                <w:szCs w:val="21"/>
                <w:lang w:val="en-GB" w:eastAsia="zh-CN"/>
              </w:rPr>
            </m:ctrlPr>
          </m:dPr>
          <m:e>
            <m:r>
              <m:rPr>
                <m:sty m:val="p"/>
              </m:rPr>
              <w:rPr>
                <w:rFonts w:ascii="Cambria Math" w:hAnsi="Cambria Math" w:cs="Arial"/>
                <w:sz w:val="21"/>
                <w:szCs w:val="21"/>
                <w:lang w:val="en-GB" w:eastAsia="zh-CN"/>
              </w:rPr>
              <m:t>0.9</m:t>
            </m:r>
          </m:e>
        </m:d>
        <m:r>
          <m:rPr>
            <m:sty m:val="p"/>
          </m:rPr>
          <w:rPr>
            <w:rFonts w:ascii="Cambria Math" w:hAnsi="Cambria Math" w:cs="Arial"/>
            <w:sz w:val="21"/>
            <w:szCs w:val="21"/>
            <w:lang w:val="en-GB" w:eastAsia="zh-CN"/>
          </w:rPr>
          <m:t>=8.73%&gt;</m:t>
        </m:r>
        <m:acc>
          <m:accPr>
            <m:chr m:val="̅"/>
            <m:ctrlPr>
              <w:rPr>
                <w:rFonts w:ascii="Cambria Math" w:hAnsi="Cambria Math" w:cs="Arial"/>
                <w:sz w:val="21"/>
                <w:szCs w:val="21"/>
                <w:lang w:val="en-GB" w:eastAsia="zh-CN"/>
              </w:rPr>
            </m:ctrlPr>
          </m:accPr>
          <m:e>
            <m:r>
              <w:rPr>
                <w:rFonts w:ascii="Cambria Math" w:hAnsi="Cambria Math" w:cs="Arial"/>
                <w:sz w:val="21"/>
                <w:szCs w:val="21"/>
                <w:lang w:val="en-GB" w:eastAsia="zh-CN"/>
              </w:rPr>
              <m:t>R</m:t>
            </m:r>
          </m:e>
        </m:acc>
        <m:r>
          <m:rPr>
            <m:sty m:val="p"/>
          </m:rPr>
          <w:rPr>
            <w:rFonts w:ascii="Cambria Math" w:hAnsi="Cambria Math" w:cs="Arial"/>
            <w:sz w:val="21"/>
            <w:szCs w:val="21"/>
            <w:lang w:val="en-GB" w:eastAsia="zh-CN"/>
          </w:rPr>
          <m:t>=8%</m:t>
        </m:r>
      </m:oMath>
      <w:r w:rsidRPr="00D16AB0">
        <w:rPr>
          <w:rFonts w:ascii="Arial" w:hAnsi="Arial" w:cs="Arial"/>
          <w:sz w:val="21"/>
          <w:szCs w:val="21"/>
          <w:lang w:val="en-GB" w:eastAsia="zh-CN"/>
        </w:rPr>
        <w:t>, which is larger than the real hurdle rate.</w:t>
      </w:r>
    </w:p>
    <w:p w14:paraId="5C960A4C" w14:textId="1BCAEEFE" w:rsidR="000416BF" w:rsidRPr="00D16AB0" w:rsidRDefault="000416BF"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lastRenderedPageBreak/>
        <w:t xml:space="preserve">In addition to </w:t>
      </w:r>
      <w:r w:rsidR="007C3803" w:rsidRPr="00D16AB0">
        <w:rPr>
          <w:rFonts w:ascii="Arial" w:hAnsi="Arial" w:cs="Arial"/>
          <w:sz w:val="21"/>
          <w:szCs w:val="21"/>
          <w:lang w:val="en-GB" w:eastAsia="zh-CN"/>
        </w:rPr>
        <w:t xml:space="preserve">regulatory </w:t>
      </w:r>
      <w:r w:rsidRPr="00D16AB0">
        <w:rPr>
          <w:rFonts w:ascii="Arial" w:hAnsi="Arial" w:cs="Arial"/>
          <w:sz w:val="21"/>
          <w:szCs w:val="21"/>
          <w:lang w:val="en-GB" w:eastAsia="zh-CN"/>
        </w:rPr>
        <w:t xml:space="preserve">bias, we set the regulatory accuracy </w:t>
      </w:r>
      <m:oMath>
        <m:r>
          <w:rPr>
            <w:rFonts w:ascii="Cambria Math" w:hAnsi="Cambria Math" w:cs="Arial"/>
            <w:sz w:val="21"/>
            <w:szCs w:val="21"/>
            <w:lang w:val="en-GB" w:eastAsia="zh-CN"/>
          </w:rPr>
          <m:t>k</m:t>
        </m:r>
      </m:oMath>
      <w:r w:rsidRPr="00D16AB0">
        <w:rPr>
          <w:rFonts w:ascii="Arial" w:hAnsi="Arial" w:cs="Arial"/>
          <w:sz w:val="21"/>
          <w:szCs w:val="21"/>
          <w:lang w:val="en-GB" w:eastAsia="zh-CN"/>
        </w:rPr>
        <w:t xml:space="preserve"> in the equation (23) at different values between 0 and 10. Fig</w:t>
      </w:r>
      <w:r w:rsidR="00A1131E" w:rsidRPr="00D16AB0">
        <w:rPr>
          <w:rFonts w:ascii="Arial" w:hAnsi="Arial" w:cs="Arial"/>
          <w:sz w:val="21"/>
          <w:szCs w:val="21"/>
          <w:lang w:val="en-GB" w:eastAsia="zh-CN"/>
        </w:rPr>
        <w:t>ure</w:t>
      </w:r>
      <w:r w:rsidRPr="00D16AB0">
        <w:rPr>
          <w:rFonts w:ascii="Arial" w:hAnsi="Arial" w:cs="Arial"/>
          <w:sz w:val="21"/>
          <w:szCs w:val="21"/>
          <w:lang w:val="en-GB" w:eastAsia="zh-CN"/>
        </w:rPr>
        <w:t xml:space="preserve"> </w:t>
      </w:r>
      <w:r w:rsidR="00F27CBB">
        <w:rPr>
          <w:rFonts w:ascii="Arial" w:hAnsi="Arial" w:cs="Arial"/>
          <w:sz w:val="21"/>
          <w:szCs w:val="21"/>
          <w:lang w:val="en-GB" w:eastAsia="zh-CN"/>
        </w:rPr>
        <w:t>7</w:t>
      </w:r>
      <w:r w:rsidRPr="00D16AB0">
        <w:rPr>
          <w:rFonts w:ascii="Arial" w:hAnsi="Arial" w:cs="Arial"/>
          <w:sz w:val="21"/>
          <w:szCs w:val="21"/>
          <w:lang w:val="en-GB" w:eastAsia="zh-CN"/>
        </w:rPr>
        <w:t xml:space="preserve"> presents the functions of </w:t>
      </w:r>
      <m:oMath>
        <m:r>
          <w:rPr>
            <w:rFonts w:ascii="Cambria Math" w:hAnsi="Cambria Math" w:cs="Arial"/>
            <w:sz w:val="21"/>
            <w:szCs w:val="21"/>
            <w:lang w:val="en-GB" w:eastAsia="zh-CN"/>
          </w:rPr>
          <m:t>q</m:t>
        </m:r>
      </m:oMath>
      <w:r w:rsidRPr="00D16AB0">
        <w:rPr>
          <w:rFonts w:ascii="Arial" w:hAnsi="Arial" w:cs="Arial"/>
          <w:sz w:val="21"/>
          <w:szCs w:val="21"/>
          <w:lang w:val="en-GB" w:eastAsia="zh-CN"/>
        </w:rPr>
        <w:t xml:space="preserve"> and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m:rPr>
                <m:sty m:val="p"/>
              </m:rPr>
              <w:rPr>
                <w:rFonts w:ascii="Cambria Math" w:hAnsi="Cambria Math" w:cs="Arial"/>
                <w:sz w:val="21"/>
                <w:szCs w:val="21"/>
                <w:lang w:val="en-GB" w:eastAsia="zh-CN"/>
              </w:rPr>
              <m:t>0</m:t>
            </m:r>
          </m:sub>
        </m:sSub>
      </m:oMath>
      <w:r w:rsidRPr="00D16AB0">
        <w:rPr>
          <w:rFonts w:ascii="Arial" w:hAnsi="Arial" w:cs="Arial"/>
          <w:sz w:val="21"/>
          <w:szCs w:val="21"/>
          <w:lang w:val="en-GB" w:eastAsia="zh-CN"/>
        </w:rPr>
        <w:t xml:space="preserve"> with different levels of regulatory accuracy</w:t>
      </w:r>
      <w:r w:rsidR="0013601E" w:rsidRPr="00D16AB0">
        <w:rPr>
          <w:rFonts w:ascii="Arial" w:hAnsi="Arial" w:cs="Arial"/>
          <w:sz w:val="21"/>
          <w:szCs w:val="21"/>
          <w:lang w:val="en-GB" w:eastAsia="zh-CN"/>
        </w:rPr>
        <w:t xml:space="preserve"> and </w:t>
      </w:r>
      <w:r w:rsidR="004F41D3" w:rsidRPr="00D16AB0">
        <w:rPr>
          <w:rFonts w:ascii="Arial" w:hAnsi="Arial" w:cs="Arial"/>
          <w:sz w:val="21"/>
          <w:szCs w:val="21"/>
          <w:lang w:val="en-GB" w:eastAsia="zh-CN"/>
        </w:rPr>
        <w:t>categories of project</w:t>
      </w:r>
      <w:r w:rsidR="00E3018B" w:rsidRPr="00D16AB0">
        <w:rPr>
          <w:rFonts w:ascii="Arial" w:hAnsi="Arial" w:cs="Arial"/>
          <w:sz w:val="21"/>
          <w:szCs w:val="21"/>
          <w:lang w:val="en-GB" w:eastAsia="zh-CN"/>
        </w:rPr>
        <w:t xml:space="preserve"> outcomes</w:t>
      </w:r>
      <w:r w:rsidR="004F41D3" w:rsidRPr="00D16AB0">
        <w:rPr>
          <w:rFonts w:ascii="Arial" w:hAnsi="Arial" w:cs="Arial"/>
          <w:sz w:val="21"/>
          <w:szCs w:val="21"/>
          <w:lang w:val="en-GB" w:eastAsia="zh-CN"/>
        </w:rPr>
        <w:t xml:space="preserve"> </w:t>
      </w:r>
      <w:r w:rsidR="0034049F" w:rsidRPr="00D16AB0">
        <w:rPr>
          <w:rFonts w:ascii="Arial" w:hAnsi="Arial" w:cs="Arial"/>
          <w:sz w:val="21"/>
          <w:szCs w:val="21"/>
          <w:lang w:val="en-GB" w:eastAsia="zh-CN"/>
        </w:rPr>
        <w:t>in the current regime</w:t>
      </w:r>
      <w:r w:rsidRPr="00D16AB0">
        <w:rPr>
          <w:rFonts w:ascii="Arial" w:hAnsi="Arial" w:cs="Arial"/>
          <w:sz w:val="21"/>
          <w:szCs w:val="21"/>
          <w:lang w:val="en-GB" w:eastAsia="zh-CN"/>
        </w:rPr>
        <w:t xml:space="preserve">. In our simulation model, we assume that all projects game the system to the same extent; that is, the reported IRR is lower than the actual IRR by a constant </w:t>
      </w:r>
      <m:oMath>
        <m:r>
          <w:rPr>
            <w:rFonts w:ascii="Cambria Math" w:hAnsi="Cambria Math" w:cs="Arial"/>
            <w:sz w:val="21"/>
            <w:szCs w:val="21"/>
            <w:lang w:val="en-GB" w:eastAsia="zh-CN"/>
          </w:rPr>
          <m:t>g</m:t>
        </m:r>
      </m:oMath>
      <w:r w:rsidRPr="00D16AB0">
        <w:rPr>
          <w:rFonts w:ascii="Arial" w:hAnsi="Arial" w:cs="Arial"/>
          <w:sz w:val="21"/>
          <w:szCs w:val="21"/>
          <w:lang w:val="en-GB" w:eastAsia="zh-CN"/>
        </w:rPr>
        <w:t xml:space="preserve">. However, project developers may not cheat or cheat differently in the real world. This makes the project-level additionality screening even harder, so the regulator may make </w:t>
      </w:r>
      <w:r w:rsidR="00B87B1C" w:rsidRPr="00D16AB0">
        <w:rPr>
          <w:rFonts w:ascii="Arial" w:hAnsi="Arial" w:cs="Arial"/>
          <w:sz w:val="21"/>
          <w:szCs w:val="21"/>
          <w:lang w:val="en-GB" w:eastAsia="zh-CN"/>
        </w:rPr>
        <w:t>as bad</w:t>
      </w:r>
      <w:r w:rsidRPr="00D16AB0">
        <w:rPr>
          <w:rFonts w:ascii="Arial" w:hAnsi="Arial" w:cs="Arial"/>
          <w:sz w:val="21"/>
          <w:szCs w:val="21"/>
          <w:lang w:val="en-GB" w:eastAsia="zh-CN"/>
        </w:rPr>
        <w:t xml:space="preserve"> decisions </w:t>
      </w:r>
      <w:r w:rsidR="00B87B1C" w:rsidRPr="00D16AB0">
        <w:rPr>
          <w:rFonts w:ascii="Arial" w:hAnsi="Arial" w:cs="Arial"/>
          <w:sz w:val="21"/>
          <w:szCs w:val="21"/>
          <w:lang w:val="en-GB" w:eastAsia="zh-CN"/>
        </w:rPr>
        <w:t>as</w:t>
      </w:r>
      <w:r w:rsidRPr="00D16AB0">
        <w:rPr>
          <w:rFonts w:ascii="Arial" w:hAnsi="Arial" w:cs="Arial"/>
          <w:sz w:val="21"/>
          <w:szCs w:val="21"/>
          <w:lang w:val="en-GB" w:eastAsia="zh-CN"/>
        </w:rPr>
        <w:t xml:space="preserve"> random selection (</w:t>
      </w:r>
      <m:oMath>
        <m:r>
          <w:rPr>
            <w:rFonts w:ascii="Cambria Math" w:hAnsi="Cambria Math" w:cs="Arial"/>
            <w:sz w:val="21"/>
            <w:szCs w:val="21"/>
            <w:lang w:val="en-GB" w:eastAsia="zh-CN"/>
          </w:rPr>
          <m:t>k</m:t>
        </m:r>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 xml:space="preserve">) suggested by </w:t>
      </w:r>
      <w:r w:rsidR="00BA27FB" w:rsidRPr="00D16AB0">
        <w:rPr>
          <w:rFonts w:ascii="Arial" w:hAnsi="Arial" w:cs="Arial"/>
          <w:sz w:val="21"/>
          <w:szCs w:val="21"/>
          <w:lang w:val="en-GB" w:eastAsia="zh-CN"/>
        </w:rPr>
        <w:t xml:space="preserve">a </w:t>
      </w:r>
      <w:r w:rsidR="00F91311" w:rsidRPr="00D16AB0">
        <w:rPr>
          <w:rFonts w:ascii="Arial" w:hAnsi="Arial" w:cs="Arial"/>
          <w:sz w:val="21"/>
          <w:szCs w:val="21"/>
          <w:lang w:val="en-GB" w:eastAsia="zh-CN"/>
        </w:rPr>
        <w:t>previous stud</w:t>
      </w:r>
      <w:r w:rsidR="00B60DE2" w:rsidRPr="00D16AB0">
        <w:rPr>
          <w:rFonts w:ascii="Arial" w:hAnsi="Arial" w:cs="Arial"/>
          <w:sz w:val="21"/>
          <w:szCs w:val="21"/>
          <w:lang w:val="en-GB" w:eastAsia="zh-CN"/>
        </w:rPr>
        <w:t>y</w:t>
      </w:r>
      <w:r w:rsidR="00D61F2B" w:rsidRPr="00D16AB0">
        <w:rPr>
          <w:rFonts w:ascii="Arial" w:hAnsi="Arial" w:cs="Arial"/>
          <w:sz w:val="21"/>
          <w:szCs w:val="21"/>
          <w:vertAlign w:val="superscript"/>
          <w:lang w:val="en-GB" w:eastAsia="zh-CN"/>
        </w:rPr>
        <w:fldChar w:fldCharType="begin"/>
      </w:r>
      <w:r w:rsidR="001A6C96" w:rsidRPr="00D16AB0">
        <w:rPr>
          <w:rFonts w:ascii="Arial" w:hAnsi="Arial" w:cs="Arial"/>
          <w:sz w:val="21"/>
          <w:szCs w:val="21"/>
          <w:vertAlign w:val="superscript"/>
          <w:lang w:val="en-GB" w:eastAsia="zh-CN"/>
        </w:rPr>
        <w:instrText xml:space="preserve"> ADDIN ZOTERO_ITEM CSL_CITATION {"citationID":"4Sxcd2JZ","properties":{"unsorted":false,"formattedCitation":"\\super 14\\nosupersub{}","plainCitation":"14","noteIndex":0},"citationItems":[{"id":4890,"uris":["http://zotero.org/groups/4647276/items/N9VYBI9G"],"itemData":{"id":4890,"type":"article-journal","abstract":"We develop and implement a new method for identifying wasted subsidies and use it to provide systematic evidence of the misallocation of carbon offsets in the Clean Development Mechanism—the world's largest carbon offset program. Using newly constructed data on the locations and characteristics of over 1,000 wind farms in India, we estimate that at least 52 percent of approved carbon offsets were allocated to projects that would very likely have been built anyway. We estimate that the sale of these offsets to regulated polluters resulted in substantially higher global carbon dioxide emissions.(JEL H23, O13, Q42, Q54, Q58)","container-title":"American Economic Journal: Applied Economics","DOI":"10.1257/app.20230052","ISSN":"1945-7782, 1945-7790","issue":"1","journalAbbreviation":"American Economic Journal: Applied Economics","language":"en","page":"1-40","source":"DOI.org (Crossref)","title":"Do carbon offsets offset carbon?","volume":"17","author":[{"family":"Calel","given":"Raphael"},{"family":"Colmer","given":"Jonathan"},{"family":"Dechezleprêtre","given":"Antoine"},{"family":"Glachant","given":"Matthieu"}],"issued":{"date-parts":[["2025",1,1]]}}}],"schema":"https://github.com/citation-style-language/schema/raw/master/csl-citation.json"} </w:instrText>
      </w:r>
      <w:r w:rsidR="00D61F2B" w:rsidRPr="00D16AB0">
        <w:rPr>
          <w:rFonts w:ascii="Arial" w:hAnsi="Arial" w:cs="Arial"/>
          <w:sz w:val="21"/>
          <w:szCs w:val="21"/>
          <w:vertAlign w:val="superscript"/>
          <w:lang w:val="en-GB" w:eastAsia="zh-CN"/>
        </w:rPr>
        <w:fldChar w:fldCharType="separate"/>
      </w:r>
      <w:r w:rsidR="001A6C96" w:rsidRPr="00D16AB0">
        <w:rPr>
          <w:rFonts w:ascii="Arial" w:hAnsi="Arial" w:cs="Arial"/>
          <w:sz w:val="21"/>
          <w:szCs w:val="21"/>
          <w:vertAlign w:val="superscript"/>
          <w:lang w:val="en-GB" w:eastAsia="zh-CN"/>
        </w:rPr>
        <w:t>14</w:t>
      </w:r>
      <w:r w:rsidR="00D61F2B" w:rsidRPr="00D16AB0">
        <w:rPr>
          <w:rFonts w:ascii="Arial" w:hAnsi="Arial" w:cs="Arial"/>
          <w:sz w:val="21"/>
          <w:szCs w:val="21"/>
          <w:vertAlign w:val="superscript"/>
          <w:lang w:val="en-GB" w:eastAsia="zh-CN"/>
        </w:rPr>
        <w:fldChar w:fldCharType="end"/>
      </w:r>
      <w:r w:rsidRPr="00D16AB0">
        <w:rPr>
          <w:rFonts w:ascii="Arial" w:hAnsi="Arial" w:cs="Arial"/>
          <w:sz w:val="21"/>
          <w:szCs w:val="21"/>
          <w:lang w:val="en-GB" w:eastAsia="zh-CN"/>
        </w:rPr>
        <w:t>.</w:t>
      </w:r>
    </w:p>
    <w:p w14:paraId="6BBBB979" w14:textId="77777777" w:rsidR="00627F3B" w:rsidRPr="00D16AB0" w:rsidRDefault="00627F3B" w:rsidP="00961066">
      <w:pPr>
        <w:pStyle w:val="SMText"/>
        <w:spacing w:beforeLines="50" w:before="120" w:afterLines="50" w:after="120" w:line="276" w:lineRule="auto"/>
        <w:ind w:firstLine="0"/>
        <w:rPr>
          <w:rFonts w:ascii="Arial" w:hAnsi="Arial" w:cs="Arial"/>
          <w:sz w:val="21"/>
          <w:szCs w:val="21"/>
          <w:lang w:val="en-GB" w:eastAsia="zh-CN"/>
        </w:rPr>
      </w:pPr>
    </w:p>
    <w:p w14:paraId="2B7F7A2C" w14:textId="0904E85F" w:rsidR="00262CEE" w:rsidRPr="00D16AB0" w:rsidRDefault="002131B8" w:rsidP="00961066">
      <w:pPr>
        <w:pStyle w:val="SMHeading"/>
        <w:numPr>
          <w:ilvl w:val="0"/>
          <w:numId w:val="21"/>
        </w:numPr>
        <w:spacing w:beforeLines="50" w:before="120" w:afterLines="50" w:after="120" w:line="276" w:lineRule="auto"/>
        <w:ind w:left="357" w:hanging="357"/>
        <w:rPr>
          <w:rFonts w:ascii="Arial" w:hAnsi="Arial" w:cs="Arial"/>
          <w:sz w:val="21"/>
          <w:szCs w:val="21"/>
          <w:lang w:val="en-GB"/>
        </w:rPr>
      </w:pPr>
      <w:bookmarkStart w:id="179" w:name="_Toc214982030"/>
      <w:bookmarkStart w:id="180" w:name="_Toc214984254"/>
      <w:bookmarkStart w:id="181" w:name="_Toc214984280"/>
      <w:bookmarkStart w:id="182" w:name="_Toc214984944"/>
      <w:bookmarkStart w:id="183" w:name="_Toc214985833"/>
      <w:bookmarkStart w:id="184" w:name="_Toc214986975"/>
      <w:r w:rsidRPr="00D16AB0">
        <w:rPr>
          <w:rFonts w:ascii="Arial" w:hAnsi="Arial" w:cs="Arial"/>
          <w:sz w:val="21"/>
          <w:szCs w:val="21"/>
          <w:lang w:val="en-GB"/>
        </w:rPr>
        <w:t>Scenario analysis</w:t>
      </w:r>
      <w:bookmarkEnd w:id="179"/>
      <w:bookmarkEnd w:id="180"/>
      <w:bookmarkEnd w:id="181"/>
      <w:bookmarkEnd w:id="182"/>
      <w:bookmarkEnd w:id="183"/>
      <w:bookmarkEnd w:id="184"/>
    </w:p>
    <w:p w14:paraId="5C167D91" w14:textId="728050AB" w:rsidR="006E1F4E" w:rsidRPr="00D16AB0" w:rsidRDefault="00F77E50"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185" w:name="_Toc214984945"/>
      <w:bookmarkStart w:id="186" w:name="_Toc214985834"/>
      <w:bookmarkStart w:id="187" w:name="_Toc214986976"/>
      <w:r w:rsidRPr="00D16AB0">
        <w:rPr>
          <w:rFonts w:ascii="Arial" w:hAnsi="Arial" w:cs="Arial"/>
          <w:b/>
          <w:bCs/>
          <w:sz w:val="21"/>
          <w:szCs w:val="21"/>
          <w:u w:val="none"/>
          <w:lang w:val="en-GB"/>
        </w:rPr>
        <w:t>The main scenario</w:t>
      </w:r>
      <w:bookmarkEnd w:id="185"/>
      <w:bookmarkEnd w:id="186"/>
      <w:bookmarkEnd w:id="187"/>
    </w:p>
    <w:p w14:paraId="7E6AAE18" w14:textId="58515F6C" w:rsidR="006844DF" w:rsidRPr="00D16AB0" w:rsidRDefault="00F77E50"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In our main scenario</w:t>
      </w:r>
      <w:r w:rsidR="001F6BB0" w:rsidRPr="00D16AB0">
        <w:rPr>
          <w:rFonts w:ascii="Arial" w:hAnsi="Arial" w:cs="Arial"/>
          <w:sz w:val="21"/>
          <w:szCs w:val="21"/>
          <w:lang w:val="en-GB" w:eastAsia="zh-CN"/>
        </w:rPr>
        <w:t>,</w:t>
      </w:r>
      <w:r w:rsidRPr="00D16AB0">
        <w:rPr>
          <w:rFonts w:ascii="Arial" w:hAnsi="Arial" w:cs="Arial"/>
          <w:sz w:val="21"/>
          <w:szCs w:val="21"/>
          <w:lang w:val="en-GB" w:eastAsia="zh-CN"/>
        </w:rPr>
        <w:t xml:space="preserve"> we make the conservative but realistic assumption that the additional proportion </w:t>
      </w:r>
      <w:r w:rsidR="00F107F5" w:rsidRPr="00D16AB0">
        <w:rPr>
          <w:rFonts w:ascii="Arial" w:hAnsi="Arial" w:cs="Arial"/>
          <w:sz w:val="21"/>
          <w:szCs w:val="21"/>
          <w:lang w:val="en-GB" w:eastAsia="zh-CN"/>
        </w:rPr>
        <w:t xml:space="preserve">within this context </w:t>
      </w:r>
      <w:r w:rsidRPr="00D16AB0">
        <w:rPr>
          <w:rFonts w:ascii="Arial" w:hAnsi="Arial" w:cs="Arial"/>
          <w:sz w:val="21"/>
          <w:szCs w:val="21"/>
          <w:lang w:val="en-GB" w:eastAsia="zh-CN"/>
        </w:rPr>
        <w:t xml:space="preserve">and the </w:t>
      </w:r>
      <w:r w:rsidR="00711845" w:rsidRPr="00D16AB0">
        <w:rPr>
          <w:rFonts w:ascii="Arial" w:hAnsi="Arial" w:cs="Arial"/>
          <w:sz w:val="21"/>
          <w:szCs w:val="21"/>
          <w:lang w:val="en-GB" w:eastAsia="zh-CN"/>
        </w:rPr>
        <w:t xml:space="preserve">baseline </w:t>
      </w:r>
      <w:r w:rsidRPr="00D16AB0">
        <w:rPr>
          <w:rFonts w:ascii="Arial" w:hAnsi="Arial" w:cs="Arial"/>
          <w:sz w:val="21"/>
          <w:szCs w:val="21"/>
          <w:lang w:val="en-GB" w:eastAsia="zh-CN"/>
        </w:rPr>
        <w:t>crediting rate are both 0.5</w:t>
      </w:r>
      <w:r w:rsidR="00036E5B" w:rsidRPr="00D16AB0">
        <w:rPr>
          <w:rFonts w:ascii="Arial" w:hAnsi="Arial" w:cs="Arial"/>
          <w:sz w:val="21"/>
          <w:szCs w:val="21"/>
          <w:lang w:val="en-GB" w:eastAsia="zh-CN"/>
        </w:rPr>
        <w:t>,</w:t>
      </w:r>
      <w:r w:rsidRPr="00D16AB0">
        <w:rPr>
          <w:rFonts w:ascii="Arial" w:hAnsi="Arial" w:cs="Arial"/>
          <w:sz w:val="21"/>
          <w:szCs w:val="21"/>
          <w:lang w:val="en-GB" w:eastAsia="zh-CN"/>
        </w:rPr>
        <w:t xml:space="preserve"> and the policy hurdle rate is 8.73% with the regulatory accuracy of 2.5, given the </w:t>
      </w:r>
      <w:r w:rsidR="00B433EC" w:rsidRPr="00D16AB0">
        <w:rPr>
          <w:rFonts w:ascii="Arial" w:hAnsi="Arial" w:cs="Arial"/>
          <w:sz w:val="21"/>
          <w:szCs w:val="21"/>
          <w:lang w:val="en-GB" w:eastAsia="zh-CN"/>
        </w:rPr>
        <w:t xml:space="preserve">overall </w:t>
      </w:r>
      <w:r w:rsidRPr="00D16AB0">
        <w:rPr>
          <w:rFonts w:ascii="Arial" w:hAnsi="Arial" w:cs="Arial"/>
          <w:sz w:val="21"/>
          <w:szCs w:val="21"/>
          <w:lang w:val="en-GB" w:eastAsia="zh-CN"/>
        </w:rPr>
        <w:t>registration rate of over 90% and the benchmark IRR of 8%</w:t>
      </w:r>
      <w:r w:rsidR="003E272A" w:rsidRPr="00D16AB0">
        <w:rPr>
          <w:rFonts w:ascii="Arial" w:hAnsi="Arial" w:cs="Arial"/>
          <w:sz w:val="21"/>
          <w:szCs w:val="21"/>
          <w:lang w:val="en-GB" w:eastAsia="zh-CN"/>
        </w:rPr>
        <w:t xml:space="preserve"> for</w:t>
      </w:r>
      <w:r w:rsidR="005B3A5B" w:rsidRPr="00D16AB0">
        <w:rPr>
          <w:rFonts w:ascii="Arial" w:hAnsi="Arial" w:cs="Arial"/>
          <w:sz w:val="21"/>
          <w:szCs w:val="21"/>
          <w:lang w:val="en-GB" w:eastAsia="zh-CN"/>
        </w:rPr>
        <w:t xml:space="preserve"> </w:t>
      </w:r>
      <w:r w:rsidR="003E272A" w:rsidRPr="00D16AB0">
        <w:rPr>
          <w:rFonts w:ascii="Arial" w:hAnsi="Arial" w:cs="Arial"/>
          <w:sz w:val="21"/>
          <w:szCs w:val="21"/>
          <w:lang w:val="en-GB" w:eastAsia="zh-CN"/>
        </w:rPr>
        <w:t xml:space="preserve">Chinese wind </w:t>
      </w:r>
      <w:r w:rsidR="00FD1E88" w:rsidRPr="00D16AB0">
        <w:rPr>
          <w:rFonts w:ascii="Arial" w:hAnsi="Arial" w:cs="Arial"/>
          <w:sz w:val="21"/>
          <w:szCs w:val="21"/>
          <w:lang w:val="en-GB" w:eastAsia="zh-CN"/>
        </w:rPr>
        <w:t xml:space="preserve">power </w:t>
      </w:r>
      <w:r w:rsidR="003E272A" w:rsidRPr="00D16AB0">
        <w:rPr>
          <w:rFonts w:ascii="Arial" w:hAnsi="Arial" w:cs="Arial"/>
          <w:sz w:val="21"/>
          <w:szCs w:val="21"/>
          <w:lang w:val="en-GB" w:eastAsia="zh-CN"/>
        </w:rPr>
        <w:t>projects</w:t>
      </w:r>
      <w:r w:rsidR="00047438" w:rsidRPr="00D16AB0">
        <w:rPr>
          <w:rFonts w:ascii="Arial" w:hAnsi="Arial" w:cs="Arial"/>
          <w:sz w:val="21"/>
          <w:szCs w:val="21"/>
          <w:lang w:val="en-GB" w:eastAsia="zh-CN"/>
        </w:rPr>
        <w:t xml:space="preserve"> in the CDM Pipeline</w:t>
      </w:r>
      <w:r w:rsidRPr="00D16AB0">
        <w:rPr>
          <w:rFonts w:ascii="Arial" w:hAnsi="Arial" w:cs="Arial"/>
          <w:sz w:val="21"/>
          <w:szCs w:val="21"/>
          <w:lang w:val="en-GB" w:eastAsia="zh-CN"/>
        </w:rPr>
        <w:t>.</w:t>
      </w:r>
    </w:p>
    <w:p w14:paraId="175666F9" w14:textId="44C6A600" w:rsidR="001138EB" w:rsidRPr="00D16AB0" w:rsidRDefault="00F77E50"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Under the current regime, about 79.4% of projects in the pool receive the credits in which 46.8% are additional. Under the proposed regime, about 94.4% of projects in the pool receive the credits in which 49.4% are additional. The proportion of unattractive projects increases slightly due to partial (not full) crediting.</w:t>
      </w:r>
    </w:p>
    <w:p w14:paraId="39BF54B8" w14:textId="07C59650" w:rsidR="00960D6B" w:rsidRDefault="00F77E50"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Compared to the current regime, the proposed regime contributes to smaller offset trade volume, higher real carbon emission reduction and higher emission reduction efficiency under this baseline scenario. Specifically, the annual trade volume decreases by 485,800 USD per project on average; the annual carbon emission reduction on average increases by 9,959 tonnes CO2e per project; and the emission reduction efficiency improves from 16,395 tCO2e/million USD to 53,290 tCO2e/million USD annually. </w:t>
      </w:r>
    </w:p>
    <w:p w14:paraId="725ACB00" w14:textId="77777777" w:rsidR="006F12A2" w:rsidRPr="00D16AB0" w:rsidRDefault="006F12A2" w:rsidP="00961066">
      <w:pPr>
        <w:pStyle w:val="SMText"/>
        <w:spacing w:beforeLines="50" w:before="120" w:afterLines="50" w:after="120" w:line="276" w:lineRule="auto"/>
        <w:ind w:firstLine="0"/>
        <w:rPr>
          <w:rFonts w:ascii="Arial" w:hAnsi="Arial" w:cs="Arial"/>
          <w:sz w:val="21"/>
          <w:szCs w:val="21"/>
          <w:lang w:val="en-GB" w:eastAsia="zh-CN"/>
        </w:rPr>
      </w:pPr>
    </w:p>
    <w:p w14:paraId="06449B57" w14:textId="20A83FEA" w:rsidR="00D85EA8" w:rsidRPr="00D16AB0" w:rsidRDefault="00DA25D5"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188" w:name="_Toc214984946"/>
      <w:bookmarkStart w:id="189" w:name="_Toc214985835"/>
      <w:bookmarkStart w:id="190" w:name="_Toc214986977"/>
      <w:r w:rsidRPr="00D16AB0">
        <w:rPr>
          <w:rFonts w:ascii="Arial" w:hAnsi="Arial" w:cs="Arial"/>
          <w:b/>
          <w:bCs/>
          <w:sz w:val="21"/>
          <w:szCs w:val="21"/>
          <w:u w:val="none"/>
          <w:lang w:val="en-GB"/>
        </w:rPr>
        <w:t>Other scenarios</w:t>
      </w:r>
      <w:bookmarkEnd w:id="188"/>
      <w:bookmarkEnd w:id="189"/>
      <w:bookmarkEnd w:id="190"/>
    </w:p>
    <w:p w14:paraId="1DC6ABDA" w14:textId="3F969E62" w:rsidR="00262CEE" w:rsidRPr="00D16AB0" w:rsidRDefault="00F77E50" w:rsidP="007A3ABD">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Since the aim is to test whether the proposed regime outperforms the current one not only under the </w:t>
      </w:r>
      <w:r w:rsidR="006129A1" w:rsidRPr="00D16AB0">
        <w:rPr>
          <w:rFonts w:ascii="Arial" w:hAnsi="Arial" w:cs="Arial"/>
          <w:sz w:val="21"/>
          <w:szCs w:val="21"/>
          <w:lang w:val="en-GB" w:eastAsia="zh-CN"/>
        </w:rPr>
        <w:t>main</w:t>
      </w:r>
      <w:r w:rsidRPr="00D16AB0">
        <w:rPr>
          <w:rFonts w:ascii="Arial" w:hAnsi="Arial" w:cs="Arial"/>
          <w:sz w:val="21"/>
          <w:szCs w:val="21"/>
          <w:lang w:val="en-GB" w:eastAsia="zh-CN"/>
        </w:rPr>
        <w:t xml:space="preserve"> scenario, but also under other scenarios</w:t>
      </w:r>
      <w:r w:rsidR="00F90BBD" w:rsidRPr="00D16AB0">
        <w:rPr>
          <w:rFonts w:ascii="Arial" w:hAnsi="Arial" w:cs="Arial"/>
          <w:sz w:val="21"/>
          <w:szCs w:val="21"/>
          <w:lang w:val="en-GB" w:eastAsia="zh-CN"/>
        </w:rPr>
        <w:t>.</w:t>
      </w:r>
      <w:r w:rsidR="00521528" w:rsidRPr="00D16AB0">
        <w:rPr>
          <w:rFonts w:ascii="Arial" w:hAnsi="Arial" w:cs="Arial"/>
          <w:sz w:val="21"/>
          <w:szCs w:val="21"/>
          <w:lang w:val="en-GB" w:eastAsia="zh-CN"/>
        </w:rPr>
        <w:t xml:space="preserve"> We </w:t>
      </w:r>
      <w:r w:rsidR="0058632C" w:rsidRPr="00D16AB0">
        <w:rPr>
          <w:rFonts w:ascii="Arial" w:hAnsi="Arial" w:cs="Arial"/>
          <w:sz w:val="21"/>
          <w:szCs w:val="21"/>
          <w:lang w:val="en-GB" w:eastAsia="zh-CN"/>
        </w:rPr>
        <w:t>design three other scenarios</w:t>
      </w:r>
      <w:r w:rsidR="00291111" w:rsidRPr="00D16AB0">
        <w:rPr>
          <w:rFonts w:ascii="Arial" w:hAnsi="Arial" w:cs="Arial"/>
          <w:sz w:val="21"/>
          <w:szCs w:val="21"/>
          <w:lang w:val="en-GB" w:eastAsia="zh-CN"/>
        </w:rPr>
        <w:t xml:space="preserve"> with </w:t>
      </w:r>
      <w:r w:rsidR="00991147" w:rsidRPr="00D16AB0">
        <w:rPr>
          <w:rFonts w:ascii="Arial" w:hAnsi="Arial" w:cs="Arial"/>
          <w:sz w:val="21"/>
          <w:szCs w:val="21"/>
          <w:lang w:val="en-GB" w:eastAsia="zh-CN"/>
        </w:rPr>
        <w:t xml:space="preserve">different </w:t>
      </w:r>
      <w:r w:rsidR="005E7FDA" w:rsidRPr="00D16AB0">
        <w:rPr>
          <w:rFonts w:ascii="Arial" w:hAnsi="Arial" w:cs="Arial"/>
          <w:sz w:val="21"/>
          <w:szCs w:val="21"/>
          <w:lang w:val="en-GB" w:eastAsia="zh-CN"/>
        </w:rPr>
        <w:t xml:space="preserve">levels of </w:t>
      </w:r>
      <w:r w:rsidR="00991147" w:rsidRPr="00D16AB0">
        <w:rPr>
          <w:rFonts w:ascii="Arial" w:hAnsi="Arial" w:cs="Arial"/>
          <w:sz w:val="21"/>
          <w:szCs w:val="21"/>
          <w:lang w:val="en-GB" w:eastAsia="zh-CN"/>
        </w:rPr>
        <w:t xml:space="preserve">regulatory </w:t>
      </w:r>
      <w:r w:rsidR="00EC71FD" w:rsidRPr="00D16AB0">
        <w:rPr>
          <w:rFonts w:ascii="Arial" w:hAnsi="Arial" w:cs="Arial"/>
          <w:sz w:val="21"/>
          <w:szCs w:val="21"/>
          <w:lang w:val="en-GB" w:eastAsia="zh-CN"/>
        </w:rPr>
        <w:t>quality</w:t>
      </w:r>
      <w:r w:rsidR="0024272C" w:rsidRPr="00D16AB0">
        <w:rPr>
          <w:rFonts w:ascii="Arial" w:hAnsi="Arial" w:cs="Arial"/>
          <w:sz w:val="21"/>
          <w:szCs w:val="21"/>
          <w:lang w:val="en-GB" w:eastAsia="zh-CN"/>
        </w:rPr>
        <w:t xml:space="preserve"> in Figure </w:t>
      </w:r>
      <w:r w:rsidR="00F27CBB">
        <w:rPr>
          <w:rFonts w:ascii="Arial" w:hAnsi="Arial" w:cs="Arial"/>
          <w:sz w:val="21"/>
          <w:szCs w:val="21"/>
          <w:lang w:val="en-GB" w:eastAsia="zh-CN"/>
        </w:rPr>
        <w:t>7</w:t>
      </w:r>
      <w:r w:rsidR="001A6BA4" w:rsidRPr="00D16AB0">
        <w:rPr>
          <w:rFonts w:ascii="Arial" w:hAnsi="Arial" w:cs="Arial"/>
          <w:sz w:val="21"/>
          <w:szCs w:val="21"/>
          <w:lang w:val="en-GB" w:eastAsia="zh-CN"/>
        </w:rPr>
        <w:t xml:space="preserve"> and compare the </w:t>
      </w:r>
      <w:r w:rsidR="00411E21" w:rsidRPr="00D16AB0">
        <w:rPr>
          <w:rFonts w:ascii="Arial" w:hAnsi="Arial" w:cs="Arial"/>
          <w:sz w:val="21"/>
          <w:szCs w:val="21"/>
          <w:lang w:val="en-GB" w:eastAsia="zh-CN"/>
        </w:rPr>
        <w:t xml:space="preserve">project outcomes </w:t>
      </w:r>
      <w:r w:rsidR="00A83ADA" w:rsidRPr="00D16AB0">
        <w:rPr>
          <w:rFonts w:ascii="Arial" w:hAnsi="Arial" w:cs="Arial"/>
          <w:sz w:val="21"/>
          <w:szCs w:val="21"/>
          <w:lang w:val="en-GB" w:eastAsia="zh-CN"/>
        </w:rPr>
        <w:t>between two regimes</w:t>
      </w:r>
      <w:r w:rsidR="0058632C" w:rsidRPr="00D16AB0">
        <w:rPr>
          <w:rFonts w:ascii="Arial" w:hAnsi="Arial" w:cs="Arial"/>
          <w:sz w:val="21"/>
          <w:szCs w:val="21"/>
          <w:lang w:val="en-GB" w:eastAsia="zh-CN"/>
        </w:rPr>
        <w:t>.</w:t>
      </w:r>
    </w:p>
    <w:p w14:paraId="2BEDD450" w14:textId="59A29421" w:rsidR="00510A72" w:rsidRPr="00D16AB0" w:rsidRDefault="00510A72"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Assume that the current regulation is random (</w:t>
      </w:r>
      <m:oMath>
        <m:r>
          <w:rPr>
            <w:rFonts w:ascii="Cambria Math" w:hAnsi="Cambria Math" w:cs="Arial"/>
            <w:sz w:val="21"/>
            <w:szCs w:val="21"/>
            <w:lang w:val="en-GB" w:eastAsia="zh-CN"/>
          </w:rPr>
          <m:t>k</m:t>
        </m:r>
        <m:r>
          <m:rPr>
            <m:sty m:val="p"/>
          </m:rPr>
          <w:rPr>
            <w:rFonts w:ascii="Cambria Math" w:hAnsi="Cambria Math" w:cs="Arial"/>
            <w:sz w:val="21"/>
            <w:szCs w:val="21"/>
            <w:lang w:val="en-GB" w:eastAsia="zh-CN"/>
          </w:rPr>
          <m:t>=0)</m:t>
        </m:r>
      </m:oMath>
      <w:r w:rsidRPr="00D16AB0">
        <w:rPr>
          <w:rFonts w:ascii="Arial" w:hAnsi="Arial" w:cs="Arial"/>
          <w:sz w:val="21"/>
          <w:szCs w:val="21"/>
          <w:lang w:val="en-GB" w:eastAsia="zh-CN"/>
        </w:rPr>
        <w:t xml:space="preserve"> and the acceptance rate is 90% for China’s wind projects. Compared to the current regime, the proposed regime also contributes to smaller offset trade volume, higher real carbon emission reduction and higher emission reduction efficiency under this scenario. Specifically, the annual trade volume decreases by 545,000 USD per wind power plant on average; the annual carbon emission reduction on average increases by 23,171 tonnes CO2e per wind power plant; and the emission reduction efficiency improves from 2,492 tCO2e/million USD to 47,503 tCO2e/million USD annually. </w:t>
      </w:r>
    </w:p>
    <w:p w14:paraId="4629B934" w14:textId="4D19A123" w:rsidR="00551535" w:rsidRPr="00D16AB0" w:rsidRDefault="00510A72"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Assume that the current regulation is </w:t>
      </w:r>
      <w:r w:rsidR="00FE21F1" w:rsidRPr="00D16AB0">
        <w:rPr>
          <w:rFonts w:ascii="Arial" w:hAnsi="Arial" w:cs="Arial"/>
          <w:sz w:val="21"/>
          <w:szCs w:val="21"/>
          <w:lang w:val="en-GB" w:eastAsia="zh-CN"/>
        </w:rPr>
        <w:t xml:space="preserve">satisfying, </w:t>
      </w:r>
      <w:r w:rsidR="007A3EA6" w:rsidRPr="00D16AB0">
        <w:rPr>
          <w:rFonts w:ascii="Arial" w:hAnsi="Arial" w:cs="Arial"/>
          <w:sz w:val="21"/>
          <w:szCs w:val="21"/>
          <w:lang w:val="en-GB" w:eastAsia="zh-CN"/>
        </w:rPr>
        <w:t xml:space="preserve">specifically, </w:t>
      </w:r>
      <w:r w:rsidRPr="00D16AB0">
        <w:rPr>
          <w:rFonts w:ascii="Arial" w:hAnsi="Arial" w:cs="Arial"/>
          <w:sz w:val="21"/>
          <w:szCs w:val="21"/>
          <w:lang w:val="en-GB" w:eastAsia="zh-CN"/>
        </w:rPr>
        <w:t>inaccurate (</w:t>
      </w:r>
      <m:oMath>
        <m:r>
          <w:rPr>
            <w:rFonts w:ascii="Cambria Math" w:hAnsi="Cambria Math" w:cs="Arial"/>
            <w:sz w:val="21"/>
            <w:szCs w:val="21"/>
            <w:lang w:val="en-GB" w:eastAsia="zh-CN"/>
          </w:rPr>
          <m:t>k</m:t>
        </m:r>
        <m:r>
          <m:rPr>
            <m:sty m:val="p"/>
          </m:rPr>
          <w:rPr>
            <w:rFonts w:ascii="Cambria Math" w:hAnsi="Cambria Math" w:cs="Arial"/>
            <w:sz w:val="21"/>
            <w:szCs w:val="21"/>
            <w:lang w:val="en-GB" w:eastAsia="zh-CN"/>
          </w:rPr>
          <m:t>=2.5)</m:t>
        </m:r>
      </m:oMath>
      <w:r w:rsidRPr="00D16AB0">
        <w:rPr>
          <w:rFonts w:ascii="Arial" w:hAnsi="Arial" w:cs="Arial"/>
          <w:sz w:val="21"/>
          <w:szCs w:val="21"/>
          <w:lang w:val="en-GB" w:eastAsia="zh-CN"/>
        </w:rPr>
        <w:t xml:space="preserve"> yet unbiased, then the acceptance rate is 50% given the additional proportion of 50%. Compared to the current regime, the proposed regime also contributes to smaller offset trade volume, higher real carbon emission reduction and higher emission reduction efficiency under this scenario. Specifically, the annual trade volume decreases by 310,800 USD per wind power plant on average; the annual carbon emission </w:t>
      </w:r>
      <w:r w:rsidRPr="00D16AB0">
        <w:rPr>
          <w:rFonts w:ascii="Arial" w:hAnsi="Arial" w:cs="Arial"/>
          <w:sz w:val="21"/>
          <w:szCs w:val="21"/>
          <w:lang w:val="en-GB" w:eastAsia="zh-CN"/>
        </w:rPr>
        <w:lastRenderedPageBreak/>
        <w:t xml:space="preserve">reduction on average increases by 2,379 tonnes CO2e per wind power plant; and the emission reduction efficiency improves from 37,815 tCO2e/million USD to 83,284 tCO2e/million USD annually. </w:t>
      </w:r>
    </w:p>
    <w:p w14:paraId="1E8BD0D6" w14:textId="7041EF68" w:rsidR="00510A72" w:rsidRPr="00D16AB0" w:rsidRDefault="00510A72"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Assume that the current regulation is </w:t>
      </w:r>
      <w:r w:rsidR="00C66E8F" w:rsidRPr="00D16AB0">
        <w:rPr>
          <w:rFonts w:ascii="Arial" w:hAnsi="Arial" w:cs="Arial"/>
          <w:sz w:val="21"/>
          <w:szCs w:val="21"/>
          <w:lang w:val="en-GB" w:eastAsia="zh-CN"/>
        </w:rPr>
        <w:t xml:space="preserve">nearly perfect, </w:t>
      </w:r>
      <w:r w:rsidR="00346094" w:rsidRPr="00D16AB0">
        <w:rPr>
          <w:rFonts w:ascii="Arial" w:hAnsi="Arial" w:cs="Arial"/>
          <w:sz w:val="21"/>
          <w:szCs w:val="21"/>
          <w:lang w:val="en-GB" w:eastAsia="zh-CN"/>
        </w:rPr>
        <w:t xml:space="preserve">specifically, </w:t>
      </w:r>
      <w:r w:rsidRPr="00D16AB0">
        <w:rPr>
          <w:rFonts w:ascii="Arial" w:hAnsi="Arial" w:cs="Arial"/>
          <w:sz w:val="21"/>
          <w:szCs w:val="21"/>
          <w:lang w:val="en-GB" w:eastAsia="zh-CN"/>
        </w:rPr>
        <w:t>accurate (</w:t>
      </w:r>
      <m:oMath>
        <m:r>
          <w:rPr>
            <w:rFonts w:ascii="Cambria Math" w:hAnsi="Cambria Math" w:cs="Arial"/>
            <w:sz w:val="21"/>
            <w:szCs w:val="21"/>
            <w:lang w:val="en-GB" w:eastAsia="zh-CN"/>
          </w:rPr>
          <m:t>k</m:t>
        </m:r>
        <m:r>
          <m:rPr>
            <m:sty m:val="p"/>
          </m:rPr>
          <w:rPr>
            <w:rFonts w:ascii="Cambria Math" w:hAnsi="Cambria Math" w:cs="Arial"/>
            <w:sz w:val="21"/>
            <w:szCs w:val="21"/>
            <w:lang w:val="en-GB" w:eastAsia="zh-CN"/>
          </w:rPr>
          <m:t xml:space="preserve">=25) </m:t>
        </m:r>
      </m:oMath>
      <w:r w:rsidRPr="00D16AB0">
        <w:rPr>
          <w:rFonts w:ascii="Arial" w:hAnsi="Arial" w:cs="Arial"/>
          <w:sz w:val="21"/>
          <w:szCs w:val="21"/>
          <w:lang w:val="en-GB" w:eastAsia="zh-CN"/>
        </w:rPr>
        <w:t>and unbiased. Compared to the current regime, the proposed regime also contributes to smaller offset trade volume and higher emission reduction efficiency but lower real carbon emission reduction under this scenario. Specifically, the annual trade volume decreases by 313,300 USD per wind power plant on average; the annual carbon emission reduction on average decreases by 20,470 tonnes CO2e per wind power plant; and the emission reduction efficiency improves from 73,992 tCO2e/million USD to 82,638 tCO2e/million USD annually. This indicates that the annual carbon emission reduction will be higher under the current regime only if the current regulatory quality is very high.</w:t>
      </w:r>
    </w:p>
    <w:p w14:paraId="49537279" w14:textId="77777777" w:rsidR="00627F3B" w:rsidRPr="00D16AB0" w:rsidRDefault="00627F3B" w:rsidP="00961066">
      <w:pPr>
        <w:pStyle w:val="SMText"/>
        <w:spacing w:beforeLines="50" w:before="120" w:afterLines="50" w:after="120" w:line="276" w:lineRule="auto"/>
        <w:ind w:firstLine="0"/>
        <w:rPr>
          <w:rFonts w:ascii="Arial" w:hAnsi="Arial" w:cs="Arial"/>
          <w:sz w:val="21"/>
          <w:szCs w:val="21"/>
          <w:lang w:val="en-GB" w:eastAsia="zh-CN"/>
        </w:rPr>
      </w:pPr>
    </w:p>
    <w:p w14:paraId="2D1A11D7" w14:textId="5D9B57B5" w:rsidR="00A97E05" w:rsidRPr="00D16AB0" w:rsidRDefault="00086B7C" w:rsidP="00961066">
      <w:pPr>
        <w:pStyle w:val="SMHeading"/>
        <w:numPr>
          <w:ilvl w:val="0"/>
          <w:numId w:val="21"/>
        </w:numPr>
        <w:spacing w:beforeLines="50" w:before="120" w:afterLines="50" w:after="120" w:line="276" w:lineRule="auto"/>
        <w:ind w:left="357" w:hanging="357"/>
        <w:rPr>
          <w:rFonts w:ascii="Arial" w:hAnsi="Arial" w:cs="Arial"/>
          <w:sz w:val="21"/>
          <w:szCs w:val="21"/>
          <w:lang w:val="en-GB"/>
        </w:rPr>
      </w:pPr>
      <w:bookmarkStart w:id="191" w:name="_Toc214982031"/>
      <w:bookmarkStart w:id="192" w:name="_Toc214984255"/>
      <w:bookmarkStart w:id="193" w:name="_Toc214984281"/>
      <w:bookmarkStart w:id="194" w:name="_Toc214984947"/>
      <w:bookmarkStart w:id="195" w:name="_Toc214985836"/>
      <w:bookmarkStart w:id="196" w:name="_Toc214986978"/>
      <w:r w:rsidRPr="00D16AB0">
        <w:rPr>
          <w:rFonts w:ascii="Arial" w:hAnsi="Arial" w:cs="Arial"/>
          <w:sz w:val="21"/>
          <w:szCs w:val="21"/>
          <w:lang w:val="en-GB"/>
        </w:rPr>
        <w:t>Sensitivity analysis</w:t>
      </w:r>
      <w:bookmarkEnd w:id="191"/>
      <w:bookmarkEnd w:id="192"/>
      <w:bookmarkEnd w:id="193"/>
      <w:bookmarkEnd w:id="194"/>
      <w:bookmarkEnd w:id="195"/>
      <w:bookmarkEnd w:id="196"/>
    </w:p>
    <w:p w14:paraId="40C18117" w14:textId="40607387" w:rsidR="003F73CF" w:rsidRPr="00D16AB0" w:rsidRDefault="00504F70"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W</w:t>
      </w:r>
      <w:r w:rsidR="003F73CF" w:rsidRPr="00D16AB0">
        <w:rPr>
          <w:rFonts w:ascii="Arial" w:hAnsi="Arial" w:cs="Arial"/>
          <w:sz w:val="21"/>
          <w:szCs w:val="21"/>
          <w:lang w:val="en-GB" w:eastAsia="zh-CN"/>
        </w:rPr>
        <w:t xml:space="preserve">e </w:t>
      </w:r>
      <w:r w:rsidR="001346AA" w:rsidRPr="00D16AB0">
        <w:rPr>
          <w:rFonts w:ascii="Arial" w:hAnsi="Arial" w:cs="Arial"/>
          <w:sz w:val="21"/>
          <w:szCs w:val="21"/>
          <w:lang w:val="en-GB" w:eastAsia="zh-CN"/>
        </w:rPr>
        <w:t xml:space="preserve">further </w:t>
      </w:r>
      <w:r w:rsidR="003F73CF" w:rsidRPr="00D16AB0">
        <w:rPr>
          <w:rFonts w:ascii="Arial" w:hAnsi="Arial" w:cs="Arial"/>
          <w:sz w:val="21"/>
          <w:szCs w:val="21"/>
          <w:lang w:val="en-GB" w:eastAsia="zh-CN"/>
        </w:rPr>
        <w:t xml:space="preserve">carry out sensitivity analysis to see how </w:t>
      </w:r>
      <w:r w:rsidR="00CF2AAD" w:rsidRPr="00D16AB0">
        <w:rPr>
          <w:rFonts w:ascii="Arial" w:hAnsi="Arial" w:cs="Arial"/>
          <w:sz w:val="21"/>
          <w:szCs w:val="21"/>
          <w:lang w:val="en-GB" w:eastAsia="zh-CN"/>
        </w:rPr>
        <w:t>the regime performance</w:t>
      </w:r>
      <w:r w:rsidR="00976DC6" w:rsidRPr="00D16AB0">
        <w:rPr>
          <w:rFonts w:ascii="Arial" w:hAnsi="Arial" w:cs="Arial"/>
          <w:sz w:val="21"/>
          <w:szCs w:val="21"/>
          <w:lang w:val="en-GB" w:eastAsia="zh-CN"/>
        </w:rPr>
        <w:t>s</w:t>
      </w:r>
      <w:r w:rsidR="00CF2AAD" w:rsidRPr="00D16AB0">
        <w:rPr>
          <w:rFonts w:ascii="Arial" w:hAnsi="Arial" w:cs="Arial"/>
          <w:sz w:val="21"/>
          <w:szCs w:val="21"/>
          <w:lang w:val="en-GB" w:eastAsia="zh-CN"/>
        </w:rPr>
        <w:t xml:space="preserve"> </w:t>
      </w:r>
      <w:r w:rsidR="003F73CF" w:rsidRPr="00D16AB0">
        <w:rPr>
          <w:rFonts w:ascii="Arial" w:hAnsi="Arial" w:cs="Arial"/>
          <w:sz w:val="21"/>
          <w:szCs w:val="21"/>
          <w:lang w:val="en-GB" w:eastAsia="zh-CN"/>
        </w:rPr>
        <w:t xml:space="preserve">change as the parameters change. Specifically, we evaluate how the </w:t>
      </w:r>
      <w:r w:rsidR="00DA2D89" w:rsidRPr="00D16AB0">
        <w:rPr>
          <w:rFonts w:ascii="Arial" w:hAnsi="Arial" w:cs="Arial"/>
          <w:sz w:val="21"/>
          <w:szCs w:val="21"/>
          <w:lang w:val="en-GB" w:eastAsia="zh-CN"/>
        </w:rPr>
        <w:t>climate</w:t>
      </w:r>
      <w:r w:rsidR="003F73CF" w:rsidRPr="00D16AB0">
        <w:rPr>
          <w:rFonts w:ascii="Arial" w:hAnsi="Arial" w:cs="Arial"/>
          <w:sz w:val="21"/>
          <w:szCs w:val="21"/>
          <w:lang w:val="en-GB" w:eastAsia="zh-CN"/>
        </w:rPr>
        <w:t xml:space="preserve"> outcomes change in response to different regulatory performances, sizes of over-crediting, project pool characteristics.</w:t>
      </w:r>
    </w:p>
    <w:p w14:paraId="3D2F6D56" w14:textId="766D9046" w:rsidR="00324530" w:rsidRPr="00D16AB0" w:rsidRDefault="009B0393"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197" w:name="_Toc214984948"/>
      <w:bookmarkStart w:id="198" w:name="_Toc214985837"/>
      <w:bookmarkStart w:id="199" w:name="_Toc214986979"/>
      <w:r w:rsidRPr="00D16AB0">
        <w:rPr>
          <w:rFonts w:ascii="Arial" w:hAnsi="Arial" w:cs="Arial"/>
          <w:b/>
          <w:bCs/>
          <w:sz w:val="21"/>
          <w:szCs w:val="21"/>
          <w:u w:val="none"/>
          <w:lang w:val="en-GB"/>
        </w:rPr>
        <w:t>Differences in regulatory performance</w:t>
      </w:r>
      <w:bookmarkEnd w:id="197"/>
      <w:bookmarkEnd w:id="198"/>
      <w:bookmarkEnd w:id="199"/>
    </w:p>
    <w:p w14:paraId="192746F1" w14:textId="6B478BD0" w:rsidR="00E12C77" w:rsidRPr="00D16AB0" w:rsidRDefault="009B0393"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To analyse regime sensitivity to regulation quality, we keep the synthetic project pool unchanged (</w:t>
      </w:r>
      <m:oMath>
        <m:r>
          <w:rPr>
            <w:rFonts w:ascii="Cambria Math" w:hAnsi="Cambria Math" w:cs="Arial"/>
            <w:sz w:val="21"/>
            <w:szCs w:val="21"/>
            <w:lang w:val="en-GB" w:eastAsia="zh-CN"/>
          </w:rPr>
          <m:t>d</m:t>
        </m:r>
        <m:r>
          <m:rPr>
            <m:sty m:val="p"/>
          </m:rPr>
          <w:rPr>
            <w:rFonts w:ascii="Cambria Math" w:hAnsi="Cambria Math" w:cs="Arial"/>
            <w:sz w:val="21"/>
            <w:szCs w:val="21"/>
            <w:lang w:val="en-GB" w:eastAsia="zh-CN"/>
          </w:rPr>
          <m:t>=0.5</m:t>
        </m:r>
      </m:oMath>
      <w:r w:rsidRPr="00D16AB0">
        <w:rPr>
          <w:rFonts w:ascii="Arial" w:hAnsi="Arial" w:cs="Arial"/>
          <w:sz w:val="21"/>
          <w:szCs w:val="21"/>
          <w:lang w:val="en-GB" w:eastAsia="zh-CN"/>
        </w:rPr>
        <w:t xml:space="preserve">) and change the regulation </w:t>
      </w:r>
      <w:r w:rsidR="00D26F92" w:rsidRPr="00D16AB0">
        <w:rPr>
          <w:rFonts w:ascii="Arial" w:hAnsi="Arial" w:cs="Arial"/>
          <w:sz w:val="21"/>
          <w:szCs w:val="21"/>
          <w:lang w:val="en-GB" w:eastAsia="zh-CN"/>
        </w:rPr>
        <w:t>un</w:t>
      </w:r>
      <w:r w:rsidRPr="00D16AB0">
        <w:rPr>
          <w:rFonts w:ascii="Arial" w:hAnsi="Arial" w:cs="Arial"/>
          <w:sz w:val="21"/>
          <w:szCs w:val="21"/>
          <w:lang w:val="en-GB" w:eastAsia="zh-CN"/>
        </w:rPr>
        <w:t>biasedness (</w:t>
      </w:r>
      <m:oMath>
        <m:sSub>
          <m:sSubPr>
            <m:ctrlPr>
              <w:rPr>
                <w:rFonts w:ascii="Cambria Math" w:hAnsi="Cambria Math" w:cs="Arial"/>
                <w:sz w:val="21"/>
                <w:szCs w:val="21"/>
                <w:lang w:val="en-GB" w:eastAsia="zh-CN"/>
              </w:rPr>
            </m:ctrlPr>
          </m:sSubPr>
          <m:e>
            <m:r>
              <w:rPr>
                <w:rFonts w:ascii="Cambria Math" w:hAnsi="Cambria Math" w:cs="Arial"/>
                <w:sz w:val="21"/>
                <w:szCs w:val="21"/>
                <w:lang w:val="en-GB" w:eastAsia="zh-CN"/>
              </w:rPr>
              <m:t>R</m:t>
            </m:r>
          </m:e>
          <m:sub>
            <m:r>
              <w:rPr>
                <w:rFonts w:ascii="Cambria Math" w:hAnsi="Cambria Math" w:cs="Arial"/>
                <w:sz w:val="21"/>
                <w:szCs w:val="21"/>
                <w:lang w:val="en-GB" w:eastAsia="zh-CN"/>
              </w:rPr>
              <m:t>p</m:t>
            </m:r>
          </m:sub>
        </m:sSub>
      </m:oMath>
      <w:r w:rsidRPr="00D16AB0">
        <w:rPr>
          <w:rFonts w:ascii="Arial" w:hAnsi="Arial" w:cs="Arial"/>
          <w:sz w:val="21"/>
          <w:szCs w:val="21"/>
          <w:lang w:val="en-GB" w:eastAsia="zh-CN"/>
        </w:rPr>
        <w:t>), accuracy (</w:t>
      </w:r>
      <m:oMath>
        <m:r>
          <w:rPr>
            <w:rFonts w:ascii="Cambria Math" w:hAnsi="Cambria Math" w:cs="Arial"/>
            <w:sz w:val="21"/>
            <w:szCs w:val="21"/>
            <w:lang w:val="en-GB" w:eastAsia="zh-CN"/>
          </w:rPr>
          <m:t>k</m:t>
        </m:r>
      </m:oMath>
      <w:r w:rsidRPr="00D16AB0">
        <w:rPr>
          <w:rFonts w:ascii="Arial" w:hAnsi="Arial" w:cs="Arial"/>
          <w:sz w:val="21"/>
          <w:szCs w:val="21"/>
          <w:lang w:val="en-GB" w:eastAsia="zh-CN"/>
        </w:rPr>
        <w:t>), and crediting rate (</w:t>
      </w:r>
      <m:oMath>
        <m:r>
          <w:rPr>
            <w:rFonts w:ascii="Cambria Math" w:hAnsi="Cambria Math" w:cs="Arial"/>
            <w:sz w:val="21"/>
            <w:szCs w:val="21"/>
            <w:lang w:val="en-GB" w:eastAsia="zh-CN"/>
          </w:rPr>
          <m:t>b</m:t>
        </m:r>
      </m:oMath>
      <w:r w:rsidRPr="00D16AB0">
        <w:rPr>
          <w:rFonts w:ascii="Arial" w:hAnsi="Arial" w:cs="Arial"/>
          <w:sz w:val="21"/>
          <w:szCs w:val="21"/>
          <w:lang w:val="en-GB" w:eastAsia="zh-CN"/>
        </w:rPr>
        <w:t>). We set the regulator’s belief in additional proportion within wind farm</w:t>
      </w:r>
      <w:r w:rsidR="00F06B10" w:rsidRPr="00D16AB0">
        <w:rPr>
          <w:rFonts w:ascii="Arial" w:hAnsi="Arial" w:cs="Arial"/>
          <w:sz w:val="21"/>
          <w:szCs w:val="21"/>
          <w:lang w:val="en-GB" w:eastAsia="zh-CN"/>
        </w:rPr>
        <w:t xml:space="preserve"> projects</w:t>
      </w:r>
      <w:r w:rsidRPr="00D16AB0">
        <w:rPr>
          <w:rFonts w:ascii="Arial" w:hAnsi="Arial" w:cs="Arial"/>
          <w:sz w:val="21"/>
          <w:szCs w:val="21"/>
          <w:lang w:val="en-GB" w:eastAsia="zh-CN"/>
        </w:rPr>
        <w:t xml:space="preserve"> in China </w:t>
      </w:r>
      <m:oMath>
        <m:r>
          <w:rPr>
            <w:rFonts w:ascii="Cambria Math" w:hAnsi="Cambria Math" w:cs="Arial"/>
            <w:sz w:val="21"/>
            <w:szCs w:val="21"/>
            <w:lang w:val="en-GB" w:eastAsia="zh-CN"/>
          </w:rPr>
          <m:t>p</m:t>
        </m:r>
      </m:oMath>
      <w:r w:rsidRPr="00D16AB0">
        <w:rPr>
          <w:rFonts w:ascii="Arial" w:hAnsi="Arial" w:cs="Arial"/>
          <w:sz w:val="21"/>
          <w:szCs w:val="21"/>
          <w:lang w:val="en-GB" w:eastAsia="zh-CN"/>
        </w:rPr>
        <w:t xml:space="preserve"> between 0 and 1 and the regulatory bias is measured by </w:t>
      </w:r>
      <m:oMath>
        <m:r>
          <w:rPr>
            <w:rFonts w:ascii="Cambria Math" w:hAnsi="Cambria Math" w:cs="Arial"/>
            <w:sz w:val="21"/>
            <w:szCs w:val="21"/>
            <w:lang w:val="en-GB" w:eastAsia="zh-CN"/>
          </w:rPr>
          <m:t>p</m:t>
        </m:r>
        <m:r>
          <m:rPr>
            <m:sty m:val="p"/>
          </m:rPr>
          <w:rPr>
            <w:rFonts w:ascii="Cambria Math" w:hAnsi="Cambria Math" w:cs="Arial"/>
            <w:sz w:val="21"/>
            <w:szCs w:val="21"/>
            <w:lang w:val="en-GB" w:eastAsia="zh-CN"/>
          </w:rPr>
          <m:t>-</m:t>
        </m:r>
        <m:r>
          <w:rPr>
            <w:rFonts w:ascii="Cambria Math" w:hAnsi="Cambria Math" w:cs="Arial"/>
            <w:sz w:val="21"/>
            <w:szCs w:val="21"/>
            <w:lang w:val="en-GB" w:eastAsia="zh-CN"/>
          </w:rPr>
          <m:t>d</m:t>
        </m:r>
      </m:oMath>
      <w:r w:rsidRPr="00D16AB0">
        <w:rPr>
          <w:rFonts w:ascii="Arial" w:hAnsi="Arial" w:cs="Arial"/>
          <w:sz w:val="21"/>
          <w:szCs w:val="21"/>
          <w:lang w:val="en-GB" w:eastAsia="zh-CN"/>
        </w:rPr>
        <w:t xml:space="preserve"> (unbiased when </w:t>
      </w:r>
      <m:oMath>
        <m:r>
          <w:rPr>
            <w:rFonts w:ascii="Cambria Math" w:hAnsi="Cambria Math" w:cs="Arial"/>
            <w:sz w:val="21"/>
            <w:szCs w:val="21"/>
            <w:lang w:val="en-GB" w:eastAsia="zh-CN"/>
          </w:rPr>
          <m:t>p</m:t>
        </m:r>
        <m:r>
          <m:rPr>
            <m:sty m:val="p"/>
          </m:rPr>
          <w:rPr>
            <w:rFonts w:ascii="Cambria Math" w:hAnsi="Cambria Math" w:cs="Arial"/>
            <w:sz w:val="21"/>
            <w:szCs w:val="21"/>
            <w:lang w:val="en-GB" w:eastAsia="zh-CN"/>
          </w:rPr>
          <m:t>=</m:t>
        </m:r>
        <m:r>
          <w:rPr>
            <w:rFonts w:ascii="Cambria Math" w:hAnsi="Cambria Math" w:cs="Arial"/>
            <w:sz w:val="21"/>
            <w:szCs w:val="21"/>
            <w:lang w:val="en-GB" w:eastAsia="zh-CN"/>
          </w:rPr>
          <m:t>d</m:t>
        </m:r>
        <m:r>
          <m:rPr>
            <m:sty m:val="p"/>
          </m:rPr>
          <w:rPr>
            <w:rFonts w:ascii="Cambria Math" w:hAnsi="Cambria Math" w:cs="Arial"/>
            <w:sz w:val="21"/>
            <w:szCs w:val="21"/>
            <w:lang w:val="en-GB" w:eastAsia="zh-CN"/>
          </w:rPr>
          <m:t>=0.5</m:t>
        </m:r>
      </m:oMath>
      <w:r w:rsidRPr="00D16AB0">
        <w:rPr>
          <w:rFonts w:ascii="Arial" w:hAnsi="Arial" w:cs="Arial"/>
          <w:sz w:val="21"/>
          <w:szCs w:val="21"/>
          <w:lang w:val="en-GB" w:eastAsia="zh-CN"/>
        </w:rPr>
        <w:t xml:space="preserve">); the accuracy </w:t>
      </w:r>
      <m:oMath>
        <m:r>
          <w:rPr>
            <w:rFonts w:ascii="Cambria Math" w:hAnsi="Cambria Math" w:cs="Arial"/>
            <w:sz w:val="21"/>
            <w:szCs w:val="21"/>
            <w:lang w:val="en-GB" w:eastAsia="zh-CN"/>
          </w:rPr>
          <m:t>k</m:t>
        </m:r>
      </m:oMath>
      <w:r w:rsidRPr="00D16AB0">
        <w:rPr>
          <w:rFonts w:ascii="Arial" w:hAnsi="Arial" w:cs="Arial"/>
          <w:sz w:val="21"/>
          <w:szCs w:val="21"/>
          <w:lang w:val="en-GB" w:eastAsia="zh-CN"/>
        </w:rPr>
        <w:t xml:space="preserve"> ranges from 0 (random decision) to 10 (very accurate); and the crediting rate </w:t>
      </w:r>
      <m:oMath>
        <m:r>
          <w:rPr>
            <w:rFonts w:ascii="Cambria Math" w:hAnsi="Cambria Math" w:cs="Arial"/>
            <w:sz w:val="21"/>
            <w:szCs w:val="21"/>
            <w:lang w:val="en-GB" w:eastAsia="zh-CN"/>
          </w:rPr>
          <m:t>b</m:t>
        </m:r>
      </m:oMath>
      <w:r w:rsidRPr="00D16AB0">
        <w:rPr>
          <w:rFonts w:ascii="Arial" w:hAnsi="Arial" w:cs="Arial"/>
          <w:sz w:val="21"/>
          <w:szCs w:val="21"/>
          <w:lang w:val="en-GB" w:eastAsia="zh-CN"/>
        </w:rPr>
        <w:t xml:space="preserve"> also varies between 0 (no subsidy) and 1 (full subsidy).</w:t>
      </w:r>
    </w:p>
    <w:p w14:paraId="3F3D48BA" w14:textId="32CB8B12" w:rsidR="00860409" w:rsidRDefault="005C2B92"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By observing</w:t>
      </w:r>
      <w:r w:rsidR="009B0393" w:rsidRPr="00D16AB0">
        <w:rPr>
          <w:rFonts w:ascii="Arial" w:hAnsi="Arial" w:cs="Arial"/>
          <w:sz w:val="21"/>
          <w:szCs w:val="21"/>
          <w:lang w:val="en-GB" w:eastAsia="zh-CN"/>
        </w:rPr>
        <w:t xml:space="preserve"> the difference in annual offset trade volume and carbon emission reduction under the two regimes</w:t>
      </w:r>
      <w:r w:rsidR="00943158" w:rsidRPr="00D16AB0">
        <w:rPr>
          <w:rFonts w:ascii="Arial" w:hAnsi="Arial" w:cs="Arial"/>
          <w:sz w:val="21"/>
          <w:szCs w:val="21"/>
          <w:lang w:val="en-GB" w:eastAsia="zh-CN"/>
        </w:rPr>
        <w:t>, the results show that</w:t>
      </w:r>
      <w:r w:rsidR="009B0393" w:rsidRPr="00D16AB0">
        <w:rPr>
          <w:rFonts w:ascii="Arial" w:hAnsi="Arial" w:cs="Arial"/>
          <w:sz w:val="21"/>
          <w:szCs w:val="21"/>
          <w:lang w:val="en-GB" w:eastAsia="zh-CN"/>
        </w:rPr>
        <w:t xml:space="preserve"> </w:t>
      </w:r>
      <w:r w:rsidR="00C14B24" w:rsidRPr="00D16AB0">
        <w:rPr>
          <w:rFonts w:ascii="Arial" w:hAnsi="Arial" w:cs="Arial"/>
          <w:sz w:val="21"/>
          <w:szCs w:val="21"/>
          <w:lang w:val="en-GB" w:eastAsia="zh-CN"/>
        </w:rPr>
        <w:t xml:space="preserve">1) </w:t>
      </w:r>
      <w:r w:rsidR="009B0393" w:rsidRPr="00D16AB0">
        <w:rPr>
          <w:rFonts w:ascii="Arial" w:hAnsi="Arial" w:cs="Arial"/>
          <w:sz w:val="21"/>
          <w:szCs w:val="21"/>
          <w:lang w:val="en-GB" w:eastAsia="zh-CN"/>
        </w:rPr>
        <w:t>the offset trade volume is always lower in the continuous additionality regime; 2) a lower crediting rate is associated with a smaller offset trade volume; 3) a slightly-lower-additional-proportion crediting rate (around 0.4, less that</w:t>
      </w:r>
      <m:oMath>
        <m:r>
          <m:rPr>
            <m:sty m:val="p"/>
          </m:rPr>
          <w:rPr>
            <w:rFonts w:ascii="Cambria Math" w:hAnsi="Cambria Math" w:cs="Arial"/>
            <w:sz w:val="21"/>
            <w:szCs w:val="21"/>
            <w:lang w:val="en-GB" w:eastAsia="zh-CN"/>
          </w:rPr>
          <m:t xml:space="preserve"> </m:t>
        </m:r>
      </m:oMath>
      <w:r w:rsidR="009B0393" w:rsidRPr="00D16AB0">
        <w:rPr>
          <w:rFonts w:ascii="Arial" w:hAnsi="Arial" w:cs="Arial"/>
          <w:sz w:val="21"/>
          <w:szCs w:val="21"/>
          <w:lang w:val="en-GB" w:eastAsia="zh-CN"/>
        </w:rPr>
        <w:t>0.5) under the proposed regime tends to achieve the highest increase in carbon emission reduction; 4) only if the current regulation is unbiased and accurate (</w:t>
      </w:r>
      <m:oMath>
        <m:r>
          <w:rPr>
            <w:rFonts w:ascii="Cambria Math" w:hAnsi="Cambria Math" w:cs="Arial"/>
            <w:sz w:val="21"/>
            <w:szCs w:val="21"/>
            <w:lang w:val="en-GB" w:eastAsia="zh-CN"/>
          </w:rPr>
          <m:t>p</m:t>
        </m:r>
        <m:r>
          <m:rPr>
            <m:sty m:val="p"/>
          </m:rPr>
          <w:rPr>
            <w:rFonts w:ascii="Cambria Math" w:hAnsi="Cambria Math" w:cs="Arial"/>
            <w:sz w:val="21"/>
            <w:szCs w:val="21"/>
            <w:lang w:val="en-GB" w:eastAsia="zh-CN"/>
          </w:rPr>
          <m:t>-</m:t>
        </m:r>
        <m:r>
          <w:rPr>
            <w:rFonts w:ascii="Cambria Math" w:hAnsi="Cambria Math" w:cs="Arial"/>
            <w:sz w:val="21"/>
            <w:szCs w:val="21"/>
            <w:lang w:val="en-GB" w:eastAsia="zh-CN"/>
          </w:rPr>
          <m:t>d</m:t>
        </m:r>
        <m:r>
          <m:rPr>
            <m:sty m:val="p"/>
          </m:rPr>
          <w:rPr>
            <w:rFonts w:ascii="Cambria Math" w:hAnsi="Cambria Math" w:cs="Arial"/>
            <w:sz w:val="21"/>
            <w:szCs w:val="21"/>
            <w:lang w:val="en-GB" w:eastAsia="zh-CN"/>
          </w:rPr>
          <m:t xml:space="preserve">=0, </m:t>
        </m:r>
        <m:r>
          <w:rPr>
            <w:rFonts w:ascii="Cambria Math" w:hAnsi="Cambria Math" w:cs="Arial"/>
            <w:sz w:val="21"/>
            <w:szCs w:val="21"/>
            <w:lang w:val="en-GB" w:eastAsia="zh-CN"/>
          </w:rPr>
          <m:t>k</m:t>
        </m:r>
        <m:r>
          <m:rPr>
            <m:sty m:val="p"/>
          </m:rPr>
          <w:rPr>
            <w:rFonts w:ascii="Cambria Math" w:hAnsi="Cambria Math" w:cs="Arial"/>
            <w:sz w:val="21"/>
            <w:szCs w:val="21"/>
            <w:lang w:val="en-GB" w:eastAsia="zh-CN"/>
          </w:rPr>
          <m:t>=10)</m:t>
        </m:r>
      </m:oMath>
      <w:r w:rsidR="009B0393" w:rsidRPr="00D16AB0">
        <w:rPr>
          <w:rFonts w:ascii="Arial" w:hAnsi="Arial" w:cs="Arial"/>
          <w:sz w:val="21"/>
          <w:szCs w:val="21"/>
          <w:lang w:val="en-GB" w:eastAsia="zh-CN"/>
        </w:rPr>
        <w:t xml:space="preserve"> and the crediting rate is far away from the additional proportion (</w:t>
      </w:r>
      <m:oMath>
        <m:r>
          <w:rPr>
            <w:rFonts w:ascii="Cambria Math" w:hAnsi="Cambria Math" w:cs="Arial"/>
            <w:sz w:val="21"/>
            <w:szCs w:val="21"/>
            <w:lang w:val="en-GB" w:eastAsia="zh-CN"/>
          </w:rPr>
          <m:t>d</m:t>
        </m:r>
        <m:r>
          <m:rPr>
            <m:sty m:val="p"/>
          </m:rPr>
          <w:rPr>
            <w:rFonts w:ascii="Cambria Math" w:hAnsi="Cambria Math" w:cs="Arial"/>
            <w:sz w:val="21"/>
            <w:szCs w:val="21"/>
            <w:lang w:val="en-GB" w:eastAsia="zh-CN"/>
          </w:rPr>
          <m:t>&lt;0.2</m:t>
        </m:r>
      </m:oMath>
      <w:r w:rsidR="009B0393" w:rsidRPr="00D16AB0">
        <w:rPr>
          <w:rFonts w:ascii="Arial" w:hAnsi="Arial" w:cs="Arial"/>
          <w:sz w:val="21"/>
          <w:szCs w:val="21"/>
          <w:lang w:val="en-GB" w:eastAsia="zh-CN"/>
        </w:rPr>
        <w:t xml:space="preserve"> or </w:t>
      </w:r>
      <m:oMath>
        <m:r>
          <w:rPr>
            <w:rFonts w:ascii="Cambria Math" w:hAnsi="Cambria Math" w:cs="Arial"/>
            <w:sz w:val="21"/>
            <w:szCs w:val="21"/>
            <w:lang w:val="en-GB" w:eastAsia="zh-CN"/>
          </w:rPr>
          <m:t>d</m:t>
        </m:r>
        <m:r>
          <m:rPr>
            <m:sty m:val="p"/>
          </m:rPr>
          <w:rPr>
            <w:rFonts w:ascii="Cambria Math" w:hAnsi="Cambria Math" w:cs="Arial"/>
            <w:sz w:val="21"/>
            <w:szCs w:val="21"/>
            <w:lang w:val="en-GB" w:eastAsia="zh-CN"/>
          </w:rPr>
          <m:t>&gt;0.6)</m:t>
        </m:r>
      </m:oMath>
      <w:r w:rsidR="009B0393" w:rsidRPr="00D16AB0">
        <w:rPr>
          <w:rFonts w:ascii="Arial" w:hAnsi="Arial" w:cs="Arial"/>
          <w:sz w:val="21"/>
          <w:szCs w:val="21"/>
          <w:lang w:val="en-GB" w:eastAsia="zh-CN"/>
        </w:rPr>
        <w:t xml:space="preserve">, the current regime with high-quality additional testing can outperform the </w:t>
      </w:r>
      <w:r w:rsidR="00347B91" w:rsidRPr="00D16AB0">
        <w:rPr>
          <w:rFonts w:ascii="Arial" w:hAnsi="Arial" w:cs="Arial"/>
          <w:sz w:val="21"/>
          <w:szCs w:val="21"/>
          <w:lang w:val="en-GB" w:eastAsia="zh-CN"/>
        </w:rPr>
        <w:t>proposed</w:t>
      </w:r>
      <w:r w:rsidR="009B0393" w:rsidRPr="00D16AB0">
        <w:rPr>
          <w:rFonts w:ascii="Arial" w:hAnsi="Arial" w:cs="Arial"/>
          <w:sz w:val="21"/>
          <w:szCs w:val="21"/>
          <w:lang w:val="en-GB" w:eastAsia="zh-CN"/>
        </w:rPr>
        <w:t xml:space="preserve"> one with bad additional proportion estimates, regarding its contribution on climate mitigation.</w:t>
      </w:r>
    </w:p>
    <w:p w14:paraId="70D71A65" w14:textId="77777777" w:rsidR="00097680" w:rsidRPr="00D16AB0" w:rsidRDefault="00097680" w:rsidP="00961066">
      <w:pPr>
        <w:pStyle w:val="SMText"/>
        <w:spacing w:beforeLines="50" w:before="120" w:afterLines="50" w:after="120" w:line="276" w:lineRule="auto"/>
        <w:ind w:firstLine="0"/>
        <w:rPr>
          <w:rFonts w:ascii="Arial" w:hAnsi="Arial" w:cs="Arial"/>
          <w:sz w:val="21"/>
          <w:szCs w:val="21"/>
          <w:lang w:val="en-GB" w:eastAsia="zh-CN"/>
        </w:rPr>
      </w:pPr>
    </w:p>
    <w:p w14:paraId="0C8064E1" w14:textId="1420620C" w:rsidR="00C27D2E" w:rsidRPr="00D16AB0" w:rsidRDefault="00031374"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200" w:name="_Toc214984949"/>
      <w:bookmarkStart w:id="201" w:name="_Toc214985838"/>
      <w:bookmarkStart w:id="202" w:name="_Toc214986980"/>
      <w:r w:rsidRPr="00D16AB0">
        <w:rPr>
          <w:rFonts w:ascii="Arial" w:hAnsi="Arial" w:cs="Arial"/>
          <w:b/>
          <w:bCs/>
          <w:sz w:val="21"/>
          <w:szCs w:val="21"/>
          <w:u w:val="none"/>
          <w:lang w:val="en-GB"/>
        </w:rPr>
        <w:t>Over-crediting</w:t>
      </w:r>
      <w:bookmarkEnd w:id="200"/>
      <w:bookmarkEnd w:id="201"/>
      <w:bookmarkEnd w:id="202"/>
    </w:p>
    <w:p w14:paraId="522DF8BA" w14:textId="45A30994" w:rsidR="00646248" w:rsidRPr="00D16AB0" w:rsidRDefault="00595726"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To simulate systematic over-crediting, we introduce an exogenous variable to the </w:t>
      </w:r>
      <w:r w:rsidR="002A5EDF" w:rsidRPr="00D16AB0">
        <w:rPr>
          <w:rFonts w:ascii="Arial" w:hAnsi="Arial" w:cs="Arial"/>
          <w:sz w:val="21"/>
          <w:szCs w:val="21"/>
          <w:lang w:val="en-GB" w:eastAsia="zh-CN"/>
        </w:rPr>
        <w:t>main</w:t>
      </w:r>
      <w:r w:rsidRPr="00D16AB0">
        <w:rPr>
          <w:rFonts w:ascii="Arial" w:hAnsi="Arial" w:cs="Arial"/>
          <w:sz w:val="21"/>
          <w:szCs w:val="21"/>
          <w:lang w:val="en-GB" w:eastAsia="zh-CN"/>
        </w:rPr>
        <w:t xml:space="preserve"> scenario, representing a fraction of over-crediting. The over-crediting of projects can also arise from overestimation of carbon emissions reduction, as a result of inaccurate baselines and methodologies during the developmental/validation stages and tremendously harm the carbon offsetting mechanism if not addressed properly. Here, we assume a certain share of CERs are not real, i.e., they are over-issued CERs, ranging between 0% (no over-issued CERs) and 100% (all CERs are over-issued). </w:t>
      </w:r>
    </w:p>
    <w:p w14:paraId="0DBC4EC5" w14:textId="1AB35D04" w:rsidR="008570D8" w:rsidRDefault="005E058C"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lastRenderedPageBreak/>
        <w:t>T</w:t>
      </w:r>
      <w:r w:rsidR="00595726" w:rsidRPr="00D16AB0">
        <w:rPr>
          <w:rFonts w:ascii="Arial" w:hAnsi="Arial" w:cs="Arial"/>
          <w:sz w:val="21"/>
          <w:szCs w:val="21"/>
          <w:lang w:val="en-GB" w:eastAsia="zh-CN"/>
        </w:rPr>
        <w:t>he average annual emission reduction per wind power plant declines to zero when 35% of offsets are over-credited under the current regime</w:t>
      </w:r>
      <w:r w:rsidR="0026481E" w:rsidRPr="00D16AB0">
        <w:rPr>
          <w:rFonts w:ascii="Arial" w:hAnsi="Arial" w:cs="Arial"/>
          <w:sz w:val="21"/>
          <w:szCs w:val="21"/>
          <w:lang w:val="en-GB" w:eastAsia="zh-CN"/>
        </w:rPr>
        <w:t>, while</w:t>
      </w:r>
      <w:r w:rsidR="00595726" w:rsidRPr="00D16AB0">
        <w:rPr>
          <w:rFonts w:ascii="Arial" w:hAnsi="Arial" w:cs="Arial"/>
          <w:sz w:val="21"/>
          <w:szCs w:val="21"/>
          <w:lang w:val="en-GB" w:eastAsia="zh-CN"/>
        </w:rPr>
        <w:t xml:space="preserve"> the emission reduction declines to zero when 50% of offsets are over-credited under the proposed regime with a crediting rate of 0.5. In addition, if the over-crediting fraction is below 65%, the climate mitigation efficiency of the proposed regime will keep higher compared to the current regime. Strikingly, if 35% of offsets are over-credited under the current regime, the offset mechanism may actually increase global carbon emissions through issuance of credits. On the other hand, the proposed regime is more flexible and resilient toward the challenge of systematic over-crediting because it can easily apply a lower crediting rate to shave the overestimated fraction off and mitigate the risk of over-crediting.</w:t>
      </w:r>
    </w:p>
    <w:p w14:paraId="051A1D85" w14:textId="77777777" w:rsidR="00380898" w:rsidRPr="00D16AB0" w:rsidRDefault="00380898" w:rsidP="00961066">
      <w:pPr>
        <w:pStyle w:val="SMText"/>
        <w:spacing w:beforeLines="50" w:before="120" w:afterLines="50" w:after="120" w:line="276" w:lineRule="auto"/>
        <w:ind w:firstLine="0"/>
        <w:rPr>
          <w:rFonts w:ascii="Arial" w:hAnsi="Arial" w:cs="Arial"/>
          <w:sz w:val="21"/>
          <w:szCs w:val="21"/>
          <w:lang w:val="en-GB" w:eastAsia="zh-CN"/>
        </w:rPr>
      </w:pPr>
    </w:p>
    <w:p w14:paraId="6ADFD3FC" w14:textId="1A919F31" w:rsidR="00727371" w:rsidRPr="00D16AB0" w:rsidRDefault="008570D8"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203" w:name="_Toc214984950"/>
      <w:bookmarkStart w:id="204" w:name="_Toc214985839"/>
      <w:bookmarkStart w:id="205" w:name="_Toc214986981"/>
      <w:r w:rsidRPr="00D16AB0">
        <w:rPr>
          <w:rFonts w:ascii="Arial" w:hAnsi="Arial" w:cs="Arial"/>
          <w:b/>
          <w:bCs/>
          <w:sz w:val="21"/>
          <w:szCs w:val="21"/>
          <w:u w:val="none"/>
          <w:lang w:val="en-GB"/>
        </w:rPr>
        <w:t>Differences in project characteristics</w:t>
      </w:r>
      <w:bookmarkEnd w:id="203"/>
      <w:bookmarkEnd w:id="204"/>
      <w:bookmarkEnd w:id="205"/>
    </w:p>
    <w:p w14:paraId="4079FF38" w14:textId="6E042BA8" w:rsidR="00160237" w:rsidRPr="00D16AB0" w:rsidRDefault="008570D8"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We examine the performances of the two regimes in response to the different synthetic project pools with different additional proportions when the regulation quality is certain. The change in trade volume is largely determined by the crediting rate: the higher crediting rate, the larger trade volume. However, the carbon emission reduction tends to be larger under the proposed regime when the crediting rate is close to the real additional proportion in the pool.</w:t>
      </w:r>
    </w:p>
    <w:p w14:paraId="3E672960" w14:textId="42243AAD" w:rsidR="008570D8" w:rsidRDefault="008570D8"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 xml:space="preserve">In addition to different additional proportions, the synthetic project pools may differ in terms of context heterogeneity. We then apply the regulation quality and the additional proportion under the </w:t>
      </w:r>
      <w:r w:rsidR="00964956" w:rsidRPr="00D16AB0">
        <w:rPr>
          <w:rFonts w:ascii="Arial" w:hAnsi="Arial" w:cs="Arial"/>
          <w:sz w:val="21"/>
          <w:szCs w:val="21"/>
          <w:lang w:val="en-GB" w:eastAsia="zh-CN"/>
        </w:rPr>
        <w:t>main</w:t>
      </w:r>
      <w:r w:rsidRPr="00D16AB0">
        <w:rPr>
          <w:rFonts w:ascii="Arial" w:hAnsi="Arial" w:cs="Arial"/>
          <w:sz w:val="21"/>
          <w:szCs w:val="21"/>
          <w:lang w:val="en-GB" w:eastAsia="zh-CN"/>
        </w:rPr>
        <w:t xml:space="preserve"> scenario but change the standard deviation of project IRRs without offsets. Since the wind farms projects in China are very homogenous and the standard deviation of the project IRRs without offsets is 0.57, we increase the heterogeneity of project characteristics by </w:t>
      </w:r>
      <w:r w:rsidR="00E31CF8" w:rsidRPr="00D16AB0">
        <w:rPr>
          <w:rFonts w:ascii="Arial" w:hAnsi="Arial" w:cs="Arial"/>
          <w:sz w:val="21"/>
          <w:szCs w:val="21"/>
          <w:lang w:val="en-GB" w:eastAsia="zh-CN"/>
        </w:rPr>
        <w:t>varying the standard deviation from 0 to 2 in increments of 0.1</w:t>
      </w:r>
      <w:r w:rsidRPr="00D16AB0">
        <w:rPr>
          <w:rFonts w:ascii="Arial" w:hAnsi="Arial" w:cs="Arial"/>
          <w:sz w:val="21"/>
          <w:szCs w:val="21"/>
          <w:lang w:val="en-GB" w:eastAsia="zh-CN"/>
        </w:rPr>
        <w:t>. It’s observed that the offset trade volume slightly decreases as the context becomes more heterogenous; more importantly, the proposed regime performs worse as the standard deviation increases to 1.5 compared to the current regime. This indicates that controlling the heterogeneity of the context is the prerequisite to apply the standardised approach and the proposed regime benefits from reasonable categori</w:t>
      </w:r>
      <w:r w:rsidR="00197A49" w:rsidRPr="00D16AB0">
        <w:rPr>
          <w:rFonts w:ascii="Arial" w:hAnsi="Arial" w:cs="Arial"/>
          <w:sz w:val="21"/>
          <w:szCs w:val="21"/>
          <w:lang w:val="en-GB" w:eastAsia="zh-CN"/>
        </w:rPr>
        <w:t>s</w:t>
      </w:r>
      <w:r w:rsidRPr="00D16AB0">
        <w:rPr>
          <w:rFonts w:ascii="Arial" w:hAnsi="Arial" w:cs="Arial"/>
          <w:sz w:val="21"/>
          <w:szCs w:val="21"/>
          <w:lang w:val="en-GB" w:eastAsia="zh-CN"/>
        </w:rPr>
        <w:t>ation, which relies on careful disaggregated industry analysis across contexts.</w:t>
      </w:r>
    </w:p>
    <w:p w14:paraId="1909C755" w14:textId="77777777" w:rsidR="006B68B5" w:rsidRPr="00D16AB0" w:rsidRDefault="006B68B5" w:rsidP="00961066">
      <w:pPr>
        <w:pStyle w:val="SMText"/>
        <w:spacing w:beforeLines="50" w:before="120" w:afterLines="50" w:after="120" w:line="276" w:lineRule="auto"/>
        <w:ind w:firstLine="0"/>
        <w:rPr>
          <w:rFonts w:ascii="Arial" w:hAnsi="Arial" w:cs="Arial"/>
          <w:sz w:val="21"/>
          <w:szCs w:val="21"/>
          <w:lang w:val="en-GB" w:eastAsia="zh-CN"/>
        </w:rPr>
      </w:pPr>
    </w:p>
    <w:p w14:paraId="6599808F" w14:textId="49586588" w:rsidR="009F3CAC" w:rsidRPr="00D16AB0" w:rsidRDefault="0031011D" w:rsidP="00961066">
      <w:pPr>
        <w:pStyle w:val="SMSubheading"/>
        <w:numPr>
          <w:ilvl w:val="1"/>
          <w:numId w:val="21"/>
        </w:numPr>
        <w:spacing w:beforeLines="50" w:before="120" w:afterLines="50" w:after="120" w:line="276" w:lineRule="auto"/>
        <w:ind w:left="357" w:hanging="357"/>
        <w:rPr>
          <w:rFonts w:ascii="Arial" w:hAnsi="Arial" w:cs="Arial"/>
          <w:b/>
          <w:bCs/>
          <w:sz w:val="21"/>
          <w:szCs w:val="21"/>
          <w:u w:val="none"/>
          <w:lang w:val="en-GB"/>
        </w:rPr>
      </w:pPr>
      <w:bookmarkStart w:id="206" w:name="_Toc214984951"/>
      <w:bookmarkStart w:id="207" w:name="_Toc214985840"/>
      <w:bookmarkStart w:id="208" w:name="_Toc214986982"/>
      <w:r w:rsidRPr="00D16AB0">
        <w:rPr>
          <w:rFonts w:ascii="Arial" w:hAnsi="Arial" w:cs="Arial"/>
          <w:b/>
          <w:bCs/>
          <w:sz w:val="21"/>
          <w:szCs w:val="21"/>
          <w:u w:val="none"/>
          <w:lang w:val="en-GB"/>
        </w:rPr>
        <w:t>Summary</w:t>
      </w:r>
      <w:bookmarkEnd w:id="206"/>
      <w:bookmarkEnd w:id="207"/>
      <w:bookmarkEnd w:id="208"/>
    </w:p>
    <w:p w14:paraId="6559748A" w14:textId="310BB7A1" w:rsidR="00C1026D" w:rsidRPr="00D16AB0" w:rsidRDefault="00431511"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Overall, our sensitivity analysis shows that the proposed continuous additionality regime robustly outperforms current additionality tests. First, the proposed regime reduces emissions more effectively under most scenarios, unless the regulation on current additionality tests is unbiased and very accurate. Second, it is more resilient towards over-crediting issues with a crediting rate to shave off the over-credited fraction. Third, even under high-quality regulation, setting a reasonable crediting rate near the actual additional proportion can still contribute to larger carbon emission reduction with smaller trade volume. Fourth, lowering the heterogeneity of contexts through reliable categorization benefits the regime design.</w:t>
      </w:r>
    </w:p>
    <w:p w14:paraId="238CE97E" w14:textId="14AE5820" w:rsidR="00431511" w:rsidRPr="00D16AB0" w:rsidRDefault="00431511" w:rsidP="00961066">
      <w:pPr>
        <w:pStyle w:val="SMText"/>
        <w:spacing w:beforeLines="50" w:before="120" w:afterLines="50" w:after="120" w:line="276" w:lineRule="auto"/>
        <w:ind w:firstLine="0"/>
        <w:rPr>
          <w:rFonts w:ascii="Arial" w:hAnsi="Arial" w:cs="Arial"/>
          <w:sz w:val="21"/>
          <w:szCs w:val="21"/>
          <w:lang w:val="en-GB" w:eastAsia="zh-CN"/>
        </w:rPr>
      </w:pPr>
      <w:r w:rsidRPr="00D16AB0">
        <w:rPr>
          <w:rFonts w:ascii="Arial" w:hAnsi="Arial" w:cs="Arial"/>
          <w:sz w:val="21"/>
          <w:szCs w:val="21"/>
          <w:lang w:val="en-GB" w:eastAsia="zh-CN"/>
        </w:rPr>
        <w:t>The improvements of the proposed regime are three-fold.</w:t>
      </w:r>
      <w:r w:rsidR="00123E53" w:rsidRPr="00D16AB0">
        <w:rPr>
          <w:rFonts w:ascii="Arial" w:hAnsi="Arial" w:cs="Arial"/>
          <w:sz w:val="21"/>
          <w:szCs w:val="21"/>
          <w:lang w:val="en-GB" w:eastAsia="zh-CN"/>
        </w:rPr>
        <w:t xml:space="preserve"> </w:t>
      </w:r>
      <w:r w:rsidRPr="00D16AB0">
        <w:rPr>
          <w:rFonts w:ascii="Arial" w:hAnsi="Arial" w:cs="Arial"/>
          <w:sz w:val="21"/>
          <w:szCs w:val="21"/>
          <w:lang w:val="en-GB" w:eastAsia="zh-CN"/>
        </w:rPr>
        <w:t xml:space="preserve">Compared to project-level quality control through time-consuming individual assessments, a higher-level standardised assessment would be easier administratively and more efficient when controlling for context heterogeneity   and varying the baseline crediting rate. A wider frame with simplified and transparent implementation guidelines may also be better for policy regulators to overcome cognitive bias. </w:t>
      </w:r>
      <w:r w:rsidR="00810B67" w:rsidRPr="00D16AB0">
        <w:rPr>
          <w:rFonts w:ascii="Arial" w:hAnsi="Arial" w:cs="Arial"/>
          <w:sz w:val="21"/>
          <w:szCs w:val="21"/>
          <w:lang w:val="en-GB" w:eastAsia="zh-CN"/>
        </w:rPr>
        <w:t xml:space="preserve"> </w:t>
      </w:r>
      <w:r w:rsidRPr="00D16AB0">
        <w:rPr>
          <w:rFonts w:ascii="Arial" w:hAnsi="Arial" w:cs="Arial"/>
          <w:sz w:val="21"/>
          <w:szCs w:val="21"/>
          <w:lang w:val="en-GB" w:eastAsia="zh-CN"/>
        </w:rPr>
        <w:t xml:space="preserve">Furthermore, regardless of the additionality regime applied by the offset programme, a comprehensive understanding of specific </w:t>
      </w:r>
      <w:r w:rsidRPr="00D16AB0">
        <w:rPr>
          <w:rFonts w:ascii="Arial" w:hAnsi="Arial" w:cs="Arial"/>
          <w:sz w:val="21"/>
          <w:szCs w:val="21"/>
          <w:lang w:val="en-GB" w:eastAsia="zh-CN"/>
        </w:rPr>
        <w:lastRenderedPageBreak/>
        <w:t>contexts by disaggregated analysis and market/industry/data analysis is essential for either setting an unbiased expected additional proportion (policy hurdle rate) or a reasonable baseline crediting rate. The context-based regime design can effectively take investment risks, non-additionality risks, as well as domestic policies into consideration.</w:t>
      </w:r>
      <w:r w:rsidR="00200E42" w:rsidRPr="00D16AB0">
        <w:rPr>
          <w:rFonts w:ascii="Arial" w:hAnsi="Arial" w:cs="Arial"/>
          <w:sz w:val="21"/>
          <w:szCs w:val="21"/>
          <w:lang w:val="en-GB" w:eastAsia="zh-CN"/>
        </w:rPr>
        <w:t xml:space="preserve"> </w:t>
      </w:r>
      <w:r w:rsidRPr="00D16AB0">
        <w:rPr>
          <w:rFonts w:ascii="Arial" w:hAnsi="Arial" w:cs="Arial"/>
          <w:sz w:val="21"/>
          <w:szCs w:val="21"/>
          <w:lang w:val="en-GB" w:eastAsia="zh-CN"/>
        </w:rPr>
        <w:t>In addition to improving the methodology of emission reduction estimation based on more climate science research, the credit allocation rules can be more transparent, flexible, and resilient. The proposed regime with a continuous measure of additionality can go beyond the artificial dilemma that projects must either be judged 0% or 100% additional, and more accurately reflects the reality that regulators need to judge projects on a spectrum.</w:t>
      </w:r>
    </w:p>
    <w:p w14:paraId="6FE2DB21" w14:textId="77777777" w:rsidR="00754417" w:rsidRPr="00D16AB0" w:rsidRDefault="00754417" w:rsidP="00961066">
      <w:pPr>
        <w:pStyle w:val="SMText"/>
        <w:spacing w:beforeLines="50" w:before="120" w:afterLines="50" w:after="120" w:line="276" w:lineRule="auto"/>
        <w:ind w:firstLine="0"/>
        <w:rPr>
          <w:rFonts w:ascii="Arial" w:hAnsi="Arial" w:cs="Arial"/>
          <w:sz w:val="21"/>
          <w:szCs w:val="21"/>
          <w:lang w:val="en-GB" w:eastAsia="zh-CN"/>
        </w:rPr>
      </w:pPr>
    </w:p>
    <w:p w14:paraId="1579776F" w14:textId="0192EAE2" w:rsidR="00754417" w:rsidRPr="00D16AB0" w:rsidRDefault="006B3B6D" w:rsidP="00961066">
      <w:pPr>
        <w:pStyle w:val="SMHeading"/>
        <w:numPr>
          <w:ilvl w:val="0"/>
          <w:numId w:val="21"/>
        </w:numPr>
        <w:spacing w:beforeLines="50" w:before="120" w:afterLines="50" w:after="120" w:line="276" w:lineRule="auto"/>
        <w:ind w:left="357" w:hanging="357"/>
        <w:rPr>
          <w:rFonts w:ascii="Arial" w:hAnsi="Arial" w:cs="Arial"/>
          <w:sz w:val="21"/>
          <w:szCs w:val="21"/>
          <w:lang w:val="en-GB"/>
        </w:rPr>
      </w:pPr>
      <w:bookmarkStart w:id="209" w:name="_Toc214982032"/>
      <w:bookmarkStart w:id="210" w:name="_Toc214984256"/>
      <w:bookmarkStart w:id="211" w:name="_Toc214984282"/>
      <w:bookmarkStart w:id="212" w:name="_Toc214984952"/>
      <w:bookmarkStart w:id="213" w:name="_Toc214985841"/>
      <w:bookmarkStart w:id="214" w:name="_Toc214986983"/>
      <w:r w:rsidRPr="00D16AB0">
        <w:rPr>
          <w:rFonts w:ascii="Arial" w:hAnsi="Arial" w:cs="Arial"/>
          <w:sz w:val="21"/>
          <w:szCs w:val="21"/>
          <w:lang w:val="en-GB"/>
        </w:rPr>
        <w:t>Data</w:t>
      </w:r>
      <w:r w:rsidR="00AB0968" w:rsidRPr="00D16AB0">
        <w:rPr>
          <w:rFonts w:ascii="Arial" w:hAnsi="Arial" w:cs="Arial"/>
          <w:sz w:val="21"/>
          <w:szCs w:val="21"/>
          <w:lang w:val="en-GB"/>
        </w:rPr>
        <w:t>sets</w:t>
      </w:r>
      <w:r w:rsidR="006B46D6" w:rsidRPr="00D16AB0">
        <w:rPr>
          <w:rFonts w:ascii="Arial" w:hAnsi="Arial" w:cs="Arial"/>
          <w:sz w:val="21"/>
          <w:szCs w:val="21"/>
          <w:lang w:val="en-GB"/>
        </w:rPr>
        <w:t xml:space="preserve"> and </w:t>
      </w:r>
      <w:r w:rsidR="00E31A1F" w:rsidRPr="00D16AB0">
        <w:rPr>
          <w:rFonts w:ascii="Arial" w:hAnsi="Arial" w:cs="Arial"/>
          <w:sz w:val="21"/>
          <w:szCs w:val="21"/>
          <w:lang w:val="en-GB"/>
        </w:rPr>
        <w:t>Software</w:t>
      </w:r>
      <w:bookmarkEnd w:id="209"/>
      <w:bookmarkEnd w:id="210"/>
      <w:bookmarkEnd w:id="211"/>
      <w:bookmarkEnd w:id="212"/>
      <w:bookmarkEnd w:id="213"/>
      <w:bookmarkEnd w:id="214"/>
    </w:p>
    <w:p w14:paraId="5243FE23" w14:textId="58FD8D9E" w:rsidR="00754417" w:rsidRPr="00D16AB0" w:rsidRDefault="001143F5" w:rsidP="00176891">
      <w:pPr>
        <w:pStyle w:val="SMText"/>
        <w:spacing w:beforeLines="100" w:before="240" w:afterLines="50" w:after="120" w:line="276" w:lineRule="auto"/>
        <w:ind w:firstLine="0"/>
        <w:rPr>
          <w:rFonts w:ascii="Arial" w:hAnsi="Arial" w:cs="Arial"/>
          <w:b/>
          <w:bCs/>
          <w:sz w:val="21"/>
          <w:szCs w:val="21"/>
          <w:lang w:val="en-GB" w:eastAsia="zh-CN"/>
        </w:rPr>
      </w:pPr>
      <w:bookmarkStart w:id="215" w:name="OLE_LINK9"/>
      <w:r w:rsidRPr="00D16AB0">
        <w:rPr>
          <w:rFonts w:ascii="Arial" w:hAnsi="Arial" w:cs="Arial"/>
          <w:b/>
          <w:bCs/>
          <w:sz w:val="21"/>
          <w:szCs w:val="21"/>
          <w:lang w:val="en-GB" w:eastAsia="zh-CN"/>
        </w:rPr>
        <w:t xml:space="preserve">Dataset </w:t>
      </w:r>
      <w:r w:rsidR="00F27CBB">
        <w:rPr>
          <w:rFonts w:ascii="Arial" w:hAnsi="Arial" w:cs="Arial"/>
          <w:b/>
          <w:bCs/>
          <w:sz w:val="21"/>
          <w:szCs w:val="21"/>
          <w:lang w:val="en-GB" w:eastAsia="zh-CN"/>
        </w:rPr>
        <w:t>1</w:t>
      </w:r>
    </w:p>
    <w:p w14:paraId="56C0A9AF" w14:textId="2A3C5483" w:rsidR="0032766E" w:rsidRPr="00D16AB0" w:rsidRDefault="0032766E" w:rsidP="00634288">
      <w:pPr>
        <w:pStyle w:val="SMText"/>
        <w:spacing w:beforeLines="50" w:before="120" w:afterLines="50" w:after="120"/>
        <w:ind w:firstLine="0"/>
        <w:rPr>
          <w:rFonts w:ascii="Arial" w:hAnsi="Arial" w:cs="Arial"/>
          <w:sz w:val="21"/>
          <w:szCs w:val="21"/>
          <w:lang w:val="en-GB" w:eastAsia="zh-CN"/>
        </w:rPr>
      </w:pPr>
      <w:r w:rsidRPr="00D16AB0">
        <w:rPr>
          <w:rFonts w:ascii="Arial" w:hAnsi="Arial" w:cs="Arial"/>
          <w:b/>
          <w:bCs/>
          <w:sz w:val="21"/>
          <w:szCs w:val="21"/>
          <w:lang w:val="en-GB" w:eastAsia="zh-CN"/>
        </w:rPr>
        <w:t>Name</w:t>
      </w:r>
      <w:r w:rsidRPr="00D16AB0">
        <w:rPr>
          <w:rFonts w:ascii="Arial" w:hAnsi="Arial" w:cs="Arial"/>
          <w:sz w:val="21"/>
          <w:szCs w:val="21"/>
          <w:lang w:val="en-GB" w:eastAsia="zh-CN"/>
        </w:rPr>
        <w:t xml:space="preserve">: </w:t>
      </w:r>
      <w:r w:rsidR="00EE6947" w:rsidRPr="00D16AB0">
        <w:rPr>
          <w:rFonts w:ascii="Arial" w:hAnsi="Arial" w:cs="Arial"/>
          <w:sz w:val="21"/>
          <w:szCs w:val="21"/>
          <w:lang w:val="en-GB" w:eastAsia="zh-CN"/>
        </w:rPr>
        <w:t>CDM Pipeline</w:t>
      </w:r>
      <w:r w:rsidR="003E06B0" w:rsidRPr="00D16AB0">
        <w:rPr>
          <w:rFonts w:ascii="Arial" w:hAnsi="Arial" w:cs="Arial"/>
          <w:sz w:val="21"/>
          <w:szCs w:val="21"/>
          <w:lang w:val="en-GB" w:eastAsia="zh-CN"/>
        </w:rPr>
        <w:t xml:space="preserve"> (</w:t>
      </w:r>
      <w:r w:rsidR="00471CA1" w:rsidRPr="00D16AB0">
        <w:rPr>
          <w:rFonts w:ascii="Arial" w:hAnsi="Arial" w:cs="Arial"/>
          <w:sz w:val="21"/>
          <w:szCs w:val="21"/>
          <w:lang w:val="en-GB" w:eastAsia="zh-CN"/>
        </w:rPr>
        <w:t xml:space="preserve">Updated in </w:t>
      </w:r>
      <w:r w:rsidR="0036159F" w:rsidRPr="00D16AB0">
        <w:rPr>
          <w:rFonts w:ascii="Arial" w:hAnsi="Arial" w:cs="Arial"/>
          <w:sz w:val="21"/>
          <w:szCs w:val="21"/>
          <w:lang w:val="en-GB" w:eastAsia="zh-CN"/>
        </w:rPr>
        <w:t>October 2024)</w:t>
      </w:r>
    </w:p>
    <w:p w14:paraId="6EAB5D10" w14:textId="5E032341" w:rsidR="007D3DD2" w:rsidRPr="00D16AB0" w:rsidRDefault="007D3DD2" w:rsidP="00634288">
      <w:pPr>
        <w:pStyle w:val="SMText"/>
        <w:spacing w:beforeLines="50" w:before="120" w:afterLines="50" w:after="120"/>
        <w:ind w:firstLine="0"/>
        <w:rPr>
          <w:rFonts w:ascii="Arial" w:hAnsi="Arial" w:cs="Arial"/>
          <w:sz w:val="21"/>
          <w:szCs w:val="21"/>
          <w:lang w:val="en-GB" w:eastAsia="zh-CN"/>
        </w:rPr>
      </w:pPr>
      <w:r w:rsidRPr="00D16AB0">
        <w:rPr>
          <w:rFonts w:ascii="Arial" w:hAnsi="Arial" w:cs="Arial"/>
          <w:b/>
          <w:bCs/>
          <w:sz w:val="21"/>
          <w:szCs w:val="21"/>
          <w:lang w:val="en-GB" w:eastAsia="zh-CN"/>
        </w:rPr>
        <w:t>Description</w:t>
      </w:r>
      <w:r w:rsidR="002407C7" w:rsidRPr="00D16AB0">
        <w:rPr>
          <w:rFonts w:ascii="Arial" w:hAnsi="Arial" w:cs="Arial"/>
          <w:sz w:val="21"/>
          <w:szCs w:val="21"/>
          <w:lang w:val="en-GB" w:eastAsia="zh-CN"/>
        </w:rPr>
        <w:t>:</w:t>
      </w:r>
      <w:r w:rsidR="00386D25" w:rsidRPr="00D16AB0">
        <w:rPr>
          <w:rFonts w:ascii="Arial" w:hAnsi="Arial" w:cs="Arial"/>
          <w:sz w:val="21"/>
          <w:szCs w:val="21"/>
          <w:lang w:val="en-GB" w:eastAsia="zh-CN"/>
        </w:rPr>
        <w:t xml:space="preserve"> </w:t>
      </w:r>
      <w:r w:rsidR="00DC7CFF" w:rsidRPr="00D16AB0">
        <w:rPr>
          <w:rFonts w:ascii="Arial" w:hAnsi="Arial" w:cs="Arial"/>
          <w:sz w:val="21"/>
          <w:szCs w:val="21"/>
          <w:lang w:val="en-GB" w:eastAsia="zh-CN"/>
        </w:rPr>
        <w:t>The CDM Pipeline gives an overview of the that were part of the Clean Development Mechanism, including Project Activities (PAs), Programmes of Activities (</w:t>
      </w:r>
      <w:proofErr w:type="spellStart"/>
      <w:r w:rsidR="00DC7CFF" w:rsidRPr="00D16AB0">
        <w:rPr>
          <w:rFonts w:ascii="Arial" w:hAnsi="Arial" w:cs="Arial"/>
          <w:sz w:val="21"/>
          <w:szCs w:val="21"/>
          <w:lang w:val="en-GB" w:eastAsia="zh-CN"/>
        </w:rPr>
        <w:t>PoAs</w:t>
      </w:r>
      <w:proofErr w:type="spellEnd"/>
      <w:r w:rsidR="00DC7CFF" w:rsidRPr="00D16AB0">
        <w:rPr>
          <w:rFonts w:ascii="Arial" w:hAnsi="Arial" w:cs="Arial"/>
          <w:sz w:val="21"/>
          <w:szCs w:val="21"/>
          <w:lang w:val="en-GB" w:eastAsia="zh-CN"/>
        </w:rPr>
        <w:t>) and the corresponding Component Project Activities (CPAs).</w:t>
      </w:r>
    </w:p>
    <w:p w14:paraId="59B8DBA1" w14:textId="05E8DD97" w:rsidR="00A13D24" w:rsidRPr="00D16AB0" w:rsidRDefault="008A5EA6" w:rsidP="00634288">
      <w:pPr>
        <w:pStyle w:val="SMText"/>
        <w:spacing w:beforeLines="50" w:before="120" w:afterLines="50" w:after="120"/>
        <w:ind w:firstLine="0"/>
        <w:rPr>
          <w:rFonts w:ascii="Arial" w:hAnsi="Arial" w:cs="Arial"/>
          <w:sz w:val="21"/>
          <w:szCs w:val="21"/>
          <w:lang w:val="en-GB" w:eastAsia="zh-CN"/>
        </w:rPr>
      </w:pPr>
      <w:r w:rsidRPr="00D16AB0">
        <w:rPr>
          <w:rFonts w:ascii="Arial" w:hAnsi="Arial" w:cs="Arial"/>
          <w:b/>
          <w:bCs/>
          <w:sz w:val="21"/>
          <w:szCs w:val="21"/>
          <w:lang w:val="en-GB" w:eastAsia="zh-CN"/>
        </w:rPr>
        <w:t>Source</w:t>
      </w:r>
      <w:r w:rsidRPr="00D16AB0">
        <w:rPr>
          <w:rFonts w:ascii="Arial" w:hAnsi="Arial" w:cs="Arial"/>
          <w:sz w:val="21"/>
          <w:szCs w:val="21"/>
          <w:lang w:val="en-GB" w:eastAsia="zh-CN"/>
        </w:rPr>
        <w:t xml:space="preserve">: </w:t>
      </w:r>
      <w:hyperlink r:id="rId12" w:history="1">
        <w:r w:rsidR="00A13D24" w:rsidRPr="00D16AB0">
          <w:rPr>
            <w:rStyle w:val="affff5"/>
            <w:rFonts w:ascii="Arial" w:hAnsi="Arial" w:cs="Arial"/>
            <w:sz w:val="21"/>
            <w:szCs w:val="21"/>
            <w:lang w:val="en-GB" w:eastAsia="zh-CN"/>
          </w:rPr>
          <w:t>https://unepccc.org/cdm-ji-pipeline/</w:t>
        </w:r>
      </w:hyperlink>
      <w:bookmarkEnd w:id="215"/>
    </w:p>
    <w:p w14:paraId="4FCC3FA6" w14:textId="4388A240" w:rsidR="00C318EB" w:rsidRPr="00D16AB0" w:rsidRDefault="00C318EB" w:rsidP="00176891">
      <w:pPr>
        <w:pStyle w:val="SMText"/>
        <w:spacing w:beforeLines="100" w:before="240" w:afterLines="50" w:after="120" w:line="276" w:lineRule="auto"/>
        <w:ind w:firstLine="0"/>
        <w:rPr>
          <w:rFonts w:ascii="Arial" w:hAnsi="Arial" w:cs="Arial"/>
          <w:b/>
          <w:bCs/>
          <w:sz w:val="21"/>
          <w:szCs w:val="21"/>
          <w:lang w:val="en-GB" w:eastAsia="zh-CN"/>
        </w:rPr>
      </w:pPr>
      <w:r w:rsidRPr="00D16AB0">
        <w:rPr>
          <w:rFonts w:ascii="Arial" w:hAnsi="Arial" w:cs="Arial"/>
          <w:b/>
          <w:bCs/>
          <w:sz w:val="21"/>
          <w:szCs w:val="21"/>
          <w:lang w:val="en-GB" w:eastAsia="zh-CN"/>
        </w:rPr>
        <w:t xml:space="preserve">Dataset </w:t>
      </w:r>
      <w:r w:rsidR="00F27CBB">
        <w:rPr>
          <w:rFonts w:ascii="Arial" w:hAnsi="Arial" w:cs="Arial"/>
          <w:b/>
          <w:bCs/>
          <w:sz w:val="21"/>
          <w:szCs w:val="21"/>
          <w:lang w:val="en-GB" w:eastAsia="zh-CN"/>
        </w:rPr>
        <w:t>2</w:t>
      </w:r>
    </w:p>
    <w:p w14:paraId="69B2B139" w14:textId="27F6B87A" w:rsidR="00C318EB" w:rsidRPr="00D16AB0" w:rsidRDefault="00C318EB" w:rsidP="00634288">
      <w:pPr>
        <w:pStyle w:val="SMText"/>
        <w:spacing w:beforeLines="50" w:before="120" w:afterLines="50" w:after="120"/>
        <w:ind w:firstLine="0"/>
        <w:rPr>
          <w:rFonts w:ascii="Arial" w:hAnsi="Arial" w:cs="Arial"/>
          <w:sz w:val="21"/>
          <w:szCs w:val="21"/>
          <w:lang w:val="en-GB" w:eastAsia="zh-CN"/>
        </w:rPr>
      </w:pPr>
      <w:r w:rsidRPr="00D16AB0">
        <w:rPr>
          <w:rFonts w:ascii="Arial" w:hAnsi="Arial" w:cs="Arial"/>
          <w:b/>
          <w:bCs/>
          <w:sz w:val="21"/>
          <w:szCs w:val="21"/>
          <w:lang w:val="en-GB" w:eastAsia="zh-CN"/>
        </w:rPr>
        <w:t>Name</w:t>
      </w:r>
      <w:r w:rsidRPr="00D16AB0">
        <w:rPr>
          <w:rFonts w:ascii="Arial" w:hAnsi="Arial" w:cs="Arial"/>
          <w:sz w:val="21"/>
          <w:szCs w:val="21"/>
          <w:lang w:val="en-GB" w:eastAsia="zh-CN"/>
        </w:rPr>
        <w:t xml:space="preserve">: </w:t>
      </w:r>
      <w:r w:rsidR="005823DC" w:rsidRPr="00D16AB0">
        <w:rPr>
          <w:rFonts w:ascii="Arial" w:hAnsi="Arial" w:cs="Arial"/>
          <w:sz w:val="21"/>
          <w:szCs w:val="21"/>
          <w:lang w:val="en-GB" w:eastAsia="zh-CN"/>
        </w:rPr>
        <w:t xml:space="preserve">Voluntary Registry </w:t>
      </w:r>
      <w:r w:rsidR="008752FE" w:rsidRPr="00D16AB0">
        <w:rPr>
          <w:rFonts w:ascii="Arial" w:hAnsi="Arial" w:cs="Arial"/>
          <w:sz w:val="21"/>
          <w:szCs w:val="21"/>
          <w:lang w:val="en-GB" w:eastAsia="zh-CN"/>
        </w:rPr>
        <w:t>Offsets Database</w:t>
      </w:r>
      <w:r w:rsidRPr="00D16AB0">
        <w:rPr>
          <w:rFonts w:ascii="Arial" w:hAnsi="Arial" w:cs="Arial"/>
          <w:sz w:val="21"/>
          <w:szCs w:val="21"/>
          <w:lang w:val="en-GB" w:eastAsia="zh-CN"/>
        </w:rPr>
        <w:t xml:space="preserve"> (Updated </w:t>
      </w:r>
      <w:r w:rsidR="00BA6856" w:rsidRPr="00D16AB0">
        <w:rPr>
          <w:rFonts w:ascii="Arial" w:hAnsi="Arial" w:cs="Arial"/>
          <w:sz w:val="21"/>
          <w:szCs w:val="21"/>
          <w:lang w:val="en-GB" w:eastAsia="zh-CN"/>
        </w:rPr>
        <w:t>in</w:t>
      </w:r>
      <w:r w:rsidR="007E4B94" w:rsidRPr="00D16AB0">
        <w:rPr>
          <w:rFonts w:ascii="Arial" w:hAnsi="Arial" w:cs="Arial"/>
          <w:sz w:val="21"/>
          <w:szCs w:val="21"/>
          <w:lang w:val="en-GB" w:eastAsia="zh-CN"/>
        </w:rPr>
        <w:t xml:space="preserve"> </w:t>
      </w:r>
      <w:r w:rsidR="001D659B" w:rsidRPr="00D16AB0">
        <w:rPr>
          <w:rFonts w:ascii="Arial" w:hAnsi="Arial" w:cs="Arial"/>
          <w:sz w:val="21"/>
          <w:szCs w:val="21"/>
          <w:lang w:val="en-GB" w:eastAsia="zh-CN"/>
        </w:rPr>
        <w:t>August</w:t>
      </w:r>
      <w:r w:rsidRPr="00D16AB0">
        <w:rPr>
          <w:rFonts w:ascii="Arial" w:hAnsi="Arial" w:cs="Arial"/>
          <w:sz w:val="21"/>
          <w:szCs w:val="21"/>
          <w:lang w:val="en-GB" w:eastAsia="zh-CN"/>
        </w:rPr>
        <w:t xml:space="preserve"> 2024)</w:t>
      </w:r>
    </w:p>
    <w:p w14:paraId="0745C375" w14:textId="2E0E1977" w:rsidR="00C318EB" w:rsidRPr="00D16AB0" w:rsidRDefault="00C318EB" w:rsidP="00634288">
      <w:pPr>
        <w:pStyle w:val="SMText"/>
        <w:spacing w:beforeLines="50" w:before="120" w:afterLines="50" w:after="120"/>
        <w:ind w:firstLine="0"/>
        <w:rPr>
          <w:rFonts w:ascii="Arial" w:hAnsi="Arial" w:cs="Arial"/>
          <w:sz w:val="21"/>
          <w:szCs w:val="21"/>
          <w:lang w:val="en-GB" w:eastAsia="zh-CN"/>
        </w:rPr>
      </w:pPr>
      <w:r w:rsidRPr="00D16AB0">
        <w:rPr>
          <w:rFonts w:ascii="Arial" w:hAnsi="Arial" w:cs="Arial"/>
          <w:b/>
          <w:bCs/>
          <w:sz w:val="21"/>
          <w:szCs w:val="21"/>
          <w:lang w:val="en-GB" w:eastAsia="zh-CN"/>
        </w:rPr>
        <w:t>Description</w:t>
      </w:r>
      <w:r w:rsidRPr="00D16AB0">
        <w:rPr>
          <w:rFonts w:ascii="Arial" w:hAnsi="Arial" w:cs="Arial"/>
          <w:sz w:val="21"/>
          <w:szCs w:val="21"/>
          <w:lang w:val="en-GB" w:eastAsia="zh-CN"/>
        </w:rPr>
        <w:t xml:space="preserve">: </w:t>
      </w:r>
      <w:r w:rsidR="006769C4" w:rsidRPr="00D16AB0">
        <w:rPr>
          <w:rFonts w:ascii="Arial" w:hAnsi="Arial" w:cs="Arial"/>
          <w:sz w:val="21"/>
          <w:szCs w:val="21"/>
          <w:lang w:val="en-GB" w:eastAsia="zh-CN"/>
        </w:rPr>
        <w:t>The database, developed by the Berkeley Carbon Trading Project, contains all carbon offset projects, credit issuances, and credit retirements listed globally by five major voluntary offset project registries—American Carbon Registry (ACR), Architecture for REDD+ Transactions (ART), Climate Action Reserve (CAR), Gold Standard, and Verra (VCS).</w:t>
      </w:r>
    </w:p>
    <w:p w14:paraId="64A89400" w14:textId="08924D26" w:rsidR="00D254B2" w:rsidRPr="00D16AB0" w:rsidRDefault="00C318EB" w:rsidP="00D42302">
      <w:pPr>
        <w:pStyle w:val="SMText"/>
        <w:spacing w:beforeLines="50" w:before="120" w:afterLines="50" w:after="120"/>
        <w:ind w:firstLine="0"/>
        <w:rPr>
          <w:rFonts w:ascii="Arial" w:hAnsi="Arial" w:cs="Arial"/>
          <w:sz w:val="21"/>
          <w:szCs w:val="21"/>
          <w:lang w:val="en-GB" w:eastAsia="zh-CN"/>
        </w:rPr>
      </w:pPr>
      <w:r w:rsidRPr="00D16AB0">
        <w:rPr>
          <w:rFonts w:ascii="Arial" w:hAnsi="Arial" w:cs="Arial"/>
          <w:b/>
          <w:bCs/>
          <w:sz w:val="21"/>
          <w:szCs w:val="21"/>
          <w:lang w:val="en-GB" w:eastAsia="zh-CN"/>
        </w:rPr>
        <w:t>Source</w:t>
      </w:r>
      <w:r w:rsidRPr="00D16AB0">
        <w:rPr>
          <w:rFonts w:ascii="Arial" w:hAnsi="Arial" w:cs="Arial"/>
          <w:sz w:val="21"/>
          <w:szCs w:val="21"/>
          <w:lang w:val="en-GB" w:eastAsia="zh-CN"/>
        </w:rPr>
        <w:t xml:space="preserve">: </w:t>
      </w:r>
      <w:hyperlink r:id="rId13" w:history="1">
        <w:r w:rsidR="005046BF" w:rsidRPr="00D16AB0">
          <w:rPr>
            <w:rStyle w:val="affff5"/>
            <w:rFonts w:ascii="Arial" w:hAnsi="Arial" w:cs="Arial"/>
            <w:sz w:val="21"/>
            <w:szCs w:val="21"/>
            <w:lang w:val="en-GB" w:eastAsia="zh-CN"/>
          </w:rPr>
          <w:t>https://gspp.berkeley.edu/berkeley-carbon-trading-project/offsets-database</w:t>
        </w:r>
      </w:hyperlink>
    </w:p>
    <w:p w14:paraId="72AA9A2F" w14:textId="0007AD3E" w:rsidR="00D254B2" w:rsidRPr="00D16AB0" w:rsidRDefault="00D254B2" w:rsidP="00176891">
      <w:pPr>
        <w:pStyle w:val="SMText"/>
        <w:spacing w:beforeLines="100" w:before="240" w:afterLines="50" w:after="120" w:line="276" w:lineRule="auto"/>
        <w:ind w:firstLine="0"/>
        <w:rPr>
          <w:rFonts w:ascii="Arial" w:hAnsi="Arial" w:cs="Arial"/>
          <w:b/>
          <w:bCs/>
          <w:sz w:val="21"/>
          <w:szCs w:val="21"/>
          <w:lang w:val="en-GB" w:eastAsia="zh-CN"/>
        </w:rPr>
      </w:pPr>
      <w:r w:rsidRPr="00D16AB0">
        <w:rPr>
          <w:rFonts w:ascii="Arial" w:hAnsi="Arial" w:cs="Arial"/>
          <w:b/>
          <w:bCs/>
          <w:sz w:val="21"/>
          <w:szCs w:val="21"/>
          <w:lang w:val="en-GB" w:eastAsia="zh-CN"/>
        </w:rPr>
        <w:t xml:space="preserve">Dataset </w:t>
      </w:r>
      <w:r w:rsidR="00F27CBB">
        <w:rPr>
          <w:rFonts w:ascii="Arial" w:hAnsi="Arial" w:cs="Arial"/>
          <w:b/>
          <w:bCs/>
          <w:sz w:val="21"/>
          <w:szCs w:val="21"/>
          <w:lang w:val="en-GB" w:eastAsia="zh-CN"/>
        </w:rPr>
        <w:t>3</w:t>
      </w:r>
    </w:p>
    <w:p w14:paraId="15EA006D" w14:textId="344863D1" w:rsidR="00D254B2" w:rsidRPr="00D16AB0" w:rsidRDefault="00D254B2" w:rsidP="00634288">
      <w:pPr>
        <w:pStyle w:val="SMText"/>
        <w:spacing w:beforeLines="50" w:before="120" w:afterLines="50" w:after="120"/>
        <w:ind w:firstLine="0"/>
        <w:rPr>
          <w:rFonts w:ascii="Arial" w:hAnsi="Arial" w:cs="Arial"/>
          <w:sz w:val="21"/>
          <w:szCs w:val="21"/>
          <w:lang w:val="en-GB" w:eastAsia="zh-CN"/>
        </w:rPr>
      </w:pPr>
      <w:r w:rsidRPr="00D16AB0">
        <w:rPr>
          <w:rFonts w:ascii="Arial" w:hAnsi="Arial" w:cs="Arial"/>
          <w:b/>
          <w:bCs/>
          <w:sz w:val="21"/>
          <w:szCs w:val="21"/>
          <w:lang w:val="en-GB" w:eastAsia="zh-CN"/>
        </w:rPr>
        <w:t>Name</w:t>
      </w:r>
      <w:r w:rsidRPr="00D16AB0">
        <w:rPr>
          <w:rFonts w:ascii="Arial" w:hAnsi="Arial" w:cs="Arial"/>
          <w:sz w:val="21"/>
          <w:szCs w:val="21"/>
          <w:lang w:val="en-GB" w:eastAsia="zh-CN"/>
        </w:rPr>
        <w:t xml:space="preserve">: </w:t>
      </w:r>
      <w:r w:rsidR="0008620D" w:rsidRPr="00D16AB0">
        <w:rPr>
          <w:rFonts w:ascii="Arial" w:hAnsi="Arial" w:cs="Arial"/>
          <w:sz w:val="21"/>
          <w:szCs w:val="21"/>
          <w:lang w:val="en-GB" w:eastAsia="zh-CN"/>
        </w:rPr>
        <w:t>Google Trends</w:t>
      </w:r>
      <w:r w:rsidRPr="00D16AB0">
        <w:rPr>
          <w:rFonts w:ascii="Arial" w:hAnsi="Arial" w:cs="Arial"/>
          <w:sz w:val="21"/>
          <w:szCs w:val="21"/>
          <w:lang w:val="en-GB" w:eastAsia="zh-CN"/>
        </w:rPr>
        <w:t xml:space="preserve"> (Updated in October 2024)</w:t>
      </w:r>
    </w:p>
    <w:p w14:paraId="4D1F191C" w14:textId="076887D4" w:rsidR="00D254B2" w:rsidRPr="00D16AB0" w:rsidRDefault="00D254B2" w:rsidP="00634288">
      <w:pPr>
        <w:pStyle w:val="SMText"/>
        <w:spacing w:beforeLines="50" w:before="120" w:afterLines="50" w:after="120"/>
        <w:ind w:firstLine="0"/>
        <w:rPr>
          <w:rFonts w:ascii="Arial" w:hAnsi="Arial" w:cs="Arial"/>
          <w:sz w:val="21"/>
          <w:szCs w:val="21"/>
          <w:lang w:val="en-GB" w:eastAsia="zh-CN"/>
        </w:rPr>
      </w:pPr>
      <w:r w:rsidRPr="00D16AB0">
        <w:rPr>
          <w:rFonts w:ascii="Arial" w:hAnsi="Arial" w:cs="Arial"/>
          <w:b/>
          <w:bCs/>
          <w:sz w:val="21"/>
          <w:szCs w:val="21"/>
          <w:lang w:val="en-GB" w:eastAsia="zh-CN"/>
        </w:rPr>
        <w:t>Description</w:t>
      </w:r>
      <w:r w:rsidRPr="00D16AB0">
        <w:rPr>
          <w:rFonts w:ascii="Arial" w:hAnsi="Arial" w:cs="Arial"/>
          <w:sz w:val="21"/>
          <w:szCs w:val="21"/>
          <w:lang w:val="en-GB" w:eastAsia="zh-CN"/>
        </w:rPr>
        <w:t xml:space="preserve">: The </w:t>
      </w:r>
      <w:r w:rsidR="00C67069" w:rsidRPr="00D16AB0">
        <w:rPr>
          <w:rFonts w:ascii="Arial" w:hAnsi="Arial" w:cs="Arial"/>
          <w:sz w:val="21"/>
          <w:szCs w:val="21"/>
          <w:lang w:val="en-GB" w:eastAsia="zh-CN"/>
        </w:rPr>
        <w:t xml:space="preserve">Google Trends </w:t>
      </w:r>
      <w:r w:rsidR="00D92D54" w:rsidRPr="00D16AB0">
        <w:rPr>
          <w:rFonts w:ascii="Arial" w:hAnsi="Arial" w:cs="Arial"/>
          <w:sz w:val="21"/>
          <w:szCs w:val="21"/>
          <w:lang w:val="en-GB" w:eastAsia="zh-CN"/>
        </w:rPr>
        <w:t xml:space="preserve">can </w:t>
      </w:r>
      <w:r w:rsidR="00B70059" w:rsidRPr="00D16AB0">
        <w:rPr>
          <w:rFonts w:ascii="Arial" w:hAnsi="Arial" w:cs="Arial"/>
          <w:sz w:val="21"/>
          <w:szCs w:val="21"/>
          <w:lang w:val="en-GB" w:eastAsia="zh-CN"/>
        </w:rPr>
        <w:t>capture</w:t>
      </w:r>
      <w:r w:rsidR="00CE410E" w:rsidRPr="00D16AB0">
        <w:rPr>
          <w:rFonts w:ascii="Arial" w:hAnsi="Arial" w:cs="Arial"/>
          <w:sz w:val="21"/>
          <w:szCs w:val="21"/>
          <w:lang w:val="en-GB" w:eastAsia="zh-CN"/>
        </w:rPr>
        <w:t xml:space="preserve"> the</w:t>
      </w:r>
      <w:r w:rsidR="00291AA3" w:rsidRPr="00D16AB0">
        <w:rPr>
          <w:rFonts w:ascii="Arial" w:hAnsi="Arial" w:cs="Arial"/>
          <w:sz w:val="21"/>
          <w:szCs w:val="21"/>
          <w:lang w:val="en-GB" w:eastAsia="zh-CN"/>
        </w:rPr>
        <w:t xml:space="preserve"> </w:t>
      </w:r>
      <w:r w:rsidR="00BE42A0" w:rsidRPr="00D16AB0">
        <w:rPr>
          <w:rFonts w:ascii="Arial" w:hAnsi="Arial" w:cs="Arial"/>
          <w:sz w:val="21"/>
          <w:szCs w:val="21"/>
          <w:lang w:val="en-GB" w:eastAsia="zh-CN"/>
        </w:rPr>
        <w:t xml:space="preserve">monthly </w:t>
      </w:r>
      <w:r w:rsidR="00A7734F" w:rsidRPr="00D16AB0">
        <w:rPr>
          <w:rFonts w:ascii="Arial" w:hAnsi="Arial" w:cs="Arial"/>
          <w:sz w:val="21"/>
          <w:szCs w:val="21"/>
          <w:lang w:val="en-GB" w:eastAsia="zh-CN"/>
        </w:rPr>
        <w:t>change</w:t>
      </w:r>
      <w:r w:rsidR="00697CAA" w:rsidRPr="00D16AB0">
        <w:rPr>
          <w:rFonts w:ascii="Arial" w:hAnsi="Arial" w:cs="Arial"/>
          <w:sz w:val="21"/>
          <w:szCs w:val="21"/>
          <w:lang w:val="en-GB" w:eastAsia="zh-CN"/>
        </w:rPr>
        <w:t>s</w:t>
      </w:r>
      <w:r w:rsidR="00957638" w:rsidRPr="00D16AB0">
        <w:rPr>
          <w:rFonts w:ascii="Arial" w:hAnsi="Arial" w:cs="Arial"/>
          <w:sz w:val="21"/>
          <w:szCs w:val="21"/>
          <w:lang w:val="en-GB" w:eastAsia="zh-CN"/>
        </w:rPr>
        <w:t xml:space="preserve"> </w:t>
      </w:r>
      <w:r w:rsidR="00A7734F" w:rsidRPr="00D16AB0">
        <w:rPr>
          <w:rFonts w:ascii="Arial" w:hAnsi="Arial" w:cs="Arial"/>
          <w:sz w:val="21"/>
          <w:szCs w:val="21"/>
          <w:lang w:val="en-GB" w:eastAsia="zh-CN"/>
        </w:rPr>
        <w:t xml:space="preserve">in </w:t>
      </w:r>
      <w:r w:rsidR="00CE410E" w:rsidRPr="00D16AB0">
        <w:rPr>
          <w:rFonts w:ascii="Arial" w:hAnsi="Arial" w:cs="Arial"/>
          <w:sz w:val="21"/>
          <w:szCs w:val="21"/>
          <w:lang w:val="en-GB" w:eastAsia="zh-CN"/>
        </w:rPr>
        <w:t xml:space="preserve">public interest in a </w:t>
      </w:r>
      <w:r w:rsidR="00EF2786" w:rsidRPr="00D16AB0">
        <w:rPr>
          <w:rFonts w:ascii="Arial" w:hAnsi="Arial" w:cs="Arial"/>
          <w:sz w:val="21"/>
          <w:szCs w:val="21"/>
          <w:lang w:val="en-GB" w:eastAsia="zh-CN"/>
        </w:rPr>
        <w:t xml:space="preserve">specific </w:t>
      </w:r>
      <w:r w:rsidR="00CE410E" w:rsidRPr="00D16AB0">
        <w:rPr>
          <w:rFonts w:ascii="Arial" w:hAnsi="Arial" w:cs="Arial"/>
          <w:sz w:val="21"/>
          <w:szCs w:val="21"/>
          <w:lang w:val="en-GB" w:eastAsia="zh-CN"/>
        </w:rPr>
        <w:t xml:space="preserve">search term </w:t>
      </w:r>
      <w:r w:rsidR="00C31C6E" w:rsidRPr="00D16AB0">
        <w:rPr>
          <w:rFonts w:ascii="Arial" w:hAnsi="Arial" w:cs="Arial"/>
          <w:sz w:val="21"/>
          <w:szCs w:val="21"/>
          <w:lang w:val="en-GB" w:eastAsia="zh-CN"/>
        </w:rPr>
        <w:t xml:space="preserve">or </w:t>
      </w:r>
      <w:r w:rsidR="00F5432B" w:rsidRPr="00D16AB0">
        <w:rPr>
          <w:rFonts w:ascii="Arial" w:hAnsi="Arial" w:cs="Arial"/>
          <w:sz w:val="21"/>
          <w:szCs w:val="21"/>
          <w:lang w:val="en-GB" w:eastAsia="zh-CN"/>
        </w:rPr>
        <w:t xml:space="preserve">a </w:t>
      </w:r>
      <w:r w:rsidR="00A71561" w:rsidRPr="00D16AB0">
        <w:rPr>
          <w:rFonts w:ascii="Arial" w:hAnsi="Arial" w:cs="Arial"/>
          <w:sz w:val="21"/>
          <w:szCs w:val="21"/>
          <w:lang w:val="en-GB" w:eastAsia="zh-CN"/>
        </w:rPr>
        <w:t xml:space="preserve">specific </w:t>
      </w:r>
      <w:r w:rsidR="00C31C6E" w:rsidRPr="00D16AB0">
        <w:rPr>
          <w:rFonts w:ascii="Arial" w:hAnsi="Arial" w:cs="Arial"/>
          <w:sz w:val="21"/>
          <w:szCs w:val="21"/>
          <w:lang w:val="en-GB" w:eastAsia="zh-CN"/>
        </w:rPr>
        <w:t>topic (</w:t>
      </w:r>
      <w:r w:rsidR="00967605" w:rsidRPr="00D16AB0">
        <w:rPr>
          <w:rFonts w:ascii="Arial" w:hAnsi="Arial" w:cs="Arial"/>
          <w:sz w:val="21"/>
          <w:szCs w:val="21"/>
          <w:lang w:val="en-GB" w:eastAsia="zh-CN"/>
        </w:rPr>
        <w:t xml:space="preserve">e.g., </w:t>
      </w:r>
      <w:r w:rsidR="00EB61C1" w:rsidRPr="00D16AB0">
        <w:rPr>
          <w:rFonts w:ascii="Arial" w:hAnsi="Arial" w:cs="Arial"/>
          <w:sz w:val="21"/>
          <w:szCs w:val="21"/>
          <w:lang w:val="en-GB" w:eastAsia="zh-CN"/>
        </w:rPr>
        <w:t>“</w:t>
      </w:r>
      <w:r w:rsidR="00916992" w:rsidRPr="00D16AB0">
        <w:rPr>
          <w:rFonts w:ascii="Arial" w:hAnsi="Arial" w:cs="Arial"/>
          <w:sz w:val="21"/>
          <w:szCs w:val="21"/>
          <w:lang w:val="en-GB" w:eastAsia="zh-CN"/>
        </w:rPr>
        <w:t>carbon offsets and credits</w:t>
      </w:r>
      <w:r w:rsidR="00EB61C1" w:rsidRPr="00D16AB0">
        <w:rPr>
          <w:rFonts w:ascii="Arial" w:hAnsi="Arial" w:cs="Arial"/>
          <w:sz w:val="21"/>
          <w:szCs w:val="21"/>
          <w:lang w:val="en-GB" w:eastAsia="zh-CN"/>
        </w:rPr>
        <w:t>”</w:t>
      </w:r>
      <w:r w:rsidR="00916992" w:rsidRPr="00D16AB0">
        <w:rPr>
          <w:rFonts w:ascii="Arial" w:hAnsi="Arial" w:cs="Arial"/>
          <w:sz w:val="21"/>
          <w:szCs w:val="21"/>
          <w:lang w:val="en-GB" w:eastAsia="zh-CN"/>
        </w:rPr>
        <w:t>)</w:t>
      </w:r>
      <w:r w:rsidR="00D92D54" w:rsidRPr="00D16AB0">
        <w:rPr>
          <w:rFonts w:ascii="Arial" w:hAnsi="Arial" w:cs="Arial"/>
          <w:sz w:val="21"/>
          <w:szCs w:val="21"/>
          <w:lang w:val="en-GB" w:eastAsia="zh-CN"/>
        </w:rPr>
        <w:t xml:space="preserve"> </w:t>
      </w:r>
      <w:r w:rsidR="0080161A" w:rsidRPr="00D16AB0">
        <w:rPr>
          <w:rFonts w:ascii="Arial" w:hAnsi="Arial" w:cs="Arial"/>
          <w:sz w:val="21"/>
          <w:szCs w:val="21"/>
          <w:lang w:val="en-GB" w:eastAsia="zh-CN"/>
        </w:rPr>
        <w:t xml:space="preserve">covering </w:t>
      </w:r>
      <w:r w:rsidR="008D62D0" w:rsidRPr="00D16AB0">
        <w:rPr>
          <w:rFonts w:ascii="Arial" w:hAnsi="Arial" w:cs="Arial"/>
          <w:sz w:val="21"/>
          <w:szCs w:val="21"/>
          <w:lang w:val="en-GB" w:eastAsia="zh-CN"/>
        </w:rPr>
        <w:t xml:space="preserve">all categories </w:t>
      </w:r>
      <w:r w:rsidR="00145791" w:rsidRPr="00D16AB0">
        <w:rPr>
          <w:rFonts w:ascii="Arial" w:hAnsi="Arial" w:cs="Arial"/>
          <w:sz w:val="21"/>
          <w:szCs w:val="21"/>
          <w:lang w:val="en-GB" w:eastAsia="zh-CN"/>
        </w:rPr>
        <w:t>on websites</w:t>
      </w:r>
      <w:r w:rsidR="00E93611" w:rsidRPr="00D16AB0">
        <w:rPr>
          <w:rFonts w:ascii="Arial" w:hAnsi="Arial" w:cs="Arial"/>
          <w:sz w:val="21"/>
          <w:szCs w:val="21"/>
          <w:lang w:val="en-GB" w:eastAsia="zh-CN"/>
        </w:rPr>
        <w:t xml:space="preserve"> </w:t>
      </w:r>
      <w:r w:rsidR="007D6A34" w:rsidRPr="00D16AB0">
        <w:rPr>
          <w:rFonts w:ascii="Arial" w:hAnsi="Arial" w:cs="Arial"/>
          <w:sz w:val="21"/>
          <w:szCs w:val="21"/>
          <w:lang w:val="en-GB" w:eastAsia="zh-CN"/>
        </w:rPr>
        <w:t xml:space="preserve">worldwide </w:t>
      </w:r>
      <w:r w:rsidR="00E93611" w:rsidRPr="00D16AB0">
        <w:rPr>
          <w:rFonts w:ascii="Arial" w:hAnsi="Arial" w:cs="Arial"/>
          <w:sz w:val="21"/>
          <w:szCs w:val="21"/>
          <w:lang w:val="en-GB" w:eastAsia="zh-CN"/>
        </w:rPr>
        <w:t>since 2004</w:t>
      </w:r>
      <w:r w:rsidRPr="00D16AB0">
        <w:rPr>
          <w:rFonts w:ascii="Arial" w:hAnsi="Arial" w:cs="Arial"/>
          <w:sz w:val="21"/>
          <w:szCs w:val="21"/>
          <w:lang w:val="en-GB" w:eastAsia="zh-CN"/>
        </w:rPr>
        <w:t>.</w:t>
      </w:r>
    </w:p>
    <w:p w14:paraId="311C6BD6" w14:textId="48A560B3" w:rsidR="00AA4511" w:rsidRPr="00D16AB0" w:rsidRDefault="00D254B2" w:rsidP="00D42302">
      <w:pPr>
        <w:pStyle w:val="SMText"/>
        <w:spacing w:beforeLines="50" w:before="120" w:afterLines="50" w:after="120"/>
        <w:ind w:firstLine="0"/>
        <w:rPr>
          <w:rFonts w:ascii="Arial" w:hAnsi="Arial" w:cs="Arial"/>
          <w:sz w:val="21"/>
          <w:szCs w:val="21"/>
          <w:lang w:val="en-GB" w:eastAsia="zh-CN"/>
        </w:rPr>
      </w:pPr>
      <w:r w:rsidRPr="00D16AB0">
        <w:rPr>
          <w:rFonts w:ascii="Arial" w:hAnsi="Arial" w:cs="Arial"/>
          <w:b/>
          <w:bCs/>
          <w:sz w:val="21"/>
          <w:szCs w:val="21"/>
          <w:lang w:val="en-GB" w:eastAsia="zh-CN"/>
        </w:rPr>
        <w:t>Source</w:t>
      </w:r>
      <w:r w:rsidRPr="00D16AB0">
        <w:rPr>
          <w:rFonts w:ascii="Arial" w:hAnsi="Arial" w:cs="Arial"/>
          <w:sz w:val="21"/>
          <w:szCs w:val="21"/>
          <w:lang w:val="en-GB" w:eastAsia="zh-CN"/>
        </w:rPr>
        <w:t xml:space="preserve">: </w:t>
      </w:r>
      <w:hyperlink r:id="rId14" w:history="1">
        <w:r w:rsidR="00AA4511" w:rsidRPr="00D16AB0">
          <w:rPr>
            <w:rStyle w:val="affff5"/>
            <w:rFonts w:ascii="Arial" w:hAnsi="Arial" w:cs="Arial"/>
            <w:sz w:val="21"/>
            <w:szCs w:val="21"/>
            <w:lang w:val="en-GB" w:eastAsia="zh-CN"/>
          </w:rPr>
          <w:t>https://trends.google.com/trends/</w:t>
        </w:r>
      </w:hyperlink>
    </w:p>
    <w:p w14:paraId="0169AD0D" w14:textId="265278AE" w:rsidR="00AA4511" w:rsidRPr="00D16AB0" w:rsidRDefault="000726C2" w:rsidP="00176891">
      <w:pPr>
        <w:pStyle w:val="SMText"/>
        <w:spacing w:beforeLines="100" w:before="240" w:afterLines="50" w:after="120" w:line="276" w:lineRule="auto"/>
        <w:ind w:firstLine="0"/>
        <w:rPr>
          <w:rFonts w:ascii="Arial" w:hAnsi="Arial" w:cs="Arial"/>
          <w:b/>
          <w:bCs/>
          <w:sz w:val="21"/>
          <w:szCs w:val="21"/>
          <w:lang w:val="en-GB" w:eastAsia="zh-CN"/>
        </w:rPr>
      </w:pPr>
      <w:r w:rsidRPr="00D16AB0">
        <w:rPr>
          <w:rFonts w:ascii="Arial" w:hAnsi="Arial" w:cs="Arial"/>
          <w:b/>
          <w:bCs/>
          <w:sz w:val="21"/>
          <w:szCs w:val="21"/>
          <w:lang w:val="en-GB" w:eastAsia="zh-CN"/>
        </w:rPr>
        <w:t xml:space="preserve">Software </w:t>
      </w:r>
      <w:r w:rsidR="00F27CBB">
        <w:rPr>
          <w:rFonts w:ascii="Arial" w:hAnsi="Arial" w:cs="Arial"/>
          <w:b/>
          <w:bCs/>
          <w:sz w:val="21"/>
          <w:szCs w:val="21"/>
          <w:lang w:val="en-GB" w:eastAsia="zh-CN"/>
        </w:rPr>
        <w:t>1</w:t>
      </w:r>
    </w:p>
    <w:p w14:paraId="299CA5C7" w14:textId="496B7BC4" w:rsidR="00A041B6" w:rsidRPr="00D16AB0" w:rsidRDefault="00D57621" w:rsidP="00634288">
      <w:pPr>
        <w:pStyle w:val="SMText"/>
        <w:spacing w:beforeLines="50" w:before="120" w:afterLines="50" w:after="120"/>
        <w:ind w:firstLine="0"/>
        <w:rPr>
          <w:rFonts w:ascii="Arial" w:hAnsi="Arial" w:cs="Arial"/>
          <w:sz w:val="21"/>
          <w:szCs w:val="21"/>
          <w:lang w:eastAsia="zh-CN"/>
        </w:rPr>
      </w:pPr>
      <w:r w:rsidRPr="00D16AB0">
        <w:rPr>
          <w:rFonts w:ascii="Arial" w:hAnsi="Arial" w:cs="Arial"/>
          <w:sz w:val="21"/>
          <w:szCs w:val="21"/>
          <w:lang w:val="en-GB" w:eastAsia="zh-CN"/>
        </w:rPr>
        <w:t>Name</w:t>
      </w:r>
      <w:r w:rsidRPr="00D16AB0">
        <w:rPr>
          <w:rFonts w:ascii="Arial" w:hAnsi="Arial" w:cs="Arial"/>
          <w:sz w:val="21"/>
          <w:szCs w:val="21"/>
          <w:lang w:eastAsia="zh-CN"/>
        </w:rPr>
        <w:t xml:space="preserve">: </w:t>
      </w:r>
      <w:r w:rsidR="00655F8F" w:rsidRPr="00D16AB0">
        <w:rPr>
          <w:rFonts w:ascii="Arial" w:hAnsi="Arial" w:cs="Arial"/>
          <w:sz w:val="21"/>
          <w:szCs w:val="21"/>
          <w:lang w:eastAsia="zh-CN"/>
        </w:rPr>
        <w:t xml:space="preserve">Carbon Offsets Additionality </w:t>
      </w:r>
      <w:r w:rsidR="00FE4EEA" w:rsidRPr="00D16AB0">
        <w:rPr>
          <w:rFonts w:ascii="Arial" w:hAnsi="Arial" w:cs="Arial"/>
          <w:sz w:val="21"/>
          <w:szCs w:val="21"/>
          <w:lang w:eastAsia="zh-CN"/>
        </w:rPr>
        <w:t>Materials</w:t>
      </w:r>
    </w:p>
    <w:p w14:paraId="160C8B2F" w14:textId="2DDDFA82" w:rsidR="00A915D2" w:rsidRPr="00D16AB0" w:rsidRDefault="00A915D2" w:rsidP="00634288">
      <w:pPr>
        <w:pStyle w:val="SMText"/>
        <w:spacing w:beforeLines="50" w:before="120" w:afterLines="50" w:after="120"/>
        <w:ind w:firstLine="0"/>
        <w:rPr>
          <w:rFonts w:ascii="Arial" w:hAnsi="Arial" w:cs="Arial"/>
          <w:sz w:val="21"/>
          <w:szCs w:val="21"/>
          <w:lang w:eastAsia="zh-CN"/>
        </w:rPr>
      </w:pPr>
      <w:r w:rsidRPr="00D16AB0">
        <w:rPr>
          <w:rFonts w:ascii="Arial" w:hAnsi="Arial" w:cs="Arial"/>
          <w:sz w:val="21"/>
          <w:szCs w:val="21"/>
          <w:lang w:eastAsia="zh-CN"/>
        </w:rPr>
        <w:t xml:space="preserve">Description: </w:t>
      </w:r>
      <w:r w:rsidR="00C8759F" w:rsidRPr="00D16AB0">
        <w:rPr>
          <w:rFonts w:ascii="Arial" w:hAnsi="Arial" w:cs="Arial"/>
          <w:sz w:val="21"/>
          <w:szCs w:val="21"/>
          <w:lang w:eastAsia="zh-CN"/>
        </w:rPr>
        <w:t>All d</w:t>
      </w:r>
      <w:r w:rsidR="00062AED" w:rsidRPr="00D16AB0">
        <w:rPr>
          <w:rFonts w:ascii="Arial" w:hAnsi="Arial" w:cs="Arial"/>
          <w:sz w:val="21"/>
          <w:szCs w:val="21"/>
          <w:lang w:eastAsia="zh-CN"/>
        </w:rPr>
        <w:t xml:space="preserve">atasets and </w:t>
      </w:r>
      <w:r w:rsidR="002C2733" w:rsidRPr="00D16AB0">
        <w:rPr>
          <w:rFonts w:ascii="Arial" w:hAnsi="Arial" w:cs="Arial"/>
          <w:bCs/>
          <w:color w:val="000000"/>
          <w:sz w:val="21"/>
          <w:szCs w:val="21"/>
          <w:lang w:val="en-GB"/>
        </w:rPr>
        <w:t>R scripts for replicating the results presented in all the figures and tables are publicly available</w:t>
      </w:r>
      <w:r w:rsidR="000E230C" w:rsidRPr="00D16AB0">
        <w:rPr>
          <w:rFonts w:ascii="Arial" w:hAnsi="Arial" w:cs="Arial"/>
          <w:bCs/>
          <w:color w:val="000000"/>
          <w:sz w:val="21"/>
          <w:szCs w:val="21"/>
          <w:lang w:val="en-GB"/>
        </w:rPr>
        <w:t xml:space="preserve"> on GitHub</w:t>
      </w:r>
      <w:r w:rsidR="00642829" w:rsidRPr="00D16AB0">
        <w:rPr>
          <w:rFonts w:ascii="Arial" w:hAnsi="Arial" w:cs="Arial"/>
          <w:bCs/>
          <w:color w:val="000000"/>
          <w:sz w:val="21"/>
          <w:szCs w:val="21"/>
          <w:lang w:val="en-GB"/>
        </w:rPr>
        <w:t>.</w:t>
      </w:r>
    </w:p>
    <w:p w14:paraId="51B503CD" w14:textId="5F891614" w:rsidR="00360FD8" w:rsidRPr="00D16AB0" w:rsidRDefault="008608CD" w:rsidP="00634288">
      <w:pPr>
        <w:pStyle w:val="SMText"/>
        <w:spacing w:beforeLines="50" w:before="120" w:afterLines="50" w:after="120"/>
        <w:ind w:firstLine="0"/>
        <w:rPr>
          <w:rFonts w:ascii="Arial" w:hAnsi="Arial" w:cs="Arial"/>
          <w:sz w:val="21"/>
          <w:szCs w:val="21"/>
        </w:rPr>
      </w:pPr>
      <w:r w:rsidRPr="00D16AB0">
        <w:rPr>
          <w:rFonts w:ascii="Arial" w:hAnsi="Arial" w:cs="Arial"/>
          <w:sz w:val="21"/>
          <w:szCs w:val="21"/>
          <w:lang w:eastAsia="zh-CN"/>
        </w:rPr>
        <w:t>Source:</w:t>
      </w:r>
      <w:r w:rsidR="00EA4EF1" w:rsidRPr="00D16AB0">
        <w:rPr>
          <w:rFonts w:ascii="Arial" w:hAnsi="Arial" w:cs="Arial"/>
          <w:bCs/>
          <w:color w:val="000000"/>
          <w:sz w:val="21"/>
          <w:szCs w:val="21"/>
          <w:lang w:val="en-GB"/>
        </w:rPr>
        <w:t xml:space="preserve"> </w:t>
      </w:r>
      <w:hyperlink r:id="rId15" w:history="1">
        <w:r w:rsidR="00EA4EF1" w:rsidRPr="00D16AB0">
          <w:rPr>
            <w:rStyle w:val="affff5"/>
            <w:rFonts w:ascii="Arial" w:hAnsi="Arial" w:cs="Arial"/>
            <w:bCs/>
            <w:sz w:val="21"/>
            <w:szCs w:val="21"/>
            <w:lang w:val="en-GB"/>
          </w:rPr>
          <w:t>https://github.com/Ruanancy1998/carbonoffsets_additionality.git</w:t>
        </w:r>
      </w:hyperlink>
    </w:p>
    <w:p w14:paraId="4602C30B" w14:textId="630ABF70" w:rsidR="00687752" w:rsidRPr="00D16AB0" w:rsidRDefault="00687752">
      <w:pPr>
        <w:rPr>
          <w:rFonts w:ascii="Arial" w:hAnsi="Arial" w:cs="Arial"/>
          <w:sz w:val="21"/>
          <w:szCs w:val="21"/>
        </w:rPr>
      </w:pPr>
      <w:r w:rsidRPr="00D16AB0">
        <w:rPr>
          <w:rFonts w:ascii="Arial" w:hAnsi="Arial" w:cs="Arial"/>
          <w:sz w:val="21"/>
          <w:szCs w:val="21"/>
        </w:rPr>
        <w:br w:type="page"/>
      </w:r>
    </w:p>
    <w:p w14:paraId="6E540397" w14:textId="281A9EF5" w:rsidR="00ED0661" w:rsidRPr="00D16AB0" w:rsidRDefault="00CD0E25" w:rsidP="00256C79">
      <w:pPr>
        <w:pStyle w:val="SMHeading"/>
        <w:spacing w:line="276" w:lineRule="auto"/>
        <w:rPr>
          <w:rFonts w:ascii="Arial" w:hAnsi="Arial" w:cs="Arial"/>
          <w:sz w:val="21"/>
          <w:szCs w:val="21"/>
          <w:lang w:val="en-GB"/>
        </w:rPr>
      </w:pPr>
      <w:bookmarkStart w:id="216" w:name="_Toc214982033"/>
      <w:bookmarkStart w:id="217" w:name="_Toc214984257"/>
      <w:bookmarkStart w:id="218" w:name="_Toc214984283"/>
      <w:bookmarkStart w:id="219" w:name="_Toc214984953"/>
      <w:bookmarkStart w:id="220" w:name="_Toc214985842"/>
      <w:bookmarkStart w:id="221" w:name="_Toc214986984"/>
      <w:r w:rsidRPr="00D16AB0">
        <w:rPr>
          <w:rFonts w:ascii="Arial" w:hAnsi="Arial" w:cs="Arial"/>
          <w:sz w:val="21"/>
          <w:szCs w:val="21"/>
          <w:lang w:val="en-GB"/>
        </w:rPr>
        <w:lastRenderedPageBreak/>
        <w:t>Figures</w:t>
      </w:r>
      <w:bookmarkEnd w:id="216"/>
      <w:bookmarkEnd w:id="217"/>
      <w:bookmarkEnd w:id="218"/>
      <w:bookmarkEnd w:id="219"/>
      <w:bookmarkEnd w:id="220"/>
      <w:bookmarkEnd w:id="221"/>
    </w:p>
    <w:p w14:paraId="5CBE9247" w14:textId="79EA119D" w:rsidR="00ED0661" w:rsidRPr="00D16AB0" w:rsidRDefault="00F15EF1" w:rsidP="00256C79">
      <w:pPr>
        <w:pStyle w:val="SMcaption"/>
        <w:spacing w:line="276" w:lineRule="auto"/>
        <w:rPr>
          <w:rFonts w:ascii="Arial" w:hAnsi="Arial" w:cs="Arial"/>
          <w:sz w:val="21"/>
          <w:szCs w:val="21"/>
          <w:lang w:val="en-GB" w:eastAsia="zh-CN"/>
        </w:rPr>
      </w:pPr>
      <w:r w:rsidRPr="00D16AB0">
        <w:rPr>
          <w:rFonts w:ascii="Arial" w:hAnsi="Arial" w:cs="Arial"/>
          <w:b/>
          <w:bCs/>
          <w:noProof/>
          <w:color w:val="000000" w:themeColor="text1"/>
          <w:sz w:val="22"/>
          <w:szCs w:val="18"/>
          <w:lang w:eastAsia="zh-CN"/>
        </w:rPr>
        <w:drawing>
          <wp:inline distT="0" distB="0" distL="0" distR="0" wp14:anchorId="23B2A7F4" wp14:editId="05D68414">
            <wp:extent cx="5933209" cy="4575178"/>
            <wp:effectExtent l="0" t="0" r="0" b="0"/>
            <wp:docPr id="1671559618"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59618" name="图片 2" descr="图示&#10;&#10;AI 生成的内容可能不正确。"/>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6602" cy="4577795"/>
                    </a:xfrm>
                    <a:prstGeom prst="rect">
                      <a:avLst/>
                    </a:prstGeom>
                  </pic:spPr>
                </pic:pic>
              </a:graphicData>
            </a:graphic>
          </wp:inline>
        </w:drawing>
      </w:r>
    </w:p>
    <w:p w14:paraId="7DF1340C" w14:textId="3CFEC055" w:rsidR="00D61DFA" w:rsidRPr="00D16AB0" w:rsidRDefault="00D61DFA" w:rsidP="002E4E36">
      <w:pPr>
        <w:pStyle w:val="SMSubheading"/>
        <w:spacing w:beforeLines="50" w:before="120" w:afterLines="50" w:after="120" w:line="276" w:lineRule="auto"/>
        <w:rPr>
          <w:rFonts w:ascii="Arial" w:hAnsi="Arial" w:cs="Arial"/>
          <w:b/>
          <w:bCs/>
          <w:sz w:val="21"/>
          <w:szCs w:val="21"/>
          <w:u w:val="none"/>
          <w:lang w:val="en-GB"/>
        </w:rPr>
      </w:pPr>
      <w:bookmarkStart w:id="222" w:name="_Toc214982034"/>
      <w:bookmarkStart w:id="223" w:name="_Toc214984258"/>
      <w:bookmarkStart w:id="224" w:name="_Toc214984284"/>
      <w:bookmarkStart w:id="225" w:name="_Toc214984954"/>
      <w:bookmarkStart w:id="226" w:name="_Toc214985843"/>
      <w:bookmarkStart w:id="227" w:name="_Toc214986985"/>
      <w:r w:rsidRPr="00D16AB0">
        <w:rPr>
          <w:rFonts w:ascii="Arial" w:hAnsi="Arial" w:cs="Arial"/>
          <w:b/>
          <w:bCs/>
          <w:sz w:val="21"/>
          <w:szCs w:val="21"/>
          <w:u w:val="none"/>
          <w:lang w:val="en-GB"/>
        </w:rPr>
        <w:t>Fig</w:t>
      </w:r>
      <w:r w:rsidR="00813E44" w:rsidRPr="00D16AB0">
        <w:rPr>
          <w:rFonts w:ascii="Arial" w:hAnsi="Arial" w:cs="Arial"/>
          <w:b/>
          <w:bCs/>
          <w:sz w:val="21"/>
          <w:szCs w:val="21"/>
          <w:u w:val="none"/>
          <w:lang w:val="en-GB"/>
        </w:rPr>
        <w:t>ure</w:t>
      </w:r>
      <w:r w:rsidRPr="00D16AB0">
        <w:rPr>
          <w:rFonts w:ascii="Arial" w:hAnsi="Arial" w:cs="Arial"/>
          <w:b/>
          <w:bCs/>
          <w:sz w:val="21"/>
          <w:szCs w:val="21"/>
          <w:u w:val="none"/>
          <w:lang w:val="en-GB"/>
        </w:rPr>
        <w:t xml:space="preserve"> </w:t>
      </w:r>
      <w:r w:rsidR="00F27CBB">
        <w:rPr>
          <w:rFonts w:ascii="Arial" w:hAnsi="Arial" w:cs="Arial"/>
          <w:b/>
          <w:bCs/>
          <w:sz w:val="21"/>
          <w:szCs w:val="21"/>
          <w:u w:val="none"/>
          <w:lang w:val="en-GB"/>
        </w:rPr>
        <w:t>1</w:t>
      </w:r>
      <w:r w:rsidRPr="00D16AB0">
        <w:rPr>
          <w:rFonts w:ascii="Arial" w:hAnsi="Arial" w:cs="Arial"/>
          <w:b/>
          <w:bCs/>
          <w:sz w:val="21"/>
          <w:szCs w:val="21"/>
          <w:u w:val="none"/>
          <w:lang w:val="en-GB"/>
        </w:rPr>
        <w:t>. Visualisation</w:t>
      </w:r>
      <w:r w:rsidR="00561A21" w:rsidRPr="00D16AB0">
        <w:rPr>
          <w:rFonts w:ascii="Arial" w:hAnsi="Arial" w:cs="Arial"/>
          <w:b/>
          <w:bCs/>
          <w:sz w:val="21"/>
          <w:szCs w:val="21"/>
          <w:u w:val="none"/>
          <w:lang w:val="en-GB"/>
        </w:rPr>
        <w:t xml:space="preserve"> </w:t>
      </w:r>
      <w:r w:rsidRPr="00D16AB0">
        <w:rPr>
          <w:rFonts w:ascii="Arial" w:hAnsi="Arial" w:cs="Arial"/>
          <w:b/>
          <w:bCs/>
          <w:sz w:val="21"/>
          <w:szCs w:val="21"/>
          <w:u w:val="none"/>
          <w:lang w:val="en-GB"/>
        </w:rPr>
        <w:t>of global carbon offset markets</w:t>
      </w:r>
      <w:bookmarkEnd w:id="222"/>
      <w:bookmarkEnd w:id="223"/>
      <w:bookmarkEnd w:id="224"/>
      <w:bookmarkEnd w:id="225"/>
      <w:bookmarkEnd w:id="226"/>
      <w:bookmarkEnd w:id="227"/>
    </w:p>
    <w:p w14:paraId="2663E71F" w14:textId="151FC3DC" w:rsidR="00D61DFA" w:rsidRPr="00404A57" w:rsidRDefault="00FE6A1D" w:rsidP="00256C79">
      <w:pPr>
        <w:pStyle w:val="SMcaption"/>
        <w:spacing w:line="276" w:lineRule="auto"/>
        <w:rPr>
          <w:rFonts w:ascii="Arial" w:hAnsi="Arial" w:cs="Arial"/>
          <w:sz w:val="20"/>
          <w:lang w:val="en-GB"/>
        </w:rPr>
      </w:pPr>
      <w:r w:rsidRPr="00404A57">
        <w:rPr>
          <w:rFonts w:ascii="Arial" w:hAnsi="Arial" w:cs="Arial"/>
          <w:sz w:val="20"/>
          <w:lang w:val="en-GB"/>
        </w:rPr>
        <w:t>(</w:t>
      </w:r>
      <w:r w:rsidR="00F15EF1" w:rsidRPr="00404A57">
        <w:rPr>
          <w:rFonts w:ascii="Arial" w:hAnsi="Arial" w:cs="Arial"/>
          <w:sz w:val="20"/>
          <w:lang w:val="en-GB"/>
        </w:rPr>
        <w:t>a</w:t>
      </w:r>
      <w:r w:rsidRPr="00404A57">
        <w:rPr>
          <w:rFonts w:ascii="Arial" w:hAnsi="Arial" w:cs="Arial"/>
          <w:sz w:val="20"/>
          <w:lang w:val="en-GB"/>
        </w:rPr>
        <w:t xml:space="preserve">) </w:t>
      </w:r>
      <w:r w:rsidR="00D61DFA" w:rsidRPr="00404A57">
        <w:rPr>
          <w:rFonts w:ascii="Arial" w:hAnsi="Arial" w:cs="Arial"/>
          <w:sz w:val="20"/>
          <w:lang w:val="en-GB"/>
        </w:rPr>
        <w:t>The number of projects applied for carbon offsets</w:t>
      </w:r>
      <w:r w:rsidR="00035468" w:rsidRPr="00404A57">
        <w:rPr>
          <w:rFonts w:ascii="Arial" w:hAnsi="Arial" w:cs="Arial"/>
          <w:sz w:val="20"/>
          <w:lang w:val="en-GB"/>
        </w:rPr>
        <w:t>.</w:t>
      </w:r>
      <w:r w:rsidR="00D61DFA" w:rsidRPr="00404A57">
        <w:rPr>
          <w:rFonts w:ascii="Arial" w:hAnsi="Arial" w:cs="Arial"/>
          <w:sz w:val="20"/>
          <w:lang w:val="en-GB"/>
        </w:rPr>
        <w:t xml:space="preserve"> </w:t>
      </w:r>
      <w:r w:rsidR="002C79EE" w:rsidRPr="00404A57">
        <w:rPr>
          <w:rFonts w:ascii="Arial" w:hAnsi="Arial" w:cs="Arial"/>
          <w:sz w:val="20"/>
          <w:lang w:val="en-GB"/>
        </w:rPr>
        <w:t>(</w:t>
      </w:r>
      <w:r w:rsidR="00F15EF1" w:rsidRPr="00404A57">
        <w:rPr>
          <w:rFonts w:ascii="Arial" w:hAnsi="Arial" w:cs="Arial"/>
          <w:sz w:val="20"/>
          <w:lang w:val="en-GB"/>
        </w:rPr>
        <w:t>b</w:t>
      </w:r>
      <w:r w:rsidR="002C79EE" w:rsidRPr="00404A57">
        <w:rPr>
          <w:rFonts w:ascii="Arial" w:hAnsi="Arial" w:cs="Arial"/>
          <w:sz w:val="20"/>
          <w:lang w:val="en-GB"/>
        </w:rPr>
        <w:t>)</w:t>
      </w:r>
      <w:r w:rsidR="00D61DFA" w:rsidRPr="00404A57">
        <w:rPr>
          <w:rFonts w:ascii="Arial" w:hAnsi="Arial" w:cs="Arial"/>
          <w:sz w:val="20"/>
          <w:lang w:val="en-GB"/>
        </w:rPr>
        <w:t xml:space="preserve"> The number of registered projects by country (Brazil, China, India, United States, Others) by first issuance year</w:t>
      </w:r>
      <w:r w:rsidR="00B2639F" w:rsidRPr="00404A57">
        <w:rPr>
          <w:rFonts w:ascii="Arial" w:hAnsi="Arial" w:cs="Arial"/>
          <w:sz w:val="20"/>
          <w:lang w:val="en-GB"/>
        </w:rPr>
        <w:t>.</w:t>
      </w:r>
      <w:r w:rsidR="00D61DFA" w:rsidRPr="00404A57">
        <w:rPr>
          <w:rFonts w:ascii="Arial" w:hAnsi="Arial" w:cs="Arial"/>
          <w:sz w:val="20"/>
          <w:lang w:val="en-GB"/>
        </w:rPr>
        <w:t xml:space="preserve"> </w:t>
      </w:r>
      <w:r w:rsidR="005A5056" w:rsidRPr="00404A57">
        <w:rPr>
          <w:rFonts w:ascii="Arial" w:hAnsi="Arial" w:cs="Arial"/>
          <w:sz w:val="20"/>
          <w:lang w:val="en-GB"/>
        </w:rPr>
        <w:t>(</w:t>
      </w:r>
      <w:r w:rsidR="00F15EF1" w:rsidRPr="00404A57">
        <w:rPr>
          <w:rFonts w:ascii="Arial" w:hAnsi="Arial" w:cs="Arial"/>
          <w:sz w:val="20"/>
          <w:lang w:val="en-GB"/>
        </w:rPr>
        <w:t>c</w:t>
      </w:r>
      <w:r w:rsidR="005A5056" w:rsidRPr="00404A57">
        <w:rPr>
          <w:rFonts w:ascii="Arial" w:hAnsi="Arial" w:cs="Arial"/>
          <w:sz w:val="20"/>
          <w:lang w:val="en-GB"/>
        </w:rPr>
        <w:t>)</w:t>
      </w:r>
      <w:r w:rsidR="00D61DFA" w:rsidRPr="00404A57">
        <w:rPr>
          <w:rFonts w:ascii="Arial" w:hAnsi="Arial" w:cs="Arial"/>
          <w:sz w:val="20"/>
          <w:lang w:val="en-GB"/>
        </w:rPr>
        <w:t xml:space="preserve"> The number of issued offsets</w:t>
      </w:r>
      <w:r w:rsidR="005D55D6" w:rsidRPr="00404A57">
        <w:rPr>
          <w:rFonts w:ascii="Arial" w:hAnsi="Arial" w:cs="Arial"/>
          <w:sz w:val="20"/>
          <w:lang w:val="en-GB"/>
        </w:rPr>
        <w:t>.</w:t>
      </w:r>
      <w:r w:rsidR="00D61DFA" w:rsidRPr="00404A57">
        <w:rPr>
          <w:rFonts w:ascii="Arial" w:hAnsi="Arial" w:cs="Arial"/>
          <w:sz w:val="20"/>
          <w:lang w:val="en-GB"/>
        </w:rPr>
        <w:t xml:space="preserve"> </w:t>
      </w:r>
      <w:r w:rsidR="00B70CFF" w:rsidRPr="00404A57">
        <w:rPr>
          <w:rFonts w:ascii="Arial" w:hAnsi="Arial" w:cs="Arial"/>
          <w:sz w:val="20"/>
          <w:lang w:val="en-GB"/>
        </w:rPr>
        <w:t>(</w:t>
      </w:r>
      <w:r w:rsidR="00F15EF1" w:rsidRPr="00404A57">
        <w:rPr>
          <w:rFonts w:ascii="Arial" w:hAnsi="Arial" w:cs="Arial"/>
          <w:sz w:val="20"/>
          <w:lang w:val="en-GB"/>
        </w:rPr>
        <w:t>d</w:t>
      </w:r>
      <w:r w:rsidR="00B70CFF" w:rsidRPr="00404A57">
        <w:rPr>
          <w:rFonts w:ascii="Arial" w:hAnsi="Arial" w:cs="Arial"/>
          <w:sz w:val="20"/>
          <w:lang w:val="en-GB"/>
        </w:rPr>
        <w:t>)</w:t>
      </w:r>
      <w:r w:rsidR="00D61DFA" w:rsidRPr="00404A57">
        <w:rPr>
          <w:rFonts w:ascii="Arial" w:hAnsi="Arial" w:cs="Arial"/>
          <w:sz w:val="20"/>
          <w:lang w:val="en-GB"/>
        </w:rPr>
        <w:t xml:space="preserve"> The number of issued offsets by registry (ACR: American Carbon Registry; CAR: Climate Action Reserve; CDM: Clean Development Mechanism; GOLD: Gold Standard; VCS: Verified Carbon Standard) by issuance year, </w:t>
      </w:r>
      <w:r w:rsidR="007C4C86" w:rsidRPr="00404A57">
        <w:rPr>
          <w:rFonts w:ascii="Arial" w:hAnsi="Arial" w:cs="Arial"/>
          <w:sz w:val="20"/>
          <w:lang w:val="en-GB"/>
        </w:rPr>
        <w:t>(</w:t>
      </w:r>
      <w:r w:rsidR="00C8528D" w:rsidRPr="00404A57">
        <w:rPr>
          <w:rFonts w:ascii="Arial" w:hAnsi="Arial" w:cs="Arial"/>
          <w:sz w:val="20"/>
          <w:lang w:val="en-GB"/>
        </w:rPr>
        <w:t>e</w:t>
      </w:r>
      <w:r w:rsidR="007C4C86" w:rsidRPr="00404A57">
        <w:rPr>
          <w:rFonts w:ascii="Arial" w:hAnsi="Arial" w:cs="Arial"/>
          <w:sz w:val="20"/>
          <w:lang w:val="en-GB"/>
        </w:rPr>
        <w:t>)</w:t>
      </w:r>
      <w:r w:rsidR="00D61DFA" w:rsidRPr="00404A57">
        <w:rPr>
          <w:rFonts w:ascii="Arial" w:hAnsi="Arial" w:cs="Arial"/>
          <w:sz w:val="20"/>
          <w:lang w:val="en-GB"/>
        </w:rPr>
        <w:t xml:space="preserve"> Changes in public </w:t>
      </w:r>
      <w:r w:rsidR="007B712B" w:rsidRPr="00404A57">
        <w:rPr>
          <w:rFonts w:ascii="Arial" w:hAnsi="Arial" w:cs="Arial"/>
          <w:sz w:val="20"/>
          <w:lang w:val="en-GB"/>
        </w:rPr>
        <w:t>interest</w:t>
      </w:r>
      <w:r w:rsidR="00D61DFA" w:rsidRPr="00404A57">
        <w:rPr>
          <w:rFonts w:ascii="Arial" w:hAnsi="Arial" w:cs="Arial"/>
          <w:sz w:val="20"/>
          <w:lang w:val="en-GB"/>
        </w:rPr>
        <w:t xml:space="preserve"> (</w:t>
      </w:r>
      <w:r w:rsidR="00F725F8" w:rsidRPr="00404A57">
        <w:rPr>
          <w:rFonts w:ascii="Arial" w:hAnsi="Arial" w:cs="Arial"/>
          <w:sz w:val="20"/>
          <w:lang w:val="en-GB"/>
        </w:rPr>
        <w:t>G</w:t>
      </w:r>
      <w:r w:rsidR="00D61DFA" w:rsidRPr="00404A57">
        <w:rPr>
          <w:rFonts w:ascii="Arial" w:hAnsi="Arial" w:cs="Arial"/>
          <w:sz w:val="20"/>
          <w:lang w:val="en-GB"/>
        </w:rPr>
        <w:t xml:space="preserve">oogle </w:t>
      </w:r>
      <w:r w:rsidR="00C80557" w:rsidRPr="00404A57">
        <w:rPr>
          <w:rFonts w:ascii="Arial" w:hAnsi="Arial" w:cs="Arial"/>
          <w:sz w:val="20"/>
          <w:lang w:val="en-GB"/>
        </w:rPr>
        <w:t>Tr</w:t>
      </w:r>
      <w:r w:rsidR="00D61DFA" w:rsidRPr="00404A57">
        <w:rPr>
          <w:rFonts w:ascii="Arial" w:hAnsi="Arial" w:cs="Arial"/>
          <w:sz w:val="20"/>
          <w:lang w:val="en-GB"/>
        </w:rPr>
        <w:t>end</w:t>
      </w:r>
      <w:r w:rsidR="00F63392" w:rsidRPr="00404A57">
        <w:rPr>
          <w:rFonts w:ascii="Arial" w:hAnsi="Arial" w:cs="Arial"/>
          <w:sz w:val="20"/>
          <w:lang w:val="en-GB"/>
        </w:rPr>
        <w:t>s</w:t>
      </w:r>
      <w:r w:rsidR="00087752" w:rsidRPr="00404A57">
        <w:rPr>
          <w:rFonts w:ascii="Arial" w:hAnsi="Arial" w:cs="Arial"/>
          <w:sz w:val="20"/>
          <w:lang w:val="en-GB"/>
        </w:rPr>
        <w:t>:</w:t>
      </w:r>
      <w:r w:rsidR="00322F39" w:rsidRPr="00404A57">
        <w:rPr>
          <w:rFonts w:ascii="Arial" w:hAnsi="Arial" w:cs="Arial"/>
          <w:sz w:val="20"/>
          <w:lang w:val="en-GB"/>
        </w:rPr>
        <w:t xml:space="preserve"> </w:t>
      </w:r>
      <w:r w:rsidR="00000170" w:rsidRPr="00404A57">
        <w:rPr>
          <w:rFonts w:ascii="Arial" w:hAnsi="Arial" w:cs="Arial"/>
          <w:sz w:val="20"/>
          <w:lang w:val="en-GB"/>
        </w:rPr>
        <w:t>t</w:t>
      </w:r>
      <w:r w:rsidR="00B9266E" w:rsidRPr="00404A57">
        <w:rPr>
          <w:rFonts w:ascii="Arial" w:hAnsi="Arial" w:cs="Arial"/>
          <w:sz w:val="20"/>
          <w:lang w:val="en-GB"/>
        </w:rPr>
        <w:t>opic</w:t>
      </w:r>
      <w:r w:rsidR="00012E50" w:rsidRPr="00404A57">
        <w:rPr>
          <w:rFonts w:ascii="Arial" w:hAnsi="Arial" w:cs="Arial"/>
          <w:sz w:val="20"/>
          <w:lang w:val="en-GB"/>
        </w:rPr>
        <w:t>:</w:t>
      </w:r>
      <w:r w:rsidR="00000170" w:rsidRPr="00404A57">
        <w:rPr>
          <w:rFonts w:ascii="Arial" w:hAnsi="Arial" w:cs="Arial"/>
          <w:sz w:val="20"/>
          <w:lang w:val="en-GB"/>
        </w:rPr>
        <w:t xml:space="preserve"> </w:t>
      </w:r>
      <w:r w:rsidR="00397BB4" w:rsidRPr="00404A57">
        <w:rPr>
          <w:rFonts w:ascii="Arial" w:hAnsi="Arial" w:cs="Arial"/>
          <w:sz w:val="20"/>
          <w:lang w:val="en-GB"/>
        </w:rPr>
        <w:t>“</w:t>
      </w:r>
      <w:r w:rsidR="00000170" w:rsidRPr="00404A57">
        <w:rPr>
          <w:rFonts w:ascii="Arial" w:hAnsi="Arial" w:cs="Arial"/>
          <w:sz w:val="20"/>
          <w:lang w:val="en-GB"/>
        </w:rPr>
        <w:t>carbon offsets and credits</w:t>
      </w:r>
      <w:r w:rsidR="00163A79" w:rsidRPr="00404A57">
        <w:rPr>
          <w:rFonts w:ascii="Arial" w:hAnsi="Arial" w:cs="Arial"/>
          <w:sz w:val="20"/>
          <w:lang w:val="en-GB"/>
        </w:rPr>
        <w:t>”</w:t>
      </w:r>
      <w:r w:rsidR="00C437B7" w:rsidRPr="00404A57">
        <w:rPr>
          <w:rFonts w:ascii="Arial" w:hAnsi="Arial" w:cs="Arial"/>
          <w:sz w:val="20"/>
          <w:lang w:val="en-GB"/>
        </w:rPr>
        <w:t xml:space="preserve">, </w:t>
      </w:r>
      <w:r w:rsidR="000F7C30" w:rsidRPr="00404A57">
        <w:rPr>
          <w:rFonts w:ascii="Arial" w:hAnsi="Arial" w:cs="Arial"/>
          <w:sz w:val="20"/>
          <w:lang w:val="en-GB"/>
        </w:rPr>
        <w:t>region: global</w:t>
      </w:r>
      <w:r w:rsidR="00D61DFA" w:rsidRPr="00404A57">
        <w:rPr>
          <w:rFonts w:ascii="Arial" w:hAnsi="Arial" w:cs="Arial"/>
          <w:sz w:val="20"/>
          <w:lang w:val="en-GB"/>
        </w:rPr>
        <w:t>) and action (issued offsets</w:t>
      </w:r>
      <w:r w:rsidR="00993C1D" w:rsidRPr="00404A57">
        <w:rPr>
          <w:rFonts w:ascii="Arial" w:hAnsi="Arial" w:cs="Arial"/>
          <w:sz w:val="20"/>
          <w:lang w:val="en-GB"/>
        </w:rPr>
        <w:t xml:space="preserve"> in millions</w:t>
      </w:r>
      <w:r w:rsidR="00D61DFA" w:rsidRPr="00404A57">
        <w:rPr>
          <w:rFonts w:ascii="Arial" w:hAnsi="Arial" w:cs="Arial"/>
          <w:sz w:val="20"/>
          <w:lang w:val="en-GB"/>
        </w:rPr>
        <w:t>) over time</w:t>
      </w:r>
      <w:r w:rsidR="00197551" w:rsidRPr="00404A57">
        <w:rPr>
          <w:rFonts w:ascii="Arial" w:hAnsi="Arial" w:cs="Arial"/>
          <w:sz w:val="20"/>
          <w:lang w:val="en-GB"/>
        </w:rPr>
        <w:t>.</w:t>
      </w:r>
    </w:p>
    <w:p w14:paraId="3BC3BA55" w14:textId="36AB8874" w:rsidR="00EF4E2D" w:rsidRPr="00404A57" w:rsidRDefault="00274AEA" w:rsidP="009E5049">
      <w:pPr>
        <w:spacing w:line="276" w:lineRule="auto"/>
        <w:rPr>
          <w:rFonts w:ascii="Arial" w:hAnsi="Arial" w:cs="Arial"/>
          <w:sz w:val="21"/>
          <w:szCs w:val="21"/>
          <w:lang w:val="en-GB"/>
        </w:rPr>
      </w:pPr>
      <w:r w:rsidRPr="00404A57">
        <w:rPr>
          <w:rFonts w:ascii="Arial" w:hAnsi="Arial" w:cs="Arial"/>
          <w:sz w:val="21"/>
          <w:szCs w:val="21"/>
          <w:lang w:val="en-GB"/>
        </w:rPr>
        <w:br w:type="page"/>
      </w:r>
    </w:p>
    <w:p w14:paraId="5B65FF61" w14:textId="47CD8A3B" w:rsidR="007D5649" w:rsidRPr="00D16AB0" w:rsidRDefault="00C04017" w:rsidP="00256C79">
      <w:pPr>
        <w:pStyle w:val="SMcaption"/>
        <w:spacing w:line="276" w:lineRule="auto"/>
        <w:rPr>
          <w:rFonts w:ascii="Arial" w:hAnsi="Arial" w:cs="Arial"/>
          <w:sz w:val="21"/>
          <w:szCs w:val="21"/>
          <w:lang w:val="en-GB" w:eastAsia="zh-CN"/>
        </w:rPr>
      </w:pPr>
      <w:r w:rsidRPr="00D16AB0">
        <w:rPr>
          <w:rFonts w:ascii="Arial" w:hAnsi="Arial" w:cs="Arial"/>
          <w:noProof/>
          <w:sz w:val="21"/>
          <w:szCs w:val="21"/>
          <w:lang w:val="en-GB"/>
        </w:rPr>
        <w:lastRenderedPageBreak/>
        <w:drawing>
          <wp:inline distT="0" distB="0" distL="0" distR="0" wp14:anchorId="333CD346" wp14:editId="53DA151A">
            <wp:extent cx="5893021" cy="4291445"/>
            <wp:effectExtent l="0" t="0" r="0" b="1270"/>
            <wp:docPr id="658778175" name="图片 2" descr="图示,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30332" name="图片 2" descr="图示, 文本&#10;&#10;AI 生成的内容可能不正确。"/>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9241" cy="4310539"/>
                    </a:xfrm>
                    <a:prstGeom prst="rect">
                      <a:avLst/>
                    </a:prstGeom>
                  </pic:spPr>
                </pic:pic>
              </a:graphicData>
            </a:graphic>
          </wp:inline>
        </w:drawing>
      </w:r>
    </w:p>
    <w:p w14:paraId="05F2D1DE" w14:textId="0AA7E57D" w:rsidR="005C4385" w:rsidRPr="00D16AB0" w:rsidRDefault="007411A1" w:rsidP="00F0558D">
      <w:pPr>
        <w:pStyle w:val="SMSubheading"/>
        <w:spacing w:beforeLines="50" w:before="120" w:afterLines="50" w:after="120" w:line="276" w:lineRule="auto"/>
        <w:rPr>
          <w:rFonts w:ascii="Arial" w:hAnsi="Arial" w:cs="Arial"/>
          <w:b/>
          <w:bCs/>
          <w:sz w:val="21"/>
          <w:szCs w:val="21"/>
          <w:u w:val="none"/>
          <w:lang w:val="en-GB"/>
        </w:rPr>
      </w:pPr>
      <w:bookmarkStart w:id="228" w:name="_Toc214982035"/>
      <w:bookmarkStart w:id="229" w:name="_Toc214984259"/>
      <w:bookmarkStart w:id="230" w:name="_Toc214984285"/>
      <w:bookmarkStart w:id="231" w:name="_Toc214984955"/>
      <w:bookmarkStart w:id="232" w:name="_Toc214985844"/>
      <w:bookmarkStart w:id="233" w:name="_Toc214986986"/>
      <w:r w:rsidRPr="00D16AB0">
        <w:rPr>
          <w:rFonts w:ascii="Arial" w:hAnsi="Arial" w:cs="Arial"/>
          <w:b/>
          <w:bCs/>
          <w:sz w:val="21"/>
          <w:szCs w:val="21"/>
          <w:u w:val="none"/>
          <w:lang w:val="en-GB"/>
        </w:rPr>
        <w:t>Fig</w:t>
      </w:r>
      <w:r w:rsidR="004007F6" w:rsidRPr="00D16AB0">
        <w:rPr>
          <w:rFonts w:ascii="Arial" w:hAnsi="Arial" w:cs="Arial"/>
          <w:b/>
          <w:bCs/>
          <w:sz w:val="21"/>
          <w:szCs w:val="21"/>
          <w:u w:val="none"/>
          <w:lang w:val="en-GB"/>
        </w:rPr>
        <w:t>ure</w:t>
      </w:r>
      <w:r w:rsidRPr="00D16AB0">
        <w:rPr>
          <w:rFonts w:ascii="Arial" w:hAnsi="Arial" w:cs="Arial"/>
          <w:b/>
          <w:bCs/>
          <w:sz w:val="21"/>
          <w:szCs w:val="21"/>
          <w:u w:val="none"/>
          <w:lang w:val="en-GB"/>
        </w:rPr>
        <w:t xml:space="preserve"> </w:t>
      </w:r>
      <w:r w:rsidR="00F27CBB">
        <w:rPr>
          <w:rFonts w:ascii="Arial" w:hAnsi="Arial" w:cs="Arial"/>
          <w:b/>
          <w:bCs/>
          <w:sz w:val="21"/>
          <w:szCs w:val="21"/>
          <w:u w:val="none"/>
          <w:lang w:val="en-GB"/>
        </w:rPr>
        <w:t>2</w:t>
      </w:r>
      <w:r w:rsidRPr="00D16AB0">
        <w:rPr>
          <w:rFonts w:ascii="Arial" w:hAnsi="Arial" w:cs="Arial"/>
          <w:b/>
          <w:bCs/>
          <w:sz w:val="21"/>
          <w:szCs w:val="21"/>
          <w:u w:val="none"/>
          <w:lang w:val="en-GB"/>
        </w:rPr>
        <w:t>.</w:t>
      </w:r>
      <w:r w:rsidR="00B42F9C" w:rsidRPr="00D16AB0">
        <w:rPr>
          <w:rFonts w:ascii="Arial" w:hAnsi="Arial" w:cs="Arial"/>
          <w:b/>
          <w:bCs/>
          <w:sz w:val="21"/>
          <w:szCs w:val="21"/>
          <w:u w:val="none"/>
          <w:lang w:val="en-GB"/>
        </w:rPr>
        <w:t xml:space="preserve"> </w:t>
      </w:r>
      <w:r w:rsidR="005C4385" w:rsidRPr="00D16AB0">
        <w:rPr>
          <w:rFonts w:ascii="Arial" w:hAnsi="Arial" w:cs="Arial"/>
          <w:b/>
          <w:bCs/>
          <w:sz w:val="21"/>
          <w:szCs w:val="21"/>
          <w:u w:val="none"/>
          <w:lang w:val="en-GB"/>
        </w:rPr>
        <w:t>Summary of existing additionality tests</w:t>
      </w:r>
      <w:bookmarkEnd w:id="228"/>
      <w:bookmarkEnd w:id="229"/>
      <w:bookmarkEnd w:id="230"/>
      <w:bookmarkEnd w:id="231"/>
      <w:bookmarkEnd w:id="232"/>
      <w:bookmarkEnd w:id="233"/>
    </w:p>
    <w:p w14:paraId="42FFC081" w14:textId="602AC4FD" w:rsidR="001077D5" w:rsidRPr="00404A57" w:rsidRDefault="001C28AB" w:rsidP="00256C79">
      <w:pPr>
        <w:pStyle w:val="SMcaption"/>
        <w:spacing w:line="276" w:lineRule="auto"/>
        <w:rPr>
          <w:rFonts w:ascii="Arial" w:hAnsi="Arial" w:cs="Arial"/>
          <w:sz w:val="20"/>
          <w:lang w:val="en-GB"/>
        </w:rPr>
      </w:pPr>
      <w:r w:rsidRPr="00404A57">
        <w:rPr>
          <w:rFonts w:ascii="Arial" w:hAnsi="Arial" w:cs="Arial"/>
          <w:sz w:val="20"/>
          <w:lang w:val="en-GB"/>
        </w:rPr>
        <w:t>(</w:t>
      </w:r>
      <w:r w:rsidR="00C04017" w:rsidRPr="00404A57">
        <w:rPr>
          <w:rFonts w:ascii="Arial" w:hAnsi="Arial" w:cs="Arial"/>
          <w:sz w:val="20"/>
          <w:lang w:val="en-GB"/>
        </w:rPr>
        <w:t>a</w:t>
      </w:r>
      <w:r w:rsidRPr="00404A57">
        <w:rPr>
          <w:rFonts w:ascii="Arial" w:hAnsi="Arial" w:cs="Arial"/>
          <w:sz w:val="20"/>
          <w:lang w:val="en-GB"/>
        </w:rPr>
        <w:t>)</w:t>
      </w:r>
      <w:r w:rsidR="005C4385" w:rsidRPr="00404A57">
        <w:rPr>
          <w:rFonts w:ascii="Arial" w:hAnsi="Arial" w:cs="Arial"/>
          <w:sz w:val="20"/>
          <w:lang w:val="en-GB"/>
        </w:rPr>
        <w:t xml:space="preserve"> Historic additionality tests adopted under the CDM. </w:t>
      </w:r>
      <w:r w:rsidR="007A76B5" w:rsidRPr="00404A57">
        <w:rPr>
          <w:rFonts w:ascii="Arial" w:hAnsi="Arial" w:cs="Arial"/>
          <w:sz w:val="20"/>
          <w:lang w:val="en-GB"/>
        </w:rPr>
        <w:t>(</w:t>
      </w:r>
      <w:r w:rsidR="00C04017" w:rsidRPr="00404A57">
        <w:rPr>
          <w:rFonts w:ascii="Arial" w:hAnsi="Arial" w:cs="Arial"/>
          <w:sz w:val="20"/>
          <w:lang w:val="en-GB"/>
        </w:rPr>
        <w:t>b</w:t>
      </w:r>
      <w:r w:rsidR="007A76B5" w:rsidRPr="00404A57">
        <w:rPr>
          <w:rFonts w:ascii="Arial" w:hAnsi="Arial" w:cs="Arial"/>
          <w:sz w:val="20"/>
          <w:lang w:val="en-GB"/>
        </w:rPr>
        <w:t>)</w:t>
      </w:r>
      <w:r w:rsidR="005C4385" w:rsidRPr="00404A57">
        <w:rPr>
          <w:rFonts w:ascii="Arial" w:hAnsi="Arial" w:cs="Arial"/>
          <w:sz w:val="20"/>
          <w:lang w:val="en-GB"/>
        </w:rPr>
        <w:t xml:space="preserve"> Recent additionality tests adopted under more registries. There is a growing demand for harmonisation of certification criteria across registries that ensures quality and comparability in the global carbon market.</w:t>
      </w:r>
    </w:p>
    <w:p w14:paraId="5CC02E75" w14:textId="77777777" w:rsidR="001077D5" w:rsidRPr="00404A57" w:rsidRDefault="001077D5" w:rsidP="00256C79">
      <w:pPr>
        <w:spacing w:line="276" w:lineRule="auto"/>
        <w:rPr>
          <w:rFonts w:ascii="Arial" w:hAnsi="Arial" w:cs="Arial"/>
          <w:sz w:val="21"/>
          <w:szCs w:val="21"/>
          <w:lang w:val="en-GB"/>
        </w:rPr>
      </w:pPr>
      <w:r w:rsidRPr="00404A57">
        <w:rPr>
          <w:rFonts w:ascii="Arial" w:hAnsi="Arial" w:cs="Arial"/>
          <w:sz w:val="21"/>
          <w:szCs w:val="21"/>
          <w:lang w:val="en-GB"/>
        </w:rPr>
        <w:br w:type="page"/>
      </w:r>
    </w:p>
    <w:p w14:paraId="271E4B03" w14:textId="50307DEB" w:rsidR="00404494" w:rsidRPr="00D16AB0" w:rsidRDefault="00404494" w:rsidP="00256C79">
      <w:pPr>
        <w:pStyle w:val="SMcaption"/>
        <w:spacing w:line="276" w:lineRule="auto"/>
        <w:jc w:val="center"/>
        <w:rPr>
          <w:rFonts w:ascii="Arial" w:hAnsi="Arial" w:cs="Arial"/>
          <w:sz w:val="21"/>
          <w:szCs w:val="21"/>
          <w:lang w:val="en-GB" w:eastAsia="zh-CN"/>
        </w:rPr>
      </w:pPr>
      <w:r w:rsidRPr="00D16AB0">
        <w:rPr>
          <w:rFonts w:ascii="Arial" w:hAnsi="Arial" w:cs="Arial"/>
          <w:noProof/>
          <w:sz w:val="21"/>
          <w:szCs w:val="21"/>
          <w:lang w:val="en-GB"/>
        </w:rPr>
        <w:lastRenderedPageBreak/>
        <w:drawing>
          <wp:inline distT="0" distB="0" distL="0" distR="0" wp14:anchorId="6F5B7350" wp14:editId="025D4D0F">
            <wp:extent cx="5401559" cy="4129484"/>
            <wp:effectExtent l="0" t="0" r="0" b="0"/>
            <wp:docPr id="1587798078" name="图片 3" descr="图形用户界面,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5728" name="图片 3" descr="图形用户界面, 图示&#10;&#10;AI 生成的内容可能不正确。"/>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8094" cy="4157415"/>
                    </a:xfrm>
                    <a:prstGeom prst="rect">
                      <a:avLst/>
                    </a:prstGeom>
                  </pic:spPr>
                </pic:pic>
              </a:graphicData>
            </a:graphic>
          </wp:inline>
        </w:drawing>
      </w:r>
    </w:p>
    <w:p w14:paraId="6B488B98" w14:textId="78F11302" w:rsidR="00404494" w:rsidRPr="00D16AB0" w:rsidRDefault="00112C5B" w:rsidP="00F0558D">
      <w:pPr>
        <w:pStyle w:val="SMSubheading"/>
        <w:spacing w:beforeLines="50" w:before="120" w:afterLines="50" w:after="120" w:line="276" w:lineRule="auto"/>
        <w:rPr>
          <w:rFonts w:ascii="Arial" w:hAnsi="Arial" w:cs="Arial"/>
          <w:b/>
          <w:bCs/>
          <w:sz w:val="21"/>
          <w:szCs w:val="21"/>
          <w:u w:val="none"/>
          <w:lang w:val="en-GB"/>
        </w:rPr>
      </w:pPr>
      <w:bookmarkStart w:id="234" w:name="_Toc214982036"/>
      <w:bookmarkStart w:id="235" w:name="_Toc214984260"/>
      <w:bookmarkStart w:id="236" w:name="_Toc214984286"/>
      <w:bookmarkStart w:id="237" w:name="_Toc214984956"/>
      <w:bookmarkStart w:id="238" w:name="_Toc214985845"/>
      <w:bookmarkStart w:id="239" w:name="_Toc214986987"/>
      <w:r w:rsidRPr="00D16AB0">
        <w:rPr>
          <w:rFonts w:ascii="Arial" w:hAnsi="Arial" w:cs="Arial"/>
          <w:b/>
          <w:bCs/>
          <w:sz w:val="21"/>
          <w:szCs w:val="21"/>
          <w:u w:val="none"/>
          <w:lang w:val="en-GB"/>
        </w:rPr>
        <w:t>Fig</w:t>
      </w:r>
      <w:r w:rsidR="00671DE8" w:rsidRPr="00D16AB0">
        <w:rPr>
          <w:rFonts w:ascii="Arial" w:hAnsi="Arial" w:cs="Arial"/>
          <w:b/>
          <w:bCs/>
          <w:sz w:val="21"/>
          <w:szCs w:val="21"/>
          <w:u w:val="none"/>
          <w:lang w:val="en-GB"/>
        </w:rPr>
        <w:t>ure</w:t>
      </w:r>
      <w:r w:rsidRPr="00D16AB0">
        <w:rPr>
          <w:rFonts w:ascii="Arial" w:hAnsi="Arial" w:cs="Arial"/>
          <w:b/>
          <w:bCs/>
          <w:sz w:val="21"/>
          <w:szCs w:val="21"/>
          <w:u w:val="none"/>
          <w:lang w:val="en-GB"/>
        </w:rPr>
        <w:t xml:space="preserve"> </w:t>
      </w:r>
      <w:r w:rsidR="00F27CBB">
        <w:rPr>
          <w:rFonts w:ascii="Arial" w:hAnsi="Arial" w:cs="Arial"/>
          <w:b/>
          <w:bCs/>
          <w:sz w:val="21"/>
          <w:szCs w:val="21"/>
          <w:u w:val="none"/>
          <w:lang w:val="en-GB"/>
        </w:rPr>
        <w:t>3</w:t>
      </w:r>
      <w:r w:rsidR="00B42F9C" w:rsidRPr="00D16AB0">
        <w:rPr>
          <w:rFonts w:ascii="Arial" w:hAnsi="Arial" w:cs="Arial"/>
          <w:b/>
          <w:bCs/>
          <w:sz w:val="21"/>
          <w:szCs w:val="21"/>
          <w:u w:val="none"/>
          <w:lang w:val="en-GB"/>
        </w:rPr>
        <w:t xml:space="preserve">. </w:t>
      </w:r>
      <w:r w:rsidR="00404494" w:rsidRPr="00D16AB0">
        <w:rPr>
          <w:rFonts w:ascii="Arial" w:hAnsi="Arial" w:cs="Arial"/>
          <w:b/>
          <w:bCs/>
          <w:sz w:val="21"/>
          <w:szCs w:val="21"/>
          <w:u w:val="none"/>
          <w:lang w:val="en-GB"/>
        </w:rPr>
        <w:t>Comparison of the existing regime and the proposed regime</w:t>
      </w:r>
      <w:bookmarkEnd w:id="234"/>
      <w:bookmarkEnd w:id="235"/>
      <w:bookmarkEnd w:id="236"/>
      <w:bookmarkEnd w:id="237"/>
      <w:bookmarkEnd w:id="238"/>
      <w:bookmarkEnd w:id="239"/>
    </w:p>
    <w:p w14:paraId="59202587" w14:textId="5A937B4F" w:rsidR="0043144B" w:rsidRPr="00404A57" w:rsidRDefault="00404494" w:rsidP="00256C79">
      <w:pPr>
        <w:pStyle w:val="SMcaption"/>
        <w:spacing w:line="276" w:lineRule="auto"/>
        <w:rPr>
          <w:rFonts w:ascii="Arial" w:hAnsi="Arial" w:cs="Arial"/>
          <w:sz w:val="20"/>
          <w:lang w:val="en-GB" w:eastAsia="zh-CN"/>
        </w:rPr>
      </w:pPr>
      <w:r w:rsidRPr="00404A57">
        <w:rPr>
          <w:rFonts w:ascii="Arial" w:hAnsi="Arial" w:cs="Arial"/>
          <w:sz w:val="20"/>
          <w:lang w:val="en-GB"/>
        </w:rPr>
        <w:t xml:space="preserve">The existing binary additionality regime covers a variety of additionality tests at a project level to accept or reject projects; Our proposed continuous additionality regime with context-based positive lists associated with corresponding credit rates across </w:t>
      </w:r>
      <w:r w:rsidR="00FA703B" w:rsidRPr="00404A57">
        <w:rPr>
          <w:rFonts w:ascii="Arial" w:hAnsi="Arial" w:cs="Arial"/>
          <w:sz w:val="20"/>
          <w:lang w:val="en-GB"/>
        </w:rPr>
        <w:t xml:space="preserve">project types and </w:t>
      </w:r>
      <w:r w:rsidR="00F42E73" w:rsidRPr="00404A57">
        <w:rPr>
          <w:rFonts w:ascii="Arial" w:hAnsi="Arial" w:cs="Arial"/>
          <w:sz w:val="20"/>
          <w:lang w:val="en-GB" w:eastAsia="zh-CN"/>
        </w:rPr>
        <w:t>host countries</w:t>
      </w:r>
      <w:r w:rsidRPr="00404A57">
        <w:rPr>
          <w:rFonts w:ascii="Arial" w:hAnsi="Arial" w:cs="Arial"/>
          <w:sz w:val="20"/>
          <w:lang w:val="en-GB" w:eastAsia="zh-CN"/>
        </w:rPr>
        <w:t>.</w:t>
      </w:r>
    </w:p>
    <w:p w14:paraId="66EE75B7" w14:textId="77777777" w:rsidR="0043144B" w:rsidRPr="00D16AB0" w:rsidRDefault="0043144B" w:rsidP="00256C79">
      <w:pPr>
        <w:spacing w:line="276" w:lineRule="auto"/>
        <w:rPr>
          <w:rFonts w:ascii="Arial" w:hAnsi="Arial" w:cs="Arial"/>
          <w:sz w:val="20"/>
          <w:lang w:val="en-GB" w:eastAsia="zh-CN"/>
        </w:rPr>
      </w:pPr>
      <w:r w:rsidRPr="00D16AB0">
        <w:rPr>
          <w:rFonts w:ascii="Arial" w:hAnsi="Arial" w:cs="Arial"/>
          <w:sz w:val="20"/>
          <w:lang w:val="en-GB" w:eastAsia="zh-CN"/>
        </w:rPr>
        <w:br w:type="page"/>
      </w:r>
    </w:p>
    <w:p w14:paraId="4F87B90D" w14:textId="282D0532" w:rsidR="00CE2E83" w:rsidRPr="00D16AB0" w:rsidRDefault="00CE2E83" w:rsidP="00256C79">
      <w:pPr>
        <w:spacing w:after="120" w:line="276" w:lineRule="auto"/>
        <w:ind w:firstLine="360"/>
        <w:jc w:val="center"/>
        <w:rPr>
          <w:rFonts w:ascii="Arial" w:hAnsi="Arial" w:cs="Arial"/>
          <w:noProof/>
          <w:sz w:val="21"/>
          <w:szCs w:val="21"/>
          <w:lang w:val="en-GB"/>
        </w:rPr>
      </w:pPr>
      <w:r w:rsidRPr="00D16AB0">
        <w:rPr>
          <w:rFonts w:ascii="Arial" w:hAnsi="Arial" w:cs="Arial"/>
          <w:noProof/>
          <w:sz w:val="21"/>
          <w:szCs w:val="21"/>
          <w:lang w:val="en-GB"/>
        </w:rPr>
        <w:lastRenderedPageBreak/>
        <w:drawing>
          <wp:inline distT="0" distB="0" distL="0" distR="0" wp14:anchorId="6C07CB7C" wp14:editId="6D3F4DA3">
            <wp:extent cx="2222859" cy="1404000"/>
            <wp:effectExtent l="0" t="0" r="0" b="5715"/>
            <wp:docPr id="809224471" name="Picture 7"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4471" name="Picture 7" descr="A graph of a number of number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2859" cy="1404000"/>
                    </a:xfrm>
                    <a:prstGeom prst="rect">
                      <a:avLst/>
                    </a:prstGeom>
                  </pic:spPr>
                </pic:pic>
              </a:graphicData>
            </a:graphic>
          </wp:inline>
        </w:drawing>
      </w:r>
      <w:r w:rsidRPr="00D16AB0">
        <w:rPr>
          <w:rFonts w:ascii="Arial" w:hAnsi="Arial" w:cs="Arial"/>
          <w:noProof/>
          <w:sz w:val="21"/>
          <w:szCs w:val="21"/>
          <w:lang w:val="en-GB"/>
        </w:rPr>
        <w:drawing>
          <wp:inline distT="0" distB="0" distL="0" distR="0" wp14:anchorId="2A97506F" wp14:editId="19806214">
            <wp:extent cx="2258510" cy="1404000"/>
            <wp:effectExtent l="0" t="0" r="2540" b="5715"/>
            <wp:docPr id="920107632" name="Picture 8"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07632" name="Picture 8" descr="A graph of a number of bar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8510" cy="1404000"/>
                    </a:xfrm>
                    <a:prstGeom prst="rect">
                      <a:avLst/>
                    </a:prstGeom>
                  </pic:spPr>
                </pic:pic>
              </a:graphicData>
            </a:graphic>
          </wp:inline>
        </w:drawing>
      </w:r>
    </w:p>
    <w:p w14:paraId="24D2F8B9" w14:textId="77777777" w:rsidR="00CE2E83" w:rsidRPr="00D16AB0" w:rsidRDefault="00CE2E83" w:rsidP="00256C79">
      <w:pPr>
        <w:spacing w:after="120" w:line="276" w:lineRule="auto"/>
        <w:jc w:val="center"/>
        <w:rPr>
          <w:rFonts w:ascii="Arial" w:hAnsi="Arial" w:cs="Arial"/>
          <w:sz w:val="21"/>
          <w:szCs w:val="21"/>
          <w:lang w:val="en-GB"/>
        </w:rPr>
      </w:pPr>
      <w:r w:rsidRPr="00D16AB0">
        <w:rPr>
          <w:rFonts w:ascii="Arial" w:hAnsi="Arial" w:cs="Arial"/>
          <w:noProof/>
          <w:sz w:val="21"/>
          <w:szCs w:val="21"/>
          <w:lang w:val="en-GB"/>
        </w:rPr>
        <w:drawing>
          <wp:inline distT="0" distB="0" distL="0" distR="0" wp14:anchorId="29C78A30" wp14:editId="10BC0E61">
            <wp:extent cx="2472201" cy="1404000"/>
            <wp:effectExtent l="0" t="0" r="4445" b="5715"/>
            <wp:docPr id="1766808141" name="Picture 9"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08141" name="Picture 9" descr="A graph with numbers and a 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2201" cy="1404000"/>
                    </a:xfrm>
                    <a:prstGeom prst="rect">
                      <a:avLst/>
                    </a:prstGeom>
                  </pic:spPr>
                </pic:pic>
              </a:graphicData>
            </a:graphic>
          </wp:inline>
        </w:drawing>
      </w:r>
      <w:r w:rsidRPr="00D16AB0">
        <w:rPr>
          <w:rFonts w:ascii="Arial" w:hAnsi="Arial" w:cs="Arial"/>
          <w:noProof/>
          <w:sz w:val="21"/>
          <w:szCs w:val="21"/>
          <w:lang w:val="en-GB"/>
        </w:rPr>
        <w:drawing>
          <wp:inline distT="0" distB="0" distL="0" distR="0" wp14:anchorId="7D052BB0" wp14:editId="19E2113D">
            <wp:extent cx="2461636" cy="1404000"/>
            <wp:effectExtent l="0" t="0" r="2540" b="5715"/>
            <wp:docPr id="758303894" name="Picture 10"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03894" name="Picture 10" descr="A graph of a number of bar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1636" cy="1404000"/>
                    </a:xfrm>
                    <a:prstGeom prst="rect">
                      <a:avLst/>
                    </a:prstGeom>
                  </pic:spPr>
                </pic:pic>
              </a:graphicData>
            </a:graphic>
          </wp:inline>
        </w:drawing>
      </w:r>
    </w:p>
    <w:p w14:paraId="4C9C923F" w14:textId="68FF404D" w:rsidR="00CE2E83" w:rsidRPr="00D16AB0" w:rsidRDefault="00CE2E83" w:rsidP="00256C79">
      <w:pPr>
        <w:spacing w:after="120" w:line="276" w:lineRule="auto"/>
        <w:jc w:val="center"/>
        <w:rPr>
          <w:rFonts w:ascii="Arial" w:hAnsi="Arial" w:cs="Arial"/>
          <w:noProof/>
          <w:sz w:val="21"/>
          <w:szCs w:val="21"/>
          <w:lang w:val="en-GB"/>
        </w:rPr>
      </w:pPr>
      <w:r w:rsidRPr="00D16AB0">
        <w:rPr>
          <w:rFonts w:ascii="Arial" w:hAnsi="Arial" w:cs="Arial"/>
          <w:noProof/>
          <w:sz w:val="21"/>
          <w:szCs w:val="21"/>
          <w:lang w:val="en-GB"/>
        </w:rPr>
        <w:drawing>
          <wp:inline distT="0" distB="0" distL="0" distR="0" wp14:anchorId="60F4C83C" wp14:editId="35CD23C5">
            <wp:extent cx="2536529" cy="1404000"/>
            <wp:effectExtent l="0" t="0" r="3810" b="5715"/>
            <wp:docPr id="1135738751" name="Picture 1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38751" name="Picture 11" descr="A graph of a graph of a graph&#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6529" cy="1404000"/>
                    </a:xfrm>
                    <a:prstGeom prst="rect">
                      <a:avLst/>
                    </a:prstGeom>
                  </pic:spPr>
                </pic:pic>
              </a:graphicData>
            </a:graphic>
          </wp:inline>
        </w:drawing>
      </w:r>
      <w:r w:rsidRPr="00D16AB0">
        <w:rPr>
          <w:rFonts w:ascii="Arial" w:hAnsi="Arial" w:cs="Arial"/>
          <w:noProof/>
          <w:sz w:val="21"/>
          <w:szCs w:val="21"/>
          <w:lang w:val="en-GB"/>
        </w:rPr>
        <w:drawing>
          <wp:inline distT="0" distB="0" distL="0" distR="0" wp14:anchorId="43105CC5" wp14:editId="3C94DC1D">
            <wp:extent cx="2338535" cy="1404000"/>
            <wp:effectExtent l="0" t="0" r="0" b="5715"/>
            <wp:docPr id="747937777" name="Picture 1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37777" name="Picture 12" descr="A graph of a graph&#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8535" cy="1404000"/>
                    </a:xfrm>
                    <a:prstGeom prst="rect">
                      <a:avLst/>
                    </a:prstGeom>
                  </pic:spPr>
                </pic:pic>
              </a:graphicData>
            </a:graphic>
          </wp:inline>
        </w:drawing>
      </w:r>
      <w:r w:rsidRPr="00D16AB0">
        <w:rPr>
          <w:rFonts w:ascii="Arial" w:hAnsi="Arial" w:cs="Arial"/>
          <w:noProof/>
          <w:sz w:val="21"/>
          <w:szCs w:val="21"/>
          <w:lang w:val="en-GB"/>
        </w:rPr>
        <w:drawing>
          <wp:inline distT="0" distB="0" distL="0" distR="0" wp14:anchorId="2447FBFB" wp14:editId="6C240306">
            <wp:extent cx="2433274" cy="1404000"/>
            <wp:effectExtent l="0" t="0" r="5715" b="5715"/>
            <wp:docPr id="1734918133" name="Picture 1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18133" name="Picture 13" descr="A graph of a grap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3274" cy="1404000"/>
                    </a:xfrm>
                    <a:prstGeom prst="rect">
                      <a:avLst/>
                    </a:prstGeom>
                  </pic:spPr>
                </pic:pic>
              </a:graphicData>
            </a:graphic>
          </wp:inline>
        </w:drawing>
      </w:r>
      <w:r w:rsidRPr="00D16AB0">
        <w:rPr>
          <w:rFonts w:ascii="Arial" w:hAnsi="Arial" w:cs="Arial"/>
          <w:noProof/>
          <w:sz w:val="21"/>
          <w:szCs w:val="21"/>
          <w:lang w:val="en-GB"/>
        </w:rPr>
        <w:drawing>
          <wp:inline distT="0" distB="0" distL="0" distR="0" wp14:anchorId="5BC6D50E" wp14:editId="59069236">
            <wp:extent cx="2457340" cy="1404000"/>
            <wp:effectExtent l="0" t="0" r="0" b="5715"/>
            <wp:docPr id="1056478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78228" name="Picture 10564782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7340" cy="1404000"/>
                    </a:xfrm>
                    <a:prstGeom prst="rect">
                      <a:avLst/>
                    </a:prstGeom>
                  </pic:spPr>
                </pic:pic>
              </a:graphicData>
            </a:graphic>
          </wp:inline>
        </w:drawing>
      </w:r>
    </w:p>
    <w:p w14:paraId="36C1A559" w14:textId="377631AC" w:rsidR="002255DB" w:rsidRPr="00D16AB0" w:rsidRDefault="00CE2E83" w:rsidP="00256C79">
      <w:pPr>
        <w:spacing w:line="276" w:lineRule="auto"/>
        <w:jc w:val="center"/>
        <w:rPr>
          <w:rFonts w:ascii="Arial" w:hAnsi="Arial" w:cs="Arial"/>
          <w:sz w:val="21"/>
          <w:szCs w:val="21"/>
          <w:lang w:val="en-GB" w:eastAsia="zh-CN"/>
        </w:rPr>
      </w:pPr>
      <w:r w:rsidRPr="00D16AB0">
        <w:rPr>
          <w:rFonts w:ascii="Arial" w:hAnsi="Arial" w:cs="Arial"/>
          <w:noProof/>
          <w:sz w:val="21"/>
          <w:szCs w:val="21"/>
          <w:lang w:val="en-GB"/>
        </w:rPr>
        <w:drawing>
          <wp:inline distT="0" distB="0" distL="0" distR="0" wp14:anchorId="6E0DAF93" wp14:editId="150E19F5">
            <wp:extent cx="2540599" cy="1404000"/>
            <wp:effectExtent l="0" t="0" r="0" b="5715"/>
            <wp:docPr id="1903980872" name="Picture 15" descr="A graph of credit reven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80872" name="Picture 15" descr="A graph of credit revenu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0599" cy="1404000"/>
                    </a:xfrm>
                    <a:prstGeom prst="rect">
                      <a:avLst/>
                    </a:prstGeom>
                  </pic:spPr>
                </pic:pic>
              </a:graphicData>
            </a:graphic>
          </wp:inline>
        </w:drawing>
      </w:r>
      <w:r w:rsidRPr="00D16AB0">
        <w:rPr>
          <w:rFonts w:ascii="Arial" w:hAnsi="Arial" w:cs="Arial"/>
          <w:noProof/>
          <w:sz w:val="21"/>
          <w:szCs w:val="21"/>
          <w:lang w:val="en-GB"/>
        </w:rPr>
        <w:drawing>
          <wp:inline distT="0" distB="0" distL="0" distR="0" wp14:anchorId="4C5C5DBD" wp14:editId="67D943E2">
            <wp:extent cx="2429545" cy="1404000"/>
            <wp:effectExtent l="0" t="0" r="0" b="5715"/>
            <wp:docPr id="1915529184" name="Picture 16" descr="A graph of a power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29184" name="Picture 16" descr="A graph of a power plan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9545" cy="1404000"/>
                    </a:xfrm>
                    <a:prstGeom prst="rect">
                      <a:avLst/>
                    </a:prstGeom>
                  </pic:spPr>
                </pic:pic>
              </a:graphicData>
            </a:graphic>
          </wp:inline>
        </w:drawing>
      </w:r>
    </w:p>
    <w:p w14:paraId="00F97881" w14:textId="4998E9C2" w:rsidR="006473D1" w:rsidRPr="00D16AB0" w:rsidRDefault="006473D1" w:rsidP="00F0558D">
      <w:pPr>
        <w:pStyle w:val="SMSubheading"/>
        <w:spacing w:beforeLines="50" w:before="120" w:afterLines="50" w:after="120" w:line="276" w:lineRule="auto"/>
        <w:rPr>
          <w:rFonts w:ascii="Arial" w:hAnsi="Arial" w:cs="Arial"/>
          <w:b/>
          <w:bCs/>
          <w:sz w:val="21"/>
          <w:szCs w:val="21"/>
          <w:u w:val="none"/>
          <w:lang w:val="en-GB"/>
        </w:rPr>
      </w:pPr>
      <w:bookmarkStart w:id="240" w:name="_Toc214982037"/>
      <w:bookmarkStart w:id="241" w:name="_Toc214984261"/>
      <w:bookmarkStart w:id="242" w:name="_Toc214984287"/>
      <w:bookmarkStart w:id="243" w:name="_Toc214984957"/>
      <w:bookmarkStart w:id="244" w:name="_Toc214985846"/>
      <w:bookmarkStart w:id="245" w:name="_Toc214986988"/>
      <w:r w:rsidRPr="00D16AB0">
        <w:rPr>
          <w:rFonts w:ascii="Arial" w:hAnsi="Arial" w:cs="Arial"/>
          <w:b/>
          <w:bCs/>
          <w:sz w:val="21"/>
          <w:szCs w:val="21"/>
          <w:u w:val="none"/>
          <w:lang w:val="en-GB"/>
        </w:rPr>
        <w:t>Fig</w:t>
      </w:r>
      <w:r w:rsidR="0061154D" w:rsidRPr="00D16AB0">
        <w:rPr>
          <w:rFonts w:ascii="Arial" w:hAnsi="Arial" w:cs="Arial"/>
          <w:b/>
          <w:bCs/>
          <w:sz w:val="21"/>
          <w:szCs w:val="21"/>
          <w:u w:val="none"/>
          <w:lang w:val="en-GB"/>
        </w:rPr>
        <w:t>ure</w:t>
      </w:r>
      <w:r w:rsidRPr="00D16AB0">
        <w:rPr>
          <w:rFonts w:ascii="Arial" w:hAnsi="Arial" w:cs="Arial"/>
          <w:b/>
          <w:bCs/>
          <w:sz w:val="21"/>
          <w:szCs w:val="21"/>
          <w:u w:val="none"/>
          <w:lang w:val="en-GB"/>
        </w:rPr>
        <w:t xml:space="preserve"> </w:t>
      </w:r>
      <w:r w:rsidR="00F27CBB">
        <w:rPr>
          <w:rFonts w:ascii="Arial" w:hAnsi="Arial" w:cs="Arial"/>
          <w:b/>
          <w:bCs/>
          <w:sz w:val="21"/>
          <w:szCs w:val="21"/>
          <w:u w:val="none"/>
          <w:lang w:val="en-GB"/>
        </w:rPr>
        <w:t>4</w:t>
      </w:r>
      <w:r w:rsidRPr="00D16AB0">
        <w:rPr>
          <w:rFonts w:ascii="Arial" w:hAnsi="Arial" w:cs="Arial"/>
          <w:b/>
          <w:bCs/>
          <w:sz w:val="21"/>
          <w:szCs w:val="21"/>
          <w:u w:val="none"/>
          <w:lang w:val="en-GB"/>
        </w:rPr>
        <w:t xml:space="preserve">. </w:t>
      </w:r>
      <w:r w:rsidR="000B5273" w:rsidRPr="00D16AB0">
        <w:rPr>
          <w:rFonts w:ascii="Arial" w:hAnsi="Arial" w:cs="Arial"/>
          <w:b/>
          <w:bCs/>
          <w:sz w:val="21"/>
          <w:szCs w:val="21"/>
          <w:u w:val="none"/>
          <w:lang w:val="en-GB"/>
        </w:rPr>
        <w:t>Histograms of key characteristics for the CDM’s wind projects in China</w:t>
      </w:r>
      <w:bookmarkEnd w:id="240"/>
      <w:bookmarkEnd w:id="241"/>
      <w:bookmarkEnd w:id="242"/>
      <w:bookmarkEnd w:id="243"/>
      <w:bookmarkEnd w:id="244"/>
      <w:bookmarkEnd w:id="245"/>
    </w:p>
    <w:p w14:paraId="53BDB7E5" w14:textId="77777777" w:rsidR="006473D1" w:rsidRPr="00D16AB0" w:rsidRDefault="006473D1" w:rsidP="00256C79">
      <w:pPr>
        <w:spacing w:line="276" w:lineRule="auto"/>
        <w:jc w:val="center"/>
        <w:rPr>
          <w:rFonts w:ascii="Arial" w:hAnsi="Arial" w:cs="Arial"/>
          <w:sz w:val="21"/>
          <w:szCs w:val="21"/>
          <w:lang w:val="en-GB" w:eastAsia="zh-CN"/>
        </w:rPr>
      </w:pPr>
    </w:p>
    <w:p w14:paraId="71805607" w14:textId="6AF2C9D9" w:rsidR="00737A87" w:rsidRPr="00D16AB0" w:rsidRDefault="00FF55B3" w:rsidP="00256C79">
      <w:pPr>
        <w:spacing w:line="276" w:lineRule="auto"/>
        <w:jc w:val="center"/>
        <w:rPr>
          <w:rFonts w:ascii="Arial" w:hAnsi="Arial" w:cs="Arial"/>
          <w:sz w:val="21"/>
          <w:szCs w:val="21"/>
          <w:lang w:val="en-GB" w:eastAsia="zh-CN"/>
        </w:rPr>
      </w:pPr>
      <w:r w:rsidRPr="00D16AB0">
        <w:rPr>
          <w:rFonts w:ascii="Arial" w:hAnsi="Arial" w:cs="Arial"/>
          <w:noProof/>
          <w:sz w:val="21"/>
          <w:szCs w:val="21"/>
          <w:lang w:val="en-GB"/>
        </w:rPr>
        <w:lastRenderedPageBreak/>
        <w:drawing>
          <wp:inline distT="0" distB="0" distL="0" distR="0" wp14:anchorId="7F368CE1" wp14:editId="7F1F626E">
            <wp:extent cx="3831653" cy="3063711"/>
            <wp:effectExtent l="0" t="0" r="3810" b="0"/>
            <wp:docPr id="1232967485" name="Picture 3" descr="A graph with green and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67485" name="Picture 3" descr="A graph with green and red circl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7285" cy="3108193"/>
                    </a:xfrm>
                    <a:prstGeom prst="rect">
                      <a:avLst/>
                    </a:prstGeom>
                  </pic:spPr>
                </pic:pic>
              </a:graphicData>
            </a:graphic>
          </wp:inline>
        </w:drawing>
      </w:r>
    </w:p>
    <w:p w14:paraId="6BE154CF" w14:textId="48330205" w:rsidR="00FF55B3" w:rsidRPr="00D16AB0" w:rsidRDefault="00FF55B3" w:rsidP="00F0558D">
      <w:pPr>
        <w:pStyle w:val="SMSubheading"/>
        <w:spacing w:beforeLines="50" w:before="120" w:afterLines="50" w:after="120" w:line="276" w:lineRule="auto"/>
        <w:rPr>
          <w:rFonts w:ascii="Arial" w:hAnsi="Arial" w:cs="Arial"/>
          <w:b/>
          <w:bCs/>
          <w:sz w:val="21"/>
          <w:szCs w:val="21"/>
          <w:u w:val="none"/>
          <w:lang w:val="en-GB"/>
        </w:rPr>
      </w:pPr>
      <w:bookmarkStart w:id="246" w:name="_Toc214982038"/>
      <w:bookmarkStart w:id="247" w:name="_Toc214984262"/>
      <w:bookmarkStart w:id="248" w:name="_Toc214984288"/>
      <w:bookmarkStart w:id="249" w:name="_Toc214984958"/>
      <w:bookmarkStart w:id="250" w:name="_Toc214985847"/>
      <w:bookmarkStart w:id="251" w:name="_Toc214986989"/>
      <w:r w:rsidRPr="00D16AB0">
        <w:rPr>
          <w:rFonts w:ascii="Arial" w:hAnsi="Arial" w:cs="Arial"/>
          <w:b/>
          <w:bCs/>
          <w:sz w:val="21"/>
          <w:szCs w:val="21"/>
          <w:u w:val="none"/>
          <w:lang w:val="en-GB"/>
        </w:rPr>
        <w:t>Fig</w:t>
      </w:r>
      <w:r w:rsidR="00AB041F" w:rsidRPr="00D16AB0">
        <w:rPr>
          <w:rFonts w:ascii="Arial" w:hAnsi="Arial" w:cs="Arial"/>
          <w:b/>
          <w:bCs/>
          <w:sz w:val="21"/>
          <w:szCs w:val="21"/>
          <w:u w:val="none"/>
          <w:lang w:val="en-GB"/>
        </w:rPr>
        <w:t>ure</w:t>
      </w:r>
      <w:r w:rsidRPr="00D16AB0">
        <w:rPr>
          <w:rFonts w:ascii="Arial" w:hAnsi="Arial" w:cs="Arial"/>
          <w:b/>
          <w:bCs/>
          <w:sz w:val="21"/>
          <w:szCs w:val="21"/>
          <w:u w:val="none"/>
          <w:lang w:val="en-GB"/>
        </w:rPr>
        <w:t xml:space="preserve"> </w:t>
      </w:r>
      <w:r w:rsidR="00F27CBB">
        <w:rPr>
          <w:rFonts w:ascii="Arial" w:hAnsi="Arial" w:cs="Arial"/>
          <w:b/>
          <w:bCs/>
          <w:sz w:val="21"/>
          <w:szCs w:val="21"/>
          <w:u w:val="none"/>
          <w:lang w:val="en-GB"/>
        </w:rPr>
        <w:t>5</w:t>
      </w:r>
      <w:r w:rsidRPr="00D16AB0">
        <w:rPr>
          <w:rFonts w:ascii="Arial" w:hAnsi="Arial" w:cs="Arial"/>
          <w:b/>
          <w:bCs/>
          <w:sz w:val="21"/>
          <w:szCs w:val="21"/>
          <w:u w:val="none"/>
          <w:lang w:val="en-GB"/>
        </w:rPr>
        <w:t xml:space="preserve">. </w:t>
      </w:r>
      <w:r w:rsidR="003A3B3E" w:rsidRPr="00D16AB0">
        <w:rPr>
          <w:rFonts w:ascii="Arial" w:hAnsi="Arial" w:cs="Arial"/>
          <w:b/>
          <w:bCs/>
          <w:sz w:val="21"/>
          <w:szCs w:val="21"/>
          <w:u w:val="none"/>
          <w:lang w:val="en-GB"/>
        </w:rPr>
        <w:t>Correlogram of key parameters for the CDM’s wind projects in China</w:t>
      </w:r>
      <w:bookmarkEnd w:id="246"/>
      <w:bookmarkEnd w:id="247"/>
      <w:bookmarkEnd w:id="248"/>
      <w:bookmarkEnd w:id="249"/>
      <w:bookmarkEnd w:id="250"/>
      <w:bookmarkEnd w:id="251"/>
    </w:p>
    <w:p w14:paraId="7F7C9907" w14:textId="6F9DD0A5" w:rsidR="00A36FF1" w:rsidRPr="00404A57" w:rsidRDefault="00000000" w:rsidP="00256C79">
      <w:pPr>
        <w:pStyle w:val="SMText"/>
        <w:spacing w:line="276" w:lineRule="auto"/>
        <w:ind w:firstLine="0"/>
        <w:rPr>
          <w:rFonts w:ascii="Arial" w:hAnsi="Arial" w:cs="Arial"/>
          <w:sz w:val="20"/>
          <w:lang w:val="en-GB" w:eastAsia="zh-CN"/>
        </w:rPr>
      </w:pPr>
      <m:oMath>
        <m:sSub>
          <m:sSubPr>
            <m:ctrlPr>
              <w:rPr>
                <w:rFonts w:ascii="Cambria Math" w:hAnsi="Cambria Math" w:cs="Arial"/>
                <w:sz w:val="20"/>
                <w:lang w:val="en-GB"/>
              </w:rPr>
            </m:ctrlPr>
          </m:sSubPr>
          <m:e>
            <m:r>
              <w:rPr>
                <w:rFonts w:ascii="Cambria Math" w:hAnsi="Cambria Math" w:cs="Arial"/>
                <w:sz w:val="20"/>
                <w:lang w:val="en-GB"/>
              </w:rPr>
              <m:t>r</m:t>
            </m:r>
          </m:e>
          <m:sub>
            <m:r>
              <m:rPr>
                <m:sty m:val="p"/>
              </m:rPr>
              <w:rPr>
                <w:rFonts w:ascii="Cambria Math" w:hAnsi="Cambria Math" w:cs="Arial"/>
                <w:sz w:val="20"/>
                <w:lang w:val="en-GB"/>
              </w:rPr>
              <m:t>0</m:t>
            </m:r>
          </m:sub>
        </m:sSub>
      </m:oMath>
      <w:r w:rsidR="00021EB9" w:rsidRPr="00404A57">
        <w:rPr>
          <w:rFonts w:ascii="Arial" w:hAnsi="Arial" w:cs="Arial"/>
          <w:sz w:val="20"/>
          <w:lang w:val="en-GB"/>
        </w:rPr>
        <w:t xml:space="preserve"> refers to</w:t>
      </w:r>
      <w:r w:rsidR="00A36FF1" w:rsidRPr="00404A57">
        <w:rPr>
          <w:rFonts w:ascii="Arial" w:hAnsi="Arial" w:cs="Arial"/>
          <w:sz w:val="20"/>
          <w:lang w:val="en-GB"/>
        </w:rPr>
        <w:t xml:space="preserve"> observed reported IRR without offset revenue (%)</w:t>
      </w:r>
      <w:r w:rsidR="00557E05" w:rsidRPr="00404A57">
        <w:rPr>
          <w:rFonts w:ascii="Arial" w:hAnsi="Arial" w:cs="Arial"/>
          <w:sz w:val="20"/>
          <w:lang w:val="en-GB"/>
        </w:rPr>
        <w:t xml:space="preserve">; </w:t>
      </w:r>
      <m:oMath>
        <m:r>
          <w:rPr>
            <w:rFonts w:ascii="Cambria Math" w:hAnsi="Cambria Math" w:cs="Arial"/>
            <w:sz w:val="20"/>
            <w:lang w:val="en-GB"/>
          </w:rPr>
          <m:t>f</m:t>
        </m:r>
      </m:oMath>
      <w:r w:rsidR="00EF4453" w:rsidRPr="00404A57">
        <w:rPr>
          <w:rFonts w:ascii="Arial" w:hAnsi="Arial" w:cs="Arial"/>
          <w:iCs/>
          <w:sz w:val="20"/>
          <w:lang w:val="en-GB"/>
        </w:rPr>
        <w:t xml:space="preserve"> refers to</w:t>
      </w:r>
      <w:r w:rsidR="00A36FF1" w:rsidRPr="00404A57">
        <w:rPr>
          <w:rFonts w:ascii="Arial" w:hAnsi="Arial" w:cs="Arial"/>
          <w:sz w:val="20"/>
          <w:lang w:val="en-GB"/>
        </w:rPr>
        <w:t xml:space="preserve"> observed reported increase in IRR due to offset revenue (%); </w:t>
      </w:r>
      <m:oMath>
        <m:r>
          <w:rPr>
            <w:rFonts w:ascii="Cambria Math" w:hAnsi="Cambria Math" w:cs="Arial"/>
            <w:sz w:val="20"/>
            <w:lang w:val="en-GB"/>
          </w:rPr>
          <m:t>P</m:t>
        </m:r>
      </m:oMath>
      <w:r w:rsidR="00036681" w:rsidRPr="00404A57">
        <w:rPr>
          <w:rFonts w:ascii="Arial" w:hAnsi="Arial" w:cs="Arial"/>
          <w:iCs/>
          <w:sz w:val="20"/>
          <w:lang w:val="en-GB"/>
        </w:rPr>
        <w:t xml:space="preserve"> and </w:t>
      </w:r>
      <m:oMath>
        <m:r>
          <w:rPr>
            <w:rFonts w:ascii="Cambria Math" w:hAnsi="Cambria Math" w:cs="Arial"/>
            <w:sz w:val="20"/>
            <w:lang w:val="en-GB"/>
          </w:rPr>
          <m:t>Q</m:t>
        </m:r>
      </m:oMath>
      <w:r w:rsidR="00A815AF" w:rsidRPr="00404A57">
        <w:rPr>
          <w:rFonts w:ascii="Arial" w:hAnsi="Arial" w:cs="Arial"/>
          <w:iCs/>
          <w:sz w:val="20"/>
          <w:lang w:val="en-GB"/>
        </w:rPr>
        <w:t xml:space="preserve"> refer to</w:t>
      </w:r>
      <w:r w:rsidR="00A36FF1" w:rsidRPr="00404A57">
        <w:rPr>
          <w:rFonts w:ascii="Arial" w:hAnsi="Arial" w:cs="Arial"/>
          <w:sz w:val="20"/>
          <w:lang w:val="en-GB"/>
        </w:rPr>
        <w:t xml:space="preserve"> offset price (US$/tCO2e)</w:t>
      </w:r>
      <w:r w:rsidR="0046166B" w:rsidRPr="00404A57">
        <w:rPr>
          <w:rFonts w:ascii="Arial" w:hAnsi="Arial" w:cs="Arial"/>
          <w:sz w:val="20"/>
          <w:lang w:val="en-GB"/>
        </w:rPr>
        <w:t xml:space="preserve"> and quantity</w:t>
      </w:r>
      <w:r w:rsidR="00EF468E" w:rsidRPr="00404A57">
        <w:rPr>
          <w:rFonts w:ascii="Arial" w:hAnsi="Arial" w:cs="Arial"/>
          <w:sz w:val="20"/>
          <w:lang w:val="en-GB"/>
        </w:rPr>
        <w:t xml:space="preserve"> of issued offsets</w:t>
      </w:r>
      <w:r w:rsidR="00CC5660" w:rsidRPr="00404A57">
        <w:rPr>
          <w:rFonts w:ascii="Arial" w:hAnsi="Arial" w:cs="Arial"/>
          <w:sz w:val="20"/>
          <w:lang w:val="en-GB"/>
        </w:rPr>
        <w:t>.</w:t>
      </w:r>
      <w:r w:rsidR="0089510B" w:rsidRPr="00404A57">
        <w:rPr>
          <w:rFonts w:ascii="Arial" w:hAnsi="Arial" w:cs="Arial"/>
          <w:sz w:val="20"/>
          <w:lang w:val="en-GB"/>
        </w:rPr>
        <w:t xml:space="preserve"> </w:t>
      </w:r>
      <w:r w:rsidR="00CC5660" w:rsidRPr="00404A57">
        <w:rPr>
          <w:rFonts w:ascii="Arial" w:hAnsi="Arial" w:cs="Arial"/>
          <w:sz w:val="20"/>
          <w:lang w:val="en-GB"/>
        </w:rPr>
        <w:t xml:space="preserve">The </w:t>
      </w:r>
      <w:r w:rsidR="0022311D" w:rsidRPr="00404A57">
        <w:rPr>
          <w:rFonts w:ascii="Arial" w:hAnsi="Arial" w:cs="Arial"/>
          <w:color w:val="00B050"/>
          <w:sz w:val="20"/>
          <w:lang w:val="en-GB"/>
        </w:rPr>
        <w:t>green</w:t>
      </w:r>
      <w:r w:rsidR="0022311D" w:rsidRPr="00404A57">
        <w:rPr>
          <w:rFonts w:ascii="Arial" w:hAnsi="Arial" w:cs="Arial"/>
          <w:sz w:val="20"/>
          <w:lang w:val="en-GB"/>
        </w:rPr>
        <w:t xml:space="preserve"> (</w:t>
      </w:r>
      <w:r w:rsidR="0022311D" w:rsidRPr="00404A57">
        <w:rPr>
          <w:rFonts w:ascii="Arial" w:hAnsi="Arial" w:cs="Arial"/>
          <w:color w:val="EE0000"/>
          <w:sz w:val="20"/>
          <w:lang w:val="en-GB"/>
        </w:rPr>
        <w:t>red</w:t>
      </w:r>
      <w:r w:rsidR="0022311D" w:rsidRPr="00404A57">
        <w:rPr>
          <w:rFonts w:ascii="Arial" w:hAnsi="Arial" w:cs="Arial"/>
          <w:sz w:val="20"/>
          <w:lang w:val="en-GB"/>
        </w:rPr>
        <w:t xml:space="preserve">) </w:t>
      </w:r>
      <w:r w:rsidR="00C4607A" w:rsidRPr="00404A57">
        <w:rPr>
          <w:rFonts w:ascii="Arial" w:hAnsi="Arial" w:cs="Arial"/>
          <w:sz w:val="20"/>
          <w:lang w:val="en-GB"/>
        </w:rPr>
        <w:t xml:space="preserve">dots </w:t>
      </w:r>
      <w:r w:rsidR="000A7A17" w:rsidRPr="00404A57">
        <w:rPr>
          <w:rFonts w:ascii="Arial" w:hAnsi="Arial" w:cs="Arial"/>
          <w:sz w:val="20"/>
          <w:lang w:val="en-GB"/>
        </w:rPr>
        <w:t xml:space="preserve">show the </w:t>
      </w:r>
      <w:r w:rsidR="008C0903" w:rsidRPr="00404A57">
        <w:rPr>
          <w:rFonts w:ascii="Arial" w:hAnsi="Arial" w:cs="Arial"/>
          <w:color w:val="00B050"/>
          <w:sz w:val="20"/>
          <w:lang w:val="en-GB"/>
        </w:rPr>
        <w:t>positive</w:t>
      </w:r>
      <w:r w:rsidR="008C0903" w:rsidRPr="00404A57">
        <w:rPr>
          <w:rFonts w:ascii="Arial" w:hAnsi="Arial" w:cs="Arial"/>
          <w:sz w:val="20"/>
          <w:lang w:val="en-GB"/>
        </w:rPr>
        <w:t xml:space="preserve"> (</w:t>
      </w:r>
      <w:r w:rsidR="008C0903" w:rsidRPr="00404A57">
        <w:rPr>
          <w:rFonts w:ascii="Arial" w:hAnsi="Arial" w:cs="Arial"/>
          <w:color w:val="EE0000"/>
          <w:sz w:val="20"/>
          <w:lang w:val="en-GB"/>
        </w:rPr>
        <w:t>negative</w:t>
      </w:r>
      <w:r w:rsidR="008C0903" w:rsidRPr="00404A57">
        <w:rPr>
          <w:rFonts w:ascii="Arial" w:hAnsi="Arial" w:cs="Arial"/>
          <w:sz w:val="20"/>
          <w:lang w:val="en-GB"/>
        </w:rPr>
        <w:t xml:space="preserve">) </w:t>
      </w:r>
      <w:r w:rsidR="00A36FF1" w:rsidRPr="00404A57">
        <w:rPr>
          <w:rFonts w:ascii="Arial" w:hAnsi="Arial" w:cs="Arial"/>
          <w:sz w:val="20"/>
          <w:lang w:val="en-GB"/>
        </w:rPr>
        <w:t>correlations</w:t>
      </w:r>
      <w:r w:rsidR="00B763E4" w:rsidRPr="00404A57">
        <w:rPr>
          <w:rFonts w:ascii="Arial" w:hAnsi="Arial" w:cs="Arial"/>
          <w:sz w:val="20"/>
          <w:lang w:val="en-GB"/>
        </w:rPr>
        <w:t xml:space="preserve"> between these parameters.</w:t>
      </w:r>
      <w:r w:rsidR="00846F3C" w:rsidRPr="00404A57">
        <w:rPr>
          <w:rFonts w:ascii="Arial" w:hAnsi="Arial" w:cs="Arial"/>
          <w:sz w:val="20"/>
          <w:lang w:val="en-GB"/>
        </w:rPr>
        <w:t xml:space="preserve"> It is observed that </w:t>
      </w:r>
      <m:oMath>
        <m:r>
          <w:rPr>
            <w:rFonts w:ascii="Cambria Math" w:hAnsi="Cambria Math" w:cs="Arial"/>
            <w:sz w:val="20"/>
            <w:lang w:val="en-GB" w:eastAsia="zh-CN"/>
          </w:rPr>
          <m:t>corr</m:t>
        </m:r>
        <m:d>
          <m:dPr>
            <m:ctrlPr>
              <w:rPr>
                <w:rFonts w:ascii="Cambria Math" w:hAnsi="Cambria Math" w:cs="Arial"/>
                <w:sz w:val="20"/>
                <w:lang w:val="en-GB" w:eastAsia="zh-CN"/>
              </w:rPr>
            </m:ctrlPr>
          </m:dPr>
          <m:e>
            <m:sSub>
              <m:sSubPr>
                <m:ctrlPr>
                  <w:rPr>
                    <w:rFonts w:ascii="Cambria Math" w:hAnsi="Cambria Math" w:cs="Arial"/>
                    <w:sz w:val="20"/>
                    <w:lang w:val="en-GB" w:eastAsia="zh-CN"/>
                  </w:rPr>
                </m:ctrlPr>
              </m:sSubPr>
              <m:e>
                <m:r>
                  <w:rPr>
                    <w:rFonts w:ascii="Cambria Math" w:hAnsi="Cambria Math" w:cs="Arial"/>
                    <w:sz w:val="20"/>
                    <w:lang w:val="en-GB" w:eastAsia="zh-CN"/>
                  </w:rPr>
                  <m:t>r</m:t>
                </m:r>
              </m:e>
              <m:sub>
                <m:r>
                  <m:rPr>
                    <m:sty m:val="p"/>
                  </m:rPr>
                  <w:rPr>
                    <w:rFonts w:ascii="Cambria Math" w:hAnsi="Cambria Math" w:cs="Arial"/>
                    <w:sz w:val="20"/>
                    <w:lang w:val="en-GB" w:eastAsia="zh-CN"/>
                  </w:rPr>
                  <m:t>0</m:t>
                </m:r>
              </m:sub>
            </m:sSub>
            <m:r>
              <m:rPr>
                <m:sty m:val="p"/>
              </m:rPr>
              <w:rPr>
                <w:rFonts w:ascii="Cambria Math" w:hAnsi="Cambria Math" w:cs="Arial"/>
                <w:sz w:val="20"/>
                <w:lang w:val="en-GB" w:eastAsia="zh-CN"/>
              </w:rPr>
              <m:t>,</m:t>
            </m:r>
            <m:r>
              <w:rPr>
                <w:rFonts w:ascii="Cambria Math" w:hAnsi="Cambria Math" w:cs="Arial"/>
                <w:sz w:val="20"/>
                <w:lang w:val="en-GB" w:eastAsia="zh-CN"/>
              </w:rPr>
              <m:t>f</m:t>
            </m:r>
          </m:e>
        </m:d>
        <m:r>
          <m:rPr>
            <m:sty m:val="p"/>
          </m:rPr>
          <w:rPr>
            <w:rFonts w:ascii="Cambria Math" w:hAnsi="Cambria Math" w:cs="Arial"/>
            <w:sz w:val="20"/>
            <w:lang w:val="en-GB" w:eastAsia="zh-CN"/>
          </w:rPr>
          <m:t>=-0.31</m:t>
        </m:r>
      </m:oMath>
      <w:r w:rsidR="00846F3C" w:rsidRPr="00404A57">
        <w:rPr>
          <w:rFonts w:ascii="Arial" w:hAnsi="Arial" w:cs="Arial"/>
          <w:sz w:val="20"/>
          <w:lang w:val="en-GB" w:eastAsia="zh-CN"/>
        </w:rPr>
        <w:t xml:space="preserve">; </w:t>
      </w:r>
      <m:oMath>
        <m:r>
          <w:rPr>
            <w:rFonts w:ascii="Cambria Math" w:hAnsi="Cambria Math" w:cs="Arial"/>
            <w:sz w:val="20"/>
            <w:lang w:val="en-GB" w:eastAsia="zh-CN"/>
          </w:rPr>
          <m:t>corr</m:t>
        </m:r>
        <m:d>
          <m:dPr>
            <m:ctrlPr>
              <w:rPr>
                <w:rFonts w:ascii="Cambria Math" w:hAnsi="Cambria Math" w:cs="Arial"/>
                <w:sz w:val="20"/>
                <w:lang w:val="en-GB" w:eastAsia="zh-CN"/>
              </w:rPr>
            </m:ctrlPr>
          </m:dPr>
          <m:e>
            <m:sSub>
              <m:sSubPr>
                <m:ctrlPr>
                  <w:rPr>
                    <w:rFonts w:ascii="Cambria Math" w:hAnsi="Cambria Math" w:cs="Arial"/>
                    <w:sz w:val="20"/>
                    <w:lang w:val="en-GB" w:eastAsia="zh-CN"/>
                  </w:rPr>
                </m:ctrlPr>
              </m:sSubPr>
              <m:e>
                <m:r>
                  <w:rPr>
                    <w:rFonts w:ascii="Cambria Math" w:hAnsi="Cambria Math" w:cs="Arial"/>
                    <w:sz w:val="20"/>
                    <w:lang w:val="en-GB" w:eastAsia="zh-CN"/>
                  </w:rPr>
                  <m:t>r</m:t>
                </m:r>
              </m:e>
              <m:sub>
                <m:r>
                  <m:rPr>
                    <m:sty m:val="p"/>
                  </m:rPr>
                  <w:rPr>
                    <w:rFonts w:ascii="Cambria Math" w:hAnsi="Cambria Math" w:cs="Arial"/>
                    <w:sz w:val="20"/>
                    <w:lang w:val="en-GB" w:eastAsia="zh-CN"/>
                  </w:rPr>
                  <m:t>0</m:t>
                </m:r>
              </m:sub>
            </m:sSub>
            <m:r>
              <m:rPr>
                <m:sty m:val="p"/>
              </m:rPr>
              <w:rPr>
                <w:rFonts w:ascii="Cambria Math" w:hAnsi="Cambria Math" w:cs="Arial"/>
                <w:sz w:val="20"/>
                <w:lang w:val="en-GB" w:eastAsia="zh-CN"/>
              </w:rPr>
              <m:t>,</m:t>
            </m:r>
            <m:r>
              <w:rPr>
                <w:rFonts w:ascii="Cambria Math" w:hAnsi="Cambria Math" w:cs="Arial"/>
                <w:sz w:val="20"/>
                <w:lang w:val="en-GB" w:eastAsia="zh-CN"/>
              </w:rPr>
              <m:t>P</m:t>
            </m:r>
          </m:e>
        </m:d>
        <m:r>
          <m:rPr>
            <m:sty m:val="p"/>
          </m:rPr>
          <w:rPr>
            <w:rFonts w:ascii="Cambria Math" w:hAnsi="Cambria Math" w:cs="Arial"/>
            <w:sz w:val="20"/>
            <w:lang w:val="en-GB" w:eastAsia="zh-CN"/>
          </w:rPr>
          <m:t>=-0.14</m:t>
        </m:r>
      </m:oMath>
      <w:r w:rsidR="00846F3C" w:rsidRPr="00404A57">
        <w:rPr>
          <w:rFonts w:ascii="Arial" w:hAnsi="Arial" w:cs="Arial"/>
          <w:sz w:val="20"/>
          <w:lang w:val="en-GB" w:eastAsia="zh-CN"/>
        </w:rPr>
        <w:t xml:space="preserve">; </w:t>
      </w:r>
      <m:oMath>
        <m:r>
          <w:rPr>
            <w:rFonts w:ascii="Cambria Math" w:hAnsi="Cambria Math" w:cs="Arial"/>
            <w:sz w:val="20"/>
            <w:lang w:val="en-GB" w:eastAsia="zh-CN"/>
          </w:rPr>
          <m:t>corr</m:t>
        </m:r>
        <m:d>
          <m:dPr>
            <m:ctrlPr>
              <w:rPr>
                <w:rFonts w:ascii="Cambria Math" w:hAnsi="Cambria Math" w:cs="Arial"/>
                <w:sz w:val="20"/>
                <w:lang w:val="en-GB" w:eastAsia="zh-CN"/>
              </w:rPr>
            </m:ctrlPr>
          </m:dPr>
          <m:e>
            <m:r>
              <w:rPr>
                <w:rFonts w:ascii="Cambria Math" w:hAnsi="Cambria Math" w:cs="Arial"/>
                <w:sz w:val="20"/>
                <w:lang w:val="en-GB" w:eastAsia="zh-CN"/>
              </w:rPr>
              <m:t>f</m:t>
            </m:r>
            <m:r>
              <m:rPr>
                <m:sty m:val="p"/>
              </m:rPr>
              <w:rPr>
                <w:rFonts w:ascii="Cambria Math" w:hAnsi="Cambria Math" w:cs="Arial"/>
                <w:sz w:val="20"/>
                <w:lang w:val="en-GB" w:eastAsia="zh-CN"/>
              </w:rPr>
              <m:t>,</m:t>
            </m:r>
            <m:r>
              <w:rPr>
                <w:rFonts w:ascii="Cambria Math" w:hAnsi="Cambria Math" w:cs="Arial"/>
                <w:sz w:val="20"/>
                <w:lang w:val="en-GB" w:eastAsia="zh-CN"/>
              </w:rPr>
              <m:t>P</m:t>
            </m:r>
          </m:e>
        </m:d>
        <m:r>
          <m:rPr>
            <m:sty m:val="p"/>
          </m:rPr>
          <w:rPr>
            <w:rFonts w:ascii="Cambria Math" w:hAnsi="Cambria Math" w:cs="Arial"/>
            <w:sz w:val="20"/>
            <w:lang w:val="en-GB" w:eastAsia="zh-CN"/>
          </w:rPr>
          <m:t>=0.19</m:t>
        </m:r>
      </m:oMath>
      <w:r w:rsidR="00E33E25" w:rsidRPr="00404A57">
        <w:rPr>
          <w:rFonts w:ascii="Arial" w:hAnsi="Arial" w:cs="Arial"/>
          <w:sz w:val="20"/>
          <w:lang w:val="en-GB" w:eastAsia="zh-CN"/>
        </w:rPr>
        <w:t>.</w:t>
      </w:r>
    </w:p>
    <w:p w14:paraId="65ED41D5" w14:textId="032491BB" w:rsidR="00FF55B3" w:rsidRPr="00404A57" w:rsidRDefault="00905342" w:rsidP="00256C79">
      <w:pPr>
        <w:spacing w:line="276" w:lineRule="auto"/>
        <w:rPr>
          <w:rFonts w:ascii="Arial" w:hAnsi="Arial" w:cs="Arial"/>
          <w:sz w:val="21"/>
          <w:szCs w:val="21"/>
          <w:lang w:val="en-GB" w:eastAsia="zh-CN"/>
        </w:rPr>
      </w:pPr>
      <w:r w:rsidRPr="00404A57">
        <w:rPr>
          <w:rFonts w:ascii="Arial" w:hAnsi="Arial" w:cs="Arial"/>
          <w:sz w:val="21"/>
          <w:szCs w:val="21"/>
          <w:lang w:val="en-GB" w:eastAsia="zh-CN"/>
        </w:rPr>
        <w:br w:type="page"/>
      </w:r>
    </w:p>
    <w:p w14:paraId="65985260" w14:textId="77777777" w:rsidR="00357426" w:rsidRPr="00D16AB0" w:rsidRDefault="00357426" w:rsidP="00256C79">
      <w:pPr>
        <w:spacing w:line="276" w:lineRule="auto"/>
        <w:rPr>
          <w:rFonts w:ascii="Arial" w:hAnsi="Arial" w:cs="Arial"/>
          <w:sz w:val="21"/>
          <w:szCs w:val="21"/>
          <w:lang w:val="en-GB" w:eastAsia="zh-CN"/>
        </w:rPr>
      </w:pPr>
    </w:p>
    <w:p w14:paraId="06C3A177" w14:textId="1A160795" w:rsidR="003656FE" w:rsidRPr="00D16AB0" w:rsidRDefault="003656FE" w:rsidP="00256C79">
      <w:pPr>
        <w:spacing w:line="276" w:lineRule="auto"/>
        <w:jc w:val="center"/>
        <w:rPr>
          <w:rFonts w:ascii="Arial" w:hAnsi="Arial" w:cs="Arial"/>
          <w:sz w:val="21"/>
          <w:szCs w:val="21"/>
          <w:lang w:val="en-GB" w:eastAsia="zh-CN"/>
        </w:rPr>
      </w:pPr>
      <w:r w:rsidRPr="00D16AB0">
        <w:rPr>
          <w:rFonts w:ascii="Arial" w:hAnsi="Arial" w:cs="Arial"/>
          <w:noProof/>
          <w:sz w:val="21"/>
          <w:szCs w:val="21"/>
          <w14:ligatures w14:val="standardContextual"/>
        </w:rPr>
        <w:drawing>
          <wp:inline distT="0" distB="0" distL="0" distR="0" wp14:anchorId="5A2D9F31" wp14:editId="5855065B">
            <wp:extent cx="5171276" cy="3619893"/>
            <wp:effectExtent l="0" t="0" r="0" b="0"/>
            <wp:docPr id="11141726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72660" name="图片 1114172660"/>
                    <pic:cNvPicPr/>
                  </pic:nvPicPr>
                  <pic:blipFill>
                    <a:blip r:embed="rId30"/>
                    <a:stretch>
                      <a:fillRect/>
                    </a:stretch>
                  </pic:blipFill>
                  <pic:spPr>
                    <a:xfrm>
                      <a:off x="0" y="0"/>
                      <a:ext cx="5201205" cy="3640843"/>
                    </a:xfrm>
                    <a:prstGeom prst="rect">
                      <a:avLst/>
                    </a:prstGeom>
                  </pic:spPr>
                </pic:pic>
              </a:graphicData>
            </a:graphic>
          </wp:inline>
        </w:drawing>
      </w:r>
    </w:p>
    <w:p w14:paraId="32B455C2" w14:textId="6081D650" w:rsidR="008F05B9" w:rsidRPr="00D16AB0" w:rsidRDefault="008F05B9" w:rsidP="00F0558D">
      <w:pPr>
        <w:pStyle w:val="SMSubheading"/>
        <w:spacing w:beforeLines="50" w:before="120" w:afterLines="50" w:after="120" w:line="276" w:lineRule="auto"/>
        <w:rPr>
          <w:rFonts w:ascii="Arial" w:hAnsi="Arial" w:cs="Arial"/>
          <w:b/>
          <w:bCs/>
          <w:sz w:val="21"/>
          <w:szCs w:val="21"/>
          <w:u w:val="none"/>
          <w:lang w:val="en-GB"/>
        </w:rPr>
      </w:pPr>
      <w:bookmarkStart w:id="252" w:name="_Toc214982039"/>
      <w:bookmarkStart w:id="253" w:name="_Toc214984263"/>
      <w:bookmarkStart w:id="254" w:name="_Toc214984289"/>
      <w:bookmarkStart w:id="255" w:name="_Toc214984959"/>
      <w:bookmarkStart w:id="256" w:name="_Toc214985848"/>
      <w:bookmarkStart w:id="257" w:name="_Toc214986990"/>
      <w:r w:rsidRPr="00D16AB0">
        <w:rPr>
          <w:rFonts w:ascii="Arial" w:hAnsi="Arial" w:cs="Arial"/>
          <w:b/>
          <w:bCs/>
          <w:sz w:val="21"/>
          <w:szCs w:val="21"/>
          <w:u w:val="none"/>
          <w:lang w:val="en-GB"/>
        </w:rPr>
        <w:t>Fig</w:t>
      </w:r>
      <w:r w:rsidR="0019488A" w:rsidRPr="00D16AB0">
        <w:rPr>
          <w:rFonts w:ascii="Arial" w:hAnsi="Arial" w:cs="Arial"/>
          <w:b/>
          <w:bCs/>
          <w:sz w:val="21"/>
          <w:szCs w:val="21"/>
          <w:u w:val="none"/>
          <w:lang w:val="en-GB"/>
        </w:rPr>
        <w:t>ure</w:t>
      </w:r>
      <w:r w:rsidRPr="00D16AB0">
        <w:rPr>
          <w:rFonts w:ascii="Arial" w:hAnsi="Arial" w:cs="Arial"/>
          <w:b/>
          <w:bCs/>
          <w:sz w:val="21"/>
          <w:szCs w:val="21"/>
          <w:u w:val="none"/>
          <w:lang w:val="en-GB"/>
        </w:rPr>
        <w:t xml:space="preserve"> </w:t>
      </w:r>
      <w:r w:rsidR="00F27CBB">
        <w:rPr>
          <w:rFonts w:ascii="Arial" w:hAnsi="Arial" w:cs="Arial"/>
          <w:b/>
          <w:bCs/>
          <w:sz w:val="21"/>
          <w:szCs w:val="21"/>
          <w:u w:val="none"/>
          <w:lang w:val="en-GB"/>
        </w:rPr>
        <w:t>6</w:t>
      </w:r>
      <w:r w:rsidRPr="00D16AB0">
        <w:rPr>
          <w:rFonts w:ascii="Arial" w:hAnsi="Arial" w:cs="Arial"/>
          <w:b/>
          <w:bCs/>
          <w:sz w:val="21"/>
          <w:szCs w:val="21"/>
          <w:u w:val="none"/>
          <w:lang w:val="en-GB"/>
        </w:rPr>
        <w:t xml:space="preserve">. </w:t>
      </w:r>
      <w:r w:rsidR="007F3B3E" w:rsidRPr="00D16AB0">
        <w:rPr>
          <w:rFonts w:ascii="Arial" w:hAnsi="Arial" w:cs="Arial"/>
          <w:b/>
          <w:bCs/>
          <w:sz w:val="21"/>
          <w:szCs w:val="21"/>
          <w:u w:val="none"/>
          <w:lang w:val="en-GB"/>
        </w:rPr>
        <w:t>Comparison of observed and actual IRRs</w:t>
      </w:r>
      <w:r w:rsidR="002179EB" w:rsidRPr="00D16AB0">
        <w:rPr>
          <w:rFonts w:ascii="Arial" w:hAnsi="Arial" w:cs="Arial"/>
          <w:b/>
          <w:bCs/>
          <w:sz w:val="21"/>
          <w:szCs w:val="21"/>
          <w:u w:val="none"/>
          <w:lang w:val="en-GB"/>
        </w:rPr>
        <w:t xml:space="preserve"> without and with</w:t>
      </w:r>
      <w:r w:rsidR="00F061B7" w:rsidRPr="00D16AB0">
        <w:rPr>
          <w:rFonts w:ascii="Arial" w:hAnsi="Arial" w:cs="Arial"/>
          <w:b/>
          <w:bCs/>
          <w:sz w:val="21"/>
          <w:szCs w:val="21"/>
          <w:u w:val="none"/>
          <w:lang w:val="en-GB"/>
        </w:rPr>
        <w:t xml:space="preserve"> credit</w:t>
      </w:r>
      <w:r w:rsidR="002179EB" w:rsidRPr="00D16AB0">
        <w:rPr>
          <w:rFonts w:ascii="Arial" w:hAnsi="Arial" w:cs="Arial"/>
          <w:b/>
          <w:bCs/>
          <w:sz w:val="21"/>
          <w:szCs w:val="21"/>
          <w:u w:val="none"/>
          <w:lang w:val="en-GB"/>
        </w:rPr>
        <w:t xml:space="preserve"> revenue</w:t>
      </w:r>
      <w:r w:rsidR="00684F48" w:rsidRPr="00D16AB0">
        <w:rPr>
          <w:rFonts w:ascii="Arial" w:hAnsi="Arial" w:cs="Arial"/>
          <w:b/>
          <w:bCs/>
          <w:sz w:val="21"/>
          <w:szCs w:val="21"/>
          <w:u w:val="none"/>
          <w:lang w:val="en-GB"/>
        </w:rPr>
        <w:t>s</w:t>
      </w:r>
      <w:bookmarkEnd w:id="252"/>
      <w:bookmarkEnd w:id="253"/>
      <w:bookmarkEnd w:id="254"/>
      <w:bookmarkEnd w:id="255"/>
      <w:bookmarkEnd w:id="256"/>
      <w:bookmarkEnd w:id="257"/>
    </w:p>
    <w:p w14:paraId="092EF764" w14:textId="612AD778" w:rsidR="00E70A81" w:rsidRPr="00D16AB0" w:rsidRDefault="00B928B2" w:rsidP="00256C79">
      <w:pPr>
        <w:pStyle w:val="SMText"/>
        <w:spacing w:line="276" w:lineRule="auto"/>
        <w:ind w:firstLine="0"/>
        <w:rPr>
          <w:rFonts w:ascii="Arial" w:hAnsi="Arial" w:cs="Arial"/>
          <w:sz w:val="20"/>
          <w:lang w:val="en-GB" w:eastAsia="zh-CN"/>
        </w:rPr>
      </w:pPr>
      <w:r w:rsidRPr="00D16AB0">
        <w:rPr>
          <w:rFonts w:ascii="Arial" w:hAnsi="Arial" w:cs="Arial"/>
          <w:iCs/>
          <w:sz w:val="20"/>
          <w:lang w:val="en-GB"/>
        </w:rPr>
        <w:t>The dark blue</w:t>
      </w:r>
      <w:r w:rsidR="007F63EB" w:rsidRPr="00D16AB0">
        <w:rPr>
          <w:rFonts w:ascii="Arial" w:hAnsi="Arial" w:cs="Arial"/>
          <w:iCs/>
          <w:sz w:val="20"/>
          <w:lang w:val="en-GB"/>
        </w:rPr>
        <w:t xml:space="preserve"> curve and </w:t>
      </w:r>
      <w:r w:rsidR="00357426" w:rsidRPr="00D16AB0">
        <w:rPr>
          <w:rFonts w:ascii="Arial" w:hAnsi="Arial" w:cs="Arial"/>
          <w:iCs/>
          <w:sz w:val="20"/>
          <w:lang w:val="en-GB"/>
        </w:rPr>
        <w:t xml:space="preserve">the </w:t>
      </w:r>
      <w:r w:rsidR="007F63EB" w:rsidRPr="00D16AB0">
        <w:rPr>
          <w:rFonts w:ascii="Arial" w:hAnsi="Arial" w:cs="Arial"/>
          <w:iCs/>
          <w:sz w:val="20"/>
          <w:lang w:val="en-GB"/>
        </w:rPr>
        <w:t xml:space="preserve">dark green curve </w:t>
      </w:r>
      <w:r w:rsidR="0098045D" w:rsidRPr="00D16AB0">
        <w:rPr>
          <w:rFonts w:ascii="Arial" w:hAnsi="Arial" w:cs="Arial"/>
          <w:iCs/>
          <w:sz w:val="20"/>
          <w:lang w:val="en-GB"/>
        </w:rPr>
        <w:t>refer to the distributions of</w:t>
      </w:r>
      <w:r w:rsidR="007F63EB" w:rsidRPr="00D16AB0">
        <w:rPr>
          <w:rFonts w:ascii="Arial" w:hAnsi="Arial" w:cs="Arial"/>
          <w:iCs/>
          <w:sz w:val="20"/>
          <w:lang w:val="en-GB"/>
        </w:rPr>
        <w:t xml:space="preserve"> observ</w:t>
      </w:r>
      <w:r w:rsidR="001E52C2" w:rsidRPr="00D16AB0">
        <w:rPr>
          <w:rFonts w:ascii="Arial" w:hAnsi="Arial" w:cs="Arial"/>
          <w:iCs/>
          <w:sz w:val="20"/>
          <w:lang w:val="en-GB"/>
        </w:rPr>
        <w:t>able</w:t>
      </w:r>
      <w:r w:rsidR="007F63EB" w:rsidRPr="00D16AB0">
        <w:rPr>
          <w:rFonts w:ascii="Arial" w:hAnsi="Arial" w:cs="Arial"/>
          <w:iCs/>
          <w:sz w:val="20"/>
          <w:lang w:val="en-GB"/>
        </w:rPr>
        <w:t xml:space="preserve"> reported</w:t>
      </w:r>
      <w:r w:rsidR="00A87F6C" w:rsidRPr="00D16AB0">
        <w:rPr>
          <w:rFonts w:ascii="Arial" w:hAnsi="Arial" w:cs="Arial"/>
          <w:iCs/>
          <w:sz w:val="20"/>
          <w:lang w:val="en-GB"/>
        </w:rPr>
        <w:t xml:space="preserve"> </w:t>
      </w:r>
      <w:r w:rsidR="0037116A" w:rsidRPr="00D16AB0">
        <w:rPr>
          <w:rFonts w:ascii="Arial" w:hAnsi="Arial" w:cs="Arial"/>
          <w:iCs/>
          <w:sz w:val="20"/>
          <w:lang w:val="en-GB"/>
        </w:rPr>
        <w:t>IRRs</w:t>
      </w:r>
      <w:r w:rsidR="00B73378" w:rsidRPr="00D16AB0">
        <w:rPr>
          <w:rFonts w:ascii="Arial" w:hAnsi="Arial" w:cs="Arial"/>
          <w:iCs/>
          <w:sz w:val="20"/>
          <w:lang w:val="en-GB"/>
        </w:rPr>
        <w:t xml:space="preserve"> without and with credit revenues</w:t>
      </w:r>
      <w:r w:rsidR="00917EB4" w:rsidRPr="00D16AB0">
        <w:rPr>
          <w:rFonts w:ascii="Arial" w:hAnsi="Arial" w:cs="Arial"/>
          <w:iCs/>
          <w:sz w:val="20"/>
          <w:lang w:val="en-GB"/>
        </w:rPr>
        <w:t xml:space="preserve"> respectively</w:t>
      </w:r>
      <w:r w:rsidR="00B73378" w:rsidRPr="00D16AB0">
        <w:rPr>
          <w:rFonts w:ascii="Arial" w:hAnsi="Arial" w:cs="Arial"/>
          <w:iCs/>
          <w:sz w:val="20"/>
          <w:lang w:val="en-GB"/>
        </w:rPr>
        <w:t>.</w:t>
      </w:r>
      <w:r w:rsidR="0037116A" w:rsidRPr="00D16AB0">
        <w:rPr>
          <w:rFonts w:ascii="Arial" w:hAnsi="Arial" w:cs="Arial"/>
          <w:iCs/>
          <w:sz w:val="20"/>
          <w:lang w:val="en-GB"/>
        </w:rPr>
        <w:t xml:space="preserve"> </w:t>
      </w:r>
      <w:r w:rsidR="00825A5F" w:rsidRPr="00D16AB0">
        <w:rPr>
          <w:rFonts w:ascii="Arial" w:hAnsi="Arial" w:cs="Arial"/>
          <w:iCs/>
          <w:sz w:val="20"/>
          <w:lang w:val="en-GB"/>
        </w:rPr>
        <w:t xml:space="preserve">The </w:t>
      </w:r>
      <w:r w:rsidR="001361AC" w:rsidRPr="00D16AB0">
        <w:rPr>
          <w:rFonts w:ascii="Arial" w:hAnsi="Arial" w:cs="Arial"/>
          <w:iCs/>
          <w:sz w:val="20"/>
          <w:lang w:val="en-GB"/>
        </w:rPr>
        <w:t xml:space="preserve">light blue </w:t>
      </w:r>
      <w:r w:rsidR="00163D38" w:rsidRPr="00D16AB0">
        <w:rPr>
          <w:rFonts w:ascii="Arial" w:hAnsi="Arial" w:cs="Arial"/>
          <w:iCs/>
          <w:sz w:val="20"/>
          <w:lang w:val="en-GB"/>
        </w:rPr>
        <w:t xml:space="preserve">curve </w:t>
      </w:r>
      <w:r w:rsidR="001361AC" w:rsidRPr="00D16AB0">
        <w:rPr>
          <w:rFonts w:ascii="Arial" w:hAnsi="Arial" w:cs="Arial"/>
          <w:iCs/>
          <w:sz w:val="20"/>
          <w:lang w:val="en-GB"/>
        </w:rPr>
        <w:t xml:space="preserve">and </w:t>
      </w:r>
      <w:r w:rsidR="004B7A2B" w:rsidRPr="00D16AB0">
        <w:rPr>
          <w:rFonts w:ascii="Arial" w:hAnsi="Arial" w:cs="Arial"/>
          <w:iCs/>
          <w:sz w:val="20"/>
          <w:lang w:val="en-GB"/>
        </w:rPr>
        <w:t xml:space="preserve">the </w:t>
      </w:r>
      <w:r w:rsidR="001361AC" w:rsidRPr="00D16AB0">
        <w:rPr>
          <w:rFonts w:ascii="Arial" w:hAnsi="Arial" w:cs="Arial"/>
          <w:iCs/>
          <w:sz w:val="20"/>
          <w:lang w:val="en-GB"/>
        </w:rPr>
        <w:t xml:space="preserve">light green curve refer to </w:t>
      </w:r>
      <w:r w:rsidR="00217398" w:rsidRPr="00D16AB0">
        <w:rPr>
          <w:rFonts w:ascii="Arial" w:hAnsi="Arial" w:cs="Arial"/>
          <w:iCs/>
          <w:sz w:val="20"/>
          <w:lang w:val="en-GB"/>
        </w:rPr>
        <w:t>the distribution</w:t>
      </w:r>
      <w:r w:rsidR="002E4FD2" w:rsidRPr="00D16AB0">
        <w:rPr>
          <w:rFonts w:ascii="Arial" w:hAnsi="Arial" w:cs="Arial"/>
          <w:iCs/>
          <w:sz w:val="20"/>
          <w:lang w:val="en-GB"/>
        </w:rPr>
        <w:t xml:space="preserve">s of </w:t>
      </w:r>
      <w:r w:rsidR="008D5B95" w:rsidRPr="00D16AB0">
        <w:rPr>
          <w:rFonts w:ascii="Arial" w:hAnsi="Arial" w:cs="Arial"/>
          <w:iCs/>
          <w:sz w:val="20"/>
          <w:lang w:val="en-GB"/>
        </w:rPr>
        <w:t xml:space="preserve">unobservable </w:t>
      </w:r>
      <w:r w:rsidR="00DB3C0B" w:rsidRPr="00D16AB0">
        <w:rPr>
          <w:rFonts w:ascii="Arial" w:hAnsi="Arial" w:cs="Arial"/>
          <w:iCs/>
          <w:sz w:val="20"/>
          <w:lang w:val="en-GB"/>
        </w:rPr>
        <w:t>actual IRR</w:t>
      </w:r>
      <w:r w:rsidR="00B50E19" w:rsidRPr="00D16AB0">
        <w:rPr>
          <w:rFonts w:ascii="Arial" w:hAnsi="Arial" w:cs="Arial"/>
          <w:iCs/>
          <w:sz w:val="20"/>
          <w:lang w:val="en-GB"/>
        </w:rPr>
        <w:t xml:space="preserve">s </w:t>
      </w:r>
      <w:r w:rsidR="00EF1ED1" w:rsidRPr="00D16AB0">
        <w:rPr>
          <w:rFonts w:ascii="Arial" w:hAnsi="Arial" w:cs="Arial"/>
          <w:iCs/>
          <w:sz w:val="20"/>
          <w:lang w:val="en-GB"/>
        </w:rPr>
        <w:t xml:space="preserve">without and with </w:t>
      </w:r>
      <w:r w:rsidR="00BC13C5" w:rsidRPr="00D16AB0">
        <w:rPr>
          <w:rFonts w:ascii="Arial" w:hAnsi="Arial" w:cs="Arial"/>
          <w:iCs/>
          <w:sz w:val="20"/>
          <w:lang w:val="en-GB"/>
        </w:rPr>
        <w:t>credit revenues</w:t>
      </w:r>
      <w:r w:rsidR="0063225D" w:rsidRPr="00D16AB0">
        <w:rPr>
          <w:rFonts w:ascii="Arial" w:hAnsi="Arial" w:cs="Arial"/>
          <w:iCs/>
          <w:sz w:val="20"/>
          <w:lang w:val="en-GB"/>
        </w:rPr>
        <w:t xml:space="preserve"> respectively</w:t>
      </w:r>
      <w:r w:rsidR="00E946B5" w:rsidRPr="00D16AB0">
        <w:rPr>
          <w:rFonts w:ascii="Arial" w:hAnsi="Arial" w:cs="Arial"/>
          <w:iCs/>
          <w:sz w:val="20"/>
          <w:lang w:val="en-GB"/>
        </w:rPr>
        <w:t xml:space="preserve"> in the current regime</w:t>
      </w:r>
      <w:r w:rsidR="0063225D" w:rsidRPr="00D16AB0">
        <w:rPr>
          <w:rFonts w:ascii="Arial" w:hAnsi="Arial" w:cs="Arial"/>
          <w:iCs/>
          <w:sz w:val="20"/>
          <w:lang w:val="en-GB"/>
        </w:rPr>
        <w:t xml:space="preserve">. </w:t>
      </w:r>
      <w:r w:rsidR="007C7F20" w:rsidRPr="00D16AB0">
        <w:rPr>
          <w:rFonts w:ascii="Arial" w:hAnsi="Arial" w:cs="Arial"/>
          <w:iCs/>
          <w:sz w:val="20"/>
          <w:lang w:val="en-GB"/>
        </w:rPr>
        <w:t>It is observed that the actual IRRs with credit revenues</w:t>
      </w:r>
      <w:r w:rsidR="00EC5531" w:rsidRPr="00D16AB0">
        <w:rPr>
          <w:rFonts w:ascii="Arial" w:hAnsi="Arial" w:cs="Arial"/>
          <w:iCs/>
          <w:sz w:val="20"/>
          <w:lang w:val="en-GB"/>
        </w:rPr>
        <w:t xml:space="preserve"> </w:t>
      </w:r>
      <w:r w:rsidR="00903EF2" w:rsidRPr="00D16AB0">
        <w:rPr>
          <w:rFonts w:ascii="Arial" w:hAnsi="Arial" w:cs="Arial"/>
          <w:iCs/>
          <w:sz w:val="20"/>
          <w:lang w:val="en-GB"/>
        </w:rPr>
        <w:t>are</w:t>
      </w:r>
      <w:r w:rsidR="00AE224B" w:rsidRPr="00D16AB0">
        <w:rPr>
          <w:rFonts w:ascii="Arial" w:hAnsi="Arial" w:cs="Arial"/>
          <w:iCs/>
          <w:sz w:val="20"/>
          <w:lang w:val="en-GB"/>
        </w:rPr>
        <w:t xml:space="preserve"> far higher than </w:t>
      </w:r>
      <w:r w:rsidR="00F55959" w:rsidRPr="00D16AB0">
        <w:rPr>
          <w:rFonts w:ascii="Arial" w:hAnsi="Arial" w:cs="Arial"/>
          <w:iCs/>
          <w:sz w:val="20"/>
          <w:lang w:val="en-GB"/>
        </w:rPr>
        <w:t>the hurdle rate</w:t>
      </w:r>
      <w:r w:rsidR="00456D34" w:rsidRPr="00D16AB0">
        <w:rPr>
          <w:rFonts w:ascii="Arial" w:hAnsi="Arial" w:cs="Arial"/>
          <w:iCs/>
          <w:sz w:val="20"/>
          <w:lang w:val="en-GB"/>
        </w:rPr>
        <w:t xml:space="preserve"> for </w:t>
      </w:r>
      <w:r w:rsidR="006A6CE9" w:rsidRPr="00D16AB0">
        <w:rPr>
          <w:rFonts w:ascii="Arial" w:hAnsi="Arial" w:cs="Arial"/>
          <w:iCs/>
          <w:sz w:val="20"/>
          <w:lang w:val="en-GB"/>
        </w:rPr>
        <w:t xml:space="preserve">a majority of </w:t>
      </w:r>
      <w:r w:rsidR="00456D34" w:rsidRPr="00D16AB0">
        <w:rPr>
          <w:rFonts w:ascii="Arial" w:hAnsi="Arial" w:cs="Arial"/>
          <w:iCs/>
          <w:sz w:val="20"/>
          <w:lang w:val="en-GB"/>
        </w:rPr>
        <w:t>projects</w:t>
      </w:r>
      <w:r w:rsidR="00F55959" w:rsidRPr="00D16AB0">
        <w:rPr>
          <w:rFonts w:ascii="Arial" w:hAnsi="Arial" w:cs="Arial"/>
          <w:iCs/>
          <w:sz w:val="20"/>
          <w:lang w:val="en-GB"/>
        </w:rPr>
        <w:t xml:space="preserve">, indicating the systematic </w:t>
      </w:r>
      <w:r w:rsidR="00F13641" w:rsidRPr="00D16AB0">
        <w:rPr>
          <w:rFonts w:ascii="Arial" w:hAnsi="Arial" w:cs="Arial"/>
          <w:iCs/>
          <w:sz w:val="20"/>
          <w:lang w:val="en-GB"/>
        </w:rPr>
        <w:t xml:space="preserve">over-crediting issue. </w:t>
      </w:r>
      <w:r w:rsidR="00E07F49" w:rsidRPr="00D16AB0">
        <w:rPr>
          <w:rFonts w:ascii="Arial" w:hAnsi="Arial" w:cs="Arial"/>
          <w:iCs/>
          <w:sz w:val="20"/>
          <w:lang w:val="en-GB"/>
        </w:rPr>
        <w:t xml:space="preserve">The </w:t>
      </w:r>
      <w:r w:rsidR="00C91C1C" w:rsidRPr="00D16AB0">
        <w:rPr>
          <w:rFonts w:ascii="Arial" w:hAnsi="Arial" w:cs="Arial"/>
          <w:iCs/>
          <w:sz w:val="20"/>
          <w:lang w:val="en-GB"/>
        </w:rPr>
        <w:t>light-yellow</w:t>
      </w:r>
      <w:r w:rsidR="00E07F49" w:rsidRPr="00D16AB0">
        <w:rPr>
          <w:rFonts w:ascii="Arial" w:hAnsi="Arial" w:cs="Arial"/>
          <w:iCs/>
          <w:sz w:val="20"/>
          <w:lang w:val="en-GB"/>
        </w:rPr>
        <w:t xml:space="preserve"> curve </w:t>
      </w:r>
      <w:r w:rsidR="003B6D58" w:rsidRPr="00D16AB0">
        <w:rPr>
          <w:rFonts w:ascii="Arial" w:hAnsi="Arial" w:cs="Arial"/>
          <w:iCs/>
          <w:sz w:val="20"/>
          <w:lang w:val="en-GB"/>
        </w:rPr>
        <w:t>refer</w:t>
      </w:r>
      <w:r w:rsidR="005A4573" w:rsidRPr="00D16AB0">
        <w:rPr>
          <w:rFonts w:ascii="Arial" w:hAnsi="Arial" w:cs="Arial"/>
          <w:iCs/>
          <w:sz w:val="20"/>
          <w:lang w:val="en-GB"/>
        </w:rPr>
        <w:t>s</w:t>
      </w:r>
      <w:r w:rsidR="003B6D58" w:rsidRPr="00D16AB0">
        <w:rPr>
          <w:rFonts w:ascii="Arial" w:hAnsi="Arial" w:cs="Arial"/>
          <w:iCs/>
          <w:sz w:val="20"/>
          <w:lang w:val="en-GB"/>
        </w:rPr>
        <w:t xml:space="preserve"> to the distribution of unobservable actual IRRs with </w:t>
      </w:r>
      <w:r w:rsidR="00921B28" w:rsidRPr="00D16AB0">
        <w:rPr>
          <w:rFonts w:ascii="Arial" w:hAnsi="Arial" w:cs="Arial"/>
          <w:iCs/>
          <w:sz w:val="20"/>
          <w:lang w:val="en-GB"/>
        </w:rPr>
        <w:t>discount</w:t>
      </w:r>
      <w:r w:rsidR="00513C87" w:rsidRPr="00D16AB0">
        <w:rPr>
          <w:rFonts w:ascii="Arial" w:hAnsi="Arial" w:cs="Arial"/>
          <w:iCs/>
          <w:sz w:val="20"/>
          <w:lang w:val="en-GB"/>
        </w:rPr>
        <w:t>ed</w:t>
      </w:r>
      <w:r w:rsidR="00921B28" w:rsidRPr="00D16AB0">
        <w:rPr>
          <w:rFonts w:ascii="Arial" w:hAnsi="Arial" w:cs="Arial"/>
          <w:iCs/>
          <w:sz w:val="20"/>
          <w:lang w:val="en-GB"/>
        </w:rPr>
        <w:t xml:space="preserve"> partial </w:t>
      </w:r>
      <w:r w:rsidR="003B6D58" w:rsidRPr="00D16AB0">
        <w:rPr>
          <w:rFonts w:ascii="Arial" w:hAnsi="Arial" w:cs="Arial"/>
          <w:iCs/>
          <w:sz w:val="20"/>
          <w:lang w:val="en-GB"/>
        </w:rPr>
        <w:t xml:space="preserve">credit revenues </w:t>
      </w:r>
      <w:r w:rsidR="001D5444" w:rsidRPr="00D16AB0">
        <w:rPr>
          <w:rFonts w:ascii="Arial" w:hAnsi="Arial" w:cs="Arial"/>
          <w:iCs/>
          <w:sz w:val="20"/>
          <w:lang w:val="en-GB"/>
        </w:rPr>
        <w:t>in the proposed regime.</w:t>
      </w:r>
    </w:p>
    <w:p w14:paraId="3517CDA9" w14:textId="2E45D512" w:rsidR="006801DF" w:rsidRPr="00D16AB0" w:rsidRDefault="00A71BD0" w:rsidP="00256C79">
      <w:pPr>
        <w:spacing w:line="276" w:lineRule="auto"/>
        <w:rPr>
          <w:rFonts w:ascii="Arial" w:hAnsi="Arial" w:cs="Arial"/>
          <w:sz w:val="22"/>
          <w:szCs w:val="22"/>
          <w:lang w:val="en-GB"/>
        </w:rPr>
      </w:pPr>
      <w:r w:rsidRPr="00D16AB0">
        <w:rPr>
          <w:rFonts w:ascii="Arial" w:hAnsi="Arial" w:cs="Arial"/>
          <w:sz w:val="22"/>
          <w:szCs w:val="22"/>
          <w:lang w:val="en-GB"/>
        </w:rPr>
        <w:br w:type="page"/>
      </w:r>
    </w:p>
    <w:p w14:paraId="52D6DFEC" w14:textId="2C145146" w:rsidR="00766E9D" w:rsidRPr="00D16AB0" w:rsidRDefault="00A00FC3" w:rsidP="004A2072">
      <w:pPr>
        <w:spacing w:after="120" w:line="276" w:lineRule="auto"/>
        <w:jc w:val="center"/>
        <w:rPr>
          <w:rFonts w:ascii="Arial" w:hAnsi="Arial" w:cs="Arial"/>
          <w:noProof/>
          <w:sz w:val="21"/>
          <w:szCs w:val="21"/>
          <w:lang w:val="en-GB"/>
        </w:rPr>
      </w:pPr>
      <w:r w:rsidRPr="00D16AB0">
        <w:rPr>
          <w:rFonts w:ascii="Arial" w:hAnsi="Arial" w:cs="Arial"/>
          <w:noProof/>
          <w:sz w:val="21"/>
          <w:szCs w:val="21"/>
          <w:lang w:val="en-GB"/>
        </w:rPr>
        <w:lastRenderedPageBreak/>
        <w:drawing>
          <wp:inline distT="0" distB="0" distL="0" distR="0" wp14:anchorId="227EC7DE" wp14:editId="7E16FC33">
            <wp:extent cx="5476973" cy="6132337"/>
            <wp:effectExtent l="0" t="0" r="0" b="1905"/>
            <wp:docPr id="1110965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65204" name="图片 11109652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1889" cy="6137841"/>
                    </a:xfrm>
                    <a:prstGeom prst="rect">
                      <a:avLst/>
                    </a:prstGeom>
                  </pic:spPr>
                </pic:pic>
              </a:graphicData>
            </a:graphic>
          </wp:inline>
        </w:drawing>
      </w:r>
    </w:p>
    <w:p w14:paraId="17289689" w14:textId="0AE6E48A" w:rsidR="00DA2455" w:rsidRPr="00D16AB0" w:rsidRDefault="006801DF" w:rsidP="00F0558D">
      <w:pPr>
        <w:pStyle w:val="SMSubheading"/>
        <w:spacing w:beforeLines="50" w:before="120" w:afterLines="50" w:after="120" w:line="276" w:lineRule="auto"/>
        <w:rPr>
          <w:rFonts w:ascii="Arial" w:hAnsi="Arial" w:cs="Arial"/>
          <w:b/>
          <w:bCs/>
          <w:sz w:val="21"/>
          <w:szCs w:val="21"/>
          <w:u w:val="none"/>
          <w:lang w:val="en-GB"/>
        </w:rPr>
      </w:pPr>
      <w:bookmarkStart w:id="258" w:name="_Toc214982040"/>
      <w:bookmarkStart w:id="259" w:name="_Toc214984264"/>
      <w:bookmarkStart w:id="260" w:name="_Toc214984290"/>
      <w:bookmarkStart w:id="261" w:name="_Toc214984960"/>
      <w:bookmarkStart w:id="262" w:name="_Toc214985849"/>
      <w:bookmarkStart w:id="263" w:name="_Toc214986991"/>
      <w:r w:rsidRPr="00D16AB0">
        <w:rPr>
          <w:rFonts w:ascii="Arial" w:hAnsi="Arial" w:cs="Arial"/>
          <w:b/>
          <w:bCs/>
          <w:sz w:val="21"/>
          <w:szCs w:val="21"/>
          <w:u w:val="none"/>
          <w:lang w:val="en-GB"/>
        </w:rPr>
        <w:t>Fig</w:t>
      </w:r>
      <w:r w:rsidR="008A0FD5" w:rsidRPr="00D16AB0">
        <w:rPr>
          <w:rFonts w:ascii="Arial" w:hAnsi="Arial" w:cs="Arial"/>
          <w:b/>
          <w:bCs/>
          <w:sz w:val="21"/>
          <w:szCs w:val="21"/>
          <w:u w:val="none"/>
          <w:lang w:val="en-GB"/>
        </w:rPr>
        <w:t>ure</w:t>
      </w:r>
      <w:r w:rsidRPr="00D16AB0">
        <w:rPr>
          <w:rFonts w:ascii="Arial" w:hAnsi="Arial" w:cs="Arial"/>
          <w:b/>
          <w:bCs/>
          <w:sz w:val="21"/>
          <w:szCs w:val="21"/>
          <w:u w:val="none"/>
          <w:lang w:val="en-GB"/>
        </w:rPr>
        <w:t xml:space="preserve"> </w:t>
      </w:r>
      <w:r w:rsidR="00F27CBB">
        <w:rPr>
          <w:rFonts w:ascii="Arial" w:hAnsi="Arial" w:cs="Arial"/>
          <w:b/>
          <w:bCs/>
          <w:sz w:val="21"/>
          <w:szCs w:val="21"/>
          <w:u w:val="none"/>
          <w:lang w:val="en-GB"/>
        </w:rPr>
        <w:t>7</w:t>
      </w:r>
      <w:r w:rsidRPr="00D16AB0">
        <w:rPr>
          <w:rFonts w:ascii="Arial" w:hAnsi="Arial" w:cs="Arial"/>
          <w:b/>
          <w:bCs/>
          <w:sz w:val="21"/>
          <w:szCs w:val="21"/>
          <w:u w:val="none"/>
          <w:lang w:val="en-GB"/>
        </w:rPr>
        <w:t xml:space="preserve">. </w:t>
      </w:r>
      <w:r w:rsidR="00893DE5" w:rsidRPr="00D16AB0">
        <w:rPr>
          <w:rFonts w:ascii="Arial" w:hAnsi="Arial" w:cs="Arial"/>
          <w:b/>
          <w:bCs/>
          <w:sz w:val="21"/>
          <w:szCs w:val="21"/>
          <w:u w:val="none"/>
          <w:lang w:val="en-GB"/>
        </w:rPr>
        <w:t>Different levels of regulatory quality and</w:t>
      </w:r>
      <w:r w:rsidR="00C45FDA" w:rsidRPr="00D16AB0">
        <w:rPr>
          <w:rFonts w:ascii="Arial" w:hAnsi="Arial" w:cs="Arial"/>
          <w:b/>
          <w:bCs/>
          <w:sz w:val="21"/>
          <w:szCs w:val="21"/>
          <w:u w:val="none"/>
          <w:lang w:val="en-GB"/>
        </w:rPr>
        <w:t xml:space="preserve"> project outcomes</w:t>
      </w:r>
      <w:r w:rsidR="00966A45" w:rsidRPr="00D16AB0">
        <w:rPr>
          <w:rFonts w:ascii="Arial" w:hAnsi="Arial" w:cs="Arial"/>
          <w:b/>
          <w:bCs/>
          <w:sz w:val="21"/>
          <w:szCs w:val="21"/>
          <w:u w:val="none"/>
          <w:lang w:val="en-GB"/>
        </w:rPr>
        <w:t xml:space="preserve"> under the current regime</w:t>
      </w:r>
      <w:bookmarkEnd w:id="258"/>
      <w:bookmarkEnd w:id="259"/>
      <w:bookmarkEnd w:id="260"/>
      <w:bookmarkEnd w:id="261"/>
      <w:bookmarkEnd w:id="262"/>
      <w:bookmarkEnd w:id="263"/>
    </w:p>
    <w:p w14:paraId="7C4DA816" w14:textId="4DADC119" w:rsidR="00D148BE" w:rsidRPr="00D16AB0" w:rsidRDefault="00DA2455" w:rsidP="00E31C62">
      <w:pPr>
        <w:pStyle w:val="SMText"/>
        <w:spacing w:line="276" w:lineRule="auto"/>
        <w:ind w:firstLine="0"/>
        <w:rPr>
          <w:rFonts w:ascii="Arial" w:hAnsi="Arial" w:cs="Arial"/>
          <w:iCs/>
          <w:sz w:val="18"/>
          <w:szCs w:val="18"/>
          <w:lang w:val="en-GB"/>
        </w:rPr>
      </w:pPr>
      <w:r w:rsidRPr="00D16AB0">
        <w:rPr>
          <w:rFonts w:ascii="Arial" w:hAnsi="Arial" w:cs="Arial"/>
          <w:iCs/>
          <w:sz w:val="20"/>
          <w:lang w:val="en-GB"/>
        </w:rPr>
        <w:t>(</w:t>
      </w:r>
      <w:r w:rsidR="00E878C2" w:rsidRPr="00D16AB0">
        <w:rPr>
          <w:rFonts w:ascii="Arial" w:hAnsi="Arial" w:cs="Arial"/>
          <w:iCs/>
          <w:sz w:val="20"/>
          <w:lang w:val="en-GB"/>
        </w:rPr>
        <w:t>a</w:t>
      </w:r>
      <w:r w:rsidRPr="00D16AB0">
        <w:rPr>
          <w:rFonts w:ascii="Arial" w:hAnsi="Arial" w:cs="Arial"/>
          <w:iCs/>
          <w:sz w:val="20"/>
          <w:lang w:val="en-GB"/>
        </w:rPr>
        <w:t>) Project outcomes under random regulation (each project has the same probability of acceptance independent of its IRR). (</w:t>
      </w:r>
      <w:r w:rsidR="00E878C2" w:rsidRPr="00D16AB0">
        <w:rPr>
          <w:rFonts w:ascii="Arial" w:hAnsi="Arial" w:cs="Arial"/>
          <w:iCs/>
          <w:sz w:val="20"/>
          <w:lang w:val="en-GB"/>
        </w:rPr>
        <w:t>b</w:t>
      </w:r>
      <w:r w:rsidRPr="00D16AB0">
        <w:rPr>
          <w:rFonts w:ascii="Arial" w:hAnsi="Arial" w:cs="Arial"/>
          <w:iCs/>
          <w:sz w:val="20"/>
          <w:lang w:val="en-GB"/>
        </w:rPr>
        <w:t>) Project outcomes under inaccurate and positively biased regulation (false acceptances are more likely than false rejections, i.e.  the regime is too lenient). (</w:t>
      </w:r>
      <w:r w:rsidR="00E878C2" w:rsidRPr="00D16AB0">
        <w:rPr>
          <w:rFonts w:ascii="Arial" w:hAnsi="Arial" w:cs="Arial"/>
          <w:iCs/>
          <w:sz w:val="20"/>
          <w:lang w:val="en-GB"/>
        </w:rPr>
        <w:t>c</w:t>
      </w:r>
      <w:r w:rsidRPr="00D16AB0">
        <w:rPr>
          <w:rFonts w:ascii="Arial" w:hAnsi="Arial" w:cs="Arial"/>
          <w:iCs/>
          <w:sz w:val="20"/>
          <w:lang w:val="en-GB"/>
        </w:rPr>
        <w:t>) Project outcomes in face of inaccurate but unbiased regulation (false acceptances and false rejections are equally likely). (</w:t>
      </w:r>
      <w:r w:rsidR="00E878C2" w:rsidRPr="00D16AB0">
        <w:rPr>
          <w:rFonts w:ascii="Arial" w:hAnsi="Arial" w:cs="Arial"/>
          <w:iCs/>
          <w:sz w:val="20"/>
          <w:lang w:val="en-GB"/>
        </w:rPr>
        <w:t>d</w:t>
      </w:r>
      <w:r w:rsidRPr="00D16AB0">
        <w:rPr>
          <w:rFonts w:ascii="Arial" w:hAnsi="Arial" w:cs="Arial"/>
          <w:iCs/>
          <w:sz w:val="20"/>
          <w:lang w:val="en-GB"/>
        </w:rPr>
        <w:t>) Project outcomes under accurate unbiased regulation (regulatory quality is near-perfect; both false acceptances and false rejections are extremely rare). “Non-offset” refers to the outcome that a non-additional project does not apply for credits. Higher-quality regulation is associated with a higher proportion of non-offset projects.</w:t>
      </w:r>
      <w:r w:rsidR="00D148BE" w:rsidRPr="00D16AB0">
        <w:rPr>
          <w:rFonts w:ascii="Arial" w:hAnsi="Arial" w:cs="Arial"/>
          <w:sz w:val="18"/>
          <w:szCs w:val="18"/>
          <w:lang w:val="en-GB"/>
        </w:rPr>
        <w:br w:type="page"/>
      </w:r>
    </w:p>
    <w:p w14:paraId="798D224F" w14:textId="6687A18E" w:rsidR="00CD0E25" w:rsidRPr="00D16AB0" w:rsidRDefault="00CD0E25" w:rsidP="00256C79">
      <w:pPr>
        <w:pStyle w:val="SMHeading"/>
        <w:spacing w:line="276" w:lineRule="auto"/>
        <w:rPr>
          <w:rFonts w:ascii="Arial" w:hAnsi="Arial" w:cs="Arial"/>
          <w:sz w:val="21"/>
          <w:szCs w:val="21"/>
          <w:lang w:val="en-GB" w:eastAsia="zh-CN"/>
        </w:rPr>
      </w:pPr>
      <w:bookmarkStart w:id="264" w:name="_Toc214982041"/>
      <w:bookmarkStart w:id="265" w:name="_Toc214984265"/>
      <w:bookmarkStart w:id="266" w:name="_Toc214984291"/>
      <w:bookmarkStart w:id="267" w:name="_Toc214984961"/>
      <w:bookmarkStart w:id="268" w:name="_Toc214985850"/>
      <w:bookmarkStart w:id="269" w:name="_Toc214986992"/>
      <w:r w:rsidRPr="00D16AB0">
        <w:rPr>
          <w:rFonts w:ascii="Arial" w:hAnsi="Arial" w:cs="Arial"/>
          <w:sz w:val="21"/>
          <w:szCs w:val="21"/>
          <w:lang w:val="en-GB"/>
        </w:rPr>
        <w:lastRenderedPageBreak/>
        <w:t>Tables</w:t>
      </w:r>
      <w:bookmarkEnd w:id="264"/>
      <w:bookmarkEnd w:id="265"/>
      <w:bookmarkEnd w:id="266"/>
      <w:bookmarkEnd w:id="267"/>
      <w:bookmarkEnd w:id="268"/>
      <w:bookmarkEnd w:id="269"/>
    </w:p>
    <w:p w14:paraId="024A7ADE" w14:textId="757CF988" w:rsidR="005B3045" w:rsidRPr="00D16AB0" w:rsidRDefault="00015F74" w:rsidP="00EC0335">
      <w:pPr>
        <w:pStyle w:val="SMSubheading"/>
        <w:spacing w:beforeLines="50" w:before="120" w:line="276" w:lineRule="auto"/>
        <w:rPr>
          <w:rFonts w:ascii="Arial" w:hAnsi="Arial" w:cs="Arial"/>
          <w:b/>
          <w:bCs/>
          <w:sz w:val="21"/>
          <w:szCs w:val="21"/>
          <w:u w:val="none"/>
          <w:lang w:val="en-GB"/>
        </w:rPr>
      </w:pPr>
      <w:bookmarkStart w:id="270" w:name="_Toc214982042"/>
      <w:bookmarkStart w:id="271" w:name="_Toc214984266"/>
      <w:bookmarkStart w:id="272" w:name="_Toc214984292"/>
      <w:bookmarkStart w:id="273" w:name="_Toc214984962"/>
      <w:bookmarkStart w:id="274" w:name="_Toc214985851"/>
      <w:bookmarkStart w:id="275" w:name="_Toc214986993"/>
      <w:r w:rsidRPr="00D16AB0">
        <w:rPr>
          <w:rFonts w:ascii="Arial" w:hAnsi="Arial" w:cs="Arial"/>
          <w:b/>
          <w:bCs/>
          <w:sz w:val="21"/>
          <w:szCs w:val="21"/>
          <w:u w:val="none"/>
          <w:lang w:val="en-GB"/>
        </w:rPr>
        <w:t xml:space="preserve">Table </w:t>
      </w:r>
      <w:r w:rsidR="00F27CBB">
        <w:rPr>
          <w:rFonts w:ascii="Arial" w:hAnsi="Arial" w:cs="Arial"/>
          <w:b/>
          <w:bCs/>
          <w:sz w:val="21"/>
          <w:szCs w:val="21"/>
          <w:u w:val="none"/>
          <w:lang w:val="en-GB"/>
        </w:rPr>
        <w:t>1</w:t>
      </w:r>
      <w:r w:rsidRPr="00D16AB0">
        <w:rPr>
          <w:rFonts w:ascii="Arial" w:hAnsi="Arial" w:cs="Arial"/>
          <w:b/>
          <w:bCs/>
          <w:sz w:val="21"/>
          <w:szCs w:val="21"/>
          <w:u w:val="none"/>
          <w:lang w:val="en-GB"/>
        </w:rPr>
        <w:t>.</w:t>
      </w:r>
      <w:r w:rsidR="00A607C6" w:rsidRPr="00D16AB0">
        <w:rPr>
          <w:rFonts w:ascii="Arial" w:hAnsi="Arial" w:cs="Arial"/>
          <w:b/>
          <w:bCs/>
          <w:sz w:val="21"/>
          <w:szCs w:val="21"/>
          <w:u w:val="none"/>
          <w:lang w:val="en-GB"/>
        </w:rPr>
        <w:t xml:space="preserve"> Symbol and description of model parameters</w:t>
      </w:r>
      <w:bookmarkEnd w:id="270"/>
      <w:bookmarkEnd w:id="271"/>
      <w:bookmarkEnd w:id="272"/>
      <w:bookmarkEnd w:id="273"/>
      <w:bookmarkEnd w:id="274"/>
      <w:bookmarkEnd w:id="275"/>
    </w:p>
    <w:tbl>
      <w:tblPr>
        <w:tblStyle w:val="affff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
        <w:gridCol w:w="7256"/>
      </w:tblGrid>
      <w:tr w:rsidR="005B3045" w:rsidRPr="00D16AB0" w14:paraId="5B2B738B" w14:textId="77777777" w:rsidTr="002243BE">
        <w:trPr>
          <w:trHeight w:val="20"/>
        </w:trPr>
        <w:tc>
          <w:tcPr>
            <w:tcW w:w="1050" w:type="dxa"/>
            <w:tcBorders>
              <w:top w:val="single" w:sz="4" w:space="0" w:color="auto"/>
              <w:bottom w:val="single" w:sz="4" w:space="0" w:color="auto"/>
            </w:tcBorders>
            <w:vAlign w:val="center"/>
          </w:tcPr>
          <w:p w14:paraId="7E584028" w14:textId="77777777" w:rsidR="005B3045" w:rsidRPr="00D16AB0" w:rsidRDefault="005B3045" w:rsidP="00EB6DEF">
            <w:pPr>
              <w:jc w:val="center"/>
              <w:rPr>
                <w:rFonts w:ascii="Arial" w:hAnsi="Arial" w:cs="Arial"/>
                <w:sz w:val="21"/>
                <w:szCs w:val="21"/>
              </w:rPr>
            </w:pPr>
            <w:r w:rsidRPr="00D16AB0">
              <w:rPr>
                <w:rFonts w:ascii="Arial" w:hAnsi="Arial" w:cs="Arial"/>
                <w:sz w:val="21"/>
                <w:szCs w:val="21"/>
              </w:rPr>
              <w:t>Symbol</w:t>
            </w:r>
          </w:p>
        </w:tc>
        <w:tc>
          <w:tcPr>
            <w:tcW w:w="7256" w:type="dxa"/>
            <w:tcBorders>
              <w:top w:val="single" w:sz="4" w:space="0" w:color="auto"/>
              <w:bottom w:val="single" w:sz="4" w:space="0" w:color="auto"/>
            </w:tcBorders>
            <w:vAlign w:val="center"/>
          </w:tcPr>
          <w:p w14:paraId="1AA23081" w14:textId="77777777" w:rsidR="005B3045" w:rsidRPr="00D16AB0" w:rsidRDefault="005B3045" w:rsidP="00EB6DEF">
            <w:pPr>
              <w:jc w:val="center"/>
              <w:rPr>
                <w:rFonts w:ascii="Arial" w:hAnsi="Arial" w:cs="Arial"/>
                <w:sz w:val="21"/>
                <w:szCs w:val="21"/>
              </w:rPr>
            </w:pPr>
            <w:r w:rsidRPr="00D16AB0">
              <w:rPr>
                <w:rFonts w:ascii="Arial" w:hAnsi="Arial" w:cs="Arial"/>
                <w:sz w:val="21"/>
                <w:szCs w:val="21"/>
              </w:rPr>
              <w:t>Description</w:t>
            </w:r>
          </w:p>
        </w:tc>
      </w:tr>
      <w:tr w:rsidR="005B3045" w:rsidRPr="00D16AB0" w14:paraId="6D1CCB2D" w14:textId="77777777" w:rsidTr="002243BE">
        <w:trPr>
          <w:trHeight w:val="20"/>
        </w:trPr>
        <w:tc>
          <w:tcPr>
            <w:tcW w:w="8306" w:type="dxa"/>
            <w:gridSpan w:val="2"/>
            <w:tcBorders>
              <w:top w:val="single" w:sz="4" w:space="0" w:color="auto"/>
              <w:bottom w:val="nil"/>
            </w:tcBorders>
          </w:tcPr>
          <w:p w14:paraId="2CFC7B8E" w14:textId="77777777" w:rsidR="005B3045" w:rsidRPr="00D16AB0" w:rsidRDefault="005B3045" w:rsidP="00EB6DEF">
            <w:pPr>
              <w:jc w:val="center"/>
              <w:rPr>
                <w:rFonts w:ascii="Arial" w:hAnsi="Arial" w:cs="Arial"/>
                <w:sz w:val="21"/>
                <w:szCs w:val="21"/>
              </w:rPr>
            </w:pPr>
            <w:r w:rsidRPr="00D16AB0">
              <w:rPr>
                <w:rFonts w:ascii="Arial" w:eastAsia="DengXian" w:hAnsi="Arial" w:cs="Arial"/>
                <w:sz w:val="21"/>
                <w:szCs w:val="21"/>
              </w:rPr>
              <w:t>Individual project characteristics</w:t>
            </w:r>
          </w:p>
        </w:tc>
      </w:tr>
      <w:tr w:rsidR="005B3045" w:rsidRPr="00D16AB0" w14:paraId="798B8788" w14:textId="77777777" w:rsidTr="002243BE">
        <w:trPr>
          <w:trHeight w:val="20"/>
        </w:trPr>
        <w:tc>
          <w:tcPr>
            <w:tcW w:w="1050" w:type="dxa"/>
            <w:tcBorders>
              <w:top w:val="nil"/>
            </w:tcBorders>
          </w:tcPr>
          <w:p w14:paraId="04AB8054" w14:textId="77777777" w:rsidR="005B3045" w:rsidRPr="00D16AB0" w:rsidRDefault="00000000" w:rsidP="00EB6DEF">
            <w:pPr>
              <w:rPr>
                <w:rFonts w:ascii="Arial" w:hAnsi="Arial" w:cs="Arial"/>
                <w:sz w:val="21"/>
                <w:szCs w:val="21"/>
              </w:rPr>
            </w:pPr>
            <m:oMathPara>
              <m:oMath>
                <m:sSub>
                  <m:sSubPr>
                    <m:ctrlPr>
                      <w:rPr>
                        <w:rFonts w:ascii="Cambria Math" w:hAnsi="Cambria Math" w:cs="Arial"/>
                        <w:sz w:val="21"/>
                        <w:szCs w:val="21"/>
                      </w:rPr>
                    </m:ctrlPr>
                  </m:sSubPr>
                  <m:e>
                    <m:r>
                      <w:rPr>
                        <w:rFonts w:ascii="Cambria Math" w:hAnsi="Cambria Math" w:cs="Arial"/>
                        <w:sz w:val="21"/>
                        <w:szCs w:val="21"/>
                      </w:rPr>
                      <m:t>C</m:t>
                    </m:r>
                  </m:e>
                  <m:sub>
                    <m:r>
                      <m:rPr>
                        <m:sty m:val="p"/>
                      </m:rPr>
                      <w:rPr>
                        <w:rFonts w:ascii="Cambria Math" w:hAnsi="Cambria Math" w:cs="Arial"/>
                        <w:sz w:val="21"/>
                        <w:szCs w:val="21"/>
                      </w:rPr>
                      <m:t>0</m:t>
                    </m:r>
                  </m:sub>
                </m:sSub>
              </m:oMath>
            </m:oMathPara>
          </w:p>
        </w:tc>
        <w:tc>
          <w:tcPr>
            <w:tcW w:w="7256" w:type="dxa"/>
            <w:tcBorders>
              <w:top w:val="nil"/>
            </w:tcBorders>
          </w:tcPr>
          <w:p w14:paraId="4266B71C" w14:textId="77777777" w:rsidR="005B3045" w:rsidRPr="00D16AB0" w:rsidRDefault="005B3045" w:rsidP="00EB6DEF">
            <w:pPr>
              <w:rPr>
                <w:rFonts w:ascii="Arial" w:hAnsi="Arial" w:cs="Arial"/>
                <w:sz w:val="21"/>
                <w:szCs w:val="21"/>
              </w:rPr>
            </w:pPr>
            <w:r w:rsidRPr="00D16AB0">
              <w:rPr>
                <w:rFonts w:ascii="Arial" w:hAnsi="Arial" w:cs="Arial"/>
                <w:sz w:val="21"/>
                <w:szCs w:val="21"/>
              </w:rPr>
              <w:t>initial investment cost (million US$)</w:t>
            </w:r>
          </w:p>
        </w:tc>
      </w:tr>
      <w:tr w:rsidR="005B3045" w:rsidRPr="00D16AB0" w14:paraId="39F34806" w14:textId="77777777" w:rsidTr="002243BE">
        <w:trPr>
          <w:trHeight w:val="20"/>
        </w:trPr>
        <w:tc>
          <w:tcPr>
            <w:tcW w:w="1050" w:type="dxa"/>
          </w:tcPr>
          <w:p w14:paraId="78DB6EDA" w14:textId="77777777" w:rsidR="005B3045" w:rsidRPr="00D16AB0" w:rsidRDefault="005B3045" w:rsidP="00EB6DEF">
            <w:pPr>
              <w:rPr>
                <w:rFonts w:ascii="Arial" w:hAnsi="Arial" w:cs="Arial"/>
                <w:sz w:val="21"/>
                <w:szCs w:val="21"/>
              </w:rPr>
            </w:pPr>
            <m:oMathPara>
              <m:oMath>
                <m:r>
                  <w:rPr>
                    <w:rFonts w:ascii="Cambria Math" w:hAnsi="Cambria Math" w:cs="Arial"/>
                    <w:sz w:val="21"/>
                    <w:szCs w:val="21"/>
                  </w:rPr>
                  <m:t>cf</m:t>
                </m:r>
              </m:oMath>
            </m:oMathPara>
          </w:p>
        </w:tc>
        <w:tc>
          <w:tcPr>
            <w:tcW w:w="7256" w:type="dxa"/>
          </w:tcPr>
          <w:p w14:paraId="1538AA8B" w14:textId="77777777" w:rsidR="005B3045" w:rsidRPr="00D16AB0" w:rsidRDefault="005B3045" w:rsidP="00EB6DEF">
            <w:pPr>
              <w:rPr>
                <w:rFonts w:ascii="Arial" w:hAnsi="Arial" w:cs="Arial"/>
                <w:sz w:val="21"/>
                <w:szCs w:val="21"/>
              </w:rPr>
            </w:pPr>
            <w:r w:rsidRPr="00D16AB0">
              <w:rPr>
                <w:rFonts w:ascii="Arial" w:hAnsi="Arial" w:cs="Arial"/>
                <w:sz w:val="21"/>
                <w:szCs w:val="21"/>
              </w:rPr>
              <w:t>reported (observed) annual cash flow (million US$)</w:t>
            </w:r>
          </w:p>
        </w:tc>
      </w:tr>
      <w:tr w:rsidR="005B3045" w:rsidRPr="00D16AB0" w14:paraId="58331031" w14:textId="77777777" w:rsidTr="002243BE">
        <w:trPr>
          <w:trHeight w:val="20"/>
        </w:trPr>
        <w:tc>
          <w:tcPr>
            <w:tcW w:w="1050" w:type="dxa"/>
          </w:tcPr>
          <w:p w14:paraId="451EEA7E" w14:textId="77777777" w:rsidR="005B3045" w:rsidRPr="00D16AB0" w:rsidRDefault="005B3045" w:rsidP="00EB6DEF">
            <w:pPr>
              <w:rPr>
                <w:rFonts w:ascii="Arial" w:eastAsia="DengXian" w:hAnsi="Arial" w:cs="Arial"/>
                <w:sz w:val="21"/>
                <w:szCs w:val="21"/>
              </w:rPr>
            </w:pPr>
            <m:oMathPara>
              <m:oMath>
                <m:r>
                  <w:rPr>
                    <w:rFonts w:ascii="Cambria Math" w:hAnsi="Cambria Math" w:cs="Arial"/>
                    <w:sz w:val="21"/>
                    <w:szCs w:val="21"/>
                  </w:rPr>
                  <m:t>CF</m:t>
                </m:r>
              </m:oMath>
            </m:oMathPara>
          </w:p>
        </w:tc>
        <w:tc>
          <w:tcPr>
            <w:tcW w:w="7256" w:type="dxa"/>
          </w:tcPr>
          <w:p w14:paraId="4E16B538" w14:textId="77777777" w:rsidR="005B3045" w:rsidRPr="00D16AB0" w:rsidRDefault="005B3045" w:rsidP="00EB6DEF">
            <w:pPr>
              <w:rPr>
                <w:rFonts w:ascii="Arial" w:hAnsi="Arial" w:cs="Arial"/>
                <w:sz w:val="21"/>
                <w:szCs w:val="21"/>
              </w:rPr>
            </w:pPr>
            <w:r w:rsidRPr="00D16AB0">
              <w:rPr>
                <w:rFonts w:ascii="Arial" w:hAnsi="Arial" w:cs="Arial"/>
                <w:sz w:val="21"/>
                <w:szCs w:val="21"/>
              </w:rPr>
              <w:t>actual (unobserved) annual cash flow (million US$)</w:t>
            </w:r>
          </w:p>
        </w:tc>
      </w:tr>
      <w:tr w:rsidR="005B3045" w:rsidRPr="00D16AB0" w14:paraId="5AF10D8B" w14:textId="77777777" w:rsidTr="002243BE">
        <w:trPr>
          <w:trHeight w:val="20"/>
        </w:trPr>
        <w:tc>
          <w:tcPr>
            <w:tcW w:w="1050" w:type="dxa"/>
          </w:tcPr>
          <w:p w14:paraId="3A010264" w14:textId="77777777" w:rsidR="005B3045" w:rsidRPr="00D16AB0" w:rsidRDefault="005B3045" w:rsidP="00EB6DEF">
            <w:pPr>
              <w:rPr>
                <w:rFonts w:ascii="Arial" w:hAnsi="Arial" w:cs="Arial"/>
                <w:sz w:val="21"/>
                <w:szCs w:val="21"/>
              </w:rPr>
            </w:pPr>
            <m:oMathPara>
              <m:oMath>
                <m:r>
                  <w:rPr>
                    <w:rFonts w:ascii="Cambria Math" w:hAnsi="Cambria Math" w:cs="Arial"/>
                    <w:sz w:val="21"/>
                    <w:szCs w:val="21"/>
                  </w:rPr>
                  <m:t>CR</m:t>
                </m:r>
              </m:oMath>
            </m:oMathPara>
          </w:p>
        </w:tc>
        <w:tc>
          <w:tcPr>
            <w:tcW w:w="7256" w:type="dxa"/>
          </w:tcPr>
          <w:p w14:paraId="53C580F5" w14:textId="77777777" w:rsidR="005B3045" w:rsidRPr="00D16AB0" w:rsidRDefault="005B3045" w:rsidP="00EB6DEF">
            <w:pPr>
              <w:rPr>
                <w:rFonts w:ascii="Arial" w:hAnsi="Arial" w:cs="Arial"/>
                <w:sz w:val="21"/>
                <w:szCs w:val="21"/>
              </w:rPr>
            </w:pPr>
            <w:r w:rsidRPr="00D16AB0">
              <w:rPr>
                <w:rFonts w:ascii="Arial" w:hAnsi="Arial" w:cs="Arial"/>
                <w:sz w:val="21"/>
                <w:szCs w:val="21"/>
              </w:rPr>
              <w:t>annual (unobserved) offset credit revenue (million US$)</w:t>
            </w:r>
          </w:p>
        </w:tc>
      </w:tr>
      <w:tr w:rsidR="005B3045" w:rsidRPr="00D16AB0" w14:paraId="62F586F8" w14:textId="77777777" w:rsidTr="002243BE">
        <w:trPr>
          <w:trHeight w:val="20"/>
        </w:trPr>
        <w:tc>
          <w:tcPr>
            <w:tcW w:w="1050" w:type="dxa"/>
          </w:tcPr>
          <w:p w14:paraId="6CA185D4" w14:textId="77777777" w:rsidR="005B3045" w:rsidRPr="00D16AB0" w:rsidRDefault="005B3045" w:rsidP="00EB6DEF">
            <w:pPr>
              <w:rPr>
                <w:rFonts w:ascii="Arial" w:hAnsi="Arial" w:cs="Arial"/>
                <w:i/>
                <w:sz w:val="21"/>
                <w:szCs w:val="21"/>
              </w:rPr>
            </w:pPr>
            <m:oMathPara>
              <m:oMath>
                <m:r>
                  <w:rPr>
                    <w:rFonts w:ascii="Cambria Math" w:hAnsi="Cambria Math" w:cs="Arial"/>
                    <w:sz w:val="21"/>
                    <w:szCs w:val="21"/>
                  </w:rPr>
                  <m:t>P</m:t>
                </m:r>
              </m:oMath>
            </m:oMathPara>
          </w:p>
        </w:tc>
        <w:tc>
          <w:tcPr>
            <w:tcW w:w="7256" w:type="dxa"/>
          </w:tcPr>
          <w:p w14:paraId="0B980B48" w14:textId="77777777" w:rsidR="005B3045" w:rsidRPr="00D16AB0" w:rsidRDefault="005B3045" w:rsidP="00EB6DEF">
            <w:pPr>
              <w:rPr>
                <w:rFonts w:ascii="Arial" w:hAnsi="Arial" w:cs="Arial"/>
                <w:sz w:val="21"/>
                <w:szCs w:val="21"/>
              </w:rPr>
            </w:pPr>
            <w:r w:rsidRPr="00D16AB0">
              <w:rPr>
                <w:rFonts w:ascii="Arial" w:hAnsi="Arial" w:cs="Arial"/>
                <w:sz w:val="21"/>
                <w:szCs w:val="21"/>
              </w:rPr>
              <w:t>offset price (US$/tCO2e)</w:t>
            </w:r>
          </w:p>
        </w:tc>
      </w:tr>
      <w:tr w:rsidR="005B3045" w:rsidRPr="00D16AB0" w14:paraId="270076C0" w14:textId="77777777" w:rsidTr="002243BE">
        <w:trPr>
          <w:trHeight w:val="20"/>
        </w:trPr>
        <w:tc>
          <w:tcPr>
            <w:tcW w:w="1050" w:type="dxa"/>
          </w:tcPr>
          <w:p w14:paraId="0047D2AE" w14:textId="77777777" w:rsidR="005B3045" w:rsidRPr="00D16AB0" w:rsidRDefault="005B3045" w:rsidP="00EB6DEF">
            <w:pPr>
              <w:rPr>
                <w:rFonts w:ascii="Arial" w:hAnsi="Arial" w:cs="Arial"/>
                <w:i/>
                <w:sz w:val="21"/>
                <w:szCs w:val="21"/>
              </w:rPr>
            </w:pPr>
            <m:oMathPara>
              <m:oMath>
                <m:r>
                  <w:rPr>
                    <w:rFonts w:ascii="Cambria Math" w:hAnsi="Cambria Math" w:cs="Arial"/>
                    <w:sz w:val="21"/>
                    <w:szCs w:val="21"/>
                  </w:rPr>
                  <m:t>Q</m:t>
                </m:r>
              </m:oMath>
            </m:oMathPara>
          </w:p>
        </w:tc>
        <w:tc>
          <w:tcPr>
            <w:tcW w:w="7256" w:type="dxa"/>
          </w:tcPr>
          <w:p w14:paraId="5E6A16FB" w14:textId="77777777" w:rsidR="005B3045" w:rsidRPr="00D16AB0" w:rsidRDefault="005B3045" w:rsidP="00EB6DEF">
            <w:pPr>
              <w:rPr>
                <w:rFonts w:ascii="Arial" w:hAnsi="Arial" w:cs="Arial"/>
                <w:sz w:val="21"/>
                <w:szCs w:val="21"/>
              </w:rPr>
            </w:pPr>
            <w:r w:rsidRPr="00D16AB0">
              <w:rPr>
                <w:rFonts w:ascii="Arial" w:hAnsi="Arial" w:cs="Arial"/>
                <w:sz w:val="21"/>
                <w:szCs w:val="21"/>
              </w:rPr>
              <w:t>quantity of offsets issued annually, also the amount of tCO2e reduced per year</w:t>
            </w:r>
          </w:p>
        </w:tc>
      </w:tr>
      <w:tr w:rsidR="005B3045" w:rsidRPr="00D16AB0" w14:paraId="3138D464" w14:textId="77777777" w:rsidTr="002243BE">
        <w:trPr>
          <w:trHeight w:val="20"/>
        </w:trPr>
        <w:tc>
          <w:tcPr>
            <w:tcW w:w="1050" w:type="dxa"/>
          </w:tcPr>
          <w:p w14:paraId="57D86443" w14:textId="77777777" w:rsidR="005B3045" w:rsidRPr="00D16AB0" w:rsidRDefault="005B3045" w:rsidP="00EB6DEF">
            <w:pPr>
              <w:rPr>
                <w:rFonts w:ascii="Arial" w:hAnsi="Arial" w:cs="Arial"/>
                <w:i/>
                <w:sz w:val="21"/>
                <w:szCs w:val="21"/>
              </w:rPr>
            </w:pPr>
            <m:oMathPara>
              <m:oMath>
                <m:r>
                  <w:rPr>
                    <w:rFonts w:ascii="Cambria Math" w:hAnsi="Cambria Math" w:cs="Arial"/>
                    <w:sz w:val="21"/>
                    <w:szCs w:val="21"/>
                  </w:rPr>
                  <m:t>T</m:t>
                </m:r>
              </m:oMath>
            </m:oMathPara>
          </w:p>
        </w:tc>
        <w:tc>
          <w:tcPr>
            <w:tcW w:w="7256" w:type="dxa"/>
          </w:tcPr>
          <w:p w14:paraId="238B473E" w14:textId="77777777" w:rsidR="005B3045" w:rsidRPr="00D16AB0" w:rsidRDefault="005B3045" w:rsidP="00EB6DEF">
            <w:pPr>
              <w:rPr>
                <w:rFonts w:ascii="Arial" w:hAnsi="Arial" w:cs="Arial"/>
                <w:sz w:val="21"/>
                <w:szCs w:val="21"/>
              </w:rPr>
            </w:pPr>
            <w:r w:rsidRPr="00D16AB0">
              <w:rPr>
                <w:rFonts w:ascii="Arial" w:hAnsi="Arial" w:cs="Arial"/>
                <w:sz w:val="21"/>
                <w:szCs w:val="21"/>
              </w:rPr>
              <w:t xml:space="preserve">length of crediting period, measured in years </w:t>
            </w:r>
          </w:p>
        </w:tc>
      </w:tr>
      <w:tr w:rsidR="005B3045" w:rsidRPr="00D16AB0" w14:paraId="49A0C77F" w14:textId="77777777" w:rsidTr="002243BE">
        <w:trPr>
          <w:trHeight w:val="20"/>
        </w:trPr>
        <w:tc>
          <w:tcPr>
            <w:tcW w:w="1050" w:type="dxa"/>
          </w:tcPr>
          <w:p w14:paraId="6C38C303" w14:textId="77777777" w:rsidR="005B3045" w:rsidRPr="00D16AB0" w:rsidRDefault="005B3045" w:rsidP="00EB6DEF">
            <w:pPr>
              <w:rPr>
                <w:rFonts w:ascii="Arial" w:eastAsia="DengXian" w:hAnsi="Arial" w:cs="Arial"/>
                <w:sz w:val="21"/>
                <w:szCs w:val="21"/>
              </w:rPr>
            </w:pPr>
          </w:p>
        </w:tc>
        <w:tc>
          <w:tcPr>
            <w:tcW w:w="7256" w:type="dxa"/>
          </w:tcPr>
          <w:p w14:paraId="589E3D41" w14:textId="77777777" w:rsidR="005B3045" w:rsidRPr="00D16AB0" w:rsidRDefault="005B3045" w:rsidP="00EB6DEF">
            <w:pPr>
              <w:rPr>
                <w:rFonts w:ascii="Arial" w:hAnsi="Arial" w:cs="Arial"/>
                <w:sz w:val="21"/>
                <w:szCs w:val="21"/>
              </w:rPr>
            </w:pPr>
          </w:p>
        </w:tc>
      </w:tr>
      <w:tr w:rsidR="005B3045" w:rsidRPr="00D16AB0" w14:paraId="2B882DAD" w14:textId="77777777" w:rsidTr="002243BE">
        <w:trPr>
          <w:trHeight w:val="20"/>
        </w:trPr>
        <w:tc>
          <w:tcPr>
            <w:tcW w:w="8306" w:type="dxa"/>
            <w:gridSpan w:val="2"/>
          </w:tcPr>
          <w:p w14:paraId="381227A8" w14:textId="77777777" w:rsidR="005B3045" w:rsidRPr="00D16AB0" w:rsidRDefault="005B3045" w:rsidP="00EB6DEF">
            <w:pPr>
              <w:jc w:val="center"/>
              <w:rPr>
                <w:rFonts w:ascii="Arial" w:hAnsi="Arial" w:cs="Arial"/>
                <w:sz w:val="21"/>
                <w:szCs w:val="21"/>
              </w:rPr>
            </w:pPr>
            <w:r w:rsidRPr="00D16AB0">
              <w:rPr>
                <w:rFonts w:ascii="Arial" w:eastAsia="DengXian" w:hAnsi="Arial" w:cs="Arial"/>
                <w:sz w:val="21"/>
                <w:szCs w:val="21"/>
              </w:rPr>
              <w:t>Individual project financial parameters (%)</w:t>
            </w:r>
          </w:p>
        </w:tc>
      </w:tr>
      <w:tr w:rsidR="005B3045" w:rsidRPr="00D16AB0" w14:paraId="6CE7E199" w14:textId="77777777" w:rsidTr="002243BE">
        <w:trPr>
          <w:trHeight w:val="20"/>
        </w:trPr>
        <w:tc>
          <w:tcPr>
            <w:tcW w:w="1050" w:type="dxa"/>
          </w:tcPr>
          <w:p w14:paraId="224D10EE" w14:textId="77777777" w:rsidR="005B3045" w:rsidRPr="00D16AB0" w:rsidRDefault="00000000" w:rsidP="00EB6DEF">
            <w:pPr>
              <w:rPr>
                <w:rFonts w:ascii="Arial" w:eastAsia="DengXian" w:hAnsi="Arial" w:cs="Arial"/>
                <w:sz w:val="21"/>
                <w:szCs w:val="21"/>
              </w:rPr>
            </w:pPr>
            <m:oMathPara>
              <m:oMath>
                <m:sSub>
                  <m:sSubPr>
                    <m:ctrlPr>
                      <w:rPr>
                        <w:rFonts w:ascii="Cambria Math" w:hAnsi="Cambria Math" w:cs="Arial"/>
                        <w:i/>
                        <w:iCs/>
                        <w:sz w:val="21"/>
                        <w:szCs w:val="21"/>
                      </w:rPr>
                    </m:ctrlPr>
                  </m:sSubPr>
                  <m:e>
                    <m:r>
                      <w:rPr>
                        <w:rFonts w:ascii="Cambria Math" w:hAnsi="Cambria Math" w:cs="Arial"/>
                        <w:sz w:val="21"/>
                        <w:szCs w:val="21"/>
                      </w:rPr>
                      <m:t>r</m:t>
                    </m:r>
                  </m:e>
                  <m:sub>
                    <m:r>
                      <w:rPr>
                        <w:rFonts w:ascii="Cambria Math" w:hAnsi="Cambria Math" w:cs="Arial"/>
                        <w:sz w:val="21"/>
                        <w:szCs w:val="21"/>
                      </w:rPr>
                      <m:t>0</m:t>
                    </m:r>
                  </m:sub>
                </m:sSub>
              </m:oMath>
            </m:oMathPara>
          </w:p>
        </w:tc>
        <w:tc>
          <w:tcPr>
            <w:tcW w:w="7256" w:type="dxa"/>
          </w:tcPr>
          <w:p w14:paraId="018F2E17" w14:textId="77777777" w:rsidR="005B3045" w:rsidRPr="00D16AB0" w:rsidRDefault="005B3045" w:rsidP="00EB6DEF">
            <w:pPr>
              <w:rPr>
                <w:rFonts w:ascii="Arial" w:hAnsi="Arial" w:cs="Arial"/>
                <w:sz w:val="21"/>
                <w:szCs w:val="21"/>
              </w:rPr>
            </w:pPr>
            <w:r w:rsidRPr="00D16AB0">
              <w:rPr>
                <w:rFonts w:ascii="Arial" w:hAnsi="Arial" w:cs="Arial"/>
                <w:sz w:val="21"/>
                <w:szCs w:val="21"/>
              </w:rPr>
              <w:t>reported (observed) IRR without offset revenue (%)</w:t>
            </w:r>
          </w:p>
        </w:tc>
      </w:tr>
      <w:tr w:rsidR="005B3045" w:rsidRPr="00D16AB0" w14:paraId="46ADDA96" w14:textId="77777777" w:rsidTr="002243BE">
        <w:trPr>
          <w:trHeight w:val="20"/>
        </w:trPr>
        <w:tc>
          <w:tcPr>
            <w:tcW w:w="1050" w:type="dxa"/>
          </w:tcPr>
          <w:p w14:paraId="16C6A219" w14:textId="77777777" w:rsidR="005B3045" w:rsidRPr="00D16AB0" w:rsidRDefault="00000000" w:rsidP="00EB6DEF">
            <w:pPr>
              <w:rPr>
                <w:rFonts w:ascii="Arial" w:eastAsia="DengXian" w:hAnsi="Arial" w:cs="Arial"/>
                <w:iCs/>
                <w:sz w:val="21"/>
                <w:szCs w:val="21"/>
              </w:rPr>
            </w:pPr>
            <m:oMathPara>
              <m:oMath>
                <m:sSub>
                  <m:sSubPr>
                    <m:ctrlPr>
                      <w:rPr>
                        <w:rFonts w:ascii="Cambria Math" w:hAnsi="Cambria Math" w:cs="Arial"/>
                        <w:i/>
                        <w:iCs/>
                        <w:sz w:val="21"/>
                        <w:szCs w:val="21"/>
                      </w:rPr>
                    </m:ctrlPr>
                  </m:sSubPr>
                  <m:e>
                    <m:r>
                      <w:rPr>
                        <w:rFonts w:ascii="Cambria Math" w:hAnsi="Cambria Math" w:cs="Arial"/>
                        <w:sz w:val="21"/>
                        <w:szCs w:val="21"/>
                      </w:rPr>
                      <m:t>r</m:t>
                    </m:r>
                  </m:e>
                  <m:sub>
                    <m:r>
                      <w:rPr>
                        <w:rFonts w:ascii="Cambria Math" w:hAnsi="Cambria Math" w:cs="Arial"/>
                        <w:sz w:val="21"/>
                        <w:szCs w:val="21"/>
                      </w:rPr>
                      <m:t>1</m:t>
                    </m:r>
                  </m:sub>
                </m:sSub>
              </m:oMath>
            </m:oMathPara>
          </w:p>
        </w:tc>
        <w:tc>
          <w:tcPr>
            <w:tcW w:w="7256" w:type="dxa"/>
          </w:tcPr>
          <w:p w14:paraId="5D454D28" w14:textId="77777777" w:rsidR="005B3045" w:rsidRPr="00D16AB0" w:rsidRDefault="005B3045" w:rsidP="00EB6DEF">
            <w:pPr>
              <w:rPr>
                <w:rFonts w:ascii="Arial" w:hAnsi="Arial" w:cs="Arial"/>
                <w:sz w:val="21"/>
                <w:szCs w:val="21"/>
              </w:rPr>
            </w:pPr>
            <w:r w:rsidRPr="00D16AB0">
              <w:rPr>
                <w:rFonts w:ascii="Arial" w:hAnsi="Arial" w:cs="Arial"/>
                <w:sz w:val="21"/>
                <w:szCs w:val="21"/>
              </w:rPr>
              <w:t>reported (observed) IRR with offset revenue (%)</w:t>
            </w:r>
          </w:p>
        </w:tc>
      </w:tr>
      <w:tr w:rsidR="005B3045" w:rsidRPr="00D16AB0" w14:paraId="1E1C1366" w14:textId="77777777" w:rsidTr="002243BE">
        <w:trPr>
          <w:trHeight w:val="20"/>
        </w:trPr>
        <w:tc>
          <w:tcPr>
            <w:tcW w:w="1050" w:type="dxa"/>
          </w:tcPr>
          <w:p w14:paraId="16A78B48" w14:textId="77777777" w:rsidR="005B3045" w:rsidRPr="00D16AB0" w:rsidRDefault="005B3045" w:rsidP="00EB6DEF">
            <w:pPr>
              <w:rPr>
                <w:rFonts w:ascii="Arial" w:eastAsia="DengXian" w:hAnsi="Arial" w:cs="Arial"/>
                <w:sz w:val="21"/>
                <w:szCs w:val="21"/>
              </w:rPr>
            </w:pPr>
            <m:oMathPara>
              <m:oMath>
                <m:r>
                  <w:rPr>
                    <w:rFonts w:ascii="Cambria Math" w:hAnsi="Cambria Math" w:cs="Arial"/>
                    <w:sz w:val="21"/>
                    <w:szCs w:val="21"/>
                  </w:rPr>
                  <m:t>f</m:t>
                </m:r>
              </m:oMath>
            </m:oMathPara>
          </w:p>
        </w:tc>
        <w:tc>
          <w:tcPr>
            <w:tcW w:w="7256" w:type="dxa"/>
          </w:tcPr>
          <w:p w14:paraId="3496F404" w14:textId="77777777" w:rsidR="005B3045" w:rsidRPr="00D16AB0" w:rsidRDefault="005B3045" w:rsidP="00EB6DEF">
            <w:pPr>
              <w:rPr>
                <w:rFonts w:ascii="Arial" w:hAnsi="Arial" w:cs="Arial"/>
                <w:sz w:val="21"/>
                <w:szCs w:val="21"/>
              </w:rPr>
            </w:pPr>
            <w:r w:rsidRPr="00D16AB0">
              <w:rPr>
                <w:rFonts w:ascii="Arial" w:hAnsi="Arial" w:cs="Arial"/>
                <w:sz w:val="21"/>
                <w:szCs w:val="21"/>
              </w:rPr>
              <w:t>reported (observed) increase in IRR due to offset revenue (%)</w:t>
            </w:r>
          </w:p>
        </w:tc>
      </w:tr>
      <w:tr w:rsidR="005B3045" w:rsidRPr="00D16AB0" w14:paraId="6A3CFD85" w14:textId="77777777" w:rsidTr="002243BE">
        <w:trPr>
          <w:trHeight w:val="20"/>
        </w:trPr>
        <w:tc>
          <w:tcPr>
            <w:tcW w:w="1050" w:type="dxa"/>
          </w:tcPr>
          <w:p w14:paraId="3620F0A5" w14:textId="77777777" w:rsidR="005B3045" w:rsidRPr="00D16AB0" w:rsidRDefault="005B3045" w:rsidP="00EB6DEF">
            <w:pPr>
              <w:rPr>
                <w:rFonts w:ascii="Arial" w:eastAsia="DengXian" w:hAnsi="Arial" w:cs="Arial"/>
                <w:iCs/>
                <w:sz w:val="21"/>
                <w:szCs w:val="21"/>
              </w:rPr>
            </w:pPr>
            <m:oMathPara>
              <m:oMath>
                <m:r>
                  <w:rPr>
                    <w:rFonts w:ascii="Cambria Math" w:hAnsi="Cambria Math" w:cs="Arial"/>
                    <w:sz w:val="21"/>
                    <w:szCs w:val="21"/>
                  </w:rPr>
                  <m:t>g</m:t>
                </m:r>
              </m:oMath>
            </m:oMathPara>
          </w:p>
        </w:tc>
        <w:tc>
          <w:tcPr>
            <w:tcW w:w="7256" w:type="dxa"/>
          </w:tcPr>
          <w:p w14:paraId="28BCB373" w14:textId="77777777" w:rsidR="005B3045" w:rsidRPr="00D16AB0" w:rsidRDefault="005B3045" w:rsidP="00EB6DEF">
            <w:pPr>
              <w:rPr>
                <w:rFonts w:ascii="Arial" w:hAnsi="Arial" w:cs="Arial"/>
                <w:sz w:val="21"/>
                <w:szCs w:val="21"/>
              </w:rPr>
            </w:pPr>
            <w:r w:rsidRPr="00D16AB0">
              <w:rPr>
                <w:rFonts w:ascii="Arial" w:hAnsi="Arial" w:cs="Arial"/>
                <w:sz w:val="21"/>
                <w:szCs w:val="21"/>
              </w:rPr>
              <w:t>underreported bias in IRR (%), also called the gaming parameter</w:t>
            </w:r>
          </w:p>
        </w:tc>
      </w:tr>
      <w:tr w:rsidR="005B3045" w:rsidRPr="00D16AB0" w14:paraId="4D3E368A" w14:textId="77777777" w:rsidTr="002243BE">
        <w:trPr>
          <w:trHeight w:val="20"/>
        </w:trPr>
        <w:tc>
          <w:tcPr>
            <w:tcW w:w="1050" w:type="dxa"/>
          </w:tcPr>
          <w:p w14:paraId="40D6C0BE" w14:textId="77777777" w:rsidR="005B3045" w:rsidRPr="00D16AB0" w:rsidRDefault="00000000" w:rsidP="00EB6DEF">
            <w:pPr>
              <w:rPr>
                <w:rFonts w:ascii="Arial" w:eastAsia="DengXian" w:hAnsi="Arial" w:cs="Arial"/>
                <w:i/>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0</m:t>
                    </m:r>
                  </m:sub>
                </m:sSub>
              </m:oMath>
            </m:oMathPara>
          </w:p>
        </w:tc>
        <w:tc>
          <w:tcPr>
            <w:tcW w:w="7256" w:type="dxa"/>
          </w:tcPr>
          <w:p w14:paraId="09AD024F" w14:textId="77777777" w:rsidR="005B3045" w:rsidRPr="00D16AB0" w:rsidRDefault="005B3045" w:rsidP="00EB6DEF">
            <w:pPr>
              <w:rPr>
                <w:rFonts w:ascii="Arial" w:hAnsi="Arial" w:cs="Arial"/>
                <w:sz w:val="21"/>
                <w:szCs w:val="21"/>
              </w:rPr>
            </w:pPr>
            <w:r w:rsidRPr="00D16AB0">
              <w:rPr>
                <w:rFonts w:ascii="Arial" w:hAnsi="Arial" w:cs="Arial"/>
                <w:sz w:val="21"/>
                <w:szCs w:val="21"/>
              </w:rPr>
              <w:t>actual (unobserved) IRR without offset revenue (%)</w:t>
            </w:r>
          </w:p>
        </w:tc>
      </w:tr>
      <w:tr w:rsidR="005B3045" w:rsidRPr="00D16AB0" w14:paraId="727DB393" w14:textId="77777777" w:rsidTr="002243BE">
        <w:trPr>
          <w:trHeight w:val="20"/>
        </w:trPr>
        <w:tc>
          <w:tcPr>
            <w:tcW w:w="1050" w:type="dxa"/>
          </w:tcPr>
          <w:p w14:paraId="66BF1B8E" w14:textId="77777777" w:rsidR="005B3045" w:rsidRPr="00D16AB0" w:rsidRDefault="00000000" w:rsidP="00EB6DEF">
            <w:pPr>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1</m:t>
                    </m:r>
                  </m:sub>
                </m:sSub>
              </m:oMath>
            </m:oMathPara>
          </w:p>
        </w:tc>
        <w:tc>
          <w:tcPr>
            <w:tcW w:w="7256" w:type="dxa"/>
          </w:tcPr>
          <w:p w14:paraId="4C91051B" w14:textId="77777777" w:rsidR="005B3045" w:rsidRPr="00D16AB0" w:rsidRDefault="005B3045" w:rsidP="00EB6DEF">
            <w:pPr>
              <w:rPr>
                <w:rFonts w:ascii="Arial" w:hAnsi="Arial" w:cs="Arial"/>
                <w:sz w:val="21"/>
                <w:szCs w:val="21"/>
              </w:rPr>
            </w:pPr>
            <w:r w:rsidRPr="00D16AB0">
              <w:rPr>
                <w:rFonts w:ascii="Arial" w:hAnsi="Arial" w:cs="Arial"/>
                <w:sz w:val="21"/>
                <w:szCs w:val="21"/>
              </w:rPr>
              <w:t>actual (unobserved) IRR with offset revenue under the current regime (%)</w:t>
            </w:r>
          </w:p>
        </w:tc>
      </w:tr>
      <w:tr w:rsidR="005B3045" w:rsidRPr="00D16AB0" w14:paraId="14EF8467" w14:textId="77777777" w:rsidTr="002243BE">
        <w:trPr>
          <w:trHeight w:val="20"/>
        </w:trPr>
        <w:tc>
          <w:tcPr>
            <w:tcW w:w="1050" w:type="dxa"/>
          </w:tcPr>
          <w:p w14:paraId="5B5EF547" w14:textId="77777777" w:rsidR="005B3045" w:rsidRPr="00D16AB0" w:rsidRDefault="00000000" w:rsidP="00EB6DEF">
            <w:pPr>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2</m:t>
                    </m:r>
                  </m:sub>
                </m:sSub>
              </m:oMath>
            </m:oMathPara>
          </w:p>
        </w:tc>
        <w:tc>
          <w:tcPr>
            <w:tcW w:w="7256" w:type="dxa"/>
          </w:tcPr>
          <w:p w14:paraId="64F48DC4" w14:textId="77777777" w:rsidR="005B3045" w:rsidRPr="00D16AB0" w:rsidRDefault="005B3045" w:rsidP="00EB6DEF">
            <w:pPr>
              <w:rPr>
                <w:rFonts w:ascii="Arial" w:hAnsi="Arial" w:cs="Arial"/>
                <w:sz w:val="21"/>
                <w:szCs w:val="21"/>
              </w:rPr>
            </w:pPr>
            <w:r w:rsidRPr="00D16AB0">
              <w:rPr>
                <w:rFonts w:ascii="Arial" w:hAnsi="Arial" w:cs="Arial"/>
                <w:sz w:val="21"/>
                <w:szCs w:val="21"/>
              </w:rPr>
              <w:t>actual (unobserved) IRR with offset revenue under the proposed regime (%)</w:t>
            </w:r>
          </w:p>
        </w:tc>
      </w:tr>
      <w:tr w:rsidR="005B3045" w:rsidRPr="00D16AB0" w14:paraId="7B0CCF7D" w14:textId="77777777" w:rsidTr="002243BE">
        <w:trPr>
          <w:trHeight w:val="20"/>
        </w:trPr>
        <w:tc>
          <w:tcPr>
            <w:tcW w:w="1050" w:type="dxa"/>
          </w:tcPr>
          <w:p w14:paraId="43B721FC" w14:textId="77777777" w:rsidR="005B3045" w:rsidRPr="00D16AB0" w:rsidRDefault="00000000" w:rsidP="00EB6DEF">
            <w:pPr>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F</m:t>
                    </m:r>
                  </m:e>
                  <m:sub>
                    <m:r>
                      <w:rPr>
                        <w:rFonts w:ascii="Cambria Math" w:hAnsi="Cambria Math" w:cs="Arial"/>
                        <w:sz w:val="21"/>
                        <w:szCs w:val="21"/>
                      </w:rPr>
                      <m:t>1</m:t>
                    </m:r>
                  </m:sub>
                </m:sSub>
              </m:oMath>
            </m:oMathPara>
          </w:p>
        </w:tc>
        <w:tc>
          <w:tcPr>
            <w:tcW w:w="7256" w:type="dxa"/>
          </w:tcPr>
          <w:p w14:paraId="639F8DB9" w14:textId="77777777" w:rsidR="005B3045" w:rsidRPr="00D16AB0" w:rsidRDefault="005B3045" w:rsidP="00EB6DEF">
            <w:pPr>
              <w:rPr>
                <w:rFonts w:ascii="Arial" w:hAnsi="Arial" w:cs="Arial"/>
                <w:sz w:val="21"/>
                <w:szCs w:val="21"/>
              </w:rPr>
            </w:pPr>
            <w:r w:rsidRPr="00D16AB0">
              <w:rPr>
                <w:rFonts w:ascii="Arial" w:hAnsi="Arial" w:cs="Arial"/>
                <w:sz w:val="21"/>
                <w:szCs w:val="21"/>
              </w:rPr>
              <w:t>actual increase in IRR due to offset revenue under the current regime (%)</w:t>
            </w:r>
          </w:p>
        </w:tc>
      </w:tr>
      <w:tr w:rsidR="005B3045" w:rsidRPr="00D16AB0" w14:paraId="1271012A" w14:textId="77777777" w:rsidTr="002243BE">
        <w:trPr>
          <w:trHeight w:val="20"/>
        </w:trPr>
        <w:tc>
          <w:tcPr>
            <w:tcW w:w="1050" w:type="dxa"/>
          </w:tcPr>
          <w:p w14:paraId="3580F415" w14:textId="77777777" w:rsidR="005B3045" w:rsidRPr="00D16AB0" w:rsidRDefault="00000000" w:rsidP="00EB6DEF">
            <w:pPr>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F</m:t>
                    </m:r>
                  </m:e>
                  <m:sub>
                    <m:r>
                      <w:rPr>
                        <w:rFonts w:ascii="Cambria Math" w:hAnsi="Cambria Math" w:cs="Arial"/>
                        <w:sz w:val="21"/>
                        <w:szCs w:val="21"/>
                      </w:rPr>
                      <m:t>2</m:t>
                    </m:r>
                  </m:sub>
                </m:sSub>
              </m:oMath>
            </m:oMathPara>
          </w:p>
        </w:tc>
        <w:tc>
          <w:tcPr>
            <w:tcW w:w="7256" w:type="dxa"/>
          </w:tcPr>
          <w:p w14:paraId="2F20A544" w14:textId="77777777" w:rsidR="005B3045" w:rsidRPr="00D16AB0" w:rsidRDefault="005B3045" w:rsidP="00EB6DEF">
            <w:pPr>
              <w:rPr>
                <w:rFonts w:ascii="Arial" w:hAnsi="Arial" w:cs="Arial"/>
                <w:sz w:val="21"/>
                <w:szCs w:val="21"/>
              </w:rPr>
            </w:pPr>
            <w:r w:rsidRPr="00D16AB0">
              <w:rPr>
                <w:rFonts w:ascii="Arial" w:hAnsi="Arial" w:cs="Arial"/>
                <w:sz w:val="21"/>
                <w:szCs w:val="21"/>
              </w:rPr>
              <w:t>actual increase in IRR due to offset revenue under the proposed regime (%)</w:t>
            </w:r>
          </w:p>
        </w:tc>
      </w:tr>
      <w:tr w:rsidR="005B3045" w:rsidRPr="00D16AB0" w14:paraId="45D33C86" w14:textId="77777777" w:rsidTr="002243BE">
        <w:trPr>
          <w:trHeight w:val="20"/>
        </w:trPr>
        <w:tc>
          <w:tcPr>
            <w:tcW w:w="1050" w:type="dxa"/>
          </w:tcPr>
          <w:p w14:paraId="14466B79" w14:textId="77777777" w:rsidR="005B3045" w:rsidRPr="00D16AB0" w:rsidRDefault="00000000" w:rsidP="00EB6DEF">
            <w:pPr>
              <w:rPr>
                <w:rFonts w:ascii="Arial" w:eastAsia="DengXian" w:hAnsi="Arial" w:cs="Arial"/>
                <w:sz w:val="21"/>
                <w:szCs w:val="21"/>
              </w:rPr>
            </w:pPr>
            <m:oMathPara>
              <m:oMath>
                <m:acc>
                  <m:accPr>
                    <m:chr m:val="̅"/>
                    <m:ctrlPr>
                      <w:rPr>
                        <w:rFonts w:ascii="Cambria Math" w:hAnsi="Cambria Math" w:cs="Arial"/>
                        <w:i/>
                        <w:sz w:val="21"/>
                        <w:szCs w:val="21"/>
                      </w:rPr>
                    </m:ctrlPr>
                  </m:accPr>
                  <m:e>
                    <m:r>
                      <w:rPr>
                        <w:rFonts w:ascii="Cambria Math" w:hAnsi="Cambria Math" w:cs="Arial"/>
                        <w:sz w:val="21"/>
                        <w:szCs w:val="21"/>
                      </w:rPr>
                      <m:t>R</m:t>
                    </m:r>
                  </m:e>
                </m:acc>
              </m:oMath>
            </m:oMathPara>
          </w:p>
        </w:tc>
        <w:tc>
          <w:tcPr>
            <w:tcW w:w="7256" w:type="dxa"/>
          </w:tcPr>
          <w:p w14:paraId="6C95B1CF" w14:textId="77777777" w:rsidR="005B3045" w:rsidRPr="00D16AB0" w:rsidRDefault="005B3045" w:rsidP="00EB6DEF">
            <w:pPr>
              <w:rPr>
                <w:rFonts w:ascii="Arial" w:hAnsi="Arial" w:cs="Arial"/>
                <w:sz w:val="21"/>
                <w:szCs w:val="21"/>
              </w:rPr>
            </w:pPr>
            <w:r w:rsidRPr="00D16AB0">
              <w:rPr>
                <w:rFonts w:ascii="Arial" w:hAnsi="Arial" w:cs="Arial"/>
                <w:sz w:val="21"/>
                <w:szCs w:val="21"/>
              </w:rPr>
              <w:t>benchmark IRR, also called hurdle rate</w:t>
            </w:r>
          </w:p>
        </w:tc>
      </w:tr>
      <w:tr w:rsidR="005B3045" w:rsidRPr="00D16AB0" w14:paraId="35CE3E4C" w14:textId="77777777" w:rsidTr="002243BE">
        <w:trPr>
          <w:trHeight w:val="20"/>
        </w:trPr>
        <w:tc>
          <w:tcPr>
            <w:tcW w:w="1050" w:type="dxa"/>
          </w:tcPr>
          <w:p w14:paraId="53C5B0ED" w14:textId="77777777" w:rsidR="005B3045" w:rsidRPr="00D16AB0" w:rsidRDefault="005B3045" w:rsidP="00EB6DEF">
            <w:pPr>
              <w:rPr>
                <w:rFonts w:ascii="Arial" w:eastAsia="DengXian" w:hAnsi="Arial" w:cs="Arial"/>
                <w:sz w:val="21"/>
                <w:szCs w:val="21"/>
              </w:rPr>
            </w:pPr>
          </w:p>
        </w:tc>
        <w:tc>
          <w:tcPr>
            <w:tcW w:w="7256" w:type="dxa"/>
          </w:tcPr>
          <w:p w14:paraId="6221628A" w14:textId="77777777" w:rsidR="005B3045" w:rsidRPr="00D16AB0" w:rsidRDefault="005B3045" w:rsidP="00EB6DEF">
            <w:pPr>
              <w:rPr>
                <w:rFonts w:ascii="Arial" w:hAnsi="Arial" w:cs="Arial"/>
                <w:sz w:val="21"/>
                <w:szCs w:val="21"/>
              </w:rPr>
            </w:pPr>
          </w:p>
        </w:tc>
      </w:tr>
      <w:tr w:rsidR="005B3045" w:rsidRPr="00D16AB0" w14:paraId="4D81690C" w14:textId="77777777" w:rsidTr="002243BE">
        <w:trPr>
          <w:trHeight w:val="20"/>
        </w:trPr>
        <w:tc>
          <w:tcPr>
            <w:tcW w:w="8306" w:type="dxa"/>
            <w:gridSpan w:val="2"/>
          </w:tcPr>
          <w:p w14:paraId="4438AE3E" w14:textId="77777777" w:rsidR="005B3045" w:rsidRPr="00D16AB0" w:rsidRDefault="005B3045" w:rsidP="00EB6DEF">
            <w:pPr>
              <w:jc w:val="center"/>
              <w:rPr>
                <w:rFonts w:ascii="Arial" w:hAnsi="Arial" w:cs="Arial"/>
                <w:sz w:val="21"/>
                <w:szCs w:val="21"/>
              </w:rPr>
            </w:pPr>
            <w:r w:rsidRPr="00D16AB0">
              <w:rPr>
                <w:rFonts w:ascii="Arial" w:hAnsi="Arial" w:cs="Arial"/>
                <w:sz w:val="21"/>
                <w:szCs w:val="21"/>
              </w:rPr>
              <w:t>Synthetic project pool characteristics</w:t>
            </w:r>
          </w:p>
        </w:tc>
      </w:tr>
      <w:tr w:rsidR="005B3045" w:rsidRPr="00D16AB0" w14:paraId="45610F3C" w14:textId="77777777" w:rsidTr="002243BE">
        <w:trPr>
          <w:trHeight w:val="20"/>
        </w:trPr>
        <w:tc>
          <w:tcPr>
            <w:tcW w:w="1050" w:type="dxa"/>
          </w:tcPr>
          <w:p w14:paraId="78A7DA1B" w14:textId="77777777" w:rsidR="005B3045" w:rsidRPr="00D16AB0" w:rsidRDefault="005B3045" w:rsidP="00EB6DEF">
            <w:pPr>
              <w:rPr>
                <w:rFonts w:ascii="Arial" w:eastAsia="DengXian" w:hAnsi="Arial" w:cs="Arial"/>
                <w:sz w:val="21"/>
                <w:szCs w:val="21"/>
              </w:rPr>
            </w:pPr>
            <m:oMathPara>
              <m:oMath>
                <m:r>
                  <w:rPr>
                    <w:rFonts w:ascii="Cambria Math" w:eastAsia="DengXian" w:hAnsi="Cambria Math" w:cs="Arial"/>
                    <w:sz w:val="21"/>
                    <w:szCs w:val="21"/>
                  </w:rPr>
                  <m:t>AC</m:t>
                </m:r>
              </m:oMath>
            </m:oMathPara>
          </w:p>
        </w:tc>
        <w:tc>
          <w:tcPr>
            <w:tcW w:w="7256" w:type="dxa"/>
          </w:tcPr>
          <w:p w14:paraId="5A673B76" w14:textId="77777777" w:rsidR="005B3045" w:rsidRPr="00D16AB0" w:rsidRDefault="005B3045" w:rsidP="00EB6DEF">
            <w:pPr>
              <w:rPr>
                <w:rFonts w:ascii="Arial" w:hAnsi="Arial" w:cs="Arial"/>
                <w:sz w:val="21"/>
                <w:szCs w:val="21"/>
              </w:rPr>
            </w:pPr>
            <w:r w:rsidRPr="00D16AB0">
              <w:rPr>
                <w:rFonts w:ascii="Arial" w:hAnsi="Arial" w:cs="Arial"/>
                <w:sz w:val="21"/>
                <w:szCs w:val="21"/>
              </w:rPr>
              <w:t>the registration rate within one sector in one country</w:t>
            </w:r>
          </w:p>
        </w:tc>
      </w:tr>
      <w:tr w:rsidR="005B3045" w:rsidRPr="00D16AB0" w14:paraId="2460D9CE" w14:textId="77777777" w:rsidTr="002243BE">
        <w:trPr>
          <w:trHeight w:val="20"/>
        </w:trPr>
        <w:tc>
          <w:tcPr>
            <w:tcW w:w="1050" w:type="dxa"/>
          </w:tcPr>
          <w:p w14:paraId="379243D1" w14:textId="77777777" w:rsidR="005B3045" w:rsidRPr="00D16AB0" w:rsidRDefault="005B3045" w:rsidP="00EB6DEF">
            <w:pPr>
              <w:rPr>
                <w:rFonts w:ascii="Arial" w:eastAsia="DengXian" w:hAnsi="Arial" w:cs="Arial"/>
                <w:i/>
                <w:sz w:val="21"/>
                <w:szCs w:val="21"/>
              </w:rPr>
            </w:pPr>
            <m:oMathPara>
              <m:oMath>
                <m:r>
                  <w:rPr>
                    <w:rFonts w:ascii="Cambria Math" w:hAnsi="Cambria Math" w:cs="Arial"/>
                    <w:sz w:val="21"/>
                    <w:szCs w:val="21"/>
                  </w:rPr>
                  <m:t>d</m:t>
                </m:r>
              </m:oMath>
            </m:oMathPara>
          </w:p>
        </w:tc>
        <w:tc>
          <w:tcPr>
            <w:tcW w:w="7256" w:type="dxa"/>
          </w:tcPr>
          <w:p w14:paraId="01408CA9" w14:textId="77777777" w:rsidR="005B3045" w:rsidRPr="00D16AB0" w:rsidRDefault="005B3045" w:rsidP="00EB6DEF">
            <w:pPr>
              <w:rPr>
                <w:rFonts w:ascii="Arial" w:hAnsi="Arial" w:cs="Arial"/>
                <w:sz w:val="21"/>
                <w:szCs w:val="21"/>
              </w:rPr>
            </w:pPr>
            <w:r w:rsidRPr="00D16AB0">
              <w:rPr>
                <w:rFonts w:ascii="Arial" w:hAnsi="Arial" w:cs="Arial"/>
                <w:sz w:val="21"/>
                <w:szCs w:val="21"/>
              </w:rPr>
              <w:t>real additional proportion within one context (country-sector-specific)</w:t>
            </w:r>
          </w:p>
        </w:tc>
      </w:tr>
      <w:tr w:rsidR="005B3045" w:rsidRPr="00D16AB0" w14:paraId="21C43592" w14:textId="77777777" w:rsidTr="002243BE">
        <w:trPr>
          <w:trHeight w:val="20"/>
        </w:trPr>
        <w:tc>
          <w:tcPr>
            <w:tcW w:w="1050" w:type="dxa"/>
          </w:tcPr>
          <w:p w14:paraId="32908656" w14:textId="77777777" w:rsidR="005B3045" w:rsidRPr="00D16AB0" w:rsidRDefault="005B3045" w:rsidP="00EB6DEF">
            <w:pPr>
              <w:rPr>
                <w:rFonts w:ascii="Arial" w:hAnsi="Arial" w:cs="Arial"/>
                <w:sz w:val="21"/>
                <w:szCs w:val="21"/>
              </w:rPr>
            </w:pPr>
            <m:oMathPara>
              <m:oMath>
                <m:r>
                  <w:rPr>
                    <w:rFonts w:ascii="Cambria Math" w:hAnsi="Cambria Math" w:cs="Arial"/>
                    <w:sz w:val="21"/>
                    <w:szCs w:val="21"/>
                  </w:rPr>
                  <m:t>sd</m:t>
                </m:r>
              </m:oMath>
            </m:oMathPara>
          </w:p>
        </w:tc>
        <w:tc>
          <w:tcPr>
            <w:tcW w:w="7256" w:type="dxa"/>
          </w:tcPr>
          <w:p w14:paraId="6D7E4FB1" w14:textId="77777777" w:rsidR="005B3045" w:rsidRPr="00D16AB0" w:rsidRDefault="005B3045" w:rsidP="00EB6DEF">
            <w:pPr>
              <w:rPr>
                <w:rFonts w:ascii="Arial" w:hAnsi="Arial" w:cs="Arial"/>
                <w:sz w:val="21"/>
                <w:szCs w:val="21"/>
              </w:rPr>
            </w:pPr>
            <w:r w:rsidRPr="00D16AB0">
              <w:rPr>
                <w:rFonts w:ascii="Arial" w:hAnsi="Arial" w:cs="Arial"/>
                <w:sz w:val="21"/>
                <w:szCs w:val="21"/>
              </w:rPr>
              <w:t>the standard deviation of actual IRR within one context</w:t>
            </w:r>
          </w:p>
        </w:tc>
      </w:tr>
      <w:tr w:rsidR="005B3045" w:rsidRPr="00D16AB0" w14:paraId="18F87B88" w14:textId="77777777" w:rsidTr="002243BE">
        <w:trPr>
          <w:trHeight w:val="20"/>
        </w:trPr>
        <w:tc>
          <w:tcPr>
            <w:tcW w:w="1050" w:type="dxa"/>
          </w:tcPr>
          <w:p w14:paraId="7F47F249" w14:textId="77777777" w:rsidR="005B3045" w:rsidRPr="00D16AB0" w:rsidRDefault="005B3045" w:rsidP="00EB6DEF">
            <w:pPr>
              <w:rPr>
                <w:rFonts w:ascii="Arial" w:eastAsia="DengXian" w:hAnsi="Arial" w:cs="Arial"/>
                <w:sz w:val="21"/>
                <w:szCs w:val="21"/>
              </w:rPr>
            </w:pPr>
          </w:p>
        </w:tc>
        <w:tc>
          <w:tcPr>
            <w:tcW w:w="7256" w:type="dxa"/>
          </w:tcPr>
          <w:p w14:paraId="0626C8F8" w14:textId="77777777" w:rsidR="005B3045" w:rsidRPr="00D16AB0" w:rsidRDefault="005B3045" w:rsidP="00EB6DEF">
            <w:pPr>
              <w:rPr>
                <w:rFonts w:ascii="Arial" w:hAnsi="Arial" w:cs="Arial"/>
                <w:sz w:val="21"/>
                <w:szCs w:val="21"/>
              </w:rPr>
            </w:pPr>
          </w:p>
        </w:tc>
      </w:tr>
      <w:tr w:rsidR="005B3045" w:rsidRPr="00D16AB0" w14:paraId="34A4C929" w14:textId="77777777" w:rsidTr="002243BE">
        <w:trPr>
          <w:trHeight w:val="20"/>
        </w:trPr>
        <w:tc>
          <w:tcPr>
            <w:tcW w:w="8306" w:type="dxa"/>
            <w:gridSpan w:val="2"/>
          </w:tcPr>
          <w:p w14:paraId="0FA7D50B" w14:textId="77777777" w:rsidR="005B3045" w:rsidRPr="00D16AB0" w:rsidRDefault="005B3045" w:rsidP="00EB6DEF">
            <w:pPr>
              <w:jc w:val="center"/>
              <w:rPr>
                <w:rFonts w:ascii="Arial" w:hAnsi="Arial" w:cs="Arial"/>
                <w:sz w:val="21"/>
                <w:szCs w:val="21"/>
              </w:rPr>
            </w:pPr>
            <w:r w:rsidRPr="00D16AB0">
              <w:rPr>
                <w:rFonts w:ascii="Arial" w:hAnsi="Arial" w:cs="Arial"/>
                <w:sz w:val="21"/>
                <w:szCs w:val="21"/>
              </w:rPr>
              <w:t>Decision parameters by the project developer and the regulator</w:t>
            </w:r>
          </w:p>
        </w:tc>
      </w:tr>
      <w:tr w:rsidR="005B3045" w:rsidRPr="00D16AB0" w14:paraId="733BCFB4" w14:textId="77777777" w:rsidTr="002243BE">
        <w:trPr>
          <w:trHeight w:val="20"/>
        </w:trPr>
        <w:tc>
          <w:tcPr>
            <w:tcW w:w="1050" w:type="dxa"/>
          </w:tcPr>
          <w:p w14:paraId="30C5EC48" w14:textId="77777777" w:rsidR="005B3045" w:rsidRPr="00D16AB0" w:rsidRDefault="00000000" w:rsidP="00EB6DEF">
            <w:pPr>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s</m:t>
                    </m:r>
                  </m:e>
                  <m:sub>
                    <m:r>
                      <w:rPr>
                        <w:rFonts w:ascii="Cambria Math" w:hAnsi="Cambria Math" w:cs="Arial"/>
                        <w:sz w:val="21"/>
                        <w:szCs w:val="21"/>
                      </w:rPr>
                      <m:t>1</m:t>
                    </m:r>
                  </m:sub>
                </m:sSub>
              </m:oMath>
            </m:oMathPara>
          </w:p>
        </w:tc>
        <w:tc>
          <w:tcPr>
            <w:tcW w:w="7256" w:type="dxa"/>
          </w:tcPr>
          <w:p w14:paraId="34065D73" w14:textId="77777777" w:rsidR="005B3045" w:rsidRPr="00D16AB0" w:rsidRDefault="005B3045" w:rsidP="00EB6DEF">
            <w:pPr>
              <w:rPr>
                <w:rFonts w:ascii="Arial" w:hAnsi="Arial" w:cs="Arial"/>
                <w:sz w:val="21"/>
                <w:szCs w:val="21"/>
              </w:rPr>
            </w:pPr>
            <w:r w:rsidRPr="00D16AB0">
              <w:rPr>
                <w:rFonts w:ascii="Arial" w:hAnsi="Arial" w:cs="Arial"/>
                <w:sz w:val="21"/>
                <w:szCs w:val="21"/>
              </w:rPr>
              <w:t xml:space="preserve">equal 1 if the project developer pursues the project, 0 otherwise </w:t>
            </w:r>
          </w:p>
        </w:tc>
      </w:tr>
      <w:tr w:rsidR="005B3045" w:rsidRPr="00D16AB0" w14:paraId="302E8C35" w14:textId="77777777" w:rsidTr="002243BE">
        <w:trPr>
          <w:trHeight w:val="20"/>
        </w:trPr>
        <w:tc>
          <w:tcPr>
            <w:tcW w:w="1050" w:type="dxa"/>
          </w:tcPr>
          <w:p w14:paraId="589C1ECE" w14:textId="77777777" w:rsidR="005B3045" w:rsidRPr="00D16AB0" w:rsidRDefault="00000000" w:rsidP="00EB6DEF">
            <w:pPr>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s</m:t>
                    </m:r>
                  </m:e>
                  <m:sub>
                    <m:r>
                      <w:rPr>
                        <w:rFonts w:ascii="Cambria Math" w:hAnsi="Cambria Math" w:cs="Arial"/>
                        <w:sz w:val="21"/>
                        <w:szCs w:val="21"/>
                      </w:rPr>
                      <m:t>2</m:t>
                    </m:r>
                  </m:sub>
                </m:sSub>
              </m:oMath>
            </m:oMathPara>
          </w:p>
        </w:tc>
        <w:tc>
          <w:tcPr>
            <w:tcW w:w="7256" w:type="dxa"/>
          </w:tcPr>
          <w:p w14:paraId="7856ACC2" w14:textId="77777777" w:rsidR="005B3045" w:rsidRPr="00D16AB0" w:rsidRDefault="005B3045" w:rsidP="00EB6DEF">
            <w:pPr>
              <w:rPr>
                <w:rFonts w:ascii="Arial" w:hAnsi="Arial" w:cs="Arial"/>
                <w:sz w:val="21"/>
                <w:szCs w:val="21"/>
              </w:rPr>
            </w:pPr>
            <w:r w:rsidRPr="00D16AB0">
              <w:rPr>
                <w:rFonts w:ascii="Arial" w:hAnsi="Arial" w:cs="Arial"/>
                <w:sz w:val="21"/>
                <w:szCs w:val="21"/>
              </w:rPr>
              <w:t>equal 1 if the project developer applies for carbon offset status, 0 otherwise</w:t>
            </w:r>
          </w:p>
        </w:tc>
      </w:tr>
      <w:tr w:rsidR="005B3045" w:rsidRPr="00D16AB0" w14:paraId="7B219E4E" w14:textId="77777777" w:rsidTr="002243BE">
        <w:trPr>
          <w:trHeight w:val="20"/>
        </w:trPr>
        <w:tc>
          <w:tcPr>
            <w:tcW w:w="1050" w:type="dxa"/>
          </w:tcPr>
          <w:p w14:paraId="04C59F28" w14:textId="77777777" w:rsidR="005B3045" w:rsidRPr="00D16AB0" w:rsidRDefault="00000000" w:rsidP="00EB6DEF">
            <w:pPr>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c</m:t>
                    </m:r>
                  </m:e>
                  <m:sub>
                    <m:r>
                      <w:rPr>
                        <w:rFonts w:ascii="Cambria Math" w:hAnsi="Cambria Math" w:cs="Arial"/>
                        <w:sz w:val="21"/>
                        <w:szCs w:val="21"/>
                      </w:rPr>
                      <m:t>d</m:t>
                    </m:r>
                  </m:sub>
                </m:sSub>
              </m:oMath>
            </m:oMathPara>
          </w:p>
        </w:tc>
        <w:tc>
          <w:tcPr>
            <w:tcW w:w="7256" w:type="dxa"/>
          </w:tcPr>
          <w:p w14:paraId="2C77631A" w14:textId="77777777" w:rsidR="005B3045" w:rsidRPr="00D16AB0" w:rsidRDefault="005B3045" w:rsidP="00EB6DEF">
            <w:pPr>
              <w:rPr>
                <w:rFonts w:ascii="Arial" w:hAnsi="Arial" w:cs="Arial"/>
                <w:sz w:val="21"/>
                <w:szCs w:val="21"/>
              </w:rPr>
            </w:pPr>
            <w:r w:rsidRPr="00D16AB0">
              <w:rPr>
                <w:rFonts w:ascii="Arial" w:hAnsi="Arial" w:cs="Arial"/>
                <w:sz w:val="21"/>
                <w:szCs w:val="21"/>
              </w:rPr>
              <w:t>developmental fee</w:t>
            </w:r>
          </w:p>
        </w:tc>
      </w:tr>
      <w:tr w:rsidR="005B3045" w:rsidRPr="00D16AB0" w14:paraId="1F059225" w14:textId="77777777" w:rsidTr="002243BE">
        <w:trPr>
          <w:trHeight w:val="20"/>
        </w:trPr>
        <w:tc>
          <w:tcPr>
            <w:tcW w:w="1050" w:type="dxa"/>
          </w:tcPr>
          <w:p w14:paraId="53C30993" w14:textId="77777777" w:rsidR="005B3045" w:rsidRPr="00D16AB0" w:rsidRDefault="00000000" w:rsidP="00EB6DEF">
            <w:pPr>
              <w:tabs>
                <w:tab w:val="left" w:pos="555"/>
              </w:tabs>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c</m:t>
                    </m:r>
                  </m:e>
                  <m:sub>
                    <m:r>
                      <w:rPr>
                        <w:rFonts w:ascii="Cambria Math" w:hAnsi="Cambria Math" w:cs="Arial"/>
                        <w:sz w:val="21"/>
                        <w:szCs w:val="21"/>
                      </w:rPr>
                      <m:t>v</m:t>
                    </m:r>
                  </m:sub>
                </m:sSub>
              </m:oMath>
            </m:oMathPara>
          </w:p>
        </w:tc>
        <w:tc>
          <w:tcPr>
            <w:tcW w:w="7256" w:type="dxa"/>
          </w:tcPr>
          <w:p w14:paraId="7C53342D" w14:textId="77777777" w:rsidR="005B3045" w:rsidRPr="00D16AB0" w:rsidRDefault="005B3045" w:rsidP="00EB6DEF">
            <w:pPr>
              <w:rPr>
                <w:rFonts w:ascii="Arial" w:hAnsi="Arial" w:cs="Arial"/>
                <w:sz w:val="21"/>
                <w:szCs w:val="21"/>
              </w:rPr>
            </w:pPr>
            <w:r w:rsidRPr="00D16AB0">
              <w:rPr>
                <w:rFonts w:ascii="Arial" w:hAnsi="Arial" w:cs="Arial"/>
                <w:sz w:val="21"/>
                <w:szCs w:val="21"/>
              </w:rPr>
              <w:t>validation fee</w:t>
            </w:r>
          </w:p>
        </w:tc>
      </w:tr>
      <w:tr w:rsidR="005B3045" w:rsidRPr="00D16AB0" w14:paraId="1C35F3F3" w14:textId="77777777" w:rsidTr="002243BE">
        <w:trPr>
          <w:trHeight w:val="20"/>
        </w:trPr>
        <w:tc>
          <w:tcPr>
            <w:tcW w:w="1050" w:type="dxa"/>
          </w:tcPr>
          <w:p w14:paraId="33C44938" w14:textId="77777777" w:rsidR="005B3045" w:rsidRPr="00D16AB0" w:rsidRDefault="00000000" w:rsidP="00EB6DEF">
            <w:pPr>
              <w:tabs>
                <w:tab w:val="left" w:pos="555"/>
              </w:tabs>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c</m:t>
                    </m:r>
                  </m:e>
                  <m:sub>
                    <m:r>
                      <w:rPr>
                        <w:rFonts w:ascii="Cambria Math" w:hAnsi="Cambria Math" w:cs="Arial"/>
                        <w:sz w:val="21"/>
                        <w:szCs w:val="21"/>
                      </w:rPr>
                      <m:t>r</m:t>
                    </m:r>
                  </m:sub>
                </m:sSub>
              </m:oMath>
            </m:oMathPara>
          </w:p>
        </w:tc>
        <w:tc>
          <w:tcPr>
            <w:tcW w:w="7256" w:type="dxa"/>
          </w:tcPr>
          <w:p w14:paraId="0C39B087" w14:textId="77777777" w:rsidR="005B3045" w:rsidRPr="00D16AB0" w:rsidRDefault="005B3045" w:rsidP="00EB6DEF">
            <w:pPr>
              <w:rPr>
                <w:rFonts w:ascii="Arial" w:hAnsi="Arial" w:cs="Arial"/>
                <w:sz w:val="21"/>
                <w:szCs w:val="21"/>
              </w:rPr>
            </w:pPr>
            <w:r w:rsidRPr="00D16AB0">
              <w:rPr>
                <w:rFonts w:ascii="Arial" w:hAnsi="Arial" w:cs="Arial"/>
                <w:sz w:val="21"/>
                <w:szCs w:val="21"/>
              </w:rPr>
              <w:t>registration fee</w:t>
            </w:r>
          </w:p>
        </w:tc>
      </w:tr>
      <w:tr w:rsidR="005B3045" w:rsidRPr="00D16AB0" w14:paraId="4BF31630" w14:textId="77777777" w:rsidTr="002243BE">
        <w:trPr>
          <w:trHeight w:val="20"/>
        </w:trPr>
        <w:tc>
          <w:tcPr>
            <w:tcW w:w="1050" w:type="dxa"/>
          </w:tcPr>
          <w:p w14:paraId="5CDC8100" w14:textId="77777777" w:rsidR="005B3045" w:rsidRPr="00D16AB0" w:rsidRDefault="005B3045" w:rsidP="00EB6DEF">
            <w:pPr>
              <w:tabs>
                <w:tab w:val="left" w:pos="555"/>
              </w:tabs>
              <w:rPr>
                <w:rFonts w:ascii="Arial" w:eastAsia="DengXian" w:hAnsi="Arial" w:cs="Arial"/>
                <w:sz w:val="21"/>
                <w:szCs w:val="21"/>
              </w:rPr>
            </w:pPr>
            <m:oMathPara>
              <m:oMath>
                <m:r>
                  <w:rPr>
                    <w:rFonts w:ascii="Cambria Math" w:hAnsi="Cambria Math" w:cs="Arial"/>
                    <w:sz w:val="21"/>
                    <w:szCs w:val="21"/>
                  </w:rPr>
                  <m:t>q</m:t>
                </m:r>
              </m:oMath>
            </m:oMathPara>
          </w:p>
        </w:tc>
        <w:tc>
          <w:tcPr>
            <w:tcW w:w="7256" w:type="dxa"/>
          </w:tcPr>
          <w:p w14:paraId="124DC108" w14:textId="77777777" w:rsidR="005B3045" w:rsidRPr="00D16AB0" w:rsidRDefault="005B3045" w:rsidP="00EB6DEF">
            <w:pPr>
              <w:rPr>
                <w:rFonts w:ascii="Arial" w:hAnsi="Arial" w:cs="Arial"/>
                <w:sz w:val="21"/>
                <w:szCs w:val="21"/>
              </w:rPr>
            </w:pPr>
            <w:r w:rsidRPr="00D16AB0">
              <w:rPr>
                <w:rFonts w:ascii="Arial" w:hAnsi="Arial" w:cs="Arial"/>
                <w:sz w:val="21"/>
                <w:szCs w:val="21"/>
              </w:rPr>
              <w:t>probability of receiving a successful additionality decision</w:t>
            </w:r>
          </w:p>
        </w:tc>
      </w:tr>
      <w:tr w:rsidR="005B3045" w:rsidRPr="00D16AB0" w14:paraId="4A297F69" w14:textId="77777777" w:rsidTr="002243BE">
        <w:trPr>
          <w:trHeight w:val="20"/>
        </w:trPr>
        <w:tc>
          <w:tcPr>
            <w:tcW w:w="1050" w:type="dxa"/>
          </w:tcPr>
          <w:p w14:paraId="47A717D0" w14:textId="77777777" w:rsidR="005B3045" w:rsidRPr="00D16AB0" w:rsidRDefault="005B3045" w:rsidP="00EB6DEF">
            <w:pPr>
              <w:tabs>
                <w:tab w:val="left" w:pos="555"/>
              </w:tabs>
              <w:rPr>
                <w:rFonts w:ascii="Arial" w:eastAsia="DengXian" w:hAnsi="Arial" w:cs="Arial"/>
                <w:i/>
                <w:sz w:val="21"/>
                <w:szCs w:val="21"/>
              </w:rPr>
            </w:pPr>
            <m:oMathPara>
              <m:oMath>
                <m:r>
                  <w:rPr>
                    <w:rFonts w:ascii="Cambria Math" w:hAnsi="Cambria Math" w:cs="Arial"/>
                    <w:sz w:val="21"/>
                    <w:szCs w:val="21"/>
                  </w:rPr>
                  <m:t>ac</m:t>
                </m:r>
              </m:oMath>
            </m:oMathPara>
          </w:p>
        </w:tc>
        <w:tc>
          <w:tcPr>
            <w:tcW w:w="7256" w:type="dxa"/>
          </w:tcPr>
          <w:p w14:paraId="7049615F" w14:textId="77777777" w:rsidR="005B3045" w:rsidRPr="00D16AB0" w:rsidRDefault="005B3045" w:rsidP="00EB6DEF">
            <w:pPr>
              <w:rPr>
                <w:rFonts w:ascii="Arial" w:hAnsi="Arial" w:cs="Arial"/>
                <w:sz w:val="21"/>
                <w:szCs w:val="21"/>
              </w:rPr>
            </w:pPr>
            <w:r w:rsidRPr="00D16AB0">
              <w:rPr>
                <w:rFonts w:ascii="Arial" w:hAnsi="Arial" w:cs="Arial"/>
                <w:sz w:val="21"/>
                <w:szCs w:val="21"/>
              </w:rPr>
              <w:t>equal 1 if the regulator accepts the application, 0 otherwise</w:t>
            </w:r>
          </w:p>
        </w:tc>
      </w:tr>
      <w:tr w:rsidR="005B3045" w:rsidRPr="00D16AB0" w14:paraId="7ED6CD79" w14:textId="77777777" w:rsidTr="002243BE">
        <w:trPr>
          <w:trHeight w:val="20"/>
        </w:trPr>
        <w:tc>
          <w:tcPr>
            <w:tcW w:w="1050" w:type="dxa"/>
          </w:tcPr>
          <w:p w14:paraId="3509A966" w14:textId="77777777" w:rsidR="005B3045" w:rsidRPr="00D16AB0" w:rsidRDefault="005B3045" w:rsidP="00EB6DEF">
            <w:pPr>
              <w:tabs>
                <w:tab w:val="left" w:pos="555"/>
              </w:tabs>
              <w:rPr>
                <w:rFonts w:ascii="Arial" w:eastAsia="DengXian" w:hAnsi="Arial" w:cs="Arial"/>
                <w:sz w:val="21"/>
                <w:szCs w:val="21"/>
              </w:rPr>
            </w:pPr>
            <m:oMathPara>
              <m:oMath>
                <m:r>
                  <w:rPr>
                    <w:rFonts w:ascii="Cambria Math" w:hAnsi="Cambria Math" w:cs="Arial"/>
                    <w:sz w:val="21"/>
                    <w:szCs w:val="21"/>
                  </w:rPr>
                  <m:t>k</m:t>
                </m:r>
              </m:oMath>
            </m:oMathPara>
          </w:p>
        </w:tc>
        <w:tc>
          <w:tcPr>
            <w:tcW w:w="7256" w:type="dxa"/>
          </w:tcPr>
          <w:p w14:paraId="4EB4881E" w14:textId="77777777" w:rsidR="005B3045" w:rsidRPr="00D16AB0" w:rsidRDefault="005B3045" w:rsidP="00EB6DEF">
            <w:pPr>
              <w:rPr>
                <w:rFonts w:ascii="Arial" w:hAnsi="Arial" w:cs="Arial"/>
                <w:sz w:val="21"/>
                <w:szCs w:val="21"/>
              </w:rPr>
            </w:pPr>
            <w:r w:rsidRPr="00D16AB0">
              <w:rPr>
                <w:rFonts w:ascii="Arial" w:hAnsi="Arial" w:cs="Arial"/>
                <w:sz w:val="21"/>
                <w:szCs w:val="21"/>
              </w:rPr>
              <w:t>steepness of the decision curve, measuring the accuracy of the regulation</w:t>
            </w:r>
          </w:p>
        </w:tc>
      </w:tr>
      <w:tr w:rsidR="005B3045" w:rsidRPr="00D16AB0" w14:paraId="7F66E9C2" w14:textId="77777777" w:rsidTr="002243BE">
        <w:trPr>
          <w:trHeight w:val="20"/>
        </w:trPr>
        <w:tc>
          <w:tcPr>
            <w:tcW w:w="1050" w:type="dxa"/>
          </w:tcPr>
          <w:p w14:paraId="11958E5A" w14:textId="77777777" w:rsidR="005B3045" w:rsidRPr="00D16AB0" w:rsidRDefault="00000000" w:rsidP="00EB6DEF">
            <w:pPr>
              <w:tabs>
                <w:tab w:val="left" w:pos="555"/>
              </w:tabs>
              <w:rPr>
                <w:rFonts w:ascii="Arial" w:eastAsia="DengXian"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p</m:t>
                    </m:r>
                  </m:sub>
                </m:sSub>
              </m:oMath>
            </m:oMathPara>
          </w:p>
        </w:tc>
        <w:tc>
          <w:tcPr>
            <w:tcW w:w="7256" w:type="dxa"/>
          </w:tcPr>
          <w:p w14:paraId="3182BBAF" w14:textId="77777777" w:rsidR="005B3045" w:rsidRPr="00D16AB0" w:rsidRDefault="005B3045" w:rsidP="00EB6DEF">
            <w:pPr>
              <w:rPr>
                <w:rFonts w:ascii="Arial" w:hAnsi="Arial" w:cs="Arial"/>
                <w:sz w:val="21"/>
                <w:szCs w:val="21"/>
              </w:rPr>
            </w:pPr>
            <w:r w:rsidRPr="00D16AB0">
              <w:rPr>
                <w:rFonts w:ascii="Arial" w:hAnsi="Arial" w:cs="Arial"/>
                <w:sz w:val="21"/>
                <w:szCs w:val="21"/>
              </w:rPr>
              <w:t>policy hurdle rate, measuring the biasedness of the regulation</w:t>
            </w:r>
          </w:p>
        </w:tc>
      </w:tr>
      <w:tr w:rsidR="005B3045" w:rsidRPr="00D16AB0" w14:paraId="0560E4D6" w14:textId="77777777" w:rsidTr="002243BE">
        <w:trPr>
          <w:trHeight w:val="20"/>
        </w:trPr>
        <w:tc>
          <w:tcPr>
            <w:tcW w:w="1050" w:type="dxa"/>
          </w:tcPr>
          <w:p w14:paraId="2A22B8BB" w14:textId="77777777" w:rsidR="005B3045" w:rsidRPr="00D16AB0" w:rsidRDefault="005B3045" w:rsidP="00EB6DEF">
            <w:pPr>
              <w:tabs>
                <w:tab w:val="left" w:pos="555"/>
              </w:tabs>
              <w:rPr>
                <w:rFonts w:ascii="Arial" w:eastAsia="DengXian" w:hAnsi="Arial" w:cs="Arial"/>
                <w:i/>
                <w:sz w:val="21"/>
                <w:szCs w:val="21"/>
              </w:rPr>
            </w:pPr>
            <m:oMathPara>
              <m:oMath>
                <m:r>
                  <w:rPr>
                    <w:rFonts w:ascii="Cambria Math" w:hAnsi="Cambria Math" w:cs="Arial"/>
                    <w:sz w:val="21"/>
                    <w:szCs w:val="21"/>
                  </w:rPr>
                  <m:t>p</m:t>
                </m:r>
              </m:oMath>
            </m:oMathPara>
          </w:p>
        </w:tc>
        <w:tc>
          <w:tcPr>
            <w:tcW w:w="7256" w:type="dxa"/>
          </w:tcPr>
          <w:p w14:paraId="11159E26" w14:textId="77777777" w:rsidR="005B3045" w:rsidRPr="00D16AB0" w:rsidRDefault="005B3045" w:rsidP="00EB6DEF">
            <w:pPr>
              <w:rPr>
                <w:rFonts w:ascii="Arial" w:hAnsi="Arial" w:cs="Arial"/>
                <w:sz w:val="21"/>
                <w:szCs w:val="21"/>
              </w:rPr>
            </w:pPr>
            <w:r w:rsidRPr="00D16AB0">
              <w:rPr>
                <w:rFonts w:ascii="Arial" w:hAnsi="Arial" w:cs="Arial"/>
                <w:sz w:val="21"/>
                <w:szCs w:val="21"/>
              </w:rPr>
              <w:t>additional proportion believed by regulators within one context</w:t>
            </w:r>
          </w:p>
        </w:tc>
      </w:tr>
      <w:tr w:rsidR="005B3045" w:rsidRPr="00D16AB0" w14:paraId="60E04926" w14:textId="77777777" w:rsidTr="002243BE">
        <w:trPr>
          <w:trHeight w:val="20"/>
        </w:trPr>
        <w:tc>
          <w:tcPr>
            <w:tcW w:w="1050" w:type="dxa"/>
          </w:tcPr>
          <w:p w14:paraId="71378EBA" w14:textId="77777777" w:rsidR="005B3045" w:rsidRPr="00D16AB0" w:rsidRDefault="005B3045" w:rsidP="00EB6DEF">
            <w:pPr>
              <w:tabs>
                <w:tab w:val="left" w:pos="555"/>
              </w:tabs>
              <w:rPr>
                <w:rFonts w:ascii="Arial" w:eastAsia="DengXian" w:hAnsi="Arial" w:cs="Arial"/>
                <w:i/>
                <w:sz w:val="21"/>
                <w:szCs w:val="21"/>
              </w:rPr>
            </w:pPr>
            <m:oMathPara>
              <m:oMath>
                <m:r>
                  <w:rPr>
                    <w:rFonts w:ascii="Cambria Math" w:hAnsi="Cambria Math" w:cs="Arial"/>
                    <w:sz w:val="21"/>
                    <w:szCs w:val="21"/>
                  </w:rPr>
                  <m:t>b</m:t>
                </m:r>
              </m:oMath>
            </m:oMathPara>
          </w:p>
        </w:tc>
        <w:tc>
          <w:tcPr>
            <w:tcW w:w="7256" w:type="dxa"/>
          </w:tcPr>
          <w:p w14:paraId="7B6B5D1E" w14:textId="77777777" w:rsidR="005B3045" w:rsidRPr="00D16AB0" w:rsidRDefault="005B3045" w:rsidP="00EB6DEF">
            <w:pPr>
              <w:rPr>
                <w:rFonts w:ascii="Arial" w:hAnsi="Arial" w:cs="Arial"/>
                <w:sz w:val="21"/>
                <w:szCs w:val="21"/>
              </w:rPr>
            </w:pPr>
            <w:r w:rsidRPr="00D16AB0">
              <w:rPr>
                <w:rFonts w:ascii="Arial" w:hAnsi="Arial" w:cs="Arial"/>
                <w:sz w:val="21"/>
                <w:szCs w:val="21"/>
              </w:rPr>
              <w:t>crediting rate within one context under the proposed regime (%)</w:t>
            </w:r>
          </w:p>
        </w:tc>
      </w:tr>
    </w:tbl>
    <w:p w14:paraId="6A07054A" w14:textId="7B1D4B86" w:rsidR="005B3045" w:rsidRPr="00A94F23" w:rsidRDefault="009237CE" w:rsidP="00A20FD0">
      <w:pPr>
        <w:pStyle w:val="SMcaption"/>
        <w:rPr>
          <w:rFonts w:ascii="Arial" w:hAnsi="Arial" w:cs="Arial"/>
          <w:sz w:val="20"/>
          <w:lang w:val="en-GB"/>
        </w:rPr>
      </w:pPr>
      <w:r w:rsidRPr="00A94F23">
        <w:rPr>
          <w:rFonts w:ascii="Arial" w:hAnsi="Arial" w:cs="Arial"/>
          <w:sz w:val="20"/>
          <w:lang w:val="en-GB" w:eastAsia="zh-CN"/>
        </w:rPr>
        <w:t xml:space="preserve">Notes: </w:t>
      </w:r>
      <w:r w:rsidRPr="00A94F23">
        <w:rPr>
          <w:rFonts w:ascii="Arial" w:hAnsi="Arial" w:cs="Arial"/>
          <w:sz w:val="20"/>
          <w:lang w:val="en-GB"/>
        </w:rPr>
        <w:t>For individual project financial parameters, the lowercase letters represent reported values that are observable, the uppercase letters represent actual values that are not observable due to gaming behaviours.</w:t>
      </w:r>
    </w:p>
    <w:p w14:paraId="0FFC58B3" w14:textId="418A3CE8" w:rsidR="008412EB" w:rsidRPr="00D16AB0" w:rsidRDefault="003A7C81" w:rsidP="00256C79">
      <w:pPr>
        <w:spacing w:line="276" w:lineRule="auto"/>
        <w:rPr>
          <w:rFonts w:ascii="Arial" w:hAnsi="Arial" w:cs="Arial"/>
          <w:sz w:val="21"/>
          <w:szCs w:val="21"/>
          <w:lang w:val="en-GB"/>
        </w:rPr>
      </w:pPr>
      <w:r w:rsidRPr="00D16AB0">
        <w:rPr>
          <w:rFonts w:ascii="Arial" w:hAnsi="Arial" w:cs="Arial"/>
          <w:sz w:val="21"/>
          <w:szCs w:val="21"/>
          <w:lang w:val="en-GB"/>
        </w:rPr>
        <w:br w:type="page"/>
      </w:r>
    </w:p>
    <w:p w14:paraId="1B4BA4F4" w14:textId="4CFF9711" w:rsidR="00B9440A" w:rsidRPr="00D16AB0" w:rsidRDefault="00015F74" w:rsidP="00E038FA">
      <w:pPr>
        <w:pStyle w:val="SMSubheading"/>
        <w:spacing w:beforeLines="50" w:before="120" w:line="276" w:lineRule="auto"/>
        <w:rPr>
          <w:rFonts w:ascii="Arial" w:hAnsi="Arial" w:cs="Arial"/>
          <w:b/>
          <w:bCs/>
          <w:sz w:val="21"/>
          <w:szCs w:val="21"/>
          <w:u w:val="none"/>
          <w:lang w:val="en-GB"/>
        </w:rPr>
      </w:pPr>
      <w:bookmarkStart w:id="276" w:name="_Toc214982043"/>
      <w:bookmarkStart w:id="277" w:name="_Toc214984267"/>
      <w:bookmarkStart w:id="278" w:name="_Toc214984293"/>
      <w:bookmarkStart w:id="279" w:name="_Toc214984963"/>
      <w:bookmarkStart w:id="280" w:name="_Toc214985852"/>
      <w:bookmarkStart w:id="281" w:name="_Toc214986994"/>
      <w:r w:rsidRPr="00D16AB0">
        <w:rPr>
          <w:rFonts w:ascii="Arial" w:hAnsi="Arial" w:cs="Arial"/>
          <w:b/>
          <w:bCs/>
          <w:sz w:val="21"/>
          <w:szCs w:val="21"/>
          <w:u w:val="none"/>
          <w:lang w:val="en-GB"/>
        </w:rPr>
        <w:lastRenderedPageBreak/>
        <w:t xml:space="preserve">Table </w:t>
      </w:r>
      <w:r w:rsidR="00F27CBB">
        <w:rPr>
          <w:rFonts w:ascii="Arial" w:hAnsi="Arial" w:cs="Arial"/>
          <w:b/>
          <w:bCs/>
          <w:sz w:val="21"/>
          <w:szCs w:val="21"/>
          <w:u w:val="none"/>
          <w:lang w:val="en-GB"/>
        </w:rPr>
        <w:t>2</w:t>
      </w:r>
      <w:r w:rsidRPr="00D16AB0">
        <w:rPr>
          <w:rFonts w:ascii="Arial" w:hAnsi="Arial" w:cs="Arial"/>
          <w:b/>
          <w:bCs/>
          <w:sz w:val="21"/>
          <w:szCs w:val="21"/>
          <w:u w:val="none"/>
          <w:lang w:val="en-GB"/>
        </w:rPr>
        <w:t>.</w:t>
      </w:r>
      <w:r w:rsidR="00B42F9C" w:rsidRPr="00D16AB0">
        <w:rPr>
          <w:rFonts w:ascii="Arial" w:hAnsi="Arial" w:cs="Arial"/>
          <w:b/>
          <w:bCs/>
          <w:sz w:val="21"/>
          <w:szCs w:val="21"/>
          <w:u w:val="none"/>
          <w:lang w:val="en-GB"/>
        </w:rPr>
        <w:t xml:space="preserve"> </w:t>
      </w:r>
      <w:r w:rsidR="00F530E7" w:rsidRPr="00D16AB0">
        <w:rPr>
          <w:rFonts w:ascii="Arial" w:hAnsi="Arial" w:cs="Arial"/>
          <w:b/>
          <w:bCs/>
          <w:sz w:val="21"/>
          <w:szCs w:val="21"/>
          <w:u w:val="none"/>
          <w:lang w:val="en-GB"/>
        </w:rPr>
        <w:t>The</w:t>
      </w:r>
      <w:r w:rsidR="001E6033" w:rsidRPr="00D16AB0">
        <w:rPr>
          <w:rFonts w:ascii="Arial" w:hAnsi="Arial" w:cs="Arial"/>
          <w:b/>
          <w:bCs/>
          <w:sz w:val="21"/>
          <w:szCs w:val="21"/>
          <w:u w:val="none"/>
          <w:lang w:val="en-GB"/>
        </w:rPr>
        <w:t xml:space="preserve"> </w:t>
      </w:r>
      <w:r w:rsidR="00F530E7" w:rsidRPr="00D16AB0">
        <w:rPr>
          <w:rFonts w:ascii="Arial" w:hAnsi="Arial" w:cs="Arial"/>
          <w:b/>
          <w:bCs/>
          <w:sz w:val="21"/>
          <w:szCs w:val="21"/>
          <w:u w:val="none"/>
          <w:lang w:val="en-GB"/>
        </w:rPr>
        <w:t>categories of cases under the current and proposed regimes</w:t>
      </w:r>
      <w:bookmarkEnd w:id="276"/>
      <w:bookmarkEnd w:id="277"/>
      <w:bookmarkEnd w:id="278"/>
      <w:bookmarkEnd w:id="279"/>
      <w:bookmarkEnd w:id="280"/>
      <w:bookmarkEnd w:id="281"/>
    </w:p>
    <w:tbl>
      <w:tblPr>
        <w:tblStyle w:val="affffb"/>
        <w:tblW w:w="8500" w:type="dxa"/>
        <w:jc w:val="center"/>
        <w:tblLook w:val="04A0" w:firstRow="1" w:lastRow="0" w:firstColumn="1" w:lastColumn="0" w:noHBand="0" w:noVBand="1"/>
      </w:tblPr>
      <w:tblGrid>
        <w:gridCol w:w="2157"/>
        <w:gridCol w:w="2182"/>
        <w:gridCol w:w="2166"/>
        <w:gridCol w:w="1995"/>
      </w:tblGrid>
      <w:tr w:rsidR="003F2C66" w:rsidRPr="00D16AB0" w14:paraId="2C077F57" w14:textId="77777777" w:rsidTr="00855955">
        <w:trPr>
          <w:trHeight w:val="962"/>
          <w:jc w:val="center"/>
        </w:trPr>
        <w:tc>
          <w:tcPr>
            <w:tcW w:w="2157" w:type="dxa"/>
            <w:shd w:val="clear" w:color="auto" w:fill="B6DDE8" w:themeFill="accent5" w:themeFillTint="66"/>
            <w:vAlign w:val="center"/>
          </w:tcPr>
          <w:p w14:paraId="44909CEF" w14:textId="77777777" w:rsidR="003F2C66" w:rsidRPr="00D16AB0" w:rsidRDefault="003F2C66" w:rsidP="0003648A">
            <w:pPr>
              <w:jc w:val="center"/>
              <w:rPr>
                <w:rFonts w:ascii="Arial" w:hAnsi="Arial" w:cs="Arial"/>
                <w:b/>
                <w:bCs/>
                <w:sz w:val="21"/>
                <w:szCs w:val="21"/>
              </w:rPr>
            </w:pPr>
            <w:r w:rsidRPr="00D16AB0">
              <w:rPr>
                <w:rFonts w:ascii="Arial" w:hAnsi="Arial" w:cs="Arial"/>
                <w:b/>
                <w:bCs/>
                <w:sz w:val="21"/>
                <w:szCs w:val="21"/>
              </w:rPr>
              <w:t>Current regime</w:t>
            </w:r>
          </w:p>
        </w:tc>
        <w:tc>
          <w:tcPr>
            <w:tcW w:w="2182" w:type="dxa"/>
            <w:shd w:val="clear" w:color="auto" w:fill="B6DDE8" w:themeFill="accent5" w:themeFillTint="66"/>
            <w:vAlign w:val="center"/>
          </w:tcPr>
          <w:p w14:paraId="7AE14760" w14:textId="77777777" w:rsidR="003F2C66" w:rsidRPr="00D16AB0" w:rsidRDefault="003F2C66" w:rsidP="0003648A">
            <w:pPr>
              <w:jc w:val="center"/>
              <w:rPr>
                <w:rFonts w:ascii="Arial" w:hAnsi="Arial" w:cs="Arial"/>
                <w:b/>
                <w:bCs/>
                <w:sz w:val="21"/>
                <w:szCs w:val="21"/>
              </w:rPr>
            </w:pPr>
            <w:r w:rsidRPr="00D16AB0">
              <w:rPr>
                <w:rFonts w:ascii="Arial" w:hAnsi="Arial" w:cs="Arial"/>
                <w:b/>
                <w:bCs/>
                <w:sz w:val="21"/>
                <w:szCs w:val="21"/>
              </w:rPr>
              <w:t>Submitted, accepted</w:t>
            </w:r>
          </w:p>
          <w:p w14:paraId="2F7C23D0" w14:textId="77777777" w:rsidR="003F2C66" w:rsidRPr="00D16AB0" w:rsidRDefault="00000000" w:rsidP="0003648A">
            <w:pPr>
              <w:jc w:val="center"/>
              <w:rPr>
                <w:rFonts w:ascii="Arial"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ep</m:t>
                    </m:r>
                  </m:e>
                  <m:sub>
                    <m:r>
                      <w:rPr>
                        <w:rFonts w:ascii="Cambria Math" w:hAnsi="Cambria Math" w:cs="Arial"/>
                        <w:sz w:val="21"/>
                        <w:szCs w:val="21"/>
                      </w:rPr>
                      <m:t>1</m:t>
                    </m:r>
                  </m:sub>
                </m:sSub>
                <m:r>
                  <w:rPr>
                    <w:rFonts w:ascii="Cambria Math" w:hAnsi="Cambria Math" w:cs="Arial"/>
                    <w:sz w:val="21"/>
                    <w:szCs w:val="21"/>
                  </w:rPr>
                  <m:t>&gt;0</m:t>
                </m:r>
              </m:oMath>
            </m:oMathPara>
          </w:p>
        </w:tc>
        <w:tc>
          <w:tcPr>
            <w:tcW w:w="2166" w:type="dxa"/>
            <w:shd w:val="clear" w:color="auto" w:fill="B6DDE8" w:themeFill="accent5" w:themeFillTint="66"/>
            <w:vAlign w:val="center"/>
          </w:tcPr>
          <w:p w14:paraId="4876B8A8" w14:textId="77777777" w:rsidR="003F2C66" w:rsidRPr="00D16AB0" w:rsidRDefault="003F2C66" w:rsidP="0003648A">
            <w:pPr>
              <w:jc w:val="center"/>
              <w:rPr>
                <w:rFonts w:ascii="Arial" w:hAnsi="Arial" w:cs="Arial"/>
                <w:b/>
                <w:bCs/>
                <w:sz w:val="21"/>
                <w:szCs w:val="21"/>
              </w:rPr>
            </w:pPr>
            <w:r w:rsidRPr="00D16AB0">
              <w:rPr>
                <w:rFonts w:ascii="Arial" w:hAnsi="Arial" w:cs="Arial"/>
                <w:b/>
                <w:bCs/>
                <w:sz w:val="21"/>
                <w:szCs w:val="21"/>
              </w:rPr>
              <w:t>Submitted, rejected</w:t>
            </w:r>
          </w:p>
          <w:p w14:paraId="0D96D38F" w14:textId="77777777" w:rsidR="003F2C66" w:rsidRPr="00D16AB0" w:rsidRDefault="00000000" w:rsidP="0003648A">
            <w:pPr>
              <w:jc w:val="center"/>
              <w:rPr>
                <w:rFonts w:ascii="Arial"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ep</m:t>
                    </m:r>
                  </m:e>
                  <m:sub>
                    <m:r>
                      <w:rPr>
                        <w:rFonts w:ascii="Cambria Math" w:hAnsi="Cambria Math" w:cs="Arial"/>
                        <w:sz w:val="21"/>
                        <w:szCs w:val="21"/>
                      </w:rPr>
                      <m:t>1</m:t>
                    </m:r>
                  </m:sub>
                </m:sSub>
                <m:r>
                  <w:rPr>
                    <w:rFonts w:ascii="Cambria Math" w:hAnsi="Cambria Math" w:cs="Arial"/>
                    <w:sz w:val="21"/>
                    <w:szCs w:val="21"/>
                  </w:rPr>
                  <m:t>&gt;0</m:t>
                </m:r>
              </m:oMath>
            </m:oMathPara>
          </w:p>
        </w:tc>
        <w:tc>
          <w:tcPr>
            <w:tcW w:w="1995" w:type="dxa"/>
            <w:shd w:val="clear" w:color="auto" w:fill="B6DDE8" w:themeFill="accent5" w:themeFillTint="66"/>
            <w:vAlign w:val="center"/>
          </w:tcPr>
          <w:p w14:paraId="6E3ED636" w14:textId="77777777" w:rsidR="003F2C66" w:rsidRPr="00D16AB0" w:rsidRDefault="003F2C66" w:rsidP="0003648A">
            <w:pPr>
              <w:jc w:val="center"/>
              <w:rPr>
                <w:rFonts w:ascii="Arial" w:hAnsi="Arial" w:cs="Arial"/>
                <w:b/>
                <w:bCs/>
                <w:sz w:val="21"/>
                <w:szCs w:val="21"/>
              </w:rPr>
            </w:pPr>
            <w:r w:rsidRPr="00D16AB0">
              <w:rPr>
                <w:rFonts w:ascii="Arial" w:hAnsi="Arial" w:cs="Arial"/>
                <w:b/>
                <w:bCs/>
                <w:sz w:val="21"/>
                <w:szCs w:val="21"/>
              </w:rPr>
              <w:t>Not submitted</w:t>
            </w:r>
          </w:p>
          <w:p w14:paraId="7BACB778" w14:textId="77777777" w:rsidR="003F2C66" w:rsidRPr="00D16AB0" w:rsidRDefault="00000000" w:rsidP="0003648A">
            <w:pPr>
              <w:jc w:val="center"/>
              <w:rPr>
                <w:rFonts w:ascii="Arial"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ep</m:t>
                    </m:r>
                  </m:e>
                  <m:sub>
                    <m:r>
                      <w:rPr>
                        <w:rFonts w:ascii="Cambria Math" w:hAnsi="Cambria Math" w:cs="Arial"/>
                        <w:sz w:val="21"/>
                        <w:szCs w:val="21"/>
                      </w:rPr>
                      <m:t>1</m:t>
                    </m:r>
                  </m:sub>
                </m:sSub>
                <m:r>
                  <w:rPr>
                    <w:rFonts w:ascii="Cambria Math" w:hAnsi="Cambria Math" w:cs="Arial"/>
                    <w:sz w:val="21"/>
                    <w:szCs w:val="21"/>
                  </w:rPr>
                  <m:t>&lt;0</m:t>
                </m:r>
              </m:oMath>
            </m:oMathPara>
          </w:p>
        </w:tc>
      </w:tr>
      <w:tr w:rsidR="003F2C66" w:rsidRPr="00D16AB0" w14:paraId="68B336AE" w14:textId="77777777" w:rsidTr="00855955">
        <w:trPr>
          <w:trHeight w:val="907"/>
          <w:jc w:val="center"/>
        </w:trPr>
        <w:tc>
          <w:tcPr>
            <w:tcW w:w="2157" w:type="dxa"/>
            <w:shd w:val="clear" w:color="auto" w:fill="B6DDE8" w:themeFill="accent5" w:themeFillTint="66"/>
            <w:vAlign w:val="center"/>
          </w:tcPr>
          <w:p w14:paraId="36ACF31D" w14:textId="77777777" w:rsidR="003F2C66" w:rsidRPr="00D16AB0" w:rsidRDefault="003F2C66" w:rsidP="0003648A">
            <w:pPr>
              <w:jc w:val="center"/>
              <w:rPr>
                <w:rFonts w:ascii="Arial" w:hAnsi="Arial" w:cs="Arial"/>
                <w:b/>
                <w:bCs/>
                <w:sz w:val="21"/>
                <w:szCs w:val="21"/>
              </w:rPr>
            </w:pPr>
            <w:r w:rsidRPr="00D16AB0">
              <w:rPr>
                <w:rFonts w:ascii="Arial" w:hAnsi="Arial" w:cs="Arial"/>
                <w:b/>
                <w:bCs/>
                <w:sz w:val="21"/>
                <w:szCs w:val="21"/>
              </w:rPr>
              <w:t>High IRR (non-additional)</w:t>
            </w:r>
          </w:p>
          <w:p w14:paraId="23F77674" w14:textId="77777777" w:rsidR="003F2C66" w:rsidRPr="00D16AB0" w:rsidRDefault="00000000" w:rsidP="0003648A">
            <w:pPr>
              <w:jc w:val="center"/>
              <w:rPr>
                <w:rFonts w:ascii="Arial"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0</m:t>
                    </m:r>
                  </m:sub>
                </m:sSub>
                <m:r>
                  <w:rPr>
                    <w:rFonts w:ascii="Cambria Math" w:hAnsi="Cambria Math" w:cs="Arial"/>
                    <w:sz w:val="21"/>
                    <w:szCs w:val="21"/>
                  </w:rPr>
                  <m:t xml:space="preserve">&gt; </m:t>
                </m:r>
                <m:acc>
                  <m:accPr>
                    <m:chr m:val="̅"/>
                    <m:ctrlPr>
                      <w:rPr>
                        <w:rFonts w:ascii="Cambria Math" w:hAnsi="Cambria Math" w:cs="Arial"/>
                        <w:i/>
                        <w:sz w:val="21"/>
                        <w:szCs w:val="21"/>
                      </w:rPr>
                    </m:ctrlPr>
                  </m:accPr>
                  <m:e>
                    <m:r>
                      <w:rPr>
                        <w:rFonts w:ascii="Cambria Math" w:hAnsi="Cambria Math" w:cs="Arial"/>
                        <w:sz w:val="21"/>
                        <w:szCs w:val="21"/>
                      </w:rPr>
                      <m:t>R</m:t>
                    </m:r>
                  </m:e>
                </m:acc>
              </m:oMath>
            </m:oMathPara>
          </w:p>
        </w:tc>
        <w:tc>
          <w:tcPr>
            <w:tcW w:w="2182" w:type="dxa"/>
            <w:vAlign w:val="center"/>
          </w:tcPr>
          <w:p w14:paraId="67880E97" w14:textId="77777777" w:rsidR="003F2C66" w:rsidRPr="00D16AB0" w:rsidRDefault="003F2C66" w:rsidP="0003648A">
            <w:pPr>
              <w:jc w:val="center"/>
              <w:rPr>
                <w:rFonts w:ascii="Arial" w:hAnsi="Arial" w:cs="Arial"/>
                <w:color w:val="000000" w:themeColor="text1"/>
                <w:sz w:val="21"/>
                <w:szCs w:val="21"/>
              </w:rPr>
            </w:pPr>
            <w:r w:rsidRPr="00D16AB0">
              <w:rPr>
                <w:rFonts w:ascii="Arial" w:hAnsi="Arial" w:cs="Arial"/>
                <w:color w:val="000000" w:themeColor="text1"/>
                <w:sz w:val="21"/>
                <w:szCs w:val="21"/>
              </w:rPr>
              <w:t>Falsely accepted project</w:t>
            </w:r>
          </w:p>
        </w:tc>
        <w:tc>
          <w:tcPr>
            <w:tcW w:w="2166" w:type="dxa"/>
            <w:vAlign w:val="center"/>
          </w:tcPr>
          <w:p w14:paraId="69A49783" w14:textId="77777777" w:rsidR="003F2C66" w:rsidRPr="00D16AB0" w:rsidRDefault="003F2C66" w:rsidP="0003648A">
            <w:pPr>
              <w:jc w:val="center"/>
              <w:rPr>
                <w:rFonts w:ascii="Arial" w:hAnsi="Arial" w:cs="Arial"/>
                <w:sz w:val="21"/>
                <w:szCs w:val="21"/>
              </w:rPr>
            </w:pPr>
            <w:r w:rsidRPr="00D16AB0">
              <w:rPr>
                <w:rFonts w:ascii="Arial" w:hAnsi="Arial" w:cs="Arial"/>
                <w:sz w:val="21"/>
                <w:szCs w:val="21"/>
              </w:rPr>
              <w:t>Correctly rejected project</w:t>
            </w:r>
          </w:p>
        </w:tc>
        <w:tc>
          <w:tcPr>
            <w:tcW w:w="1995" w:type="dxa"/>
            <w:vAlign w:val="center"/>
          </w:tcPr>
          <w:p w14:paraId="6A556291" w14:textId="77777777" w:rsidR="003F2C66" w:rsidRPr="00D16AB0" w:rsidRDefault="003F2C66" w:rsidP="0003648A">
            <w:pPr>
              <w:jc w:val="center"/>
              <w:rPr>
                <w:rFonts w:ascii="Arial" w:hAnsi="Arial" w:cs="Arial"/>
                <w:sz w:val="21"/>
                <w:szCs w:val="21"/>
              </w:rPr>
            </w:pPr>
            <w:r w:rsidRPr="00D16AB0">
              <w:rPr>
                <w:rFonts w:ascii="Arial" w:hAnsi="Arial" w:cs="Arial"/>
                <w:sz w:val="21"/>
                <w:szCs w:val="21"/>
              </w:rPr>
              <w:t>Non-offset project</w:t>
            </w:r>
          </w:p>
        </w:tc>
      </w:tr>
      <w:tr w:rsidR="003F2C66" w:rsidRPr="00D16AB0" w14:paraId="3D87A40C" w14:textId="77777777" w:rsidTr="00D962D0">
        <w:trPr>
          <w:trHeight w:val="907"/>
          <w:jc w:val="center"/>
        </w:trPr>
        <w:tc>
          <w:tcPr>
            <w:tcW w:w="2157" w:type="dxa"/>
            <w:shd w:val="clear" w:color="auto" w:fill="B6DDE8" w:themeFill="accent5" w:themeFillTint="66"/>
            <w:vAlign w:val="center"/>
          </w:tcPr>
          <w:p w14:paraId="3E45A187" w14:textId="77777777" w:rsidR="003F2C66" w:rsidRPr="00D16AB0" w:rsidRDefault="003F2C66" w:rsidP="0003648A">
            <w:pPr>
              <w:jc w:val="center"/>
              <w:rPr>
                <w:rFonts w:ascii="Arial" w:hAnsi="Arial" w:cs="Arial"/>
                <w:b/>
                <w:bCs/>
                <w:sz w:val="21"/>
                <w:szCs w:val="21"/>
              </w:rPr>
            </w:pPr>
            <w:r w:rsidRPr="00D16AB0">
              <w:rPr>
                <w:rFonts w:ascii="Arial" w:hAnsi="Arial" w:cs="Arial"/>
                <w:b/>
                <w:bCs/>
                <w:sz w:val="21"/>
                <w:szCs w:val="21"/>
              </w:rPr>
              <w:t>Medium IRR (additional)</w:t>
            </w:r>
          </w:p>
          <w:p w14:paraId="10529C9A" w14:textId="77777777" w:rsidR="003F2C66" w:rsidRPr="00D16AB0" w:rsidRDefault="00000000" w:rsidP="0003648A">
            <w:pPr>
              <w:jc w:val="center"/>
              <w:rPr>
                <w:rFonts w:ascii="Arial"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1</m:t>
                    </m:r>
                  </m:sub>
                </m:sSub>
                <m:r>
                  <w:rPr>
                    <w:rFonts w:ascii="Cambria Math" w:hAnsi="Cambria Math" w:cs="Arial"/>
                    <w:sz w:val="21"/>
                    <w:szCs w:val="21"/>
                  </w:rPr>
                  <m:t xml:space="preserve">&gt; </m:t>
                </m:r>
                <m:acc>
                  <m:accPr>
                    <m:chr m:val="̅"/>
                    <m:ctrlPr>
                      <w:rPr>
                        <w:rFonts w:ascii="Cambria Math" w:hAnsi="Cambria Math" w:cs="Arial"/>
                        <w:i/>
                        <w:sz w:val="21"/>
                        <w:szCs w:val="21"/>
                      </w:rPr>
                    </m:ctrlPr>
                  </m:accPr>
                  <m:e>
                    <m:r>
                      <w:rPr>
                        <w:rFonts w:ascii="Cambria Math" w:hAnsi="Cambria Math" w:cs="Arial"/>
                        <w:sz w:val="21"/>
                        <w:szCs w:val="21"/>
                      </w:rPr>
                      <m:t>R</m:t>
                    </m:r>
                  </m:e>
                </m:acc>
                <m:r>
                  <w:rPr>
                    <w:rFonts w:ascii="Cambria Math" w:hAnsi="Cambria Math" w:cs="Arial"/>
                    <w:sz w:val="21"/>
                    <w:szCs w:val="21"/>
                  </w:rPr>
                  <m:t>&gt;</m:t>
                </m:r>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0</m:t>
                    </m:r>
                  </m:sub>
                </m:sSub>
              </m:oMath>
            </m:oMathPara>
          </w:p>
        </w:tc>
        <w:tc>
          <w:tcPr>
            <w:tcW w:w="2182" w:type="dxa"/>
            <w:vAlign w:val="center"/>
          </w:tcPr>
          <w:p w14:paraId="4C4E6A48" w14:textId="77777777" w:rsidR="003F2C66" w:rsidRPr="00D16AB0" w:rsidRDefault="003F2C66" w:rsidP="0003648A">
            <w:pPr>
              <w:jc w:val="center"/>
              <w:rPr>
                <w:rFonts w:ascii="Arial" w:hAnsi="Arial" w:cs="Arial"/>
                <w:color w:val="000000" w:themeColor="text1"/>
                <w:sz w:val="21"/>
                <w:szCs w:val="21"/>
              </w:rPr>
            </w:pPr>
            <w:r w:rsidRPr="00D16AB0">
              <w:rPr>
                <w:rFonts w:ascii="Arial" w:hAnsi="Arial" w:cs="Arial"/>
                <w:color w:val="000000" w:themeColor="text1"/>
                <w:sz w:val="21"/>
                <w:szCs w:val="21"/>
              </w:rPr>
              <w:t>Correctly accepted project</w:t>
            </w:r>
          </w:p>
        </w:tc>
        <w:tc>
          <w:tcPr>
            <w:tcW w:w="2166" w:type="dxa"/>
            <w:vAlign w:val="center"/>
          </w:tcPr>
          <w:p w14:paraId="775017AE" w14:textId="77777777" w:rsidR="003F2C66" w:rsidRPr="00D16AB0" w:rsidRDefault="003F2C66" w:rsidP="0003648A">
            <w:pPr>
              <w:jc w:val="center"/>
              <w:rPr>
                <w:rFonts w:ascii="Arial" w:hAnsi="Arial" w:cs="Arial"/>
                <w:sz w:val="21"/>
                <w:szCs w:val="21"/>
              </w:rPr>
            </w:pPr>
            <w:r w:rsidRPr="00D16AB0">
              <w:rPr>
                <w:rFonts w:ascii="Arial" w:hAnsi="Arial" w:cs="Arial"/>
                <w:sz w:val="21"/>
                <w:szCs w:val="21"/>
              </w:rPr>
              <w:t>Falsely rejected project</w:t>
            </w:r>
          </w:p>
        </w:tc>
        <w:tc>
          <w:tcPr>
            <w:tcW w:w="1995" w:type="dxa"/>
            <w:shd w:val="clear" w:color="auto" w:fill="D9D9D9" w:themeFill="background1" w:themeFillShade="D9"/>
            <w:vAlign w:val="center"/>
          </w:tcPr>
          <w:p w14:paraId="56A97202" w14:textId="77777777" w:rsidR="003F2C66" w:rsidRPr="00D16AB0" w:rsidRDefault="003F2C66" w:rsidP="0003648A">
            <w:pPr>
              <w:jc w:val="center"/>
              <w:rPr>
                <w:rFonts w:ascii="Arial" w:hAnsi="Arial" w:cs="Arial"/>
                <w:i/>
                <w:iCs/>
                <w:sz w:val="21"/>
                <w:szCs w:val="21"/>
              </w:rPr>
            </w:pPr>
            <w:r w:rsidRPr="00D16AB0">
              <w:rPr>
                <w:rFonts w:ascii="Arial" w:hAnsi="Arial" w:cs="Arial"/>
                <w:i/>
                <w:iCs/>
                <w:sz w:val="21"/>
                <w:szCs w:val="21"/>
              </w:rPr>
              <w:t>Not possible (a)</w:t>
            </w:r>
          </w:p>
        </w:tc>
      </w:tr>
      <w:tr w:rsidR="003F2C66" w:rsidRPr="00D16AB0" w14:paraId="7BEE1E90" w14:textId="77777777" w:rsidTr="00D962D0">
        <w:trPr>
          <w:trHeight w:val="907"/>
          <w:jc w:val="center"/>
        </w:trPr>
        <w:tc>
          <w:tcPr>
            <w:tcW w:w="2157" w:type="dxa"/>
            <w:shd w:val="clear" w:color="auto" w:fill="B6DDE8" w:themeFill="accent5" w:themeFillTint="66"/>
            <w:vAlign w:val="center"/>
          </w:tcPr>
          <w:p w14:paraId="17AD3ABA" w14:textId="77777777" w:rsidR="003F2C66" w:rsidRPr="00D16AB0" w:rsidRDefault="003F2C66" w:rsidP="0003648A">
            <w:pPr>
              <w:jc w:val="center"/>
              <w:rPr>
                <w:rFonts w:ascii="Arial" w:hAnsi="Arial" w:cs="Arial"/>
                <w:b/>
                <w:bCs/>
                <w:sz w:val="21"/>
                <w:szCs w:val="21"/>
              </w:rPr>
            </w:pPr>
            <w:r w:rsidRPr="00D16AB0">
              <w:rPr>
                <w:rFonts w:ascii="Arial" w:hAnsi="Arial" w:cs="Arial"/>
                <w:b/>
                <w:bCs/>
                <w:sz w:val="21"/>
                <w:szCs w:val="21"/>
              </w:rPr>
              <w:t>Low IRR (unattractive)</w:t>
            </w:r>
          </w:p>
          <w:p w14:paraId="6BB2A74B" w14:textId="77777777" w:rsidR="003F2C66" w:rsidRPr="00D16AB0" w:rsidRDefault="00000000" w:rsidP="0003648A">
            <w:pPr>
              <w:jc w:val="center"/>
              <w:rPr>
                <w:rFonts w:ascii="Arial" w:hAnsi="Arial" w:cs="Arial"/>
                <w:sz w:val="21"/>
                <w:szCs w:val="21"/>
              </w:rPr>
            </w:pPr>
            <m:oMathPara>
              <m:oMath>
                <m:acc>
                  <m:accPr>
                    <m:chr m:val="̅"/>
                    <m:ctrlPr>
                      <w:rPr>
                        <w:rFonts w:ascii="Cambria Math" w:hAnsi="Cambria Math" w:cs="Arial"/>
                        <w:i/>
                        <w:sz w:val="21"/>
                        <w:szCs w:val="21"/>
                      </w:rPr>
                    </m:ctrlPr>
                  </m:accPr>
                  <m:e>
                    <m:r>
                      <w:rPr>
                        <w:rFonts w:ascii="Cambria Math" w:hAnsi="Cambria Math" w:cs="Arial"/>
                        <w:sz w:val="21"/>
                        <w:szCs w:val="21"/>
                      </w:rPr>
                      <m:t>R</m:t>
                    </m:r>
                  </m:e>
                </m:acc>
                <m:r>
                  <w:rPr>
                    <w:rFonts w:ascii="Cambria Math" w:hAnsi="Cambria Math" w:cs="Arial"/>
                    <w:sz w:val="21"/>
                    <w:szCs w:val="21"/>
                  </w:rPr>
                  <m:t>&gt;</m:t>
                </m:r>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1</m:t>
                    </m:r>
                  </m:sub>
                </m:sSub>
                <m:r>
                  <w:rPr>
                    <w:rFonts w:ascii="Cambria Math" w:hAnsi="Cambria Math" w:cs="Arial"/>
                    <w:sz w:val="21"/>
                    <w:szCs w:val="21"/>
                  </w:rPr>
                  <m:t>&gt;</m:t>
                </m:r>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0</m:t>
                    </m:r>
                  </m:sub>
                </m:sSub>
              </m:oMath>
            </m:oMathPara>
          </w:p>
        </w:tc>
        <w:tc>
          <w:tcPr>
            <w:tcW w:w="2182" w:type="dxa"/>
            <w:shd w:val="clear" w:color="auto" w:fill="D9D9D9" w:themeFill="background1" w:themeFillShade="D9"/>
            <w:vAlign w:val="center"/>
          </w:tcPr>
          <w:p w14:paraId="3FC8CB27" w14:textId="77777777" w:rsidR="003F2C66" w:rsidRPr="00D16AB0" w:rsidRDefault="003F2C66" w:rsidP="0003648A">
            <w:pPr>
              <w:jc w:val="center"/>
              <w:rPr>
                <w:rFonts w:ascii="Arial" w:hAnsi="Arial" w:cs="Arial"/>
                <w:i/>
                <w:iCs/>
                <w:sz w:val="21"/>
                <w:szCs w:val="21"/>
              </w:rPr>
            </w:pPr>
            <w:r w:rsidRPr="00D16AB0">
              <w:rPr>
                <w:rFonts w:ascii="Arial" w:hAnsi="Arial" w:cs="Arial"/>
                <w:i/>
                <w:iCs/>
                <w:sz w:val="21"/>
                <w:szCs w:val="21"/>
              </w:rPr>
              <w:t>Not possible (b)</w:t>
            </w:r>
          </w:p>
        </w:tc>
        <w:tc>
          <w:tcPr>
            <w:tcW w:w="2166" w:type="dxa"/>
            <w:shd w:val="clear" w:color="auto" w:fill="D9D9D9" w:themeFill="background1" w:themeFillShade="D9"/>
            <w:vAlign w:val="center"/>
          </w:tcPr>
          <w:p w14:paraId="15266805" w14:textId="77777777" w:rsidR="003F2C66" w:rsidRPr="00D16AB0" w:rsidRDefault="003F2C66" w:rsidP="0003648A">
            <w:pPr>
              <w:jc w:val="center"/>
              <w:rPr>
                <w:rFonts w:ascii="Arial" w:hAnsi="Arial" w:cs="Arial"/>
                <w:i/>
                <w:iCs/>
                <w:sz w:val="21"/>
                <w:szCs w:val="21"/>
              </w:rPr>
            </w:pPr>
            <w:r w:rsidRPr="00D16AB0">
              <w:rPr>
                <w:rFonts w:ascii="Arial" w:hAnsi="Arial" w:cs="Arial"/>
                <w:i/>
                <w:iCs/>
                <w:sz w:val="21"/>
                <w:szCs w:val="21"/>
              </w:rPr>
              <w:t>Not possible (b)</w:t>
            </w:r>
          </w:p>
        </w:tc>
        <w:tc>
          <w:tcPr>
            <w:tcW w:w="1995" w:type="dxa"/>
            <w:vAlign w:val="center"/>
          </w:tcPr>
          <w:p w14:paraId="7D713AEA" w14:textId="77777777" w:rsidR="003F2C66" w:rsidRPr="00D16AB0" w:rsidRDefault="003F2C66" w:rsidP="0003648A">
            <w:pPr>
              <w:jc w:val="center"/>
              <w:rPr>
                <w:rFonts w:ascii="Arial" w:hAnsi="Arial" w:cs="Arial"/>
                <w:sz w:val="21"/>
                <w:szCs w:val="21"/>
              </w:rPr>
            </w:pPr>
            <w:r w:rsidRPr="00D16AB0">
              <w:rPr>
                <w:rFonts w:ascii="Arial" w:hAnsi="Arial" w:cs="Arial"/>
                <w:sz w:val="21"/>
                <w:szCs w:val="21"/>
              </w:rPr>
              <w:t>Unattractive project</w:t>
            </w:r>
          </w:p>
        </w:tc>
      </w:tr>
    </w:tbl>
    <w:p w14:paraId="69178451" w14:textId="77777777" w:rsidR="003F2C66" w:rsidRPr="00D16AB0" w:rsidRDefault="003F2C66" w:rsidP="00256C79">
      <w:pPr>
        <w:pStyle w:val="SMcaption"/>
        <w:spacing w:line="276" w:lineRule="auto"/>
        <w:rPr>
          <w:rFonts w:ascii="Arial" w:hAnsi="Arial" w:cs="Arial"/>
          <w:sz w:val="21"/>
          <w:szCs w:val="21"/>
          <w:lang w:val="en-GB"/>
        </w:rPr>
      </w:pPr>
    </w:p>
    <w:tbl>
      <w:tblPr>
        <w:tblStyle w:val="affffb"/>
        <w:tblW w:w="6658" w:type="dxa"/>
        <w:jc w:val="center"/>
        <w:tblLook w:val="04A0" w:firstRow="1" w:lastRow="0" w:firstColumn="1" w:lastColumn="0" w:noHBand="0" w:noVBand="1"/>
      </w:tblPr>
      <w:tblGrid>
        <w:gridCol w:w="2629"/>
        <w:gridCol w:w="2193"/>
        <w:gridCol w:w="1836"/>
      </w:tblGrid>
      <w:tr w:rsidR="00596529" w:rsidRPr="00D16AB0" w14:paraId="2AE383EE" w14:textId="77777777" w:rsidTr="000D1812">
        <w:trPr>
          <w:trHeight w:val="785"/>
          <w:jc w:val="center"/>
        </w:trPr>
        <w:tc>
          <w:tcPr>
            <w:tcW w:w="2629" w:type="dxa"/>
            <w:shd w:val="clear" w:color="auto" w:fill="B6DDE8" w:themeFill="accent5" w:themeFillTint="66"/>
            <w:vAlign w:val="center"/>
          </w:tcPr>
          <w:p w14:paraId="553154A8" w14:textId="77777777" w:rsidR="00596529" w:rsidRPr="00D16AB0" w:rsidRDefault="00596529" w:rsidP="0003648A">
            <w:pPr>
              <w:jc w:val="center"/>
              <w:rPr>
                <w:rFonts w:ascii="Arial" w:hAnsi="Arial" w:cs="Arial"/>
                <w:sz w:val="21"/>
                <w:szCs w:val="21"/>
              </w:rPr>
            </w:pPr>
            <w:r w:rsidRPr="00D16AB0">
              <w:rPr>
                <w:rFonts w:ascii="Arial" w:hAnsi="Arial" w:cs="Arial"/>
                <w:b/>
                <w:bCs/>
                <w:sz w:val="21"/>
                <w:szCs w:val="21"/>
              </w:rPr>
              <w:t>Proposed regime</w:t>
            </w:r>
          </w:p>
        </w:tc>
        <w:tc>
          <w:tcPr>
            <w:tcW w:w="2193" w:type="dxa"/>
            <w:shd w:val="clear" w:color="auto" w:fill="B6DDE8" w:themeFill="accent5" w:themeFillTint="66"/>
            <w:vAlign w:val="center"/>
          </w:tcPr>
          <w:p w14:paraId="608985A0" w14:textId="77777777" w:rsidR="00596529" w:rsidRPr="00D16AB0" w:rsidRDefault="00596529" w:rsidP="0003648A">
            <w:pPr>
              <w:jc w:val="center"/>
              <w:rPr>
                <w:rFonts w:ascii="Arial" w:hAnsi="Arial" w:cs="Arial"/>
                <w:b/>
                <w:bCs/>
                <w:sz w:val="21"/>
                <w:szCs w:val="21"/>
              </w:rPr>
            </w:pPr>
            <w:r w:rsidRPr="00D16AB0">
              <w:rPr>
                <w:rFonts w:ascii="Arial" w:hAnsi="Arial" w:cs="Arial"/>
                <w:b/>
                <w:bCs/>
                <w:sz w:val="21"/>
                <w:szCs w:val="21"/>
              </w:rPr>
              <w:t>Submitted</w:t>
            </w:r>
          </w:p>
          <w:p w14:paraId="16D827BD" w14:textId="77777777" w:rsidR="00596529" w:rsidRPr="00D16AB0" w:rsidRDefault="00000000" w:rsidP="0003648A">
            <w:pPr>
              <w:jc w:val="center"/>
              <w:rPr>
                <w:rFonts w:ascii="Arial"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ep</m:t>
                    </m:r>
                  </m:e>
                  <m:sub>
                    <m:r>
                      <w:rPr>
                        <w:rFonts w:ascii="Cambria Math" w:hAnsi="Cambria Math" w:cs="Arial"/>
                        <w:sz w:val="21"/>
                        <w:szCs w:val="21"/>
                      </w:rPr>
                      <m:t>2</m:t>
                    </m:r>
                  </m:sub>
                </m:sSub>
                <m:r>
                  <w:rPr>
                    <w:rFonts w:ascii="Cambria Math" w:hAnsi="Cambria Math" w:cs="Arial"/>
                    <w:sz w:val="21"/>
                    <w:szCs w:val="21"/>
                  </w:rPr>
                  <m:t>&gt;0</m:t>
                </m:r>
              </m:oMath>
            </m:oMathPara>
          </w:p>
        </w:tc>
        <w:tc>
          <w:tcPr>
            <w:tcW w:w="1836" w:type="dxa"/>
            <w:shd w:val="clear" w:color="auto" w:fill="B6DDE8" w:themeFill="accent5" w:themeFillTint="66"/>
            <w:vAlign w:val="center"/>
          </w:tcPr>
          <w:p w14:paraId="7D79449D" w14:textId="77777777" w:rsidR="00596529" w:rsidRPr="00D16AB0" w:rsidRDefault="00596529" w:rsidP="0003648A">
            <w:pPr>
              <w:jc w:val="center"/>
              <w:rPr>
                <w:rFonts w:ascii="Arial" w:hAnsi="Arial" w:cs="Arial"/>
                <w:b/>
                <w:bCs/>
                <w:sz w:val="21"/>
                <w:szCs w:val="21"/>
              </w:rPr>
            </w:pPr>
            <w:r w:rsidRPr="00D16AB0">
              <w:rPr>
                <w:rFonts w:ascii="Arial" w:hAnsi="Arial" w:cs="Arial"/>
                <w:b/>
                <w:bCs/>
                <w:sz w:val="21"/>
                <w:szCs w:val="21"/>
              </w:rPr>
              <w:t>Not submitted</w:t>
            </w:r>
          </w:p>
          <w:p w14:paraId="304A3BC3" w14:textId="77777777" w:rsidR="00596529" w:rsidRPr="00D16AB0" w:rsidRDefault="00000000" w:rsidP="0003648A">
            <w:pPr>
              <w:jc w:val="center"/>
              <w:rPr>
                <w:rFonts w:ascii="Arial" w:hAnsi="Arial" w:cs="Arial"/>
                <w:b/>
                <w:bCs/>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ep</m:t>
                    </m:r>
                  </m:e>
                  <m:sub>
                    <m:r>
                      <w:rPr>
                        <w:rFonts w:ascii="Cambria Math" w:hAnsi="Cambria Math" w:cs="Arial"/>
                        <w:sz w:val="21"/>
                        <w:szCs w:val="21"/>
                      </w:rPr>
                      <m:t>2</m:t>
                    </m:r>
                  </m:sub>
                </m:sSub>
                <m:r>
                  <w:rPr>
                    <w:rFonts w:ascii="Cambria Math" w:hAnsi="Cambria Math" w:cs="Arial"/>
                    <w:sz w:val="21"/>
                    <w:szCs w:val="21"/>
                  </w:rPr>
                  <m:t>&lt;0</m:t>
                </m:r>
              </m:oMath>
            </m:oMathPara>
          </w:p>
        </w:tc>
      </w:tr>
      <w:tr w:rsidR="00596529" w:rsidRPr="00D16AB0" w14:paraId="61BD0C2C" w14:textId="77777777" w:rsidTr="00975731">
        <w:trPr>
          <w:trHeight w:val="907"/>
          <w:jc w:val="center"/>
        </w:trPr>
        <w:tc>
          <w:tcPr>
            <w:tcW w:w="2629" w:type="dxa"/>
            <w:shd w:val="clear" w:color="auto" w:fill="B6DDE8" w:themeFill="accent5" w:themeFillTint="66"/>
            <w:vAlign w:val="center"/>
          </w:tcPr>
          <w:p w14:paraId="7548FE00" w14:textId="77777777" w:rsidR="00596529" w:rsidRPr="00D16AB0" w:rsidRDefault="00596529" w:rsidP="0003648A">
            <w:pPr>
              <w:jc w:val="center"/>
              <w:rPr>
                <w:rFonts w:ascii="Arial" w:hAnsi="Arial" w:cs="Arial"/>
                <w:b/>
                <w:bCs/>
                <w:sz w:val="21"/>
                <w:szCs w:val="21"/>
              </w:rPr>
            </w:pPr>
            <w:r w:rsidRPr="00D16AB0">
              <w:rPr>
                <w:rFonts w:ascii="Arial" w:hAnsi="Arial" w:cs="Arial"/>
                <w:b/>
                <w:bCs/>
                <w:sz w:val="21"/>
                <w:szCs w:val="21"/>
              </w:rPr>
              <w:t>High IRR (non-additional)</w:t>
            </w:r>
          </w:p>
          <w:p w14:paraId="0C453D37" w14:textId="77777777" w:rsidR="00596529" w:rsidRPr="00D16AB0" w:rsidRDefault="00000000" w:rsidP="0003648A">
            <w:pPr>
              <w:jc w:val="center"/>
              <w:rPr>
                <w:rFonts w:ascii="Arial"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0</m:t>
                    </m:r>
                  </m:sub>
                </m:sSub>
                <m:r>
                  <w:rPr>
                    <w:rFonts w:ascii="Cambria Math" w:hAnsi="Cambria Math" w:cs="Arial"/>
                    <w:sz w:val="21"/>
                    <w:szCs w:val="21"/>
                  </w:rPr>
                  <m:t xml:space="preserve">&gt; </m:t>
                </m:r>
                <m:acc>
                  <m:accPr>
                    <m:chr m:val="̅"/>
                    <m:ctrlPr>
                      <w:rPr>
                        <w:rFonts w:ascii="Cambria Math" w:hAnsi="Cambria Math" w:cs="Arial"/>
                        <w:i/>
                        <w:sz w:val="21"/>
                        <w:szCs w:val="21"/>
                      </w:rPr>
                    </m:ctrlPr>
                  </m:accPr>
                  <m:e>
                    <m:r>
                      <w:rPr>
                        <w:rFonts w:ascii="Cambria Math" w:hAnsi="Cambria Math" w:cs="Arial"/>
                        <w:sz w:val="21"/>
                        <w:szCs w:val="21"/>
                      </w:rPr>
                      <m:t>R</m:t>
                    </m:r>
                  </m:e>
                </m:acc>
              </m:oMath>
            </m:oMathPara>
          </w:p>
        </w:tc>
        <w:tc>
          <w:tcPr>
            <w:tcW w:w="2193" w:type="dxa"/>
            <w:vAlign w:val="center"/>
          </w:tcPr>
          <w:p w14:paraId="574A1A28" w14:textId="77777777" w:rsidR="00596529" w:rsidRPr="00D16AB0" w:rsidRDefault="00596529" w:rsidP="0003648A">
            <w:pPr>
              <w:jc w:val="center"/>
              <w:rPr>
                <w:rFonts w:ascii="Arial" w:hAnsi="Arial" w:cs="Arial"/>
                <w:color w:val="000000" w:themeColor="text1"/>
                <w:sz w:val="21"/>
                <w:szCs w:val="21"/>
              </w:rPr>
            </w:pPr>
            <w:r w:rsidRPr="00D16AB0">
              <w:rPr>
                <w:rFonts w:ascii="Arial" w:hAnsi="Arial" w:cs="Arial"/>
                <w:color w:val="000000" w:themeColor="text1"/>
                <w:sz w:val="21"/>
                <w:szCs w:val="21"/>
              </w:rPr>
              <w:t>Falsely accepted project</w:t>
            </w:r>
          </w:p>
        </w:tc>
        <w:tc>
          <w:tcPr>
            <w:tcW w:w="1836" w:type="dxa"/>
            <w:shd w:val="clear" w:color="auto" w:fill="D9D9D9" w:themeFill="background1" w:themeFillShade="D9"/>
            <w:vAlign w:val="center"/>
          </w:tcPr>
          <w:p w14:paraId="50DA4CB1" w14:textId="77777777" w:rsidR="00596529" w:rsidRPr="00D16AB0" w:rsidRDefault="00596529" w:rsidP="0003648A">
            <w:pPr>
              <w:jc w:val="center"/>
              <w:rPr>
                <w:rFonts w:ascii="Arial" w:hAnsi="Arial" w:cs="Arial"/>
                <w:i/>
                <w:iCs/>
                <w:sz w:val="21"/>
                <w:szCs w:val="21"/>
              </w:rPr>
            </w:pPr>
            <w:r w:rsidRPr="00D16AB0">
              <w:rPr>
                <w:rFonts w:ascii="Arial" w:hAnsi="Arial" w:cs="Arial"/>
                <w:i/>
                <w:iCs/>
                <w:sz w:val="21"/>
                <w:szCs w:val="21"/>
              </w:rPr>
              <w:t>Not possible (c)</w:t>
            </w:r>
          </w:p>
        </w:tc>
      </w:tr>
      <w:tr w:rsidR="00596529" w:rsidRPr="00D16AB0" w14:paraId="2C6FC050" w14:textId="77777777" w:rsidTr="00975731">
        <w:trPr>
          <w:trHeight w:val="907"/>
          <w:jc w:val="center"/>
        </w:trPr>
        <w:tc>
          <w:tcPr>
            <w:tcW w:w="2629" w:type="dxa"/>
            <w:shd w:val="clear" w:color="auto" w:fill="B6DDE8" w:themeFill="accent5" w:themeFillTint="66"/>
            <w:vAlign w:val="center"/>
          </w:tcPr>
          <w:p w14:paraId="2C88E713" w14:textId="77777777" w:rsidR="00596529" w:rsidRPr="00D16AB0" w:rsidRDefault="00596529" w:rsidP="0003648A">
            <w:pPr>
              <w:jc w:val="center"/>
              <w:rPr>
                <w:rFonts w:ascii="Arial" w:hAnsi="Arial" w:cs="Arial"/>
                <w:b/>
                <w:bCs/>
                <w:sz w:val="21"/>
                <w:szCs w:val="21"/>
              </w:rPr>
            </w:pPr>
            <w:r w:rsidRPr="00D16AB0">
              <w:rPr>
                <w:rFonts w:ascii="Arial" w:hAnsi="Arial" w:cs="Arial"/>
                <w:b/>
                <w:bCs/>
                <w:sz w:val="21"/>
                <w:szCs w:val="21"/>
              </w:rPr>
              <w:t>Medium IRR (additional)</w:t>
            </w:r>
          </w:p>
          <w:p w14:paraId="1B159DBE" w14:textId="77777777" w:rsidR="00596529" w:rsidRPr="00D16AB0" w:rsidRDefault="00000000" w:rsidP="0003648A">
            <w:pPr>
              <w:jc w:val="center"/>
              <w:rPr>
                <w:rFonts w:ascii="Arial" w:hAnsi="Arial" w:cs="Arial"/>
                <w:sz w:val="21"/>
                <w:szCs w:val="21"/>
              </w:rPr>
            </w:pPr>
            <m:oMathPara>
              <m:oMath>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2</m:t>
                    </m:r>
                  </m:sub>
                </m:sSub>
                <m:r>
                  <w:rPr>
                    <w:rFonts w:ascii="Cambria Math" w:hAnsi="Cambria Math" w:cs="Arial"/>
                    <w:sz w:val="21"/>
                    <w:szCs w:val="21"/>
                  </w:rPr>
                  <m:t xml:space="preserve">&gt; </m:t>
                </m:r>
                <m:acc>
                  <m:accPr>
                    <m:chr m:val="̅"/>
                    <m:ctrlPr>
                      <w:rPr>
                        <w:rFonts w:ascii="Cambria Math" w:hAnsi="Cambria Math" w:cs="Arial"/>
                        <w:i/>
                        <w:sz w:val="21"/>
                        <w:szCs w:val="21"/>
                      </w:rPr>
                    </m:ctrlPr>
                  </m:accPr>
                  <m:e>
                    <m:r>
                      <w:rPr>
                        <w:rFonts w:ascii="Cambria Math" w:hAnsi="Cambria Math" w:cs="Arial"/>
                        <w:sz w:val="21"/>
                        <w:szCs w:val="21"/>
                      </w:rPr>
                      <m:t>R</m:t>
                    </m:r>
                  </m:e>
                </m:acc>
                <m:r>
                  <w:rPr>
                    <w:rFonts w:ascii="Cambria Math" w:hAnsi="Cambria Math" w:cs="Arial"/>
                    <w:sz w:val="21"/>
                    <w:szCs w:val="21"/>
                  </w:rPr>
                  <m:t>&gt;</m:t>
                </m:r>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0</m:t>
                    </m:r>
                  </m:sub>
                </m:sSub>
              </m:oMath>
            </m:oMathPara>
          </w:p>
        </w:tc>
        <w:tc>
          <w:tcPr>
            <w:tcW w:w="2193" w:type="dxa"/>
            <w:vAlign w:val="center"/>
          </w:tcPr>
          <w:p w14:paraId="275153B2" w14:textId="77777777" w:rsidR="00596529" w:rsidRPr="00D16AB0" w:rsidRDefault="00596529" w:rsidP="0003648A">
            <w:pPr>
              <w:jc w:val="center"/>
              <w:rPr>
                <w:rFonts w:ascii="Arial" w:hAnsi="Arial" w:cs="Arial"/>
                <w:color w:val="000000" w:themeColor="text1"/>
                <w:sz w:val="21"/>
                <w:szCs w:val="21"/>
              </w:rPr>
            </w:pPr>
            <w:r w:rsidRPr="00D16AB0">
              <w:rPr>
                <w:rFonts w:ascii="Arial" w:hAnsi="Arial" w:cs="Arial"/>
                <w:color w:val="000000" w:themeColor="text1"/>
                <w:sz w:val="21"/>
                <w:szCs w:val="21"/>
              </w:rPr>
              <w:t>Correctly accepted project</w:t>
            </w:r>
          </w:p>
        </w:tc>
        <w:tc>
          <w:tcPr>
            <w:tcW w:w="1836" w:type="dxa"/>
            <w:shd w:val="clear" w:color="auto" w:fill="D9D9D9" w:themeFill="background1" w:themeFillShade="D9"/>
            <w:vAlign w:val="center"/>
          </w:tcPr>
          <w:p w14:paraId="7604AD0D" w14:textId="77777777" w:rsidR="00596529" w:rsidRPr="00D16AB0" w:rsidRDefault="00596529" w:rsidP="0003648A">
            <w:pPr>
              <w:jc w:val="center"/>
              <w:rPr>
                <w:rFonts w:ascii="Arial" w:hAnsi="Arial" w:cs="Arial"/>
                <w:i/>
                <w:iCs/>
                <w:sz w:val="21"/>
                <w:szCs w:val="21"/>
              </w:rPr>
            </w:pPr>
            <w:r w:rsidRPr="00D16AB0">
              <w:rPr>
                <w:rFonts w:ascii="Arial" w:hAnsi="Arial" w:cs="Arial"/>
                <w:i/>
                <w:iCs/>
                <w:sz w:val="21"/>
                <w:szCs w:val="21"/>
              </w:rPr>
              <w:t>Not possible (c)</w:t>
            </w:r>
          </w:p>
        </w:tc>
      </w:tr>
      <w:tr w:rsidR="00596529" w:rsidRPr="00D16AB0" w14:paraId="0CC948EC" w14:textId="77777777" w:rsidTr="00975731">
        <w:trPr>
          <w:trHeight w:val="907"/>
          <w:jc w:val="center"/>
        </w:trPr>
        <w:tc>
          <w:tcPr>
            <w:tcW w:w="2629" w:type="dxa"/>
            <w:shd w:val="clear" w:color="auto" w:fill="B6DDE8" w:themeFill="accent5" w:themeFillTint="66"/>
            <w:vAlign w:val="center"/>
          </w:tcPr>
          <w:p w14:paraId="563188D0" w14:textId="77777777" w:rsidR="00596529" w:rsidRPr="00D16AB0" w:rsidRDefault="00596529" w:rsidP="0003648A">
            <w:pPr>
              <w:jc w:val="center"/>
              <w:rPr>
                <w:rFonts w:ascii="Arial" w:hAnsi="Arial" w:cs="Arial"/>
                <w:b/>
                <w:bCs/>
                <w:sz w:val="21"/>
                <w:szCs w:val="21"/>
              </w:rPr>
            </w:pPr>
            <w:r w:rsidRPr="00D16AB0">
              <w:rPr>
                <w:rFonts w:ascii="Arial" w:hAnsi="Arial" w:cs="Arial"/>
                <w:b/>
                <w:bCs/>
                <w:sz w:val="21"/>
                <w:szCs w:val="21"/>
              </w:rPr>
              <w:t>Low IRR (unattractive)</w:t>
            </w:r>
          </w:p>
          <w:p w14:paraId="455A85E7" w14:textId="77777777" w:rsidR="00596529" w:rsidRPr="00D16AB0" w:rsidRDefault="00000000" w:rsidP="0003648A">
            <w:pPr>
              <w:jc w:val="center"/>
              <w:rPr>
                <w:rFonts w:ascii="Arial" w:hAnsi="Arial" w:cs="Arial"/>
                <w:i/>
                <w:sz w:val="21"/>
                <w:szCs w:val="21"/>
              </w:rPr>
            </w:pPr>
            <m:oMathPara>
              <m:oMath>
                <m:acc>
                  <m:accPr>
                    <m:chr m:val="̅"/>
                    <m:ctrlPr>
                      <w:rPr>
                        <w:rFonts w:ascii="Cambria Math" w:hAnsi="Cambria Math" w:cs="Arial"/>
                        <w:i/>
                        <w:sz w:val="21"/>
                        <w:szCs w:val="21"/>
                      </w:rPr>
                    </m:ctrlPr>
                  </m:accPr>
                  <m:e>
                    <m:r>
                      <w:rPr>
                        <w:rFonts w:ascii="Cambria Math" w:hAnsi="Cambria Math" w:cs="Arial"/>
                        <w:sz w:val="21"/>
                        <w:szCs w:val="21"/>
                      </w:rPr>
                      <m:t>R</m:t>
                    </m:r>
                  </m:e>
                </m:acc>
                <m:r>
                  <w:rPr>
                    <w:rFonts w:ascii="Cambria Math" w:hAnsi="Cambria Math" w:cs="Arial"/>
                    <w:sz w:val="21"/>
                    <w:szCs w:val="21"/>
                  </w:rPr>
                  <m:t>&gt;</m:t>
                </m:r>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2</m:t>
                    </m:r>
                  </m:sub>
                </m:sSub>
                <m:r>
                  <w:rPr>
                    <w:rFonts w:ascii="Cambria Math" w:hAnsi="Cambria Math" w:cs="Arial"/>
                    <w:sz w:val="21"/>
                    <w:szCs w:val="21"/>
                  </w:rPr>
                  <m:t>&gt;</m:t>
                </m:r>
                <m:sSub>
                  <m:sSubPr>
                    <m:ctrlPr>
                      <w:rPr>
                        <w:rFonts w:ascii="Cambria Math" w:hAnsi="Cambria Math" w:cs="Arial"/>
                        <w:i/>
                        <w:sz w:val="21"/>
                        <w:szCs w:val="21"/>
                      </w:rPr>
                    </m:ctrlPr>
                  </m:sSubPr>
                  <m:e>
                    <m:r>
                      <w:rPr>
                        <w:rFonts w:ascii="Cambria Math" w:hAnsi="Cambria Math" w:cs="Arial"/>
                        <w:sz w:val="21"/>
                        <w:szCs w:val="21"/>
                      </w:rPr>
                      <m:t>R</m:t>
                    </m:r>
                  </m:e>
                  <m:sub>
                    <m:r>
                      <w:rPr>
                        <w:rFonts w:ascii="Cambria Math" w:hAnsi="Cambria Math" w:cs="Arial"/>
                        <w:sz w:val="21"/>
                        <w:szCs w:val="21"/>
                      </w:rPr>
                      <m:t>0</m:t>
                    </m:r>
                  </m:sub>
                </m:sSub>
              </m:oMath>
            </m:oMathPara>
          </w:p>
        </w:tc>
        <w:tc>
          <w:tcPr>
            <w:tcW w:w="2193" w:type="dxa"/>
            <w:shd w:val="clear" w:color="auto" w:fill="D9D9D9" w:themeFill="background1" w:themeFillShade="D9"/>
            <w:vAlign w:val="center"/>
          </w:tcPr>
          <w:p w14:paraId="3CCFCFCD" w14:textId="77777777" w:rsidR="00596529" w:rsidRPr="00D16AB0" w:rsidRDefault="00596529" w:rsidP="0003648A">
            <w:pPr>
              <w:jc w:val="center"/>
              <w:rPr>
                <w:rFonts w:ascii="Arial" w:hAnsi="Arial" w:cs="Arial"/>
                <w:i/>
                <w:iCs/>
                <w:sz w:val="21"/>
                <w:szCs w:val="21"/>
              </w:rPr>
            </w:pPr>
            <w:r w:rsidRPr="00D16AB0">
              <w:rPr>
                <w:rFonts w:ascii="Arial" w:hAnsi="Arial" w:cs="Arial"/>
                <w:i/>
                <w:iCs/>
                <w:sz w:val="21"/>
                <w:szCs w:val="21"/>
              </w:rPr>
              <w:t>Not possible (b)</w:t>
            </w:r>
          </w:p>
        </w:tc>
        <w:tc>
          <w:tcPr>
            <w:tcW w:w="1836" w:type="dxa"/>
            <w:vAlign w:val="center"/>
          </w:tcPr>
          <w:p w14:paraId="0B63BFFF" w14:textId="77777777" w:rsidR="00596529" w:rsidRPr="00D16AB0" w:rsidRDefault="00596529" w:rsidP="0003648A">
            <w:pPr>
              <w:jc w:val="center"/>
              <w:rPr>
                <w:rFonts w:ascii="Arial" w:hAnsi="Arial" w:cs="Arial"/>
                <w:color w:val="000000" w:themeColor="text1"/>
                <w:sz w:val="21"/>
                <w:szCs w:val="21"/>
              </w:rPr>
            </w:pPr>
            <w:r w:rsidRPr="00D16AB0">
              <w:rPr>
                <w:rFonts w:ascii="Arial" w:hAnsi="Arial" w:cs="Arial"/>
                <w:color w:val="000000" w:themeColor="text1"/>
                <w:sz w:val="21"/>
                <w:szCs w:val="21"/>
              </w:rPr>
              <w:t>Unattractive project</w:t>
            </w:r>
          </w:p>
        </w:tc>
      </w:tr>
    </w:tbl>
    <w:p w14:paraId="3304AB6D" w14:textId="77777777" w:rsidR="00596529" w:rsidRPr="00D16AB0" w:rsidRDefault="00596529" w:rsidP="00256C79">
      <w:pPr>
        <w:pStyle w:val="SMcaption"/>
        <w:spacing w:line="276" w:lineRule="auto"/>
        <w:rPr>
          <w:rFonts w:ascii="Arial" w:hAnsi="Arial" w:cs="Arial"/>
          <w:sz w:val="22"/>
          <w:szCs w:val="22"/>
          <w:lang w:val="en-GB"/>
        </w:rPr>
      </w:pPr>
    </w:p>
    <w:p w14:paraId="16F86708" w14:textId="77777777" w:rsidR="003F2C66" w:rsidRPr="00A94F23" w:rsidRDefault="003F2C66" w:rsidP="00A20FD0">
      <w:pPr>
        <w:spacing w:after="120"/>
        <w:rPr>
          <w:rFonts w:ascii="Arial" w:hAnsi="Arial" w:cs="Arial"/>
          <w:sz w:val="20"/>
          <w:lang w:val="en-GB"/>
        </w:rPr>
      </w:pPr>
      <w:r w:rsidRPr="00A94F23">
        <w:rPr>
          <w:rFonts w:ascii="Arial" w:hAnsi="Arial" w:cs="Arial"/>
          <w:sz w:val="20"/>
          <w:lang w:val="en-GB"/>
        </w:rPr>
        <w:t>Note: The grey categories are not possible because:</w:t>
      </w:r>
    </w:p>
    <w:p w14:paraId="52955C8C" w14:textId="77777777" w:rsidR="003F2C66" w:rsidRPr="00A94F23" w:rsidRDefault="003F2C66" w:rsidP="00A20FD0">
      <w:pPr>
        <w:pStyle w:val="affc"/>
        <w:numPr>
          <w:ilvl w:val="0"/>
          <w:numId w:val="15"/>
        </w:numPr>
        <w:spacing w:after="120"/>
        <w:ind w:left="714" w:hanging="357"/>
        <w:rPr>
          <w:rFonts w:ascii="Arial" w:hAnsi="Arial" w:cs="Arial"/>
          <w:sz w:val="20"/>
        </w:rPr>
      </w:pPr>
      <w:r w:rsidRPr="00A94F23">
        <w:rPr>
          <w:rFonts w:ascii="Arial" w:hAnsi="Arial" w:cs="Arial"/>
          <w:sz w:val="20"/>
        </w:rPr>
        <w:t xml:space="preserve">If </w:t>
      </w:r>
      <m:oMath>
        <m:sSub>
          <m:sSubPr>
            <m:ctrlPr>
              <w:rPr>
                <w:rFonts w:ascii="Cambria Math" w:hAnsi="Cambria Math" w:cs="Arial"/>
                <w:i/>
                <w:sz w:val="20"/>
              </w:rPr>
            </m:ctrlPr>
          </m:sSubPr>
          <m:e>
            <m:r>
              <w:rPr>
                <w:rFonts w:ascii="Cambria Math" w:hAnsi="Cambria Math" w:cs="Arial"/>
                <w:sz w:val="20"/>
              </w:rPr>
              <m:t>R</m:t>
            </m:r>
          </m:e>
          <m:sub>
            <m:r>
              <w:rPr>
                <w:rFonts w:ascii="Cambria Math" w:hAnsi="Cambria Math" w:cs="Arial"/>
                <w:sz w:val="20"/>
              </w:rPr>
              <m:t>1</m:t>
            </m:r>
          </m:sub>
        </m:sSub>
        <m:r>
          <w:rPr>
            <w:rFonts w:ascii="Cambria Math" w:hAnsi="Cambria Math" w:cs="Arial"/>
            <w:sz w:val="20"/>
          </w:rPr>
          <m:t>&gt;</m:t>
        </m:r>
        <m:acc>
          <m:accPr>
            <m:chr m:val="̅"/>
            <m:ctrlPr>
              <w:rPr>
                <w:rFonts w:ascii="Cambria Math" w:hAnsi="Cambria Math" w:cs="Arial"/>
                <w:i/>
                <w:sz w:val="20"/>
              </w:rPr>
            </m:ctrlPr>
          </m:accPr>
          <m:e>
            <m:r>
              <w:rPr>
                <w:rFonts w:ascii="Cambria Math" w:hAnsi="Cambria Math" w:cs="Arial"/>
                <w:sz w:val="20"/>
              </w:rPr>
              <m:t>R</m:t>
            </m:r>
          </m:e>
        </m:acc>
        <m:r>
          <w:rPr>
            <w:rFonts w:ascii="Cambria Math" w:hAnsi="Cambria Math" w:cs="Arial"/>
            <w:sz w:val="20"/>
          </w:rPr>
          <m:t>&gt;</m:t>
        </m:r>
        <m:sSub>
          <m:sSubPr>
            <m:ctrlPr>
              <w:rPr>
                <w:rFonts w:ascii="Cambria Math" w:hAnsi="Cambria Math" w:cs="Arial"/>
                <w:i/>
                <w:sz w:val="20"/>
              </w:rPr>
            </m:ctrlPr>
          </m:sSubPr>
          <m:e>
            <m:r>
              <w:rPr>
                <w:rFonts w:ascii="Cambria Math" w:hAnsi="Cambria Math" w:cs="Arial"/>
                <w:sz w:val="20"/>
              </w:rPr>
              <m:t>R</m:t>
            </m:r>
          </m:e>
          <m:sub>
            <m:r>
              <w:rPr>
                <w:rFonts w:ascii="Cambria Math" w:hAnsi="Cambria Math" w:cs="Arial"/>
                <w:sz w:val="20"/>
              </w:rPr>
              <m:t>0</m:t>
            </m:r>
          </m:sub>
        </m:sSub>
      </m:oMath>
      <w:r w:rsidRPr="00A94F23">
        <w:rPr>
          <w:rFonts w:ascii="Arial" w:hAnsi="Arial" w:cs="Arial"/>
          <w:sz w:val="20"/>
        </w:rPr>
        <w:t xml:space="preserve">, </w:t>
      </w:r>
      <m:oMath>
        <m:nary>
          <m:naryPr>
            <m:chr m:val="∑"/>
            <m:limLoc m:val="undOvr"/>
            <m:ctrlPr>
              <w:rPr>
                <w:rFonts w:ascii="Cambria Math" w:hAnsi="Cambria Math" w:cs="Arial"/>
                <w:i/>
                <w:sz w:val="20"/>
              </w:rPr>
            </m:ctrlPr>
          </m:naryPr>
          <m:sub>
            <m:r>
              <w:rPr>
                <w:rFonts w:ascii="Cambria Math" w:hAnsi="Cambria Math" w:cs="Arial"/>
                <w:sz w:val="20"/>
              </w:rPr>
              <m:t>n=1</m:t>
            </m:r>
          </m:sub>
          <m:sup>
            <m:r>
              <w:rPr>
                <w:rFonts w:ascii="Cambria Math" w:hAnsi="Cambria Math" w:cs="Arial"/>
                <w:sz w:val="20"/>
              </w:rPr>
              <m:t>T</m:t>
            </m:r>
          </m:sup>
          <m:e>
            <m:f>
              <m:fPr>
                <m:ctrlPr>
                  <w:rPr>
                    <w:rFonts w:ascii="Cambria Math" w:hAnsi="Cambria Math" w:cs="Arial"/>
                    <w:i/>
                    <w:sz w:val="20"/>
                  </w:rPr>
                </m:ctrlPr>
              </m:fPr>
              <m:num>
                <m:r>
                  <w:rPr>
                    <w:rFonts w:ascii="Cambria Math" w:hAnsi="Cambria Math" w:cs="Arial"/>
                    <w:sz w:val="20"/>
                  </w:rPr>
                  <m:t>CF+CR</m:t>
                </m:r>
              </m:num>
              <m:den>
                <m:sSup>
                  <m:sSupPr>
                    <m:ctrlPr>
                      <w:rPr>
                        <w:rFonts w:ascii="Cambria Math" w:hAnsi="Cambria Math" w:cs="Arial"/>
                        <w:i/>
                        <w:sz w:val="20"/>
                      </w:rPr>
                    </m:ctrlPr>
                  </m:sSupPr>
                  <m:e>
                    <m:d>
                      <m:dPr>
                        <m:ctrlPr>
                          <w:rPr>
                            <w:rFonts w:ascii="Cambria Math" w:hAnsi="Cambria Math" w:cs="Arial"/>
                            <w:i/>
                            <w:sz w:val="20"/>
                          </w:rPr>
                        </m:ctrlPr>
                      </m:dPr>
                      <m:e>
                        <m:r>
                          <w:rPr>
                            <w:rFonts w:ascii="Cambria Math" w:hAnsi="Cambria Math" w:cs="Arial"/>
                            <w:sz w:val="20"/>
                          </w:rPr>
                          <m:t>1+</m:t>
                        </m:r>
                        <m:acc>
                          <m:accPr>
                            <m:chr m:val="̅"/>
                            <m:ctrlPr>
                              <w:rPr>
                                <w:rFonts w:ascii="Cambria Math" w:hAnsi="Cambria Math" w:cs="Arial"/>
                                <w:i/>
                                <w:sz w:val="20"/>
                              </w:rPr>
                            </m:ctrlPr>
                          </m:accPr>
                          <m:e>
                            <m:r>
                              <w:rPr>
                                <w:rFonts w:ascii="Cambria Math" w:hAnsi="Cambria Math" w:cs="Arial"/>
                                <w:sz w:val="20"/>
                              </w:rPr>
                              <m:t>R</m:t>
                            </m:r>
                          </m:e>
                        </m:acc>
                      </m:e>
                    </m:d>
                  </m:e>
                  <m:sup>
                    <m:r>
                      <w:rPr>
                        <w:rFonts w:ascii="Cambria Math" w:hAnsi="Cambria Math" w:cs="Arial"/>
                        <w:sz w:val="20"/>
                      </w:rPr>
                      <m:t>n</m:t>
                    </m:r>
                  </m:sup>
                </m:sSup>
              </m:den>
            </m:f>
          </m:e>
        </m:nary>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0</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r</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d</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v</m:t>
            </m:r>
          </m:sub>
        </m:sSub>
        <m:r>
          <w:rPr>
            <w:rFonts w:ascii="Cambria Math" w:hAnsi="Cambria Math" w:cs="Arial"/>
            <w:sz w:val="20"/>
          </w:rPr>
          <m:t>&gt;0&gt;</m:t>
        </m:r>
        <m:nary>
          <m:naryPr>
            <m:chr m:val="∑"/>
            <m:limLoc m:val="undOvr"/>
            <m:ctrlPr>
              <w:rPr>
                <w:rFonts w:ascii="Cambria Math" w:hAnsi="Cambria Math" w:cs="Arial"/>
                <w:i/>
                <w:sz w:val="20"/>
              </w:rPr>
            </m:ctrlPr>
          </m:naryPr>
          <m:sub>
            <m:r>
              <w:rPr>
                <w:rFonts w:ascii="Cambria Math" w:hAnsi="Cambria Math" w:cs="Arial"/>
                <w:sz w:val="20"/>
              </w:rPr>
              <m:t>n=1</m:t>
            </m:r>
          </m:sub>
          <m:sup>
            <m:r>
              <w:rPr>
                <w:rFonts w:ascii="Cambria Math" w:hAnsi="Cambria Math" w:cs="Arial"/>
                <w:sz w:val="20"/>
              </w:rPr>
              <m:t>T</m:t>
            </m:r>
          </m:sup>
          <m:e>
            <m:f>
              <m:fPr>
                <m:ctrlPr>
                  <w:rPr>
                    <w:rFonts w:ascii="Cambria Math" w:hAnsi="Cambria Math" w:cs="Arial"/>
                    <w:i/>
                    <w:sz w:val="20"/>
                  </w:rPr>
                </m:ctrlPr>
              </m:fPr>
              <m:num>
                <m:r>
                  <w:rPr>
                    <w:rFonts w:ascii="Cambria Math" w:hAnsi="Cambria Math" w:cs="Arial"/>
                    <w:sz w:val="20"/>
                  </w:rPr>
                  <m:t>CF</m:t>
                </m:r>
              </m:num>
              <m:den>
                <m:sSup>
                  <m:sSupPr>
                    <m:ctrlPr>
                      <w:rPr>
                        <w:rFonts w:ascii="Cambria Math" w:hAnsi="Cambria Math" w:cs="Arial"/>
                        <w:i/>
                        <w:sz w:val="20"/>
                      </w:rPr>
                    </m:ctrlPr>
                  </m:sSupPr>
                  <m:e>
                    <m:d>
                      <m:dPr>
                        <m:ctrlPr>
                          <w:rPr>
                            <w:rFonts w:ascii="Cambria Math" w:hAnsi="Cambria Math" w:cs="Arial"/>
                            <w:i/>
                            <w:sz w:val="20"/>
                          </w:rPr>
                        </m:ctrlPr>
                      </m:dPr>
                      <m:e>
                        <m:r>
                          <w:rPr>
                            <w:rFonts w:ascii="Cambria Math" w:hAnsi="Cambria Math" w:cs="Arial"/>
                            <w:sz w:val="20"/>
                          </w:rPr>
                          <m:t>1+</m:t>
                        </m:r>
                        <m:acc>
                          <m:accPr>
                            <m:chr m:val="̅"/>
                            <m:ctrlPr>
                              <w:rPr>
                                <w:rFonts w:ascii="Cambria Math" w:hAnsi="Cambria Math" w:cs="Arial"/>
                                <w:i/>
                                <w:sz w:val="20"/>
                              </w:rPr>
                            </m:ctrlPr>
                          </m:accPr>
                          <m:e>
                            <m:r>
                              <w:rPr>
                                <w:rFonts w:ascii="Cambria Math" w:hAnsi="Cambria Math" w:cs="Arial"/>
                                <w:sz w:val="20"/>
                              </w:rPr>
                              <m:t>R</m:t>
                            </m:r>
                          </m:e>
                        </m:acc>
                      </m:e>
                    </m:d>
                  </m:e>
                  <m:sup>
                    <m:r>
                      <w:rPr>
                        <w:rFonts w:ascii="Cambria Math" w:hAnsi="Cambria Math" w:cs="Arial"/>
                        <w:sz w:val="20"/>
                      </w:rPr>
                      <m:t>n</m:t>
                    </m:r>
                  </m:sup>
                </m:sSup>
              </m:den>
            </m:f>
          </m:e>
        </m:nary>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0</m:t>
            </m:r>
          </m:sub>
        </m:sSub>
      </m:oMath>
      <w:r w:rsidRPr="00A94F23">
        <w:rPr>
          <w:rFonts w:ascii="Arial" w:hAnsi="Arial" w:cs="Arial"/>
          <w:sz w:val="20"/>
        </w:rPr>
        <w:t xml:space="preserve">, then </w:t>
      </w:r>
      <m:oMath>
        <m:nary>
          <m:naryPr>
            <m:chr m:val="∑"/>
            <m:limLoc m:val="undOvr"/>
            <m:ctrlPr>
              <w:rPr>
                <w:rFonts w:ascii="Cambria Math" w:hAnsi="Cambria Math" w:cs="Arial"/>
                <w:i/>
                <w:sz w:val="20"/>
              </w:rPr>
            </m:ctrlPr>
          </m:naryPr>
          <m:sub>
            <m:r>
              <w:rPr>
                <w:rFonts w:ascii="Cambria Math" w:hAnsi="Cambria Math" w:cs="Arial"/>
                <w:sz w:val="20"/>
              </w:rPr>
              <m:t>n=1</m:t>
            </m:r>
          </m:sub>
          <m:sup>
            <m:r>
              <w:rPr>
                <w:rFonts w:ascii="Cambria Math" w:hAnsi="Cambria Math" w:cs="Arial"/>
                <w:sz w:val="20"/>
              </w:rPr>
              <m:t>T</m:t>
            </m:r>
          </m:sup>
          <m:e>
            <m:f>
              <m:fPr>
                <m:ctrlPr>
                  <w:rPr>
                    <w:rFonts w:ascii="Cambria Math" w:hAnsi="Cambria Math" w:cs="Arial"/>
                    <w:i/>
                    <w:sz w:val="20"/>
                  </w:rPr>
                </m:ctrlPr>
              </m:fPr>
              <m:num>
                <m:r>
                  <w:rPr>
                    <w:rFonts w:ascii="Cambria Math" w:hAnsi="Cambria Math" w:cs="Arial"/>
                    <w:sz w:val="20"/>
                  </w:rPr>
                  <m:t>CR</m:t>
                </m:r>
              </m:num>
              <m:den>
                <m:sSup>
                  <m:sSupPr>
                    <m:ctrlPr>
                      <w:rPr>
                        <w:rFonts w:ascii="Cambria Math" w:hAnsi="Cambria Math" w:cs="Arial"/>
                        <w:i/>
                        <w:sz w:val="20"/>
                      </w:rPr>
                    </m:ctrlPr>
                  </m:sSupPr>
                  <m:e>
                    <m:d>
                      <m:dPr>
                        <m:ctrlPr>
                          <w:rPr>
                            <w:rFonts w:ascii="Cambria Math" w:hAnsi="Cambria Math" w:cs="Arial"/>
                            <w:i/>
                            <w:sz w:val="20"/>
                          </w:rPr>
                        </m:ctrlPr>
                      </m:dPr>
                      <m:e>
                        <m:r>
                          <w:rPr>
                            <w:rFonts w:ascii="Cambria Math" w:hAnsi="Cambria Math" w:cs="Arial"/>
                            <w:sz w:val="20"/>
                          </w:rPr>
                          <m:t>1+</m:t>
                        </m:r>
                        <m:acc>
                          <m:accPr>
                            <m:chr m:val="̅"/>
                            <m:ctrlPr>
                              <w:rPr>
                                <w:rFonts w:ascii="Cambria Math" w:hAnsi="Cambria Math" w:cs="Arial"/>
                                <w:i/>
                                <w:sz w:val="20"/>
                              </w:rPr>
                            </m:ctrlPr>
                          </m:accPr>
                          <m:e>
                            <m:r>
                              <w:rPr>
                                <w:rFonts w:ascii="Cambria Math" w:hAnsi="Cambria Math" w:cs="Arial"/>
                                <w:sz w:val="20"/>
                              </w:rPr>
                              <m:t>R</m:t>
                            </m:r>
                          </m:e>
                        </m:acc>
                      </m:e>
                    </m:d>
                  </m:e>
                  <m:sup>
                    <m:r>
                      <w:rPr>
                        <w:rFonts w:ascii="Cambria Math" w:hAnsi="Cambria Math" w:cs="Arial"/>
                        <w:sz w:val="20"/>
                      </w:rPr>
                      <m:t>n</m:t>
                    </m:r>
                  </m:sup>
                </m:sSup>
              </m:den>
            </m:f>
          </m:e>
        </m:nary>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r</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d</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v</m:t>
            </m:r>
          </m:sub>
        </m:sSub>
        <m:r>
          <w:rPr>
            <w:rFonts w:ascii="Cambria Math" w:hAnsi="Cambria Math" w:cs="Arial"/>
            <w:sz w:val="20"/>
          </w:rPr>
          <m:t>&gt;0</m:t>
        </m:r>
      </m:oMath>
      <w:r w:rsidRPr="00A94F23">
        <w:rPr>
          <w:rFonts w:ascii="Arial" w:hAnsi="Arial" w:cs="Arial"/>
          <w:sz w:val="20"/>
        </w:rPr>
        <w:t xml:space="preserve">, then </w:t>
      </w:r>
      <m:oMath>
        <m:sSub>
          <m:sSubPr>
            <m:ctrlPr>
              <w:rPr>
                <w:rFonts w:ascii="Cambria Math" w:hAnsi="Cambria Math" w:cs="Arial"/>
                <w:i/>
                <w:sz w:val="20"/>
              </w:rPr>
            </m:ctrlPr>
          </m:sSubPr>
          <m:e>
            <m:r>
              <w:rPr>
                <w:rFonts w:ascii="Cambria Math" w:hAnsi="Cambria Math" w:cs="Arial"/>
                <w:sz w:val="20"/>
              </w:rPr>
              <m:t>enp</m:t>
            </m:r>
          </m:e>
          <m:sub>
            <m:r>
              <w:rPr>
                <w:rFonts w:ascii="Cambria Math" w:hAnsi="Cambria Math" w:cs="Arial"/>
                <w:sz w:val="20"/>
              </w:rPr>
              <m:t>1</m:t>
            </m:r>
          </m:sub>
        </m:sSub>
        <m:r>
          <w:rPr>
            <w:rFonts w:ascii="Cambria Math" w:hAnsi="Cambria Math" w:cs="Arial"/>
            <w:sz w:val="20"/>
          </w:rPr>
          <m:t>=q×(</m:t>
        </m:r>
        <m:nary>
          <m:naryPr>
            <m:chr m:val="∑"/>
            <m:limLoc m:val="undOvr"/>
            <m:ctrlPr>
              <w:rPr>
                <w:rFonts w:ascii="Cambria Math" w:hAnsi="Cambria Math" w:cs="Arial"/>
                <w:i/>
                <w:sz w:val="20"/>
              </w:rPr>
            </m:ctrlPr>
          </m:naryPr>
          <m:sub>
            <m:r>
              <w:rPr>
                <w:rFonts w:ascii="Cambria Math" w:hAnsi="Cambria Math" w:cs="Arial"/>
                <w:sz w:val="20"/>
              </w:rPr>
              <m:t>n=1</m:t>
            </m:r>
          </m:sub>
          <m:sup>
            <m:r>
              <w:rPr>
                <w:rFonts w:ascii="Cambria Math" w:hAnsi="Cambria Math" w:cs="Arial"/>
                <w:sz w:val="20"/>
              </w:rPr>
              <m:t>T</m:t>
            </m:r>
          </m:sup>
          <m:e>
            <m:f>
              <m:fPr>
                <m:ctrlPr>
                  <w:rPr>
                    <w:rFonts w:ascii="Cambria Math" w:hAnsi="Cambria Math" w:cs="Arial"/>
                    <w:i/>
                    <w:sz w:val="20"/>
                  </w:rPr>
                </m:ctrlPr>
              </m:fPr>
              <m:num>
                <m:r>
                  <w:rPr>
                    <w:rFonts w:ascii="Cambria Math" w:hAnsi="Cambria Math" w:cs="Arial"/>
                    <w:sz w:val="20"/>
                  </w:rPr>
                  <m:t>CR</m:t>
                </m:r>
              </m:num>
              <m:den>
                <m:sSup>
                  <m:sSupPr>
                    <m:ctrlPr>
                      <w:rPr>
                        <w:rFonts w:ascii="Cambria Math" w:hAnsi="Cambria Math" w:cs="Arial"/>
                        <w:i/>
                        <w:sz w:val="20"/>
                      </w:rPr>
                    </m:ctrlPr>
                  </m:sSupPr>
                  <m:e>
                    <m:d>
                      <m:dPr>
                        <m:ctrlPr>
                          <w:rPr>
                            <w:rFonts w:ascii="Cambria Math" w:hAnsi="Cambria Math" w:cs="Arial"/>
                            <w:i/>
                            <w:sz w:val="20"/>
                          </w:rPr>
                        </m:ctrlPr>
                      </m:dPr>
                      <m:e>
                        <m:r>
                          <w:rPr>
                            <w:rFonts w:ascii="Cambria Math" w:hAnsi="Cambria Math" w:cs="Arial"/>
                            <w:sz w:val="20"/>
                          </w:rPr>
                          <m:t>1+</m:t>
                        </m:r>
                        <m:acc>
                          <m:accPr>
                            <m:chr m:val="̅"/>
                            <m:ctrlPr>
                              <w:rPr>
                                <w:rFonts w:ascii="Cambria Math" w:hAnsi="Cambria Math" w:cs="Arial"/>
                                <w:i/>
                                <w:sz w:val="20"/>
                              </w:rPr>
                            </m:ctrlPr>
                          </m:accPr>
                          <m:e>
                            <m:r>
                              <w:rPr>
                                <w:rFonts w:ascii="Cambria Math" w:hAnsi="Cambria Math" w:cs="Arial"/>
                                <w:sz w:val="20"/>
                              </w:rPr>
                              <m:t>R</m:t>
                            </m:r>
                          </m:e>
                        </m:acc>
                      </m:e>
                    </m:d>
                  </m:e>
                  <m:sup>
                    <m:r>
                      <w:rPr>
                        <w:rFonts w:ascii="Cambria Math" w:hAnsi="Cambria Math" w:cs="Arial"/>
                        <w:sz w:val="20"/>
                      </w:rPr>
                      <m:t>n</m:t>
                    </m:r>
                  </m:sup>
                </m:sSup>
              </m:den>
            </m:f>
          </m:e>
        </m:nary>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r</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d</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c</m:t>
            </m:r>
          </m:e>
          <m:sub>
            <m:r>
              <w:rPr>
                <w:rFonts w:ascii="Cambria Math" w:hAnsi="Cambria Math" w:cs="Arial"/>
                <w:sz w:val="20"/>
              </w:rPr>
              <m:t>v</m:t>
            </m:r>
          </m:sub>
        </m:sSub>
        <m:r>
          <w:rPr>
            <w:rFonts w:ascii="Cambria Math" w:hAnsi="Cambria Math" w:cs="Arial"/>
            <w:sz w:val="20"/>
          </w:rPr>
          <m:t>&gt;0</m:t>
        </m:r>
      </m:oMath>
      <w:r w:rsidRPr="00A94F23">
        <w:rPr>
          <w:rFonts w:ascii="Arial" w:hAnsi="Arial" w:cs="Arial"/>
          <w:sz w:val="20"/>
        </w:rPr>
        <w:t xml:space="preserve"> since </w:t>
      </w:r>
      <m:oMath>
        <m:r>
          <w:rPr>
            <w:rFonts w:ascii="Cambria Math" w:hAnsi="Cambria Math" w:cs="Arial"/>
            <w:sz w:val="20"/>
          </w:rPr>
          <m:t>q&lt;1</m:t>
        </m:r>
      </m:oMath>
      <w:r w:rsidRPr="00A94F23">
        <w:rPr>
          <w:rFonts w:ascii="Arial" w:hAnsi="Arial" w:cs="Arial"/>
          <w:sz w:val="20"/>
        </w:rPr>
        <w:t>.</w:t>
      </w:r>
    </w:p>
    <w:p w14:paraId="470C3B01" w14:textId="77777777" w:rsidR="003F2C66" w:rsidRPr="00A94F23" w:rsidRDefault="003F2C66" w:rsidP="00A20FD0">
      <w:pPr>
        <w:pStyle w:val="affc"/>
        <w:numPr>
          <w:ilvl w:val="0"/>
          <w:numId w:val="15"/>
        </w:numPr>
        <w:spacing w:after="120"/>
        <w:ind w:left="714" w:hanging="357"/>
        <w:rPr>
          <w:rFonts w:ascii="Arial" w:hAnsi="Arial" w:cs="Arial"/>
          <w:sz w:val="20"/>
        </w:rPr>
      </w:pPr>
      <w:r w:rsidRPr="00A94F23">
        <w:rPr>
          <w:rFonts w:ascii="Arial" w:hAnsi="Arial" w:cs="Arial"/>
          <w:sz w:val="20"/>
        </w:rPr>
        <w:t xml:space="preserve">If </w:t>
      </w:r>
      <m:oMath>
        <m:acc>
          <m:accPr>
            <m:chr m:val="̅"/>
            <m:ctrlPr>
              <w:rPr>
                <w:rFonts w:ascii="Cambria Math" w:hAnsi="Cambria Math" w:cs="Arial"/>
                <w:i/>
                <w:sz w:val="20"/>
              </w:rPr>
            </m:ctrlPr>
          </m:accPr>
          <m:e>
            <m:r>
              <w:rPr>
                <w:rFonts w:ascii="Cambria Math" w:hAnsi="Cambria Math" w:cs="Arial"/>
                <w:sz w:val="20"/>
              </w:rPr>
              <m:t>R</m:t>
            </m:r>
          </m:e>
        </m:acc>
        <m:r>
          <w:rPr>
            <w:rFonts w:ascii="Cambria Math" w:hAnsi="Cambria Math" w:cs="Arial"/>
            <w:sz w:val="20"/>
          </w:rPr>
          <m:t>&gt;</m:t>
        </m:r>
        <m:sSub>
          <m:sSubPr>
            <m:ctrlPr>
              <w:rPr>
                <w:rFonts w:ascii="Cambria Math" w:hAnsi="Cambria Math" w:cs="Arial"/>
                <w:i/>
                <w:sz w:val="20"/>
              </w:rPr>
            </m:ctrlPr>
          </m:sSubPr>
          <m:e>
            <m:r>
              <w:rPr>
                <w:rFonts w:ascii="Cambria Math" w:hAnsi="Cambria Math" w:cs="Arial"/>
                <w:sz w:val="20"/>
              </w:rPr>
              <m:t>R</m:t>
            </m:r>
          </m:e>
          <m:sub>
            <m:r>
              <w:rPr>
                <w:rFonts w:ascii="Cambria Math" w:hAnsi="Cambria Math" w:cs="Arial"/>
                <w:sz w:val="20"/>
              </w:rPr>
              <m:t>1</m:t>
            </m:r>
          </m:sub>
        </m:sSub>
        <m:r>
          <w:rPr>
            <w:rFonts w:ascii="Cambria Math" w:hAnsi="Cambria Math" w:cs="Arial"/>
            <w:sz w:val="20"/>
          </w:rPr>
          <m:t>&gt;</m:t>
        </m:r>
        <m:sSub>
          <m:sSubPr>
            <m:ctrlPr>
              <w:rPr>
                <w:rFonts w:ascii="Cambria Math" w:hAnsi="Cambria Math" w:cs="Arial"/>
                <w:i/>
                <w:sz w:val="20"/>
              </w:rPr>
            </m:ctrlPr>
          </m:sSubPr>
          <m:e>
            <m:r>
              <w:rPr>
                <w:rFonts w:ascii="Cambria Math" w:hAnsi="Cambria Math" w:cs="Arial"/>
                <w:sz w:val="20"/>
              </w:rPr>
              <m:t>R</m:t>
            </m:r>
          </m:e>
          <m:sub>
            <m:r>
              <w:rPr>
                <w:rFonts w:ascii="Cambria Math" w:hAnsi="Cambria Math" w:cs="Arial"/>
                <w:sz w:val="20"/>
              </w:rPr>
              <m:t>0</m:t>
            </m:r>
          </m:sub>
        </m:sSub>
      </m:oMath>
      <w:r w:rsidRPr="00A94F23">
        <w:rPr>
          <w:rFonts w:ascii="Arial" w:hAnsi="Arial" w:cs="Arial"/>
          <w:sz w:val="20"/>
        </w:rPr>
        <w:t xml:space="preserve"> or </w:t>
      </w:r>
      <m:oMath>
        <m:acc>
          <m:accPr>
            <m:chr m:val="̅"/>
            <m:ctrlPr>
              <w:rPr>
                <w:rFonts w:ascii="Cambria Math" w:hAnsi="Cambria Math" w:cs="Arial"/>
                <w:i/>
                <w:sz w:val="20"/>
              </w:rPr>
            </m:ctrlPr>
          </m:accPr>
          <m:e>
            <m:r>
              <w:rPr>
                <w:rFonts w:ascii="Cambria Math" w:hAnsi="Cambria Math" w:cs="Arial"/>
                <w:sz w:val="20"/>
              </w:rPr>
              <m:t>R</m:t>
            </m:r>
          </m:e>
        </m:acc>
        <m:r>
          <w:rPr>
            <w:rFonts w:ascii="Cambria Math" w:hAnsi="Cambria Math" w:cs="Arial"/>
            <w:sz w:val="20"/>
          </w:rPr>
          <m:t>&gt;</m:t>
        </m:r>
        <m:sSub>
          <m:sSubPr>
            <m:ctrlPr>
              <w:rPr>
                <w:rFonts w:ascii="Cambria Math" w:hAnsi="Cambria Math" w:cs="Arial"/>
                <w:i/>
                <w:sz w:val="20"/>
              </w:rPr>
            </m:ctrlPr>
          </m:sSubPr>
          <m:e>
            <m:r>
              <w:rPr>
                <w:rFonts w:ascii="Cambria Math" w:hAnsi="Cambria Math" w:cs="Arial"/>
                <w:sz w:val="20"/>
              </w:rPr>
              <m:t>R</m:t>
            </m:r>
          </m:e>
          <m:sub>
            <m:r>
              <w:rPr>
                <w:rFonts w:ascii="Cambria Math" w:hAnsi="Cambria Math" w:cs="Arial"/>
                <w:sz w:val="20"/>
              </w:rPr>
              <m:t>2</m:t>
            </m:r>
          </m:sub>
        </m:sSub>
        <m:r>
          <w:rPr>
            <w:rFonts w:ascii="Cambria Math" w:hAnsi="Cambria Math" w:cs="Arial"/>
            <w:sz w:val="20"/>
          </w:rPr>
          <m:t>&gt;</m:t>
        </m:r>
        <m:sSub>
          <m:sSubPr>
            <m:ctrlPr>
              <w:rPr>
                <w:rFonts w:ascii="Cambria Math" w:hAnsi="Cambria Math" w:cs="Arial"/>
                <w:i/>
                <w:sz w:val="20"/>
              </w:rPr>
            </m:ctrlPr>
          </m:sSubPr>
          <m:e>
            <m:r>
              <w:rPr>
                <w:rFonts w:ascii="Cambria Math" w:hAnsi="Cambria Math" w:cs="Arial"/>
                <w:sz w:val="20"/>
              </w:rPr>
              <m:t>R</m:t>
            </m:r>
          </m:e>
          <m:sub>
            <m:r>
              <w:rPr>
                <w:rFonts w:ascii="Cambria Math" w:hAnsi="Cambria Math" w:cs="Arial"/>
                <w:sz w:val="20"/>
              </w:rPr>
              <m:t>0</m:t>
            </m:r>
          </m:sub>
        </m:sSub>
      </m:oMath>
      <w:r w:rsidRPr="00A94F23">
        <w:rPr>
          <w:rFonts w:ascii="Arial" w:hAnsi="Arial" w:cs="Arial"/>
          <w:sz w:val="20"/>
        </w:rPr>
        <w:t>, then project developers will not apply since they still lack investments even the offset benefit is secured.</w:t>
      </w:r>
    </w:p>
    <w:p w14:paraId="3B406E87" w14:textId="77777777" w:rsidR="003F2C66" w:rsidRPr="00A94F23" w:rsidRDefault="003F2C66" w:rsidP="00A20FD0">
      <w:pPr>
        <w:pStyle w:val="affc"/>
        <w:numPr>
          <w:ilvl w:val="0"/>
          <w:numId w:val="15"/>
        </w:numPr>
        <w:spacing w:after="120"/>
        <w:ind w:left="714" w:hanging="357"/>
        <w:rPr>
          <w:rFonts w:ascii="Arial" w:hAnsi="Arial" w:cs="Arial"/>
          <w:sz w:val="20"/>
        </w:rPr>
      </w:pPr>
      <w:r w:rsidRPr="00A94F23">
        <w:rPr>
          <w:rFonts w:ascii="Arial" w:hAnsi="Arial" w:cs="Arial"/>
          <w:sz w:val="20"/>
        </w:rPr>
        <w:t xml:space="preserve">If  </w:t>
      </w:r>
      <m:oMath>
        <m:sSub>
          <m:sSubPr>
            <m:ctrlPr>
              <w:rPr>
                <w:rFonts w:ascii="Cambria Math" w:hAnsi="Cambria Math" w:cs="Arial"/>
                <w:i/>
                <w:sz w:val="20"/>
              </w:rPr>
            </m:ctrlPr>
          </m:sSubPr>
          <m:e>
            <m:r>
              <w:rPr>
                <w:rFonts w:ascii="Cambria Math" w:hAnsi="Cambria Math" w:cs="Arial"/>
                <w:sz w:val="20"/>
              </w:rPr>
              <m:t>R</m:t>
            </m:r>
          </m:e>
          <m:sub>
            <m:r>
              <w:rPr>
                <w:rFonts w:ascii="Cambria Math" w:hAnsi="Cambria Math" w:cs="Arial"/>
                <w:sz w:val="20"/>
              </w:rPr>
              <m:t>2</m:t>
            </m:r>
          </m:sub>
        </m:sSub>
        <m:r>
          <w:rPr>
            <w:rFonts w:ascii="Cambria Math" w:hAnsi="Cambria Math" w:cs="Arial"/>
            <w:sz w:val="20"/>
          </w:rPr>
          <m:t>&gt;</m:t>
        </m:r>
        <m:acc>
          <m:accPr>
            <m:chr m:val="̅"/>
            <m:ctrlPr>
              <w:rPr>
                <w:rFonts w:ascii="Cambria Math" w:hAnsi="Cambria Math" w:cs="Arial"/>
                <w:i/>
                <w:sz w:val="20"/>
              </w:rPr>
            </m:ctrlPr>
          </m:accPr>
          <m:e>
            <m:r>
              <w:rPr>
                <w:rFonts w:ascii="Cambria Math" w:hAnsi="Cambria Math" w:cs="Arial"/>
                <w:sz w:val="20"/>
              </w:rPr>
              <m:t>R</m:t>
            </m:r>
          </m:e>
        </m:acc>
      </m:oMath>
      <w:r w:rsidRPr="00A94F23">
        <w:rPr>
          <w:rFonts w:ascii="Arial" w:hAnsi="Arial" w:cs="Arial"/>
          <w:sz w:val="20"/>
        </w:rPr>
        <w:t>, then the project developer will apply and automatically get offset credits. Since the validation fee is negligible compared to the offset benefit, all projects will consider applying under the proposed regime unless they are unattractive.</w:t>
      </w:r>
    </w:p>
    <w:p w14:paraId="67690043" w14:textId="1A769337" w:rsidR="00503A2D" w:rsidRPr="00D16AB0" w:rsidRDefault="00503A2D" w:rsidP="00A20FD0">
      <w:pPr>
        <w:rPr>
          <w:rFonts w:ascii="Arial" w:hAnsi="Arial" w:cs="Arial"/>
          <w:sz w:val="21"/>
          <w:szCs w:val="21"/>
          <w:lang w:eastAsia="zh-CN"/>
        </w:rPr>
      </w:pPr>
      <w:r w:rsidRPr="00D16AB0">
        <w:rPr>
          <w:rFonts w:ascii="Arial" w:hAnsi="Arial" w:cs="Arial"/>
          <w:sz w:val="21"/>
          <w:szCs w:val="21"/>
        </w:rPr>
        <w:br w:type="page"/>
      </w:r>
    </w:p>
    <w:p w14:paraId="4D5F5A78" w14:textId="035A3D22" w:rsidR="00AA5AE7" w:rsidRPr="00D16AB0" w:rsidRDefault="00AA5AE7" w:rsidP="00E038FA">
      <w:pPr>
        <w:pStyle w:val="SMSubheading"/>
        <w:spacing w:beforeLines="50" w:before="120" w:line="276" w:lineRule="auto"/>
        <w:rPr>
          <w:rFonts w:ascii="Arial" w:hAnsi="Arial" w:cs="Arial"/>
          <w:b/>
          <w:bCs/>
          <w:sz w:val="21"/>
          <w:szCs w:val="21"/>
          <w:u w:val="none"/>
          <w:lang w:val="en-GB"/>
        </w:rPr>
      </w:pPr>
      <w:bookmarkStart w:id="282" w:name="_Toc214982044"/>
      <w:bookmarkStart w:id="283" w:name="_Toc214984268"/>
      <w:bookmarkStart w:id="284" w:name="_Toc214984294"/>
      <w:bookmarkStart w:id="285" w:name="_Toc214984964"/>
      <w:bookmarkStart w:id="286" w:name="_Toc214985853"/>
      <w:bookmarkStart w:id="287" w:name="_Toc214986995"/>
      <w:r w:rsidRPr="00D16AB0">
        <w:rPr>
          <w:rFonts w:ascii="Arial" w:hAnsi="Arial" w:cs="Arial"/>
          <w:b/>
          <w:bCs/>
          <w:sz w:val="21"/>
          <w:szCs w:val="21"/>
          <w:u w:val="none"/>
          <w:lang w:val="en-GB"/>
        </w:rPr>
        <w:lastRenderedPageBreak/>
        <w:t xml:space="preserve">Table </w:t>
      </w:r>
      <w:r w:rsidR="00F27CBB">
        <w:rPr>
          <w:rFonts w:ascii="Arial" w:hAnsi="Arial" w:cs="Arial"/>
          <w:b/>
          <w:bCs/>
          <w:sz w:val="21"/>
          <w:szCs w:val="21"/>
          <w:u w:val="none"/>
          <w:lang w:val="en-GB"/>
        </w:rPr>
        <w:t>3</w:t>
      </w:r>
      <w:r w:rsidRPr="00D16AB0">
        <w:rPr>
          <w:rFonts w:ascii="Arial" w:hAnsi="Arial" w:cs="Arial"/>
          <w:b/>
          <w:bCs/>
          <w:sz w:val="21"/>
          <w:szCs w:val="21"/>
          <w:u w:val="none"/>
          <w:lang w:val="en-GB"/>
        </w:rPr>
        <w:t xml:space="preserve">. </w:t>
      </w:r>
      <w:r w:rsidR="00D42938" w:rsidRPr="00D16AB0">
        <w:rPr>
          <w:rFonts w:ascii="Arial" w:hAnsi="Arial" w:cs="Arial"/>
          <w:b/>
          <w:bCs/>
          <w:sz w:val="21"/>
          <w:szCs w:val="21"/>
          <w:u w:val="none"/>
          <w:lang w:val="en-GB"/>
        </w:rPr>
        <w:t>The summary statistics of categorical variables in CDM Pipeline database</w:t>
      </w:r>
      <w:bookmarkEnd w:id="282"/>
      <w:bookmarkEnd w:id="283"/>
      <w:bookmarkEnd w:id="284"/>
      <w:bookmarkEnd w:id="285"/>
      <w:bookmarkEnd w:id="286"/>
      <w:bookmarkEnd w:id="287"/>
    </w:p>
    <w:tbl>
      <w:tblPr>
        <w:tblW w:w="5086" w:type="pct"/>
        <w:tblLook w:val="04A0" w:firstRow="1" w:lastRow="0" w:firstColumn="1" w:lastColumn="0" w:noHBand="0" w:noVBand="1"/>
      </w:tblPr>
      <w:tblGrid>
        <w:gridCol w:w="3678"/>
        <w:gridCol w:w="815"/>
        <w:gridCol w:w="687"/>
        <w:gridCol w:w="2679"/>
        <w:gridCol w:w="815"/>
        <w:gridCol w:w="847"/>
      </w:tblGrid>
      <w:tr w:rsidR="003F190E" w:rsidRPr="00DB2377" w14:paraId="13EE1403" w14:textId="77777777" w:rsidTr="003F190E">
        <w:trPr>
          <w:trHeight w:val="283"/>
        </w:trPr>
        <w:tc>
          <w:tcPr>
            <w:tcW w:w="1931" w:type="pct"/>
            <w:tcBorders>
              <w:top w:val="single" w:sz="4" w:space="0" w:color="auto"/>
              <w:left w:val="nil"/>
              <w:bottom w:val="single" w:sz="4" w:space="0" w:color="auto"/>
              <w:right w:val="nil"/>
            </w:tcBorders>
            <w:noWrap/>
            <w:vAlign w:val="center"/>
            <w:hideMark/>
          </w:tcPr>
          <w:p w14:paraId="26564128"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Variable</w:t>
            </w:r>
          </w:p>
        </w:tc>
        <w:tc>
          <w:tcPr>
            <w:tcW w:w="428" w:type="pct"/>
            <w:tcBorders>
              <w:top w:val="single" w:sz="4" w:space="0" w:color="auto"/>
              <w:left w:val="nil"/>
              <w:bottom w:val="single" w:sz="4" w:space="0" w:color="auto"/>
              <w:right w:val="nil"/>
            </w:tcBorders>
            <w:noWrap/>
            <w:vAlign w:val="center"/>
            <w:hideMark/>
          </w:tcPr>
          <w:p w14:paraId="560E5CDE"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N</w:t>
            </w:r>
          </w:p>
        </w:tc>
        <w:tc>
          <w:tcPr>
            <w:tcW w:w="361" w:type="pct"/>
            <w:tcBorders>
              <w:top w:val="single" w:sz="4" w:space="0" w:color="auto"/>
              <w:left w:val="nil"/>
              <w:bottom w:val="single" w:sz="4" w:space="0" w:color="auto"/>
              <w:right w:val="nil"/>
            </w:tcBorders>
            <w:noWrap/>
            <w:vAlign w:val="center"/>
            <w:hideMark/>
          </w:tcPr>
          <w:p w14:paraId="000D997A"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Freq</w:t>
            </w:r>
          </w:p>
        </w:tc>
        <w:tc>
          <w:tcPr>
            <w:tcW w:w="1407" w:type="pct"/>
            <w:tcBorders>
              <w:top w:val="single" w:sz="4" w:space="0" w:color="auto"/>
              <w:left w:val="nil"/>
              <w:bottom w:val="single" w:sz="4" w:space="0" w:color="auto"/>
              <w:right w:val="nil"/>
            </w:tcBorders>
            <w:noWrap/>
            <w:vAlign w:val="center"/>
            <w:hideMark/>
          </w:tcPr>
          <w:p w14:paraId="24C59538"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Variable</w:t>
            </w:r>
          </w:p>
        </w:tc>
        <w:tc>
          <w:tcPr>
            <w:tcW w:w="428" w:type="pct"/>
            <w:tcBorders>
              <w:top w:val="single" w:sz="4" w:space="0" w:color="auto"/>
              <w:left w:val="nil"/>
              <w:bottom w:val="single" w:sz="4" w:space="0" w:color="auto"/>
              <w:right w:val="nil"/>
            </w:tcBorders>
            <w:noWrap/>
            <w:vAlign w:val="center"/>
            <w:hideMark/>
          </w:tcPr>
          <w:p w14:paraId="4AFA4C27"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N</w:t>
            </w:r>
          </w:p>
        </w:tc>
        <w:tc>
          <w:tcPr>
            <w:tcW w:w="445" w:type="pct"/>
            <w:tcBorders>
              <w:top w:val="single" w:sz="4" w:space="0" w:color="auto"/>
              <w:left w:val="nil"/>
              <w:bottom w:val="single" w:sz="4" w:space="0" w:color="auto"/>
              <w:right w:val="nil"/>
            </w:tcBorders>
            <w:noWrap/>
            <w:vAlign w:val="center"/>
            <w:hideMark/>
          </w:tcPr>
          <w:p w14:paraId="7F484E3A"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Freq</w:t>
            </w:r>
          </w:p>
        </w:tc>
      </w:tr>
      <w:tr w:rsidR="003F190E" w:rsidRPr="00DB2377" w14:paraId="1D32F53C" w14:textId="77777777" w:rsidTr="003F190E">
        <w:trPr>
          <w:trHeight w:val="283"/>
        </w:trPr>
        <w:tc>
          <w:tcPr>
            <w:tcW w:w="1931" w:type="pct"/>
            <w:tcBorders>
              <w:top w:val="nil"/>
              <w:left w:val="nil"/>
              <w:bottom w:val="nil"/>
              <w:right w:val="nil"/>
            </w:tcBorders>
            <w:noWrap/>
            <w:vAlign w:val="center"/>
            <w:hideMark/>
          </w:tcPr>
          <w:p w14:paraId="2F828431"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PA/</w:t>
            </w:r>
            <w:proofErr w:type="spellStart"/>
            <w:r w:rsidRPr="00DB2377">
              <w:rPr>
                <w:rFonts w:ascii="Arial" w:eastAsia="DengXian" w:hAnsi="Arial" w:cs="Arial"/>
                <w:b/>
                <w:bCs/>
                <w:color w:val="000000"/>
                <w:sz w:val="20"/>
                <w:lang w:val="en-GB"/>
              </w:rPr>
              <w:t>PoA</w:t>
            </w:r>
            <w:proofErr w:type="spellEnd"/>
          </w:p>
        </w:tc>
        <w:tc>
          <w:tcPr>
            <w:tcW w:w="428" w:type="pct"/>
            <w:tcBorders>
              <w:top w:val="nil"/>
              <w:left w:val="nil"/>
              <w:bottom w:val="nil"/>
              <w:right w:val="nil"/>
            </w:tcBorders>
            <w:noWrap/>
            <w:vAlign w:val="center"/>
            <w:hideMark/>
          </w:tcPr>
          <w:p w14:paraId="3D16221E"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61" w:type="pct"/>
            <w:tcBorders>
              <w:top w:val="nil"/>
              <w:left w:val="nil"/>
              <w:bottom w:val="nil"/>
              <w:right w:val="nil"/>
            </w:tcBorders>
            <w:noWrap/>
            <w:vAlign w:val="center"/>
            <w:hideMark/>
          </w:tcPr>
          <w:p w14:paraId="1527BC55" w14:textId="77777777" w:rsidR="00CC7A6F" w:rsidRPr="00DB2377" w:rsidRDefault="00CC7A6F" w:rsidP="004D4738">
            <w:pPr>
              <w:jc w:val="right"/>
              <w:rPr>
                <w:rFonts w:ascii="Arial" w:eastAsia="DengXian" w:hAnsi="Arial" w:cs="Arial"/>
                <w:color w:val="000000"/>
                <w:sz w:val="20"/>
                <w:lang w:val="en-GB"/>
              </w:rPr>
            </w:pPr>
          </w:p>
        </w:tc>
        <w:tc>
          <w:tcPr>
            <w:tcW w:w="1407" w:type="pct"/>
            <w:tcBorders>
              <w:top w:val="nil"/>
              <w:left w:val="nil"/>
              <w:bottom w:val="nil"/>
              <w:right w:val="nil"/>
            </w:tcBorders>
            <w:noWrap/>
            <w:vAlign w:val="center"/>
            <w:hideMark/>
          </w:tcPr>
          <w:p w14:paraId="3070BDC8"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Type</w:t>
            </w:r>
          </w:p>
        </w:tc>
        <w:tc>
          <w:tcPr>
            <w:tcW w:w="428" w:type="pct"/>
            <w:tcBorders>
              <w:top w:val="nil"/>
              <w:left w:val="nil"/>
              <w:bottom w:val="nil"/>
              <w:right w:val="nil"/>
            </w:tcBorders>
            <w:noWrap/>
            <w:vAlign w:val="center"/>
            <w:hideMark/>
          </w:tcPr>
          <w:p w14:paraId="702D5E45"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13130</w:t>
            </w:r>
          </w:p>
        </w:tc>
        <w:tc>
          <w:tcPr>
            <w:tcW w:w="445" w:type="pct"/>
            <w:tcBorders>
              <w:top w:val="nil"/>
              <w:left w:val="nil"/>
              <w:bottom w:val="nil"/>
              <w:right w:val="nil"/>
            </w:tcBorders>
            <w:noWrap/>
            <w:vAlign w:val="center"/>
            <w:hideMark/>
          </w:tcPr>
          <w:p w14:paraId="17867B40" w14:textId="77777777" w:rsidR="00CC7A6F" w:rsidRPr="00DB2377" w:rsidRDefault="00CC7A6F" w:rsidP="004D4738">
            <w:pPr>
              <w:jc w:val="right"/>
              <w:rPr>
                <w:rFonts w:ascii="Arial" w:eastAsia="DengXian" w:hAnsi="Arial" w:cs="Arial"/>
                <w:color w:val="000000"/>
                <w:sz w:val="20"/>
                <w:lang w:val="en-GB"/>
              </w:rPr>
            </w:pPr>
          </w:p>
        </w:tc>
      </w:tr>
      <w:tr w:rsidR="003F190E" w:rsidRPr="00DB2377" w14:paraId="25471E44" w14:textId="77777777" w:rsidTr="003F190E">
        <w:trPr>
          <w:trHeight w:val="283"/>
        </w:trPr>
        <w:tc>
          <w:tcPr>
            <w:tcW w:w="1931" w:type="pct"/>
            <w:tcBorders>
              <w:top w:val="nil"/>
              <w:left w:val="nil"/>
              <w:bottom w:val="nil"/>
              <w:right w:val="nil"/>
            </w:tcBorders>
            <w:noWrap/>
            <w:vAlign w:val="center"/>
            <w:hideMark/>
          </w:tcPr>
          <w:p w14:paraId="46F6AE00"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PA</w:t>
            </w:r>
          </w:p>
        </w:tc>
        <w:tc>
          <w:tcPr>
            <w:tcW w:w="428" w:type="pct"/>
            <w:tcBorders>
              <w:top w:val="nil"/>
              <w:left w:val="nil"/>
              <w:bottom w:val="nil"/>
              <w:right w:val="nil"/>
            </w:tcBorders>
            <w:noWrap/>
            <w:vAlign w:val="center"/>
            <w:hideMark/>
          </w:tcPr>
          <w:p w14:paraId="007E207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12525</w:t>
            </w:r>
          </w:p>
        </w:tc>
        <w:tc>
          <w:tcPr>
            <w:tcW w:w="361" w:type="pct"/>
            <w:tcBorders>
              <w:top w:val="nil"/>
              <w:left w:val="nil"/>
              <w:bottom w:val="nil"/>
              <w:right w:val="nil"/>
            </w:tcBorders>
            <w:noWrap/>
            <w:vAlign w:val="center"/>
            <w:hideMark/>
          </w:tcPr>
          <w:p w14:paraId="01B0A012"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95%</w:t>
            </w:r>
          </w:p>
        </w:tc>
        <w:tc>
          <w:tcPr>
            <w:tcW w:w="1407" w:type="pct"/>
            <w:tcBorders>
              <w:top w:val="nil"/>
              <w:left w:val="nil"/>
              <w:bottom w:val="nil"/>
              <w:right w:val="nil"/>
            </w:tcBorders>
            <w:noWrap/>
            <w:vAlign w:val="center"/>
            <w:hideMark/>
          </w:tcPr>
          <w:p w14:paraId="6FF98B69"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Afforestation</w:t>
            </w:r>
          </w:p>
        </w:tc>
        <w:tc>
          <w:tcPr>
            <w:tcW w:w="428" w:type="pct"/>
            <w:tcBorders>
              <w:top w:val="nil"/>
              <w:left w:val="nil"/>
              <w:bottom w:val="nil"/>
              <w:right w:val="nil"/>
            </w:tcBorders>
            <w:noWrap/>
            <w:vAlign w:val="center"/>
            <w:hideMark/>
          </w:tcPr>
          <w:p w14:paraId="53661B50"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24</w:t>
            </w:r>
          </w:p>
        </w:tc>
        <w:tc>
          <w:tcPr>
            <w:tcW w:w="445" w:type="pct"/>
            <w:tcBorders>
              <w:top w:val="nil"/>
              <w:left w:val="nil"/>
              <w:bottom w:val="nil"/>
              <w:right w:val="nil"/>
            </w:tcBorders>
            <w:noWrap/>
            <w:vAlign w:val="center"/>
            <w:hideMark/>
          </w:tcPr>
          <w:p w14:paraId="0F32A741"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7DCC7455" w14:textId="77777777" w:rsidTr="003F190E">
        <w:trPr>
          <w:trHeight w:val="283"/>
        </w:trPr>
        <w:tc>
          <w:tcPr>
            <w:tcW w:w="1931" w:type="pct"/>
            <w:tcBorders>
              <w:top w:val="nil"/>
              <w:left w:val="nil"/>
              <w:bottom w:val="nil"/>
              <w:right w:val="nil"/>
            </w:tcBorders>
            <w:noWrap/>
            <w:vAlign w:val="center"/>
            <w:hideMark/>
          </w:tcPr>
          <w:p w14:paraId="3460CC47"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xml:space="preserve">... </w:t>
            </w:r>
            <w:proofErr w:type="spellStart"/>
            <w:r w:rsidRPr="00DB2377">
              <w:rPr>
                <w:rFonts w:ascii="Arial" w:eastAsia="DengXian" w:hAnsi="Arial" w:cs="Arial"/>
                <w:color w:val="000000"/>
                <w:sz w:val="20"/>
                <w:lang w:val="en-GB"/>
              </w:rPr>
              <w:t>PoA</w:t>
            </w:r>
            <w:proofErr w:type="spellEnd"/>
          </w:p>
        </w:tc>
        <w:tc>
          <w:tcPr>
            <w:tcW w:w="428" w:type="pct"/>
            <w:tcBorders>
              <w:top w:val="nil"/>
              <w:left w:val="nil"/>
              <w:bottom w:val="nil"/>
              <w:right w:val="nil"/>
            </w:tcBorders>
            <w:noWrap/>
            <w:vAlign w:val="center"/>
            <w:hideMark/>
          </w:tcPr>
          <w:p w14:paraId="008994C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627</w:t>
            </w:r>
          </w:p>
        </w:tc>
        <w:tc>
          <w:tcPr>
            <w:tcW w:w="361" w:type="pct"/>
            <w:tcBorders>
              <w:top w:val="nil"/>
              <w:left w:val="nil"/>
              <w:bottom w:val="nil"/>
              <w:right w:val="nil"/>
            </w:tcBorders>
            <w:noWrap/>
            <w:vAlign w:val="center"/>
            <w:hideMark/>
          </w:tcPr>
          <w:p w14:paraId="391CD5EE"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5%</w:t>
            </w:r>
          </w:p>
        </w:tc>
        <w:tc>
          <w:tcPr>
            <w:tcW w:w="1407" w:type="pct"/>
            <w:tcBorders>
              <w:top w:val="nil"/>
              <w:left w:val="nil"/>
              <w:bottom w:val="nil"/>
              <w:right w:val="nil"/>
            </w:tcBorders>
            <w:noWrap/>
            <w:vAlign w:val="center"/>
            <w:hideMark/>
          </w:tcPr>
          <w:p w14:paraId="2247E42E"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Agriculture</w:t>
            </w:r>
          </w:p>
        </w:tc>
        <w:tc>
          <w:tcPr>
            <w:tcW w:w="428" w:type="pct"/>
            <w:tcBorders>
              <w:top w:val="nil"/>
              <w:left w:val="nil"/>
              <w:bottom w:val="nil"/>
              <w:right w:val="nil"/>
            </w:tcBorders>
            <w:noWrap/>
            <w:vAlign w:val="center"/>
            <w:hideMark/>
          </w:tcPr>
          <w:p w14:paraId="3B097A0D"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10</w:t>
            </w:r>
          </w:p>
        </w:tc>
        <w:tc>
          <w:tcPr>
            <w:tcW w:w="445" w:type="pct"/>
            <w:tcBorders>
              <w:top w:val="nil"/>
              <w:left w:val="nil"/>
              <w:bottom w:val="nil"/>
              <w:right w:val="nil"/>
            </w:tcBorders>
            <w:noWrap/>
            <w:vAlign w:val="center"/>
            <w:hideMark/>
          </w:tcPr>
          <w:p w14:paraId="759C072E"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348AF8BC" w14:textId="77777777" w:rsidTr="003F190E">
        <w:trPr>
          <w:trHeight w:val="283"/>
        </w:trPr>
        <w:tc>
          <w:tcPr>
            <w:tcW w:w="1931" w:type="pct"/>
            <w:tcBorders>
              <w:top w:val="nil"/>
              <w:left w:val="nil"/>
              <w:bottom w:val="nil"/>
              <w:right w:val="nil"/>
            </w:tcBorders>
            <w:noWrap/>
            <w:vAlign w:val="center"/>
            <w:hideMark/>
          </w:tcPr>
          <w:p w14:paraId="2797CE0D"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Region</w:t>
            </w:r>
          </w:p>
        </w:tc>
        <w:tc>
          <w:tcPr>
            <w:tcW w:w="428" w:type="pct"/>
            <w:tcBorders>
              <w:top w:val="nil"/>
              <w:left w:val="nil"/>
              <w:bottom w:val="nil"/>
              <w:right w:val="nil"/>
            </w:tcBorders>
            <w:noWrap/>
            <w:vAlign w:val="center"/>
            <w:hideMark/>
          </w:tcPr>
          <w:p w14:paraId="05C8953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61" w:type="pct"/>
            <w:tcBorders>
              <w:top w:val="nil"/>
              <w:left w:val="nil"/>
              <w:bottom w:val="nil"/>
              <w:right w:val="nil"/>
            </w:tcBorders>
            <w:noWrap/>
            <w:vAlign w:val="center"/>
            <w:hideMark/>
          </w:tcPr>
          <w:p w14:paraId="7B119700" w14:textId="77777777" w:rsidR="00CC7A6F" w:rsidRPr="00DB2377" w:rsidRDefault="00CC7A6F" w:rsidP="004D4738">
            <w:pPr>
              <w:jc w:val="right"/>
              <w:rPr>
                <w:rFonts w:ascii="Arial" w:eastAsia="DengXian" w:hAnsi="Arial" w:cs="Arial"/>
                <w:color w:val="000000"/>
                <w:sz w:val="20"/>
                <w:lang w:val="en-GB"/>
              </w:rPr>
            </w:pPr>
          </w:p>
        </w:tc>
        <w:tc>
          <w:tcPr>
            <w:tcW w:w="1407" w:type="pct"/>
            <w:tcBorders>
              <w:top w:val="nil"/>
              <w:left w:val="nil"/>
              <w:bottom w:val="nil"/>
              <w:right w:val="nil"/>
            </w:tcBorders>
            <w:noWrap/>
            <w:vAlign w:val="center"/>
            <w:hideMark/>
          </w:tcPr>
          <w:p w14:paraId="6CDADF6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Biogas</w:t>
            </w:r>
          </w:p>
        </w:tc>
        <w:tc>
          <w:tcPr>
            <w:tcW w:w="428" w:type="pct"/>
            <w:tcBorders>
              <w:top w:val="nil"/>
              <w:left w:val="nil"/>
              <w:bottom w:val="nil"/>
              <w:right w:val="nil"/>
            </w:tcBorders>
            <w:noWrap/>
            <w:vAlign w:val="center"/>
            <w:hideMark/>
          </w:tcPr>
          <w:p w14:paraId="23B92466"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c>
          <w:tcPr>
            <w:tcW w:w="445" w:type="pct"/>
            <w:tcBorders>
              <w:top w:val="nil"/>
              <w:left w:val="nil"/>
              <w:bottom w:val="nil"/>
              <w:right w:val="nil"/>
            </w:tcBorders>
            <w:noWrap/>
            <w:vAlign w:val="center"/>
            <w:hideMark/>
          </w:tcPr>
          <w:p w14:paraId="10B61687"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661A09FC" w14:textId="77777777" w:rsidTr="003F190E">
        <w:trPr>
          <w:trHeight w:val="283"/>
        </w:trPr>
        <w:tc>
          <w:tcPr>
            <w:tcW w:w="1931" w:type="pct"/>
            <w:tcBorders>
              <w:top w:val="nil"/>
              <w:left w:val="nil"/>
              <w:bottom w:val="nil"/>
              <w:right w:val="nil"/>
            </w:tcBorders>
            <w:noWrap/>
            <w:vAlign w:val="center"/>
            <w:hideMark/>
          </w:tcPr>
          <w:p w14:paraId="527506E8"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Africa</w:t>
            </w:r>
          </w:p>
        </w:tc>
        <w:tc>
          <w:tcPr>
            <w:tcW w:w="428" w:type="pct"/>
            <w:tcBorders>
              <w:top w:val="nil"/>
              <w:left w:val="nil"/>
              <w:bottom w:val="nil"/>
              <w:right w:val="nil"/>
            </w:tcBorders>
            <w:noWrap/>
            <w:vAlign w:val="center"/>
            <w:hideMark/>
          </w:tcPr>
          <w:p w14:paraId="6E96DE7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616</w:t>
            </w:r>
          </w:p>
        </w:tc>
        <w:tc>
          <w:tcPr>
            <w:tcW w:w="361" w:type="pct"/>
            <w:tcBorders>
              <w:top w:val="nil"/>
              <w:left w:val="nil"/>
              <w:bottom w:val="nil"/>
              <w:right w:val="nil"/>
            </w:tcBorders>
            <w:noWrap/>
            <w:vAlign w:val="center"/>
            <w:hideMark/>
          </w:tcPr>
          <w:p w14:paraId="2CE1D340"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5%</w:t>
            </w:r>
          </w:p>
        </w:tc>
        <w:tc>
          <w:tcPr>
            <w:tcW w:w="1407" w:type="pct"/>
            <w:tcBorders>
              <w:top w:val="nil"/>
              <w:left w:val="nil"/>
              <w:bottom w:val="nil"/>
              <w:right w:val="nil"/>
            </w:tcBorders>
            <w:noWrap/>
            <w:vAlign w:val="center"/>
            <w:hideMark/>
          </w:tcPr>
          <w:p w14:paraId="6E720B80"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Biomass energy</w:t>
            </w:r>
          </w:p>
        </w:tc>
        <w:tc>
          <w:tcPr>
            <w:tcW w:w="428" w:type="pct"/>
            <w:tcBorders>
              <w:top w:val="nil"/>
              <w:left w:val="nil"/>
              <w:bottom w:val="nil"/>
              <w:right w:val="nil"/>
            </w:tcBorders>
            <w:noWrap/>
            <w:vAlign w:val="center"/>
            <w:hideMark/>
          </w:tcPr>
          <w:p w14:paraId="283011C1"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1514</w:t>
            </w:r>
          </w:p>
        </w:tc>
        <w:tc>
          <w:tcPr>
            <w:tcW w:w="445" w:type="pct"/>
            <w:tcBorders>
              <w:top w:val="nil"/>
              <w:left w:val="nil"/>
              <w:bottom w:val="nil"/>
              <w:right w:val="nil"/>
            </w:tcBorders>
            <w:noWrap/>
            <w:vAlign w:val="center"/>
            <w:hideMark/>
          </w:tcPr>
          <w:p w14:paraId="5725F44D"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11%</w:t>
            </w:r>
          </w:p>
        </w:tc>
      </w:tr>
      <w:tr w:rsidR="003F190E" w:rsidRPr="00DB2377" w14:paraId="7B42983C" w14:textId="77777777" w:rsidTr="003F190E">
        <w:trPr>
          <w:trHeight w:val="283"/>
        </w:trPr>
        <w:tc>
          <w:tcPr>
            <w:tcW w:w="1931" w:type="pct"/>
            <w:tcBorders>
              <w:top w:val="nil"/>
              <w:left w:val="nil"/>
              <w:bottom w:val="nil"/>
              <w:right w:val="nil"/>
            </w:tcBorders>
            <w:noWrap/>
            <w:vAlign w:val="center"/>
            <w:hideMark/>
          </w:tcPr>
          <w:p w14:paraId="0FFDE47D"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Asia &amp; Pacific</w:t>
            </w:r>
          </w:p>
        </w:tc>
        <w:tc>
          <w:tcPr>
            <w:tcW w:w="428" w:type="pct"/>
            <w:tcBorders>
              <w:top w:val="nil"/>
              <w:left w:val="nil"/>
              <w:bottom w:val="nil"/>
              <w:right w:val="nil"/>
            </w:tcBorders>
            <w:noWrap/>
            <w:vAlign w:val="center"/>
            <w:hideMark/>
          </w:tcPr>
          <w:p w14:paraId="1A333E05"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10225</w:t>
            </w:r>
          </w:p>
        </w:tc>
        <w:tc>
          <w:tcPr>
            <w:tcW w:w="361" w:type="pct"/>
            <w:tcBorders>
              <w:top w:val="nil"/>
              <w:left w:val="nil"/>
              <w:bottom w:val="nil"/>
              <w:right w:val="nil"/>
            </w:tcBorders>
            <w:noWrap/>
            <w:vAlign w:val="center"/>
            <w:hideMark/>
          </w:tcPr>
          <w:p w14:paraId="3ADEF88B"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78%</w:t>
            </w:r>
          </w:p>
        </w:tc>
        <w:tc>
          <w:tcPr>
            <w:tcW w:w="1407" w:type="pct"/>
            <w:tcBorders>
              <w:top w:val="nil"/>
              <w:left w:val="nil"/>
              <w:bottom w:val="nil"/>
              <w:right w:val="nil"/>
            </w:tcBorders>
            <w:noWrap/>
            <w:vAlign w:val="center"/>
            <w:hideMark/>
          </w:tcPr>
          <w:p w14:paraId="16F1C537"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Cement</w:t>
            </w:r>
          </w:p>
        </w:tc>
        <w:tc>
          <w:tcPr>
            <w:tcW w:w="428" w:type="pct"/>
            <w:tcBorders>
              <w:top w:val="nil"/>
              <w:left w:val="nil"/>
              <w:bottom w:val="nil"/>
              <w:right w:val="nil"/>
            </w:tcBorders>
            <w:noWrap/>
            <w:vAlign w:val="center"/>
            <w:hideMark/>
          </w:tcPr>
          <w:p w14:paraId="542784D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98</w:t>
            </w:r>
          </w:p>
        </w:tc>
        <w:tc>
          <w:tcPr>
            <w:tcW w:w="445" w:type="pct"/>
            <w:tcBorders>
              <w:top w:val="nil"/>
              <w:left w:val="nil"/>
              <w:bottom w:val="nil"/>
              <w:right w:val="nil"/>
            </w:tcBorders>
            <w:noWrap/>
            <w:vAlign w:val="center"/>
            <w:hideMark/>
          </w:tcPr>
          <w:p w14:paraId="0B20900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r>
      <w:tr w:rsidR="003F190E" w:rsidRPr="00DB2377" w14:paraId="361F0F05" w14:textId="77777777" w:rsidTr="003F190E">
        <w:trPr>
          <w:trHeight w:val="283"/>
        </w:trPr>
        <w:tc>
          <w:tcPr>
            <w:tcW w:w="1931" w:type="pct"/>
            <w:tcBorders>
              <w:top w:val="nil"/>
              <w:left w:val="nil"/>
              <w:bottom w:val="nil"/>
              <w:right w:val="nil"/>
            </w:tcBorders>
            <w:noWrap/>
            <w:vAlign w:val="center"/>
            <w:hideMark/>
          </w:tcPr>
          <w:p w14:paraId="44D73660"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Europe &amp; Central Asia</w:t>
            </w:r>
          </w:p>
        </w:tc>
        <w:tc>
          <w:tcPr>
            <w:tcW w:w="428" w:type="pct"/>
            <w:tcBorders>
              <w:top w:val="nil"/>
              <w:left w:val="nil"/>
              <w:bottom w:val="nil"/>
              <w:right w:val="nil"/>
            </w:tcBorders>
            <w:noWrap/>
            <w:vAlign w:val="center"/>
            <w:hideMark/>
          </w:tcPr>
          <w:p w14:paraId="0F4DCF07"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145</w:t>
            </w:r>
          </w:p>
        </w:tc>
        <w:tc>
          <w:tcPr>
            <w:tcW w:w="361" w:type="pct"/>
            <w:tcBorders>
              <w:top w:val="nil"/>
              <w:left w:val="nil"/>
              <w:bottom w:val="nil"/>
              <w:right w:val="nil"/>
            </w:tcBorders>
            <w:noWrap/>
            <w:vAlign w:val="center"/>
            <w:hideMark/>
          </w:tcPr>
          <w:p w14:paraId="370C045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c>
          <w:tcPr>
            <w:tcW w:w="1407" w:type="pct"/>
            <w:tcBorders>
              <w:top w:val="nil"/>
              <w:left w:val="nil"/>
              <w:bottom w:val="nil"/>
              <w:right w:val="nil"/>
            </w:tcBorders>
            <w:noWrap/>
            <w:vAlign w:val="center"/>
            <w:hideMark/>
          </w:tcPr>
          <w:p w14:paraId="630EDA9D"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CO2 usage</w:t>
            </w:r>
          </w:p>
        </w:tc>
        <w:tc>
          <w:tcPr>
            <w:tcW w:w="428" w:type="pct"/>
            <w:tcBorders>
              <w:top w:val="nil"/>
              <w:left w:val="nil"/>
              <w:bottom w:val="nil"/>
              <w:right w:val="nil"/>
            </w:tcBorders>
            <w:noWrap/>
            <w:vAlign w:val="center"/>
            <w:hideMark/>
          </w:tcPr>
          <w:p w14:paraId="4BE5998B"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w:t>
            </w:r>
          </w:p>
        </w:tc>
        <w:tc>
          <w:tcPr>
            <w:tcW w:w="445" w:type="pct"/>
            <w:tcBorders>
              <w:top w:val="nil"/>
              <w:left w:val="nil"/>
              <w:bottom w:val="nil"/>
              <w:right w:val="nil"/>
            </w:tcBorders>
            <w:noWrap/>
            <w:vAlign w:val="center"/>
            <w:hideMark/>
          </w:tcPr>
          <w:p w14:paraId="42404189"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5B76225C" w14:textId="77777777" w:rsidTr="003F190E">
        <w:trPr>
          <w:trHeight w:val="283"/>
        </w:trPr>
        <w:tc>
          <w:tcPr>
            <w:tcW w:w="1931" w:type="pct"/>
            <w:tcBorders>
              <w:top w:val="nil"/>
              <w:left w:val="nil"/>
              <w:bottom w:val="nil"/>
              <w:right w:val="nil"/>
            </w:tcBorders>
            <w:noWrap/>
            <w:vAlign w:val="center"/>
            <w:hideMark/>
          </w:tcPr>
          <w:p w14:paraId="608FFC0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Latin America</w:t>
            </w:r>
          </w:p>
        </w:tc>
        <w:tc>
          <w:tcPr>
            <w:tcW w:w="428" w:type="pct"/>
            <w:tcBorders>
              <w:top w:val="nil"/>
              <w:left w:val="nil"/>
              <w:bottom w:val="nil"/>
              <w:right w:val="nil"/>
            </w:tcBorders>
            <w:noWrap/>
            <w:vAlign w:val="center"/>
            <w:hideMark/>
          </w:tcPr>
          <w:p w14:paraId="0EC4376B"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1979</w:t>
            </w:r>
          </w:p>
        </w:tc>
        <w:tc>
          <w:tcPr>
            <w:tcW w:w="361" w:type="pct"/>
            <w:tcBorders>
              <w:top w:val="nil"/>
              <w:left w:val="nil"/>
              <w:bottom w:val="nil"/>
              <w:right w:val="nil"/>
            </w:tcBorders>
            <w:noWrap/>
            <w:vAlign w:val="center"/>
            <w:hideMark/>
          </w:tcPr>
          <w:p w14:paraId="188EB10E"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15%</w:t>
            </w:r>
          </w:p>
        </w:tc>
        <w:tc>
          <w:tcPr>
            <w:tcW w:w="1407" w:type="pct"/>
            <w:tcBorders>
              <w:top w:val="nil"/>
              <w:left w:val="nil"/>
              <w:bottom w:val="nil"/>
              <w:right w:val="nil"/>
            </w:tcBorders>
            <w:noWrap/>
            <w:vAlign w:val="center"/>
            <w:hideMark/>
          </w:tcPr>
          <w:p w14:paraId="352B2DDE"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Coal bed/mine methane</w:t>
            </w:r>
          </w:p>
        </w:tc>
        <w:tc>
          <w:tcPr>
            <w:tcW w:w="428" w:type="pct"/>
            <w:tcBorders>
              <w:top w:val="nil"/>
              <w:left w:val="nil"/>
              <w:bottom w:val="nil"/>
              <w:right w:val="nil"/>
            </w:tcBorders>
            <w:noWrap/>
            <w:vAlign w:val="center"/>
            <w:hideMark/>
          </w:tcPr>
          <w:p w14:paraId="548B77F0"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183</w:t>
            </w:r>
          </w:p>
        </w:tc>
        <w:tc>
          <w:tcPr>
            <w:tcW w:w="445" w:type="pct"/>
            <w:tcBorders>
              <w:top w:val="nil"/>
              <w:left w:val="nil"/>
              <w:bottom w:val="nil"/>
              <w:right w:val="nil"/>
            </w:tcBorders>
            <w:noWrap/>
            <w:vAlign w:val="center"/>
            <w:hideMark/>
          </w:tcPr>
          <w:p w14:paraId="0585074F"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r>
      <w:tr w:rsidR="003F190E" w:rsidRPr="00DB2377" w14:paraId="316FAF91" w14:textId="77777777" w:rsidTr="003F190E">
        <w:trPr>
          <w:trHeight w:val="283"/>
        </w:trPr>
        <w:tc>
          <w:tcPr>
            <w:tcW w:w="1931" w:type="pct"/>
            <w:tcBorders>
              <w:top w:val="nil"/>
              <w:left w:val="nil"/>
              <w:bottom w:val="nil"/>
              <w:right w:val="nil"/>
            </w:tcBorders>
            <w:noWrap/>
            <w:vAlign w:val="center"/>
            <w:hideMark/>
          </w:tcPr>
          <w:p w14:paraId="5E111A42"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xml:space="preserve">... </w:t>
            </w:r>
            <w:proofErr w:type="gramStart"/>
            <w:r w:rsidRPr="00DB2377">
              <w:rPr>
                <w:rFonts w:ascii="Arial" w:eastAsia="DengXian" w:hAnsi="Arial" w:cs="Arial"/>
                <w:color w:val="000000"/>
                <w:sz w:val="20"/>
                <w:lang w:val="en-GB"/>
              </w:rPr>
              <w:t>Middle-East</w:t>
            </w:r>
            <w:proofErr w:type="gramEnd"/>
          </w:p>
        </w:tc>
        <w:tc>
          <w:tcPr>
            <w:tcW w:w="428" w:type="pct"/>
            <w:tcBorders>
              <w:top w:val="nil"/>
              <w:left w:val="nil"/>
              <w:bottom w:val="nil"/>
              <w:right w:val="nil"/>
            </w:tcBorders>
            <w:noWrap/>
            <w:vAlign w:val="center"/>
            <w:hideMark/>
          </w:tcPr>
          <w:p w14:paraId="512932F6"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170</w:t>
            </w:r>
          </w:p>
        </w:tc>
        <w:tc>
          <w:tcPr>
            <w:tcW w:w="361" w:type="pct"/>
            <w:tcBorders>
              <w:top w:val="nil"/>
              <w:left w:val="nil"/>
              <w:bottom w:val="nil"/>
              <w:right w:val="nil"/>
            </w:tcBorders>
            <w:noWrap/>
            <w:vAlign w:val="center"/>
            <w:hideMark/>
          </w:tcPr>
          <w:p w14:paraId="3494F12B"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c>
          <w:tcPr>
            <w:tcW w:w="1407" w:type="pct"/>
            <w:tcBorders>
              <w:top w:val="nil"/>
              <w:left w:val="nil"/>
              <w:bottom w:val="nil"/>
              <w:right w:val="nil"/>
            </w:tcBorders>
            <w:noWrap/>
            <w:vAlign w:val="center"/>
            <w:hideMark/>
          </w:tcPr>
          <w:p w14:paraId="50F4C461"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EE households</w:t>
            </w:r>
          </w:p>
        </w:tc>
        <w:tc>
          <w:tcPr>
            <w:tcW w:w="428" w:type="pct"/>
            <w:tcBorders>
              <w:top w:val="nil"/>
              <w:left w:val="nil"/>
              <w:bottom w:val="nil"/>
              <w:right w:val="nil"/>
            </w:tcBorders>
            <w:noWrap/>
            <w:vAlign w:val="center"/>
            <w:hideMark/>
          </w:tcPr>
          <w:p w14:paraId="591E9B32"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274</w:t>
            </w:r>
          </w:p>
        </w:tc>
        <w:tc>
          <w:tcPr>
            <w:tcW w:w="445" w:type="pct"/>
            <w:tcBorders>
              <w:top w:val="nil"/>
              <w:left w:val="nil"/>
              <w:bottom w:val="nil"/>
              <w:right w:val="nil"/>
            </w:tcBorders>
            <w:noWrap/>
            <w:vAlign w:val="center"/>
            <w:hideMark/>
          </w:tcPr>
          <w:p w14:paraId="0634C4D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w:t>
            </w:r>
          </w:p>
        </w:tc>
      </w:tr>
      <w:tr w:rsidR="003F190E" w:rsidRPr="00DB2377" w14:paraId="50D6E797" w14:textId="77777777" w:rsidTr="003F190E">
        <w:trPr>
          <w:trHeight w:val="283"/>
        </w:trPr>
        <w:tc>
          <w:tcPr>
            <w:tcW w:w="1931" w:type="pct"/>
            <w:tcBorders>
              <w:top w:val="nil"/>
              <w:left w:val="nil"/>
              <w:bottom w:val="nil"/>
              <w:right w:val="nil"/>
            </w:tcBorders>
            <w:noWrap/>
            <w:vAlign w:val="center"/>
            <w:hideMark/>
          </w:tcPr>
          <w:p w14:paraId="24AF0A2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multiple</w:t>
            </w:r>
          </w:p>
        </w:tc>
        <w:tc>
          <w:tcPr>
            <w:tcW w:w="428" w:type="pct"/>
            <w:tcBorders>
              <w:top w:val="nil"/>
              <w:left w:val="nil"/>
              <w:bottom w:val="nil"/>
              <w:right w:val="nil"/>
            </w:tcBorders>
            <w:noWrap/>
            <w:vAlign w:val="center"/>
            <w:hideMark/>
          </w:tcPr>
          <w:p w14:paraId="6A24F752"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17</w:t>
            </w:r>
          </w:p>
        </w:tc>
        <w:tc>
          <w:tcPr>
            <w:tcW w:w="361" w:type="pct"/>
            <w:tcBorders>
              <w:top w:val="nil"/>
              <w:left w:val="nil"/>
              <w:bottom w:val="nil"/>
              <w:right w:val="nil"/>
            </w:tcBorders>
            <w:noWrap/>
            <w:vAlign w:val="center"/>
            <w:hideMark/>
          </w:tcPr>
          <w:p w14:paraId="2730E260"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1407" w:type="pct"/>
            <w:tcBorders>
              <w:top w:val="nil"/>
              <w:left w:val="nil"/>
              <w:bottom w:val="nil"/>
              <w:right w:val="nil"/>
            </w:tcBorders>
            <w:noWrap/>
            <w:vAlign w:val="center"/>
            <w:hideMark/>
          </w:tcPr>
          <w:p w14:paraId="196951B2"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EE industry</w:t>
            </w:r>
          </w:p>
        </w:tc>
        <w:tc>
          <w:tcPr>
            <w:tcW w:w="428" w:type="pct"/>
            <w:tcBorders>
              <w:top w:val="nil"/>
              <w:left w:val="nil"/>
              <w:bottom w:val="nil"/>
              <w:right w:val="nil"/>
            </w:tcBorders>
            <w:noWrap/>
            <w:vAlign w:val="center"/>
            <w:hideMark/>
          </w:tcPr>
          <w:p w14:paraId="786FE4D0"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342</w:t>
            </w:r>
          </w:p>
        </w:tc>
        <w:tc>
          <w:tcPr>
            <w:tcW w:w="445" w:type="pct"/>
            <w:tcBorders>
              <w:top w:val="nil"/>
              <w:left w:val="nil"/>
              <w:bottom w:val="nil"/>
              <w:right w:val="nil"/>
            </w:tcBorders>
            <w:noWrap/>
            <w:vAlign w:val="center"/>
            <w:hideMark/>
          </w:tcPr>
          <w:p w14:paraId="77AA06E1"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w:t>
            </w:r>
          </w:p>
        </w:tc>
      </w:tr>
      <w:tr w:rsidR="003F190E" w:rsidRPr="00DB2377" w14:paraId="4C76E582" w14:textId="77777777" w:rsidTr="003F190E">
        <w:trPr>
          <w:trHeight w:val="283"/>
        </w:trPr>
        <w:tc>
          <w:tcPr>
            <w:tcW w:w="1931" w:type="pct"/>
            <w:tcBorders>
              <w:top w:val="nil"/>
              <w:left w:val="nil"/>
              <w:bottom w:val="nil"/>
              <w:right w:val="nil"/>
            </w:tcBorders>
            <w:noWrap/>
            <w:vAlign w:val="center"/>
            <w:hideMark/>
          </w:tcPr>
          <w:p w14:paraId="5F7F5D73"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Number of CPAs</w:t>
            </w:r>
          </w:p>
        </w:tc>
        <w:tc>
          <w:tcPr>
            <w:tcW w:w="428" w:type="pct"/>
            <w:tcBorders>
              <w:top w:val="nil"/>
              <w:left w:val="nil"/>
              <w:bottom w:val="nil"/>
              <w:right w:val="nil"/>
            </w:tcBorders>
            <w:noWrap/>
            <w:vAlign w:val="center"/>
            <w:hideMark/>
          </w:tcPr>
          <w:p w14:paraId="3430FD90"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627</w:t>
            </w:r>
          </w:p>
        </w:tc>
        <w:tc>
          <w:tcPr>
            <w:tcW w:w="361" w:type="pct"/>
            <w:tcBorders>
              <w:top w:val="nil"/>
              <w:left w:val="nil"/>
              <w:bottom w:val="nil"/>
              <w:right w:val="nil"/>
            </w:tcBorders>
            <w:noWrap/>
            <w:vAlign w:val="center"/>
            <w:hideMark/>
          </w:tcPr>
          <w:p w14:paraId="567C4FA8" w14:textId="77777777" w:rsidR="00CC7A6F" w:rsidRPr="00DB2377" w:rsidRDefault="00CC7A6F" w:rsidP="004D4738">
            <w:pPr>
              <w:jc w:val="right"/>
              <w:rPr>
                <w:rFonts w:ascii="Arial" w:eastAsia="DengXian" w:hAnsi="Arial" w:cs="Arial"/>
                <w:color w:val="000000"/>
                <w:sz w:val="20"/>
                <w:lang w:val="en-GB"/>
              </w:rPr>
            </w:pPr>
          </w:p>
        </w:tc>
        <w:tc>
          <w:tcPr>
            <w:tcW w:w="1407" w:type="pct"/>
            <w:tcBorders>
              <w:top w:val="nil"/>
              <w:left w:val="nil"/>
              <w:bottom w:val="nil"/>
              <w:right w:val="nil"/>
            </w:tcBorders>
            <w:noWrap/>
            <w:vAlign w:val="center"/>
            <w:hideMark/>
          </w:tcPr>
          <w:p w14:paraId="7A08D1C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EE own generation</w:t>
            </w:r>
          </w:p>
        </w:tc>
        <w:tc>
          <w:tcPr>
            <w:tcW w:w="428" w:type="pct"/>
            <w:tcBorders>
              <w:top w:val="nil"/>
              <w:left w:val="nil"/>
              <w:bottom w:val="nil"/>
              <w:right w:val="nil"/>
            </w:tcBorders>
            <w:noWrap/>
            <w:vAlign w:val="center"/>
            <w:hideMark/>
          </w:tcPr>
          <w:p w14:paraId="3F64686E"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841</w:t>
            </w:r>
          </w:p>
        </w:tc>
        <w:tc>
          <w:tcPr>
            <w:tcW w:w="445" w:type="pct"/>
            <w:tcBorders>
              <w:top w:val="nil"/>
              <w:left w:val="nil"/>
              <w:bottom w:val="nil"/>
              <w:right w:val="nil"/>
            </w:tcBorders>
            <w:noWrap/>
            <w:vAlign w:val="center"/>
            <w:hideMark/>
          </w:tcPr>
          <w:p w14:paraId="0A07132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w:t>
            </w:r>
          </w:p>
        </w:tc>
      </w:tr>
      <w:tr w:rsidR="003F190E" w:rsidRPr="00DB2377" w14:paraId="6CB35343" w14:textId="77777777" w:rsidTr="003F190E">
        <w:trPr>
          <w:trHeight w:val="283"/>
        </w:trPr>
        <w:tc>
          <w:tcPr>
            <w:tcW w:w="1931" w:type="pct"/>
            <w:tcBorders>
              <w:top w:val="nil"/>
              <w:left w:val="nil"/>
              <w:bottom w:val="nil"/>
              <w:right w:val="nil"/>
            </w:tcBorders>
            <w:noWrap/>
            <w:vAlign w:val="center"/>
            <w:hideMark/>
          </w:tcPr>
          <w:p w14:paraId="084F8F5C"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No</w:t>
            </w:r>
          </w:p>
        </w:tc>
        <w:tc>
          <w:tcPr>
            <w:tcW w:w="428" w:type="pct"/>
            <w:tcBorders>
              <w:top w:val="nil"/>
              <w:left w:val="nil"/>
              <w:bottom w:val="nil"/>
              <w:right w:val="nil"/>
            </w:tcBorders>
            <w:noWrap/>
            <w:vAlign w:val="center"/>
            <w:hideMark/>
          </w:tcPr>
          <w:p w14:paraId="6F3B7BCF"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286</w:t>
            </w:r>
          </w:p>
        </w:tc>
        <w:tc>
          <w:tcPr>
            <w:tcW w:w="361" w:type="pct"/>
            <w:tcBorders>
              <w:top w:val="nil"/>
              <w:left w:val="nil"/>
              <w:bottom w:val="nil"/>
              <w:right w:val="nil"/>
            </w:tcBorders>
            <w:noWrap/>
            <w:vAlign w:val="center"/>
            <w:hideMark/>
          </w:tcPr>
          <w:p w14:paraId="5809A7A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46%</w:t>
            </w:r>
          </w:p>
        </w:tc>
        <w:tc>
          <w:tcPr>
            <w:tcW w:w="1407" w:type="pct"/>
            <w:tcBorders>
              <w:top w:val="nil"/>
              <w:left w:val="nil"/>
              <w:bottom w:val="nil"/>
              <w:right w:val="nil"/>
            </w:tcBorders>
            <w:noWrap/>
            <w:vAlign w:val="center"/>
            <w:hideMark/>
          </w:tcPr>
          <w:p w14:paraId="0571FB27"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EE service</w:t>
            </w:r>
          </w:p>
        </w:tc>
        <w:tc>
          <w:tcPr>
            <w:tcW w:w="428" w:type="pct"/>
            <w:tcBorders>
              <w:top w:val="nil"/>
              <w:left w:val="nil"/>
              <w:bottom w:val="nil"/>
              <w:right w:val="nil"/>
            </w:tcBorders>
            <w:noWrap/>
            <w:vAlign w:val="center"/>
            <w:hideMark/>
          </w:tcPr>
          <w:p w14:paraId="00BCCB35"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115</w:t>
            </w:r>
          </w:p>
        </w:tc>
        <w:tc>
          <w:tcPr>
            <w:tcW w:w="445" w:type="pct"/>
            <w:tcBorders>
              <w:top w:val="nil"/>
              <w:left w:val="nil"/>
              <w:bottom w:val="nil"/>
              <w:right w:val="nil"/>
            </w:tcBorders>
            <w:noWrap/>
            <w:vAlign w:val="center"/>
            <w:hideMark/>
          </w:tcPr>
          <w:p w14:paraId="65CC610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r>
      <w:tr w:rsidR="003F190E" w:rsidRPr="00DB2377" w14:paraId="1985C860" w14:textId="77777777" w:rsidTr="003F190E">
        <w:trPr>
          <w:trHeight w:val="283"/>
        </w:trPr>
        <w:tc>
          <w:tcPr>
            <w:tcW w:w="1931" w:type="pct"/>
            <w:tcBorders>
              <w:top w:val="nil"/>
              <w:left w:val="nil"/>
              <w:bottom w:val="nil"/>
              <w:right w:val="nil"/>
            </w:tcBorders>
            <w:noWrap/>
            <w:vAlign w:val="center"/>
            <w:hideMark/>
          </w:tcPr>
          <w:p w14:paraId="368E1119"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Yes</w:t>
            </w:r>
          </w:p>
        </w:tc>
        <w:tc>
          <w:tcPr>
            <w:tcW w:w="428" w:type="pct"/>
            <w:tcBorders>
              <w:top w:val="nil"/>
              <w:left w:val="nil"/>
              <w:bottom w:val="nil"/>
              <w:right w:val="nil"/>
            </w:tcBorders>
            <w:noWrap/>
            <w:vAlign w:val="center"/>
            <w:hideMark/>
          </w:tcPr>
          <w:p w14:paraId="0332CB2C"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341</w:t>
            </w:r>
          </w:p>
        </w:tc>
        <w:tc>
          <w:tcPr>
            <w:tcW w:w="361" w:type="pct"/>
            <w:tcBorders>
              <w:top w:val="nil"/>
              <w:left w:val="nil"/>
              <w:bottom w:val="nil"/>
              <w:right w:val="nil"/>
            </w:tcBorders>
            <w:noWrap/>
            <w:vAlign w:val="center"/>
            <w:hideMark/>
          </w:tcPr>
          <w:p w14:paraId="4EA8F75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54%</w:t>
            </w:r>
          </w:p>
        </w:tc>
        <w:tc>
          <w:tcPr>
            <w:tcW w:w="1407" w:type="pct"/>
            <w:tcBorders>
              <w:top w:val="nil"/>
              <w:left w:val="nil"/>
              <w:bottom w:val="nil"/>
              <w:right w:val="nil"/>
            </w:tcBorders>
            <w:noWrap/>
            <w:vAlign w:val="center"/>
            <w:hideMark/>
          </w:tcPr>
          <w:p w14:paraId="4326238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EE supply side</w:t>
            </w:r>
          </w:p>
        </w:tc>
        <w:tc>
          <w:tcPr>
            <w:tcW w:w="428" w:type="pct"/>
            <w:tcBorders>
              <w:top w:val="nil"/>
              <w:left w:val="nil"/>
              <w:bottom w:val="nil"/>
              <w:right w:val="nil"/>
            </w:tcBorders>
            <w:noWrap/>
            <w:vAlign w:val="center"/>
            <w:hideMark/>
          </w:tcPr>
          <w:p w14:paraId="292D7E6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213</w:t>
            </w:r>
          </w:p>
        </w:tc>
        <w:tc>
          <w:tcPr>
            <w:tcW w:w="445" w:type="pct"/>
            <w:tcBorders>
              <w:top w:val="nil"/>
              <w:left w:val="nil"/>
              <w:bottom w:val="nil"/>
              <w:right w:val="nil"/>
            </w:tcBorders>
            <w:noWrap/>
            <w:vAlign w:val="center"/>
            <w:hideMark/>
          </w:tcPr>
          <w:p w14:paraId="5157347F"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w:t>
            </w:r>
          </w:p>
        </w:tc>
      </w:tr>
      <w:tr w:rsidR="003F190E" w:rsidRPr="00DB2377" w14:paraId="22F72E74" w14:textId="77777777" w:rsidTr="003F190E">
        <w:trPr>
          <w:trHeight w:val="283"/>
        </w:trPr>
        <w:tc>
          <w:tcPr>
            <w:tcW w:w="1931" w:type="pct"/>
            <w:tcBorders>
              <w:top w:val="nil"/>
              <w:left w:val="nil"/>
              <w:bottom w:val="nil"/>
              <w:right w:val="nil"/>
            </w:tcBorders>
            <w:noWrap/>
            <w:vAlign w:val="center"/>
            <w:hideMark/>
          </w:tcPr>
          <w:p w14:paraId="3C64D55B"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Number of CPAs - Article 6 eligible</w:t>
            </w:r>
          </w:p>
        </w:tc>
        <w:tc>
          <w:tcPr>
            <w:tcW w:w="428" w:type="pct"/>
            <w:tcBorders>
              <w:top w:val="nil"/>
              <w:left w:val="nil"/>
              <w:bottom w:val="nil"/>
              <w:right w:val="nil"/>
            </w:tcBorders>
            <w:noWrap/>
            <w:vAlign w:val="center"/>
            <w:hideMark/>
          </w:tcPr>
          <w:p w14:paraId="0359CCAB"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168</w:t>
            </w:r>
          </w:p>
        </w:tc>
        <w:tc>
          <w:tcPr>
            <w:tcW w:w="361" w:type="pct"/>
            <w:tcBorders>
              <w:top w:val="nil"/>
              <w:left w:val="nil"/>
              <w:bottom w:val="nil"/>
              <w:right w:val="nil"/>
            </w:tcBorders>
            <w:noWrap/>
            <w:vAlign w:val="center"/>
            <w:hideMark/>
          </w:tcPr>
          <w:p w14:paraId="270D6FF9" w14:textId="77777777" w:rsidR="00CC7A6F" w:rsidRPr="00DB2377" w:rsidRDefault="00CC7A6F" w:rsidP="004D4738">
            <w:pPr>
              <w:jc w:val="right"/>
              <w:rPr>
                <w:rFonts w:ascii="Arial" w:eastAsia="DengXian" w:hAnsi="Arial" w:cs="Arial"/>
                <w:color w:val="000000"/>
                <w:sz w:val="20"/>
                <w:lang w:val="en-GB"/>
              </w:rPr>
            </w:pPr>
          </w:p>
        </w:tc>
        <w:tc>
          <w:tcPr>
            <w:tcW w:w="1407" w:type="pct"/>
            <w:tcBorders>
              <w:top w:val="nil"/>
              <w:left w:val="nil"/>
              <w:bottom w:val="nil"/>
              <w:right w:val="nil"/>
            </w:tcBorders>
            <w:noWrap/>
            <w:vAlign w:val="center"/>
            <w:hideMark/>
          </w:tcPr>
          <w:p w14:paraId="498D719B"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Energy distribution</w:t>
            </w:r>
          </w:p>
        </w:tc>
        <w:tc>
          <w:tcPr>
            <w:tcW w:w="428" w:type="pct"/>
            <w:tcBorders>
              <w:top w:val="nil"/>
              <w:left w:val="nil"/>
              <w:bottom w:val="nil"/>
              <w:right w:val="nil"/>
            </w:tcBorders>
            <w:noWrap/>
            <w:vAlign w:val="center"/>
            <w:hideMark/>
          </w:tcPr>
          <w:p w14:paraId="524C3275"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41</w:t>
            </w:r>
          </w:p>
        </w:tc>
        <w:tc>
          <w:tcPr>
            <w:tcW w:w="445" w:type="pct"/>
            <w:tcBorders>
              <w:top w:val="nil"/>
              <w:left w:val="nil"/>
              <w:bottom w:val="nil"/>
              <w:right w:val="nil"/>
            </w:tcBorders>
            <w:noWrap/>
            <w:vAlign w:val="center"/>
            <w:hideMark/>
          </w:tcPr>
          <w:p w14:paraId="5038829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2B70960D" w14:textId="77777777" w:rsidTr="003F190E">
        <w:trPr>
          <w:trHeight w:val="283"/>
        </w:trPr>
        <w:tc>
          <w:tcPr>
            <w:tcW w:w="1931" w:type="pct"/>
            <w:tcBorders>
              <w:top w:val="nil"/>
              <w:left w:val="nil"/>
              <w:bottom w:val="nil"/>
              <w:right w:val="nil"/>
            </w:tcBorders>
            <w:noWrap/>
            <w:vAlign w:val="center"/>
            <w:hideMark/>
          </w:tcPr>
          <w:p w14:paraId="7FBDF02E"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No</w:t>
            </w:r>
          </w:p>
        </w:tc>
        <w:tc>
          <w:tcPr>
            <w:tcW w:w="428" w:type="pct"/>
            <w:tcBorders>
              <w:top w:val="nil"/>
              <w:left w:val="nil"/>
              <w:bottom w:val="nil"/>
              <w:right w:val="nil"/>
            </w:tcBorders>
            <w:noWrap/>
            <w:vAlign w:val="center"/>
            <w:hideMark/>
          </w:tcPr>
          <w:p w14:paraId="34B3FEF6"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28</w:t>
            </w:r>
          </w:p>
        </w:tc>
        <w:tc>
          <w:tcPr>
            <w:tcW w:w="361" w:type="pct"/>
            <w:tcBorders>
              <w:top w:val="nil"/>
              <w:left w:val="nil"/>
              <w:bottom w:val="nil"/>
              <w:right w:val="nil"/>
            </w:tcBorders>
            <w:noWrap/>
            <w:vAlign w:val="center"/>
            <w:hideMark/>
          </w:tcPr>
          <w:p w14:paraId="7848EC92"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17%</w:t>
            </w:r>
          </w:p>
        </w:tc>
        <w:tc>
          <w:tcPr>
            <w:tcW w:w="1407" w:type="pct"/>
            <w:tcBorders>
              <w:top w:val="nil"/>
              <w:left w:val="nil"/>
              <w:bottom w:val="nil"/>
              <w:right w:val="nil"/>
            </w:tcBorders>
            <w:noWrap/>
            <w:vAlign w:val="center"/>
            <w:hideMark/>
          </w:tcPr>
          <w:p w14:paraId="20A888A3"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Fossil fuel switch</w:t>
            </w:r>
          </w:p>
        </w:tc>
        <w:tc>
          <w:tcPr>
            <w:tcW w:w="428" w:type="pct"/>
            <w:tcBorders>
              <w:top w:val="nil"/>
              <w:left w:val="nil"/>
              <w:bottom w:val="nil"/>
              <w:right w:val="nil"/>
            </w:tcBorders>
            <w:noWrap/>
            <w:vAlign w:val="center"/>
            <w:hideMark/>
          </w:tcPr>
          <w:p w14:paraId="7C8EA8C2"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258</w:t>
            </w:r>
          </w:p>
        </w:tc>
        <w:tc>
          <w:tcPr>
            <w:tcW w:w="445" w:type="pct"/>
            <w:tcBorders>
              <w:top w:val="nil"/>
              <w:left w:val="nil"/>
              <w:bottom w:val="nil"/>
              <w:right w:val="nil"/>
            </w:tcBorders>
            <w:noWrap/>
            <w:vAlign w:val="center"/>
            <w:hideMark/>
          </w:tcPr>
          <w:p w14:paraId="07ED08A0"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w:t>
            </w:r>
          </w:p>
        </w:tc>
      </w:tr>
      <w:tr w:rsidR="003F190E" w:rsidRPr="00DB2377" w14:paraId="61B50693" w14:textId="77777777" w:rsidTr="003F190E">
        <w:trPr>
          <w:trHeight w:val="283"/>
        </w:trPr>
        <w:tc>
          <w:tcPr>
            <w:tcW w:w="1931" w:type="pct"/>
            <w:tcBorders>
              <w:top w:val="nil"/>
              <w:left w:val="nil"/>
              <w:bottom w:val="nil"/>
              <w:right w:val="nil"/>
            </w:tcBorders>
            <w:noWrap/>
            <w:vAlign w:val="center"/>
            <w:hideMark/>
          </w:tcPr>
          <w:p w14:paraId="193945D8"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Yes</w:t>
            </w:r>
          </w:p>
        </w:tc>
        <w:tc>
          <w:tcPr>
            <w:tcW w:w="428" w:type="pct"/>
            <w:tcBorders>
              <w:top w:val="nil"/>
              <w:left w:val="nil"/>
              <w:bottom w:val="nil"/>
              <w:right w:val="nil"/>
            </w:tcBorders>
            <w:noWrap/>
            <w:vAlign w:val="center"/>
            <w:hideMark/>
          </w:tcPr>
          <w:p w14:paraId="45393022"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140</w:t>
            </w:r>
          </w:p>
        </w:tc>
        <w:tc>
          <w:tcPr>
            <w:tcW w:w="361" w:type="pct"/>
            <w:tcBorders>
              <w:top w:val="nil"/>
              <w:left w:val="nil"/>
              <w:bottom w:val="nil"/>
              <w:right w:val="nil"/>
            </w:tcBorders>
            <w:noWrap/>
            <w:vAlign w:val="center"/>
            <w:hideMark/>
          </w:tcPr>
          <w:p w14:paraId="3DF858D3"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83%</w:t>
            </w:r>
          </w:p>
        </w:tc>
        <w:tc>
          <w:tcPr>
            <w:tcW w:w="1407" w:type="pct"/>
            <w:tcBorders>
              <w:top w:val="nil"/>
              <w:left w:val="nil"/>
              <w:bottom w:val="nil"/>
              <w:right w:val="nil"/>
            </w:tcBorders>
            <w:noWrap/>
            <w:vAlign w:val="center"/>
            <w:hideMark/>
          </w:tcPr>
          <w:p w14:paraId="7B7473A3"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Fugitive</w:t>
            </w:r>
          </w:p>
        </w:tc>
        <w:tc>
          <w:tcPr>
            <w:tcW w:w="428" w:type="pct"/>
            <w:tcBorders>
              <w:top w:val="nil"/>
              <w:left w:val="nil"/>
              <w:bottom w:val="nil"/>
              <w:right w:val="nil"/>
            </w:tcBorders>
            <w:noWrap/>
            <w:vAlign w:val="center"/>
            <w:hideMark/>
          </w:tcPr>
          <w:p w14:paraId="3D851E0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119</w:t>
            </w:r>
          </w:p>
        </w:tc>
        <w:tc>
          <w:tcPr>
            <w:tcW w:w="445" w:type="pct"/>
            <w:tcBorders>
              <w:top w:val="nil"/>
              <w:left w:val="nil"/>
              <w:bottom w:val="nil"/>
              <w:right w:val="nil"/>
            </w:tcBorders>
            <w:noWrap/>
            <w:vAlign w:val="center"/>
            <w:hideMark/>
          </w:tcPr>
          <w:p w14:paraId="36DD4536"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r>
      <w:tr w:rsidR="003F190E" w:rsidRPr="00DB2377" w14:paraId="54B5F2FA" w14:textId="77777777" w:rsidTr="003F190E">
        <w:trPr>
          <w:trHeight w:val="283"/>
        </w:trPr>
        <w:tc>
          <w:tcPr>
            <w:tcW w:w="1931" w:type="pct"/>
            <w:tcBorders>
              <w:top w:val="nil"/>
              <w:left w:val="nil"/>
              <w:bottom w:val="nil"/>
              <w:right w:val="nil"/>
            </w:tcBorders>
            <w:noWrap/>
            <w:vAlign w:val="center"/>
            <w:hideMark/>
          </w:tcPr>
          <w:p w14:paraId="78CA2D0F"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Status</w:t>
            </w:r>
          </w:p>
        </w:tc>
        <w:tc>
          <w:tcPr>
            <w:tcW w:w="428" w:type="pct"/>
            <w:tcBorders>
              <w:top w:val="nil"/>
              <w:left w:val="nil"/>
              <w:bottom w:val="nil"/>
              <w:right w:val="nil"/>
            </w:tcBorders>
            <w:noWrap/>
            <w:vAlign w:val="center"/>
            <w:hideMark/>
          </w:tcPr>
          <w:p w14:paraId="7F2F9BB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61" w:type="pct"/>
            <w:tcBorders>
              <w:top w:val="nil"/>
              <w:left w:val="nil"/>
              <w:bottom w:val="nil"/>
              <w:right w:val="nil"/>
            </w:tcBorders>
            <w:noWrap/>
            <w:vAlign w:val="center"/>
            <w:hideMark/>
          </w:tcPr>
          <w:p w14:paraId="6075EB09" w14:textId="77777777" w:rsidR="00CC7A6F" w:rsidRPr="00DB2377" w:rsidRDefault="00CC7A6F" w:rsidP="004D4738">
            <w:pPr>
              <w:jc w:val="right"/>
              <w:rPr>
                <w:rFonts w:ascii="Arial" w:eastAsia="DengXian" w:hAnsi="Arial" w:cs="Arial"/>
                <w:color w:val="000000"/>
                <w:sz w:val="20"/>
                <w:lang w:val="en-GB"/>
              </w:rPr>
            </w:pPr>
          </w:p>
        </w:tc>
        <w:tc>
          <w:tcPr>
            <w:tcW w:w="1407" w:type="pct"/>
            <w:tcBorders>
              <w:top w:val="nil"/>
              <w:left w:val="nil"/>
              <w:bottom w:val="nil"/>
              <w:right w:val="nil"/>
            </w:tcBorders>
            <w:noWrap/>
            <w:vAlign w:val="center"/>
            <w:hideMark/>
          </w:tcPr>
          <w:p w14:paraId="26C6A897"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Geothermal</w:t>
            </w:r>
          </w:p>
        </w:tc>
        <w:tc>
          <w:tcPr>
            <w:tcW w:w="428" w:type="pct"/>
            <w:tcBorders>
              <w:top w:val="nil"/>
              <w:left w:val="nil"/>
              <w:bottom w:val="nil"/>
              <w:right w:val="nil"/>
            </w:tcBorders>
            <w:noWrap/>
            <w:vAlign w:val="center"/>
            <w:hideMark/>
          </w:tcPr>
          <w:p w14:paraId="2E3E670C"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44</w:t>
            </w:r>
          </w:p>
        </w:tc>
        <w:tc>
          <w:tcPr>
            <w:tcW w:w="445" w:type="pct"/>
            <w:tcBorders>
              <w:top w:val="nil"/>
              <w:left w:val="nil"/>
              <w:bottom w:val="nil"/>
              <w:right w:val="nil"/>
            </w:tcBorders>
            <w:noWrap/>
            <w:vAlign w:val="center"/>
            <w:hideMark/>
          </w:tcPr>
          <w:p w14:paraId="2B04080F"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75921A29" w14:textId="77777777" w:rsidTr="003F190E">
        <w:trPr>
          <w:trHeight w:val="283"/>
        </w:trPr>
        <w:tc>
          <w:tcPr>
            <w:tcW w:w="1931" w:type="pct"/>
            <w:tcBorders>
              <w:top w:val="nil"/>
              <w:left w:val="nil"/>
              <w:bottom w:val="nil"/>
              <w:right w:val="nil"/>
            </w:tcBorders>
            <w:noWrap/>
            <w:vAlign w:val="center"/>
            <w:hideMark/>
          </w:tcPr>
          <w:p w14:paraId="63373E41"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Deregistered</w:t>
            </w:r>
          </w:p>
        </w:tc>
        <w:tc>
          <w:tcPr>
            <w:tcW w:w="428" w:type="pct"/>
            <w:tcBorders>
              <w:top w:val="nil"/>
              <w:left w:val="nil"/>
              <w:bottom w:val="nil"/>
              <w:right w:val="nil"/>
            </w:tcBorders>
            <w:noWrap/>
            <w:vAlign w:val="center"/>
            <w:hideMark/>
          </w:tcPr>
          <w:p w14:paraId="595C30DC"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23</w:t>
            </w:r>
          </w:p>
        </w:tc>
        <w:tc>
          <w:tcPr>
            <w:tcW w:w="361" w:type="pct"/>
            <w:tcBorders>
              <w:top w:val="nil"/>
              <w:left w:val="nil"/>
              <w:bottom w:val="nil"/>
              <w:right w:val="nil"/>
            </w:tcBorders>
            <w:noWrap/>
            <w:vAlign w:val="center"/>
            <w:hideMark/>
          </w:tcPr>
          <w:p w14:paraId="40CB3B51"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1407" w:type="pct"/>
            <w:tcBorders>
              <w:top w:val="nil"/>
              <w:left w:val="nil"/>
              <w:bottom w:val="nil"/>
              <w:right w:val="nil"/>
            </w:tcBorders>
            <w:noWrap/>
            <w:vAlign w:val="center"/>
            <w:hideMark/>
          </w:tcPr>
          <w:p w14:paraId="4FAF72A2"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HFCs</w:t>
            </w:r>
          </w:p>
        </w:tc>
        <w:tc>
          <w:tcPr>
            <w:tcW w:w="428" w:type="pct"/>
            <w:tcBorders>
              <w:top w:val="nil"/>
              <w:left w:val="nil"/>
              <w:bottom w:val="nil"/>
              <w:right w:val="nil"/>
            </w:tcBorders>
            <w:noWrap/>
            <w:vAlign w:val="center"/>
            <w:hideMark/>
          </w:tcPr>
          <w:p w14:paraId="18CD9363"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27</w:t>
            </w:r>
          </w:p>
        </w:tc>
        <w:tc>
          <w:tcPr>
            <w:tcW w:w="445" w:type="pct"/>
            <w:tcBorders>
              <w:top w:val="nil"/>
              <w:left w:val="nil"/>
              <w:bottom w:val="nil"/>
              <w:right w:val="nil"/>
            </w:tcBorders>
            <w:noWrap/>
            <w:vAlign w:val="center"/>
            <w:hideMark/>
          </w:tcPr>
          <w:p w14:paraId="219BEAF9"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70669B24" w14:textId="77777777" w:rsidTr="003F190E">
        <w:trPr>
          <w:trHeight w:val="283"/>
        </w:trPr>
        <w:tc>
          <w:tcPr>
            <w:tcW w:w="1931" w:type="pct"/>
            <w:tcBorders>
              <w:top w:val="nil"/>
              <w:left w:val="nil"/>
              <w:bottom w:val="nil"/>
              <w:right w:val="nil"/>
            </w:tcBorders>
            <w:noWrap/>
            <w:vAlign w:val="center"/>
            <w:hideMark/>
          </w:tcPr>
          <w:p w14:paraId="0102909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Pending Publication</w:t>
            </w:r>
          </w:p>
        </w:tc>
        <w:tc>
          <w:tcPr>
            <w:tcW w:w="428" w:type="pct"/>
            <w:tcBorders>
              <w:top w:val="nil"/>
              <w:left w:val="nil"/>
              <w:bottom w:val="nil"/>
              <w:right w:val="nil"/>
            </w:tcBorders>
            <w:noWrap/>
            <w:vAlign w:val="center"/>
            <w:hideMark/>
          </w:tcPr>
          <w:p w14:paraId="5A715701"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174</w:t>
            </w:r>
          </w:p>
        </w:tc>
        <w:tc>
          <w:tcPr>
            <w:tcW w:w="361" w:type="pct"/>
            <w:tcBorders>
              <w:top w:val="nil"/>
              <w:left w:val="nil"/>
              <w:bottom w:val="nil"/>
              <w:right w:val="nil"/>
            </w:tcBorders>
            <w:noWrap/>
            <w:vAlign w:val="center"/>
            <w:hideMark/>
          </w:tcPr>
          <w:p w14:paraId="4923A80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c>
          <w:tcPr>
            <w:tcW w:w="1407" w:type="pct"/>
            <w:tcBorders>
              <w:top w:val="nil"/>
              <w:left w:val="nil"/>
              <w:bottom w:val="nil"/>
              <w:right w:val="nil"/>
            </w:tcBorders>
            <w:noWrap/>
            <w:vAlign w:val="center"/>
            <w:hideMark/>
          </w:tcPr>
          <w:p w14:paraId="77F180E9"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Hybrid renewables</w:t>
            </w:r>
          </w:p>
        </w:tc>
        <w:tc>
          <w:tcPr>
            <w:tcW w:w="428" w:type="pct"/>
            <w:tcBorders>
              <w:top w:val="nil"/>
              <w:left w:val="nil"/>
              <w:bottom w:val="nil"/>
              <w:right w:val="nil"/>
            </w:tcBorders>
            <w:noWrap/>
            <w:vAlign w:val="center"/>
            <w:hideMark/>
          </w:tcPr>
          <w:p w14:paraId="06EB5439"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27</w:t>
            </w:r>
          </w:p>
        </w:tc>
        <w:tc>
          <w:tcPr>
            <w:tcW w:w="445" w:type="pct"/>
            <w:tcBorders>
              <w:top w:val="nil"/>
              <w:left w:val="nil"/>
              <w:bottom w:val="nil"/>
              <w:right w:val="nil"/>
            </w:tcBorders>
            <w:noWrap/>
            <w:vAlign w:val="center"/>
            <w:hideMark/>
          </w:tcPr>
          <w:p w14:paraId="0D0ABFA3"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6353B3A7" w14:textId="77777777" w:rsidTr="003F190E">
        <w:trPr>
          <w:trHeight w:val="283"/>
        </w:trPr>
        <w:tc>
          <w:tcPr>
            <w:tcW w:w="1931" w:type="pct"/>
            <w:tcBorders>
              <w:top w:val="nil"/>
              <w:left w:val="nil"/>
              <w:bottom w:val="nil"/>
              <w:right w:val="nil"/>
            </w:tcBorders>
            <w:noWrap/>
            <w:vAlign w:val="center"/>
            <w:hideMark/>
          </w:tcPr>
          <w:p w14:paraId="2B5AA67F"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Provisional</w:t>
            </w:r>
          </w:p>
        </w:tc>
        <w:tc>
          <w:tcPr>
            <w:tcW w:w="428" w:type="pct"/>
            <w:tcBorders>
              <w:top w:val="nil"/>
              <w:left w:val="nil"/>
              <w:bottom w:val="nil"/>
              <w:right w:val="nil"/>
            </w:tcBorders>
            <w:noWrap/>
            <w:vAlign w:val="center"/>
            <w:hideMark/>
          </w:tcPr>
          <w:p w14:paraId="4FB217B3"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35</w:t>
            </w:r>
          </w:p>
        </w:tc>
        <w:tc>
          <w:tcPr>
            <w:tcW w:w="361" w:type="pct"/>
            <w:tcBorders>
              <w:top w:val="nil"/>
              <w:left w:val="nil"/>
              <w:bottom w:val="nil"/>
              <w:right w:val="nil"/>
            </w:tcBorders>
            <w:noWrap/>
            <w:vAlign w:val="center"/>
            <w:hideMark/>
          </w:tcPr>
          <w:p w14:paraId="7E44056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1407" w:type="pct"/>
            <w:tcBorders>
              <w:top w:val="nil"/>
              <w:left w:val="nil"/>
              <w:bottom w:val="nil"/>
              <w:right w:val="nil"/>
            </w:tcBorders>
            <w:noWrap/>
            <w:vAlign w:val="center"/>
            <w:hideMark/>
          </w:tcPr>
          <w:p w14:paraId="128FC597"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Hydro</w:t>
            </w:r>
          </w:p>
        </w:tc>
        <w:tc>
          <w:tcPr>
            <w:tcW w:w="428" w:type="pct"/>
            <w:tcBorders>
              <w:top w:val="nil"/>
              <w:left w:val="nil"/>
              <w:bottom w:val="nil"/>
              <w:right w:val="nil"/>
            </w:tcBorders>
            <w:noWrap/>
            <w:vAlign w:val="center"/>
            <w:hideMark/>
          </w:tcPr>
          <w:p w14:paraId="309BF9DD"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3035</w:t>
            </w:r>
          </w:p>
        </w:tc>
        <w:tc>
          <w:tcPr>
            <w:tcW w:w="445" w:type="pct"/>
            <w:tcBorders>
              <w:top w:val="nil"/>
              <w:left w:val="nil"/>
              <w:bottom w:val="nil"/>
              <w:right w:val="nil"/>
            </w:tcBorders>
            <w:noWrap/>
            <w:vAlign w:val="center"/>
            <w:hideMark/>
          </w:tcPr>
          <w:p w14:paraId="6ACD5C1D"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23%</w:t>
            </w:r>
          </w:p>
        </w:tc>
      </w:tr>
      <w:tr w:rsidR="003F190E" w:rsidRPr="00DB2377" w14:paraId="2170B1CD" w14:textId="77777777" w:rsidTr="003F190E">
        <w:trPr>
          <w:trHeight w:val="283"/>
        </w:trPr>
        <w:tc>
          <w:tcPr>
            <w:tcW w:w="1931" w:type="pct"/>
            <w:tcBorders>
              <w:top w:val="nil"/>
              <w:left w:val="nil"/>
              <w:bottom w:val="nil"/>
              <w:right w:val="nil"/>
            </w:tcBorders>
            <w:noWrap/>
            <w:vAlign w:val="center"/>
            <w:hideMark/>
          </w:tcPr>
          <w:p w14:paraId="1D1FF5E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Registered</w:t>
            </w:r>
          </w:p>
        </w:tc>
        <w:tc>
          <w:tcPr>
            <w:tcW w:w="428" w:type="pct"/>
            <w:tcBorders>
              <w:top w:val="nil"/>
              <w:left w:val="nil"/>
              <w:bottom w:val="nil"/>
              <w:right w:val="nil"/>
            </w:tcBorders>
            <w:noWrap/>
            <w:vAlign w:val="center"/>
            <w:hideMark/>
          </w:tcPr>
          <w:p w14:paraId="6E291F11"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8195</w:t>
            </w:r>
          </w:p>
        </w:tc>
        <w:tc>
          <w:tcPr>
            <w:tcW w:w="361" w:type="pct"/>
            <w:tcBorders>
              <w:top w:val="nil"/>
              <w:left w:val="nil"/>
              <w:bottom w:val="nil"/>
              <w:right w:val="nil"/>
            </w:tcBorders>
            <w:noWrap/>
            <w:vAlign w:val="center"/>
            <w:hideMark/>
          </w:tcPr>
          <w:p w14:paraId="3A99B6F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62%</w:t>
            </w:r>
          </w:p>
        </w:tc>
        <w:tc>
          <w:tcPr>
            <w:tcW w:w="1407" w:type="pct"/>
            <w:tcBorders>
              <w:top w:val="nil"/>
              <w:left w:val="nil"/>
              <w:bottom w:val="nil"/>
              <w:right w:val="nil"/>
            </w:tcBorders>
            <w:noWrap/>
            <w:vAlign w:val="center"/>
            <w:hideMark/>
          </w:tcPr>
          <w:p w14:paraId="360C782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Landfill gas</w:t>
            </w:r>
          </w:p>
        </w:tc>
        <w:tc>
          <w:tcPr>
            <w:tcW w:w="428" w:type="pct"/>
            <w:tcBorders>
              <w:top w:val="nil"/>
              <w:left w:val="nil"/>
              <w:bottom w:val="nil"/>
              <w:right w:val="nil"/>
            </w:tcBorders>
            <w:noWrap/>
            <w:vAlign w:val="center"/>
            <w:hideMark/>
          </w:tcPr>
          <w:p w14:paraId="176A048D"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652</w:t>
            </w:r>
          </w:p>
        </w:tc>
        <w:tc>
          <w:tcPr>
            <w:tcW w:w="445" w:type="pct"/>
            <w:tcBorders>
              <w:top w:val="nil"/>
              <w:left w:val="nil"/>
              <w:bottom w:val="nil"/>
              <w:right w:val="nil"/>
            </w:tcBorders>
            <w:noWrap/>
            <w:vAlign w:val="center"/>
            <w:hideMark/>
          </w:tcPr>
          <w:p w14:paraId="593D584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5%</w:t>
            </w:r>
          </w:p>
        </w:tc>
      </w:tr>
      <w:tr w:rsidR="003F190E" w:rsidRPr="00DB2377" w14:paraId="04EE8B27" w14:textId="77777777" w:rsidTr="003F190E">
        <w:trPr>
          <w:trHeight w:val="283"/>
        </w:trPr>
        <w:tc>
          <w:tcPr>
            <w:tcW w:w="1931" w:type="pct"/>
            <w:tcBorders>
              <w:top w:val="nil"/>
              <w:left w:val="nil"/>
              <w:bottom w:val="nil"/>
              <w:right w:val="nil"/>
            </w:tcBorders>
            <w:noWrap/>
            <w:vAlign w:val="center"/>
            <w:hideMark/>
          </w:tcPr>
          <w:p w14:paraId="7B61D1AC"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Rejected</w:t>
            </w:r>
          </w:p>
        </w:tc>
        <w:tc>
          <w:tcPr>
            <w:tcW w:w="428" w:type="pct"/>
            <w:tcBorders>
              <w:top w:val="nil"/>
              <w:left w:val="nil"/>
              <w:bottom w:val="nil"/>
              <w:right w:val="nil"/>
            </w:tcBorders>
            <w:noWrap/>
            <w:vAlign w:val="center"/>
            <w:hideMark/>
          </w:tcPr>
          <w:p w14:paraId="72B5A945"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283</w:t>
            </w:r>
          </w:p>
        </w:tc>
        <w:tc>
          <w:tcPr>
            <w:tcW w:w="361" w:type="pct"/>
            <w:tcBorders>
              <w:top w:val="nil"/>
              <w:left w:val="nil"/>
              <w:bottom w:val="nil"/>
              <w:right w:val="nil"/>
            </w:tcBorders>
            <w:noWrap/>
            <w:vAlign w:val="center"/>
            <w:hideMark/>
          </w:tcPr>
          <w:p w14:paraId="3E2BAA96"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w:t>
            </w:r>
          </w:p>
        </w:tc>
        <w:tc>
          <w:tcPr>
            <w:tcW w:w="1407" w:type="pct"/>
            <w:tcBorders>
              <w:top w:val="nil"/>
              <w:left w:val="nil"/>
              <w:bottom w:val="nil"/>
              <w:right w:val="nil"/>
            </w:tcBorders>
            <w:noWrap/>
            <w:vAlign w:val="center"/>
            <w:hideMark/>
          </w:tcPr>
          <w:p w14:paraId="2C3C1356"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Methane avoidance</w:t>
            </w:r>
          </w:p>
        </w:tc>
        <w:tc>
          <w:tcPr>
            <w:tcW w:w="428" w:type="pct"/>
            <w:tcBorders>
              <w:top w:val="nil"/>
              <w:left w:val="nil"/>
              <w:bottom w:val="nil"/>
              <w:right w:val="nil"/>
            </w:tcBorders>
            <w:noWrap/>
            <w:vAlign w:val="center"/>
            <w:hideMark/>
          </w:tcPr>
          <w:p w14:paraId="17BE91B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1202</w:t>
            </w:r>
          </w:p>
        </w:tc>
        <w:tc>
          <w:tcPr>
            <w:tcW w:w="445" w:type="pct"/>
            <w:tcBorders>
              <w:top w:val="nil"/>
              <w:left w:val="nil"/>
              <w:bottom w:val="nil"/>
              <w:right w:val="nil"/>
            </w:tcBorders>
            <w:noWrap/>
            <w:vAlign w:val="center"/>
            <w:hideMark/>
          </w:tcPr>
          <w:p w14:paraId="04E94AFD"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9%</w:t>
            </w:r>
          </w:p>
        </w:tc>
      </w:tr>
      <w:tr w:rsidR="003F190E" w:rsidRPr="00DB2377" w14:paraId="6FED3A74" w14:textId="77777777" w:rsidTr="003F190E">
        <w:trPr>
          <w:trHeight w:val="283"/>
        </w:trPr>
        <w:tc>
          <w:tcPr>
            <w:tcW w:w="1931" w:type="pct"/>
            <w:tcBorders>
              <w:top w:val="nil"/>
              <w:left w:val="nil"/>
              <w:bottom w:val="nil"/>
              <w:right w:val="nil"/>
            </w:tcBorders>
            <w:noWrap/>
            <w:vAlign w:val="center"/>
            <w:hideMark/>
          </w:tcPr>
          <w:p w14:paraId="4E5D165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Validation Public</w:t>
            </w:r>
          </w:p>
        </w:tc>
        <w:tc>
          <w:tcPr>
            <w:tcW w:w="428" w:type="pct"/>
            <w:tcBorders>
              <w:top w:val="nil"/>
              <w:left w:val="nil"/>
              <w:bottom w:val="nil"/>
              <w:right w:val="nil"/>
            </w:tcBorders>
            <w:noWrap/>
            <w:vAlign w:val="center"/>
            <w:hideMark/>
          </w:tcPr>
          <w:p w14:paraId="642E9970"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431</w:t>
            </w:r>
          </w:p>
        </w:tc>
        <w:tc>
          <w:tcPr>
            <w:tcW w:w="361" w:type="pct"/>
            <w:tcBorders>
              <w:top w:val="nil"/>
              <w:left w:val="nil"/>
              <w:bottom w:val="nil"/>
              <w:right w:val="nil"/>
            </w:tcBorders>
            <w:noWrap/>
            <w:vAlign w:val="center"/>
            <w:hideMark/>
          </w:tcPr>
          <w:p w14:paraId="6AC1405E"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3%</w:t>
            </w:r>
          </w:p>
        </w:tc>
        <w:tc>
          <w:tcPr>
            <w:tcW w:w="1407" w:type="pct"/>
            <w:tcBorders>
              <w:top w:val="nil"/>
              <w:left w:val="nil"/>
              <w:bottom w:val="nil"/>
              <w:right w:val="nil"/>
            </w:tcBorders>
            <w:noWrap/>
            <w:vAlign w:val="center"/>
            <w:hideMark/>
          </w:tcPr>
          <w:p w14:paraId="12CF387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Mixed renewables</w:t>
            </w:r>
          </w:p>
        </w:tc>
        <w:tc>
          <w:tcPr>
            <w:tcW w:w="428" w:type="pct"/>
            <w:tcBorders>
              <w:top w:val="nil"/>
              <w:left w:val="nil"/>
              <w:bottom w:val="nil"/>
              <w:right w:val="nil"/>
            </w:tcBorders>
            <w:noWrap/>
            <w:vAlign w:val="center"/>
            <w:hideMark/>
          </w:tcPr>
          <w:p w14:paraId="32B59FF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43</w:t>
            </w:r>
          </w:p>
        </w:tc>
        <w:tc>
          <w:tcPr>
            <w:tcW w:w="445" w:type="pct"/>
            <w:tcBorders>
              <w:top w:val="nil"/>
              <w:left w:val="nil"/>
              <w:bottom w:val="nil"/>
              <w:right w:val="nil"/>
            </w:tcBorders>
            <w:noWrap/>
            <w:vAlign w:val="center"/>
            <w:hideMark/>
          </w:tcPr>
          <w:p w14:paraId="7CC6C129"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2F2C249A" w14:textId="77777777" w:rsidTr="003F190E">
        <w:trPr>
          <w:trHeight w:val="283"/>
        </w:trPr>
        <w:tc>
          <w:tcPr>
            <w:tcW w:w="1931" w:type="pct"/>
            <w:tcBorders>
              <w:top w:val="nil"/>
              <w:left w:val="nil"/>
              <w:bottom w:val="nil"/>
              <w:right w:val="nil"/>
            </w:tcBorders>
            <w:noWrap/>
            <w:vAlign w:val="center"/>
            <w:hideMark/>
          </w:tcPr>
          <w:p w14:paraId="7AE85804"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Validation Replaced</w:t>
            </w:r>
          </w:p>
        </w:tc>
        <w:tc>
          <w:tcPr>
            <w:tcW w:w="428" w:type="pct"/>
            <w:tcBorders>
              <w:top w:val="nil"/>
              <w:left w:val="nil"/>
              <w:bottom w:val="nil"/>
              <w:right w:val="nil"/>
            </w:tcBorders>
            <w:noWrap/>
            <w:vAlign w:val="center"/>
            <w:hideMark/>
          </w:tcPr>
          <w:p w14:paraId="3E85969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829</w:t>
            </w:r>
          </w:p>
        </w:tc>
        <w:tc>
          <w:tcPr>
            <w:tcW w:w="361" w:type="pct"/>
            <w:tcBorders>
              <w:top w:val="nil"/>
              <w:left w:val="nil"/>
              <w:bottom w:val="nil"/>
              <w:right w:val="nil"/>
            </w:tcBorders>
            <w:noWrap/>
            <w:vAlign w:val="center"/>
            <w:hideMark/>
          </w:tcPr>
          <w:p w14:paraId="25EF633F"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w:t>
            </w:r>
          </w:p>
        </w:tc>
        <w:tc>
          <w:tcPr>
            <w:tcW w:w="1407" w:type="pct"/>
            <w:tcBorders>
              <w:top w:val="nil"/>
              <w:left w:val="nil"/>
              <w:bottom w:val="nil"/>
              <w:right w:val="nil"/>
            </w:tcBorders>
            <w:noWrap/>
            <w:vAlign w:val="center"/>
            <w:hideMark/>
          </w:tcPr>
          <w:p w14:paraId="6BBF1E6F"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N2O</w:t>
            </w:r>
          </w:p>
        </w:tc>
        <w:tc>
          <w:tcPr>
            <w:tcW w:w="428" w:type="pct"/>
            <w:tcBorders>
              <w:top w:val="nil"/>
              <w:left w:val="nil"/>
              <w:bottom w:val="nil"/>
              <w:right w:val="nil"/>
            </w:tcBorders>
            <w:noWrap/>
            <w:vAlign w:val="center"/>
            <w:hideMark/>
          </w:tcPr>
          <w:p w14:paraId="1DFF6B2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133</w:t>
            </w:r>
          </w:p>
        </w:tc>
        <w:tc>
          <w:tcPr>
            <w:tcW w:w="445" w:type="pct"/>
            <w:tcBorders>
              <w:top w:val="nil"/>
              <w:left w:val="nil"/>
              <w:bottom w:val="nil"/>
              <w:right w:val="nil"/>
            </w:tcBorders>
            <w:noWrap/>
            <w:vAlign w:val="center"/>
            <w:hideMark/>
          </w:tcPr>
          <w:p w14:paraId="6ABEA77C"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r>
      <w:tr w:rsidR="003F190E" w:rsidRPr="00DB2377" w14:paraId="0ECCF209" w14:textId="77777777" w:rsidTr="003F190E">
        <w:trPr>
          <w:trHeight w:val="283"/>
        </w:trPr>
        <w:tc>
          <w:tcPr>
            <w:tcW w:w="1931" w:type="pct"/>
            <w:tcBorders>
              <w:top w:val="nil"/>
              <w:left w:val="nil"/>
              <w:bottom w:val="nil"/>
              <w:right w:val="nil"/>
            </w:tcBorders>
            <w:noWrap/>
            <w:vAlign w:val="center"/>
            <w:hideMark/>
          </w:tcPr>
          <w:p w14:paraId="4B84F8A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Validation Terminated</w:t>
            </w:r>
          </w:p>
        </w:tc>
        <w:tc>
          <w:tcPr>
            <w:tcW w:w="428" w:type="pct"/>
            <w:tcBorders>
              <w:top w:val="nil"/>
              <w:left w:val="nil"/>
              <w:bottom w:val="nil"/>
              <w:right w:val="nil"/>
            </w:tcBorders>
            <w:noWrap/>
            <w:vAlign w:val="center"/>
            <w:hideMark/>
          </w:tcPr>
          <w:p w14:paraId="47439D7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3115</w:t>
            </w:r>
          </w:p>
        </w:tc>
        <w:tc>
          <w:tcPr>
            <w:tcW w:w="361" w:type="pct"/>
            <w:tcBorders>
              <w:top w:val="nil"/>
              <w:left w:val="nil"/>
              <w:bottom w:val="nil"/>
              <w:right w:val="nil"/>
            </w:tcBorders>
            <w:noWrap/>
            <w:vAlign w:val="center"/>
            <w:hideMark/>
          </w:tcPr>
          <w:p w14:paraId="07FCE20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24%</w:t>
            </w:r>
          </w:p>
        </w:tc>
        <w:tc>
          <w:tcPr>
            <w:tcW w:w="1407" w:type="pct"/>
            <w:tcBorders>
              <w:top w:val="nil"/>
              <w:left w:val="nil"/>
              <w:bottom w:val="nil"/>
              <w:right w:val="nil"/>
            </w:tcBorders>
            <w:noWrap/>
            <w:vAlign w:val="center"/>
            <w:hideMark/>
          </w:tcPr>
          <w:p w14:paraId="0B7813CB"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PFCs and SF6</w:t>
            </w:r>
          </w:p>
        </w:tc>
        <w:tc>
          <w:tcPr>
            <w:tcW w:w="428" w:type="pct"/>
            <w:tcBorders>
              <w:top w:val="nil"/>
              <w:left w:val="nil"/>
              <w:bottom w:val="nil"/>
              <w:right w:val="nil"/>
            </w:tcBorders>
            <w:noWrap/>
            <w:vAlign w:val="center"/>
            <w:hideMark/>
          </w:tcPr>
          <w:p w14:paraId="189BFFC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25</w:t>
            </w:r>
          </w:p>
        </w:tc>
        <w:tc>
          <w:tcPr>
            <w:tcW w:w="445" w:type="pct"/>
            <w:tcBorders>
              <w:top w:val="nil"/>
              <w:left w:val="nil"/>
              <w:bottom w:val="nil"/>
              <w:right w:val="nil"/>
            </w:tcBorders>
            <w:noWrap/>
            <w:vAlign w:val="center"/>
            <w:hideMark/>
          </w:tcPr>
          <w:p w14:paraId="33B05581"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6A5B859F" w14:textId="77777777" w:rsidTr="003F190E">
        <w:trPr>
          <w:trHeight w:val="283"/>
        </w:trPr>
        <w:tc>
          <w:tcPr>
            <w:tcW w:w="1931" w:type="pct"/>
            <w:tcBorders>
              <w:top w:val="nil"/>
              <w:left w:val="nil"/>
              <w:bottom w:val="nil"/>
              <w:right w:val="nil"/>
            </w:tcBorders>
            <w:noWrap/>
            <w:vAlign w:val="center"/>
            <w:hideMark/>
          </w:tcPr>
          <w:p w14:paraId="676DF146"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Withdrawn</w:t>
            </w:r>
          </w:p>
        </w:tc>
        <w:tc>
          <w:tcPr>
            <w:tcW w:w="428" w:type="pct"/>
            <w:tcBorders>
              <w:top w:val="nil"/>
              <w:left w:val="nil"/>
              <w:bottom w:val="nil"/>
              <w:right w:val="nil"/>
            </w:tcBorders>
            <w:noWrap/>
            <w:vAlign w:val="center"/>
            <w:hideMark/>
          </w:tcPr>
          <w:p w14:paraId="7FCDF87F"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67</w:t>
            </w:r>
          </w:p>
        </w:tc>
        <w:tc>
          <w:tcPr>
            <w:tcW w:w="361" w:type="pct"/>
            <w:tcBorders>
              <w:top w:val="nil"/>
              <w:left w:val="nil"/>
              <w:bottom w:val="nil"/>
              <w:right w:val="nil"/>
            </w:tcBorders>
            <w:noWrap/>
            <w:vAlign w:val="center"/>
            <w:hideMark/>
          </w:tcPr>
          <w:p w14:paraId="1BC319D3"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c>
          <w:tcPr>
            <w:tcW w:w="1407" w:type="pct"/>
            <w:tcBorders>
              <w:top w:val="nil"/>
              <w:left w:val="nil"/>
              <w:bottom w:val="nil"/>
              <w:right w:val="nil"/>
            </w:tcBorders>
            <w:noWrap/>
            <w:vAlign w:val="center"/>
            <w:hideMark/>
          </w:tcPr>
          <w:p w14:paraId="26C26688"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Reforestation</w:t>
            </w:r>
          </w:p>
        </w:tc>
        <w:tc>
          <w:tcPr>
            <w:tcW w:w="428" w:type="pct"/>
            <w:tcBorders>
              <w:top w:val="nil"/>
              <w:left w:val="nil"/>
              <w:bottom w:val="nil"/>
              <w:right w:val="nil"/>
            </w:tcBorders>
            <w:noWrap/>
            <w:vAlign w:val="center"/>
            <w:hideMark/>
          </w:tcPr>
          <w:p w14:paraId="0AE42FB3"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96</w:t>
            </w:r>
          </w:p>
        </w:tc>
        <w:tc>
          <w:tcPr>
            <w:tcW w:w="445" w:type="pct"/>
            <w:tcBorders>
              <w:top w:val="nil"/>
              <w:left w:val="nil"/>
              <w:bottom w:val="nil"/>
              <w:right w:val="nil"/>
            </w:tcBorders>
            <w:noWrap/>
            <w:vAlign w:val="center"/>
            <w:hideMark/>
          </w:tcPr>
          <w:p w14:paraId="6F0693A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r>
      <w:tr w:rsidR="003F190E" w:rsidRPr="00DB2377" w14:paraId="63412252" w14:textId="77777777" w:rsidTr="003F190E">
        <w:trPr>
          <w:trHeight w:val="283"/>
        </w:trPr>
        <w:tc>
          <w:tcPr>
            <w:tcW w:w="1931" w:type="pct"/>
            <w:tcBorders>
              <w:top w:val="nil"/>
              <w:left w:val="nil"/>
              <w:bottom w:val="nil"/>
              <w:right w:val="nil"/>
            </w:tcBorders>
            <w:noWrap/>
            <w:vAlign w:val="center"/>
            <w:hideMark/>
          </w:tcPr>
          <w:p w14:paraId="54220CB0"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Article 6 eligible</w:t>
            </w:r>
          </w:p>
        </w:tc>
        <w:tc>
          <w:tcPr>
            <w:tcW w:w="428" w:type="pct"/>
            <w:tcBorders>
              <w:top w:val="nil"/>
              <w:left w:val="nil"/>
              <w:bottom w:val="nil"/>
              <w:right w:val="nil"/>
            </w:tcBorders>
            <w:noWrap/>
            <w:vAlign w:val="center"/>
            <w:hideMark/>
          </w:tcPr>
          <w:p w14:paraId="394D934E"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61" w:type="pct"/>
            <w:tcBorders>
              <w:top w:val="nil"/>
              <w:left w:val="nil"/>
              <w:bottom w:val="nil"/>
              <w:right w:val="nil"/>
            </w:tcBorders>
            <w:noWrap/>
            <w:vAlign w:val="center"/>
            <w:hideMark/>
          </w:tcPr>
          <w:p w14:paraId="7018E93B" w14:textId="77777777" w:rsidR="00CC7A6F" w:rsidRPr="00DB2377" w:rsidRDefault="00CC7A6F" w:rsidP="004D4738">
            <w:pPr>
              <w:jc w:val="right"/>
              <w:rPr>
                <w:rFonts w:ascii="Arial" w:eastAsia="DengXian" w:hAnsi="Arial" w:cs="Arial"/>
                <w:color w:val="000000"/>
                <w:sz w:val="20"/>
                <w:lang w:val="en-GB"/>
              </w:rPr>
            </w:pPr>
          </w:p>
        </w:tc>
        <w:tc>
          <w:tcPr>
            <w:tcW w:w="1407" w:type="pct"/>
            <w:tcBorders>
              <w:top w:val="nil"/>
              <w:left w:val="nil"/>
              <w:bottom w:val="nil"/>
              <w:right w:val="nil"/>
            </w:tcBorders>
            <w:noWrap/>
            <w:vAlign w:val="center"/>
            <w:hideMark/>
          </w:tcPr>
          <w:p w14:paraId="06B86ABB"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Solar</w:t>
            </w:r>
          </w:p>
        </w:tc>
        <w:tc>
          <w:tcPr>
            <w:tcW w:w="428" w:type="pct"/>
            <w:tcBorders>
              <w:top w:val="nil"/>
              <w:left w:val="nil"/>
              <w:bottom w:val="nil"/>
              <w:right w:val="nil"/>
            </w:tcBorders>
            <w:noWrap/>
            <w:vAlign w:val="center"/>
            <w:hideMark/>
          </w:tcPr>
          <w:p w14:paraId="6BE349CB"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640</w:t>
            </w:r>
          </w:p>
        </w:tc>
        <w:tc>
          <w:tcPr>
            <w:tcW w:w="445" w:type="pct"/>
            <w:tcBorders>
              <w:top w:val="nil"/>
              <w:left w:val="nil"/>
              <w:bottom w:val="nil"/>
              <w:right w:val="nil"/>
            </w:tcBorders>
            <w:noWrap/>
            <w:vAlign w:val="center"/>
            <w:hideMark/>
          </w:tcPr>
          <w:p w14:paraId="0992E3FD"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5%</w:t>
            </w:r>
          </w:p>
        </w:tc>
      </w:tr>
      <w:tr w:rsidR="003F190E" w:rsidRPr="00DB2377" w14:paraId="17BB741E" w14:textId="77777777" w:rsidTr="003F190E">
        <w:trPr>
          <w:trHeight w:val="283"/>
        </w:trPr>
        <w:tc>
          <w:tcPr>
            <w:tcW w:w="1931" w:type="pct"/>
            <w:tcBorders>
              <w:top w:val="nil"/>
              <w:left w:val="nil"/>
              <w:bottom w:val="nil"/>
              <w:right w:val="nil"/>
            </w:tcBorders>
            <w:noWrap/>
            <w:vAlign w:val="center"/>
            <w:hideMark/>
          </w:tcPr>
          <w:p w14:paraId="54CE939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No</w:t>
            </w:r>
          </w:p>
        </w:tc>
        <w:tc>
          <w:tcPr>
            <w:tcW w:w="428" w:type="pct"/>
            <w:tcBorders>
              <w:top w:val="nil"/>
              <w:left w:val="nil"/>
              <w:bottom w:val="nil"/>
              <w:right w:val="nil"/>
            </w:tcBorders>
            <w:noWrap/>
            <w:vAlign w:val="center"/>
            <w:hideMark/>
          </w:tcPr>
          <w:p w14:paraId="14009545"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9663</w:t>
            </w:r>
          </w:p>
        </w:tc>
        <w:tc>
          <w:tcPr>
            <w:tcW w:w="361" w:type="pct"/>
            <w:tcBorders>
              <w:top w:val="nil"/>
              <w:left w:val="nil"/>
              <w:bottom w:val="nil"/>
              <w:right w:val="nil"/>
            </w:tcBorders>
            <w:noWrap/>
            <w:vAlign w:val="center"/>
            <w:hideMark/>
          </w:tcPr>
          <w:p w14:paraId="756B3F3F"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73%</w:t>
            </w:r>
          </w:p>
        </w:tc>
        <w:tc>
          <w:tcPr>
            <w:tcW w:w="1407" w:type="pct"/>
            <w:tcBorders>
              <w:top w:val="nil"/>
              <w:left w:val="nil"/>
              <w:bottom w:val="nil"/>
              <w:right w:val="nil"/>
            </w:tcBorders>
            <w:noWrap/>
            <w:vAlign w:val="center"/>
            <w:hideMark/>
          </w:tcPr>
          <w:p w14:paraId="2E664328"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Solar &amp; wind</w:t>
            </w:r>
          </w:p>
        </w:tc>
        <w:tc>
          <w:tcPr>
            <w:tcW w:w="428" w:type="pct"/>
            <w:tcBorders>
              <w:top w:val="nil"/>
              <w:left w:val="nil"/>
              <w:bottom w:val="nil"/>
              <w:right w:val="nil"/>
            </w:tcBorders>
            <w:noWrap/>
            <w:vAlign w:val="center"/>
            <w:hideMark/>
          </w:tcPr>
          <w:p w14:paraId="242B2555"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c>
          <w:tcPr>
            <w:tcW w:w="445" w:type="pct"/>
            <w:tcBorders>
              <w:top w:val="nil"/>
              <w:left w:val="nil"/>
              <w:bottom w:val="nil"/>
              <w:right w:val="nil"/>
            </w:tcBorders>
            <w:noWrap/>
            <w:vAlign w:val="center"/>
            <w:hideMark/>
          </w:tcPr>
          <w:p w14:paraId="2643F28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5BE3403F" w14:textId="77777777" w:rsidTr="003F190E">
        <w:trPr>
          <w:trHeight w:val="283"/>
        </w:trPr>
        <w:tc>
          <w:tcPr>
            <w:tcW w:w="1931" w:type="pct"/>
            <w:tcBorders>
              <w:top w:val="nil"/>
              <w:left w:val="nil"/>
              <w:bottom w:val="nil"/>
              <w:right w:val="nil"/>
            </w:tcBorders>
            <w:noWrap/>
            <w:vAlign w:val="center"/>
            <w:hideMark/>
          </w:tcPr>
          <w:p w14:paraId="0D62654A"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Yes</w:t>
            </w:r>
          </w:p>
        </w:tc>
        <w:tc>
          <w:tcPr>
            <w:tcW w:w="428" w:type="pct"/>
            <w:tcBorders>
              <w:top w:val="nil"/>
              <w:left w:val="nil"/>
              <w:bottom w:val="nil"/>
              <w:right w:val="nil"/>
            </w:tcBorders>
            <w:noWrap/>
            <w:vAlign w:val="center"/>
            <w:hideMark/>
          </w:tcPr>
          <w:p w14:paraId="12D478D0"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3489</w:t>
            </w:r>
          </w:p>
        </w:tc>
        <w:tc>
          <w:tcPr>
            <w:tcW w:w="361" w:type="pct"/>
            <w:tcBorders>
              <w:top w:val="nil"/>
              <w:left w:val="nil"/>
              <w:bottom w:val="nil"/>
              <w:right w:val="nil"/>
            </w:tcBorders>
            <w:noWrap/>
            <w:vAlign w:val="center"/>
            <w:hideMark/>
          </w:tcPr>
          <w:p w14:paraId="7C2B8E7D"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27%</w:t>
            </w:r>
          </w:p>
        </w:tc>
        <w:tc>
          <w:tcPr>
            <w:tcW w:w="1407" w:type="pct"/>
            <w:tcBorders>
              <w:top w:val="nil"/>
              <w:left w:val="nil"/>
              <w:bottom w:val="nil"/>
              <w:right w:val="nil"/>
            </w:tcBorders>
            <w:noWrap/>
            <w:vAlign w:val="center"/>
            <w:hideMark/>
          </w:tcPr>
          <w:p w14:paraId="2E0643D4"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Tidal</w:t>
            </w:r>
          </w:p>
        </w:tc>
        <w:tc>
          <w:tcPr>
            <w:tcW w:w="428" w:type="pct"/>
            <w:tcBorders>
              <w:top w:val="nil"/>
              <w:left w:val="nil"/>
              <w:bottom w:val="nil"/>
              <w:right w:val="nil"/>
            </w:tcBorders>
            <w:noWrap/>
            <w:vAlign w:val="center"/>
            <w:hideMark/>
          </w:tcPr>
          <w:p w14:paraId="4164DD9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w:t>
            </w:r>
          </w:p>
        </w:tc>
        <w:tc>
          <w:tcPr>
            <w:tcW w:w="445" w:type="pct"/>
            <w:tcBorders>
              <w:top w:val="nil"/>
              <w:left w:val="nil"/>
              <w:bottom w:val="nil"/>
              <w:right w:val="nil"/>
            </w:tcBorders>
            <w:noWrap/>
            <w:vAlign w:val="center"/>
            <w:hideMark/>
          </w:tcPr>
          <w:p w14:paraId="55954E22"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63DE9E93" w14:textId="77777777" w:rsidTr="003F190E">
        <w:trPr>
          <w:trHeight w:val="283"/>
        </w:trPr>
        <w:tc>
          <w:tcPr>
            <w:tcW w:w="1931" w:type="pct"/>
            <w:tcBorders>
              <w:top w:val="nil"/>
              <w:left w:val="nil"/>
              <w:bottom w:val="nil"/>
              <w:right w:val="nil"/>
            </w:tcBorders>
            <w:noWrap/>
            <w:vAlign w:val="center"/>
            <w:hideMark/>
          </w:tcPr>
          <w:p w14:paraId="38249F2F" w14:textId="77777777" w:rsidR="00CC7A6F" w:rsidRPr="00DB2377" w:rsidRDefault="00CC7A6F" w:rsidP="004D4738">
            <w:pPr>
              <w:rPr>
                <w:rFonts w:ascii="Arial" w:eastAsia="DengXian" w:hAnsi="Arial" w:cs="Arial"/>
                <w:b/>
                <w:bCs/>
                <w:color w:val="000000"/>
                <w:sz w:val="20"/>
                <w:lang w:val="en-GB"/>
              </w:rPr>
            </w:pPr>
            <w:r w:rsidRPr="00DB2377">
              <w:rPr>
                <w:rFonts w:ascii="Arial" w:eastAsia="DengXian" w:hAnsi="Arial" w:cs="Arial"/>
                <w:b/>
                <w:bCs/>
                <w:color w:val="000000"/>
                <w:sz w:val="20"/>
                <w:lang w:val="en-GB"/>
              </w:rPr>
              <w:t>First NDC eligible</w:t>
            </w:r>
          </w:p>
        </w:tc>
        <w:tc>
          <w:tcPr>
            <w:tcW w:w="428" w:type="pct"/>
            <w:tcBorders>
              <w:top w:val="nil"/>
              <w:left w:val="nil"/>
              <w:bottom w:val="nil"/>
              <w:right w:val="nil"/>
            </w:tcBorders>
            <w:noWrap/>
            <w:vAlign w:val="center"/>
            <w:hideMark/>
          </w:tcPr>
          <w:p w14:paraId="6FFB8FEF"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61" w:type="pct"/>
            <w:tcBorders>
              <w:top w:val="nil"/>
              <w:left w:val="nil"/>
              <w:bottom w:val="nil"/>
              <w:right w:val="nil"/>
            </w:tcBorders>
            <w:noWrap/>
            <w:vAlign w:val="center"/>
            <w:hideMark/>
          </w:tcPr>
          <w:p w14:paraId="20CDB711" w14:textId="77777777" w:rsidR="00CC7A6F" w:rsidRPr="00DB2377" w:rsidRDefault="00CC7A6F" w:rsidP="004D4738">
            <w:pPr>
              <w:jc w:val="right"/>
              <w:rPr>
                <w:rFonts w:ascii="Arial" w:eastAsia="DengXian" w:hAnsi="Arial" w:cs="Arial"/>
                <w:color w:val="000000"/>
                <w:sz w:val="20"/>
                <w:lang w:val="en-GB"/>
              </w:rPr>
            </w:pPr>
          </w:p>
        </w:tc>
        <w:tc>
          <w:tcPr>
            <w:tcW w:w="1407" w:type="pct"/>
            <w:tcBorders>
              <w:top w:val="nil"/>
              <w:left w:val="nil"/>
              <w:bottom w:val="nil"/>
              <w:right w:val="nil"/>
            </w:tcBorders>
            <w:noWrap/>
            <w:vAlign w:val="center"/>
            <w:hideMark/>
          </w:tcPr>
          <w:p w14:paraId="0EF4C897"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Transport</w:t>
            </w:r>
          </w:p>
        </w:tc>
        <w:tc>
          <w:tcPr>
            <w:tcW w:w="428" w:type="pct"/>
            <w:tcBorders>
              <w:top w:val="nil"/>
              <w:left w:val="nil"/>
              <w:bottom w:val="nil"/>
              <w:right w:val="nil"/>
            </w:tcBorders>
            <w:noWrap/>
            <w:vAlign w:val="center"/>
            <w:hideMark/>
          </w:tcPr>
          <w:p w14:paraId="5FC01249"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75</w:t>
            </w:r>
          </w:p>
        </w:tc>
        <w:tc>
          <w:tcPr>
            <w:tcW w:w="445" w:type="pct"/>
            <w:tcBorders>
              <w:top w:val="nil"/>
              <w:left w:val="nil"/>
              <w:bottom w:val="nil"/>
              <w:right w:val="nil"/>
            </w:tcBorders>
            <w:noWrap/>
            <w:vAlign w:val="center"/>
            <w:hideMark/>
          </w:tcPr>
          <w:p w14:paraId="668A54A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w:t>
            </w:r>
          </w:p>
        </w:tc>
      </w:tr>
      <w:tr w:rsidR="003F190E" w:rsidRPr="00DB2377" w14:paraId="7BA70979" w14:textId="77777777" w:rsidTr="003F190E">
        <w:trPr>
          <w:trHeight w:val="283"/>
        </w:trPr>
        <w:tc>
          <w:tcPr>
            <w:tcW w:w="1931" w:type="pct"/>
            <w:tcBorders>
              <w:top w:val="nil"/>
              <w:left w:val="nil"/>
              <w:right w:val="nil"/>
            </w:tcBorders>
            <w:noWrap/>
            <w:vAlign w:val="center"/>
            <w:hideMark/>
          </w:tcPr>
          <w:p w14:paraId="6E765CAB"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No</w:t>
            </w:r>
          </w:p>
        </w:tc>
        <w:tc>
          <w:tcPr>
            <w:tcW w:w="428" w:type="pct"/>
            <w:tcBorders>
              <w:top w:val="nil"/>
              <w:left w:val="nil"/>
              <w:right w:val="nil"/>
            </w:tcBorders>
            <w:noWrap/>
            <w:vAlign w:val="center"/>
            <w:hideMark/>
          </w:tcPr>
          <w:p w14:paraId="4DCE0235"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12319</w:t>
            </w:r>
          </w:p>
        </w:tc>
        <w:tc>
          <w:tcPr>
            <w:tcW w:w="361" w:type="pct"/>
            <w:tcBorders>
              <w:top w:val="nil"/>
              <w:left w:val="nil"/>
              <w:right w:val="nil"/>
            </w:tcBorders>
            <w:noWrap/>
            <w:vAlign w:val="center"/>
            <w:hideMark/>
          </w:tcPr>
          <w:p w14:paraId="73378F48"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94%</w:t>
            </w:r>
          </w:p>
        </w:tc>
        <w:tc>
          <w:tcPr>
            <w:tcW w:w="1407" w:type="pct"/>
            <w:tcBorders>
              <w:top w:val="nil"/>
              <w:left w:val="nil"/>
              <w:bottom w:val="nil"/>
              <w:right w:val="nil"/>
            </w:tcBorders>
            <w:noWrap/>
            <w:vAlign w:val="center"/>
            <w:hideMark/>
          </w:tcPr>
          <w:p w14:paraId="3580A9CE"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Waste</w:t>
            </w:r>
          </w:p>
        </w:tc>
        <w:tc>
          <w:tcPr>
            <w:tcW w:w="428" w:type="pct"/>
            <w:tcBorders>
              <w:top w:val="nil"/>
              <w:left w:val="nil"/>
              <w:bottom w:val="nil"/>
              <w:right w:val="nil"/>
            </w:tcBorders>
            <w:noWrap/>
            <w:vAlign w:val="center"/>
            <w:hideMark/>
          </w:tcPr>
          <w:p w14:paraId="23FF05DA"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w:t>
            </w:r>
          </w:p>
        </w:tc>
        <w:tc>
          <w:tcPr>
            <w:tcW w:w="445" w:type="pct"/>
            <w:tcBorders>
              <w:top w:val="nil"/>
              <w:left w:val="nil"/>
              <w:bottom w:val="nil"/>
              <w:right w:val="nil"/>
            </w:tcBorders>
            <w:noWrap/>
            <w:vAlign w:val="center"/>
            <w:hideMark/>
          </w:tcPr>
          <w:p w14:paraId="099030A6"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r>
      <w:tr w:rsidR="003F190E" w:rsidRPr="00DB2377" w14:paraId="3D758AF8" w14:textId="77777777" w:rsidTr="003F190E">
        <w:trPr>
          <w:trHeight w:val="283"/>
        </w:trPr>
        <w:tc>
          <w:tcPr>
            <w:tcW w:w="1931" w:type="pct"/>
            <w:tcBorders>
              <w:top w:val="nil"/>
              <w:left w:val="nil"/>
              <w:bottom w:val="single" w:sz="4" w:space="0" w:color="auto"/>
              <w:right w:val="nil"/>
            </w:tcBorders>
            <w:noWrap/>
            <w:vAlign w:val="center"/>
            <w:hideMark/>
          </w:tcPr>
          <w:p w14:paraId="52235780"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Yes</w:t>
            </w:r>
          </w:p>
        </w:tc>
        <w:tc>
          <w:tcPr>
            <w:tcW w:w="428" w:type="pct"/>
            <w:tcBorders>
              <w:top w:val="nil"/>
              <w:left w:val="nil"/>
              <w:bottom w:val="single" w:sz="4" w:space="0" w:color="auto"/>
              <w:right w:val="nil"/>
            </w:tcBorders>
            <w:noWrap/>
            <w:vAlign w:val="center"/>
            <w:hideMark/>
          </w:tcPr>
          <w:p w14:paraId="30E09C99"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833</w:t>
            </w:r>
          </w:p>
        </w:tc>
        <w:tc>
          <w:tcPr>
            <w:tcW w:w="361" w:type="pct"/>
            <w:tcBorders>
              <w:top w:val="nil"/>
              <w:left w:val="nil"/>
              <w:bottom w:val="single" w:sz="4" w:space="0" w:color="auto"/>
              <w:right w:val="nil"/>
            </w:tcBorders>
            <w:noWrap/>
            <w:vAlign w:val="center"/>
            <w:hideMark/>
          </w:tcPr>
          <w:p w14:paraId="33E45DEB"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6%</w:t>
            </w:r>
          </w:p>
        </w:tc>
        <w:tc>
          <w:tcPr>
            <w:tcW w:w="1407" w:type="pct"/>
            <w:tcBorders>
              <w:top w:val="nil"/>
              <w:left w:val="nil"/>
              <w:bottom w:val="single" w:sz="4" w:space="0" w:color="auto"/>
              <w:right w:val="nil"/>
            </w:tcBorders>
            <w:noWrap/>
            <w:vAlign w:val="center"/>
            <w:hideMark/>
          </w:tcPr>
          <w:p w14:paraId="5AF3CD05" w14:textId="77777777" w:rsidR="00CC7A6F" w:rsidRPr="00DB2377" w:rsidRDefault="00CC7A6F" w:rsidP="004D4738">
            <w:pPr>
              <w:rPr>
                <w:rFonts w:ascii="Arial" w:eastAsia="DengXian" w:hAnsi="Arial" w:cs="Arial"/>
                <w:color w:val="000000"/>
                <w:sz w:val="20"/>
                <w:lang w:val="en-GB"/>
              </w:rPr>
            </w:pPr>
            <w:r w:rsidRPr="00DB2377">
              <w:rPr>
                <w:rFonts w:ascii="Arial" w:eastAsia="DengXian" w:hAnsi="Arial" w:cs="Arial"/>
                <w:color w:val="000000"/>
                <w:sz w:val="20"/>
                <w:lang w:val="en-GB"/>
              </w:rPr>
              <w:t>... Wind</w:t>
            </w:r>
          </w:p>
        </w:tc>
        <w:tc>
          <w:tcPr>
            <w:tcW w:w="428" w:type="pct"/>
            <w:tcBorders>
              <w:top w:val="nil"/>
              <w:left w:val="nil"/>
              <w:bottom w:val="single" w:sz="4" w:space="0" w:color="auto"/>
              <w:right w:val="nil"/>
            </w:tcBorders>
            <w:noWrap/>
            <w:vAlign w:val="center"/>
            <w:hideMark/>
          </w:tcPr>
          <w:p w14:paraId="560D320D"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3087</w:t>
            </w:r>
          </w:p>
        </w:tc>
        <w:tc>
          <w:tcPr>
            <w:tcW w:w="445" w:type="pct"/>
            <w:tcBorders>
              <w:top w:val="nil"/>
              <w:left w:val="nil"/>
              <w:bottom w:val="single" w:sz="4" w:space="0" w:color="auto"/>
              <w:right w:val="nil"/>
            </w:tcBorders>
            <w:noWrap/>
            <w:vAlign w:val="center"/>
            <w:hideMark/>
          </w:tcPr>
          <w:p w14:paraId="5345F284" w14:textId="77777777" w:rsidR="00CC7A6F" w:rsidRPr="00DB2377" w:rsidRDefault="00CC7A6F" w:rsidP="004D4738">
            <w:pPr>
              <w:jc w:val="right"/>
              <w:rPr>
                <w:rFonts w:ascii="Arial" w:eastAsia="DengXian" w:hAnsi="Arial" w:cs="Arial"/>
                <w:color w:val="000000"/>
                <w:sz w:val="20"/>
                <w:lang w:val="en-GB"/>
              </w:rPr>
            </w:pPr>
            <w:r w:rsidRPr="00DB2377">
              <w:rPr>
                <w:rFonts w:ascii="Arial" w:eastAsia="DengXian" w:hAnsi="Arial" w:cs="Arial"/>
                <w:color w:val="000000"/>
                <w:sz w:val="20"/>
                <w:lang w:val="en-GB"/>
              </w:rPr>
              <w:t>24%</w:t>
            </w:r>
          </w:p>
        </w:tc>
      </w:tr>
    </w:tbl>
    <w:p w14:paraId="4FCBA1F2" w14:textId="5105D83D" w:rsidR="00191698" w:rsidRPr="00FD5114" w:rsidRDefault="00191698" w:rsidP="000230A6">
      <w:pPr>
        <w:pStyle w:val="SMcaption"/>
        <w:rPr>
          <w:rFonts w:ascii="Arial" w:hAnsi="Arial" w:cs="Arial"/>
          <w:sz w:val="20"/>
          <w:lang w:val="en-GB"/>
        </w:rPr>
      </w:pPr>
      <w:r w:rsidRPr="00FD5114">
        <w:rPr>
          <w:rFonts w:ascii="Arial" w:hAnsi="Arial" w:cs="Arial"/>
          <w:sz w:val="20"/>
          <w:lang w:val="en-GB"/>
        </w:rPr>
        <w:t>Notes: The version of this database includes some PA-related variables for the continued focus of the analysis, which is 1) which and how many CDM activities can be transitioned to the new Article 6.4 mechanism without applying new methodologies and 2) which and how many CERs issued under the CDM until the end of 2020 can be used to fulfil NDCs under the PA</w:t>
      </w:r>
      <w:r w:rsidRPr="00FD5114">
        <w:rPr>
          <w:rFonts w:ascii="Arial" w:hAnsi="Arial" w:cs="Arial"/>
          <w:sz w:val="20"/>
          <w:lang w:val="en-GB"/>
        </w:rPr>
        <w:fldChar w:fldCharType="begin"/>
      </w:r>
      <w:r w:rsidR="001A6C96" w:rsidRPr="00FD5114">
        <w:rPr>
          <w:rFonts w:ascii="Arial" w:hAnsi="Arial" w:cs="Arial"/>
          <w:sz w:val="20"/>
          <w:lang w:val="en-GB"/>
        </w:rPr>
        <w:instrText xml:space="preserve"> ADDIN ZOTERO_ITEM CSL_CITATION {"citationID":"ZvNi4C8F","properties":{"formattedCitation":"\\super 66\\nosupersub{}","plainCitation":"66","noteIndex":0},"citationItems":[{"id":"ZthMjOpd/woC08Fy5","uris":["http://zotero.org/users/9291085/items/JXCYP2VI"],"itemData":{"id":2102,"type":"webpage","abstract":"The Clean Development Mechanism (CDM) pipeline, now also calculating potential for CDM and PoA projects transferrable to article 6","container-title":"UNEP-CCC","language":"en-US","title":"CDM Pipeline","URL":"https://unepccc.org/cdm-ji-pipeline/","accessed":{"date-parts":[["2024",1,27]]},"issued":{"date-parts":[["2023",10]]}}}],"schema":"https://github.com/citation-style-language/schema/raw/master/csl-citation.json"} </w:instrText>
      </w:r>
      <w:r w:rsidRPr="00FD5114">
        <w:rPr>
          <w:rFonts w:ascii="Arial" w:hAnsi="Arial" w:cs="Arial"/>
          <w:sz w:val="20"/>
          <w:lang w:val="en-GB"/>
        </w:rPr>
        <w:fldChar w:fldCharType="separate"/>
      </w:r>
      <w:r w:rsidR="001A6C96" w:rsidRPr="00FD5114">
        <w:rPr>
          <w:rFonts w:ascii="Arial" w:hAnsi="Arial" w:cs="Arial"/>
          <w:sz w:val="20"/>
          <w:vertAlign w:val="superscript"/>
        </w:rPr>
        <w:t>66</w:t>
      </w:r>
      <w:r w:rsidRPr="00FD5114">
        <w:rPr>
          <w:rFonts w:ascii="Arial" w:hAnsi="Arial" w:cs="Arial"/>
          <w:sz w:val="20"/>
          <w:lang w:val="en-GB"/>
        </w:rPr>
        <w:fldChar w:fldCharType="end"/>
      </w:r>
      <w:r w:rsidRPr="00FD5114">
        <w:rPr>
          <w:rFonts w:ascii="Arial" w:hAnsi="Arial" w:cs="Arial"/>
          <w:sz w:val="20"/>
          <w:lang w:val="en-GB"/>
        </w:rPr>
        <w:t>. Here, EE refers to energy efficiency; HFCs: hydrofluorocarbons; SF6: sulphur hexafluoride and PFCs: perfluorocarbons.</w:t>
      </w:r>
    </w:p>
    <w:p w14:paraId="08C55FC9" w14:textId="774290B5" w:rsidR="000C4B6A" w:rsidRPr="00FD5114" w:rsidRDefault="000C4B6A" w:rsidP="00256C79">
      <w:pPr>
        <w:spacing w:line="276" w:lineRule="auto"/>
        <w:rPr>
          <w:rFonts w:ascii="Arial" w:hAnsi="Arial" w:cs="Arial"/>
          <w:sz w:val="22"/>
          <w:szCs w:val="22"/>
          <w:lang w:val="en-GB"/>
        </w:rPr>
      </w:pPr>
      <w:r w:rsidRPr="00FD5114">
        <w:rPr>
          <w:rFonts w:ascii="Arial" w:hAnsi="Arial" w:cs="Arial"/>
          <w:sz w:val="22"/>
          <w:szCs w:val="22"/>
          <w:lang w:val="en-GB"/>
        </w:rPr>
        <w:br w:type="page"/>
      </w:r>
    </w:p>
    <w:p w14:paraId="680F61C8" w14:textId="7AE7EE47" w:rsidR="000035AE" w:rsidRPr="00D16AB0" w:rsidRDefault="000035AE" w:rsidP="00E038FA">
      <w:pPr>
        <w:pStyle w:val="SMSubheading"/>
        <w:spacing w:beforeLines="50" w:before="120" w:line="276" w:lineRule="auto"/>
        <w:rPr>
          <w:rFonts w:ascii="Arial" w:hAnsi="Arial" w:cs="Arial"/>
          <w:b/>
          <w:bCs/>
          <w:sz w:val="21"/>
          <w:szCs w:val="21"/>
          <w:u w:val="none"/>
          <w:lang w:val="en-GB"/>
        </w:rPr>
      </w:pPr>
      <w:bookmarkStart w:id="288" w:name="_Toc214982045"/>
      <w:bookmarkStart w:id="289" w:name="_Toc214984269"/>
      <w:bookmarkStart w:id="290" w:name="_Toc214984295"/>
      <w:bookmarkStart w:id="291" w:name="_Toc214984965"/>
      <w:bookmarkStart w:id="292" w:name="_Toc214985854"/>
      <w:bookmarkStart w:id="293" w:name="_Toc214986996"/>
      <w:r w:rsidRPr="00D16AB0">
        <w:rPr>
          <w:rFonts w:ascii="Arial" w:hAnsi="Arial" w:cs="Arial"/>
          <w:b/>
          <w:bCs/>
          <w:sz w:val="21"/>
          <w:szCs w:val="21"/>
          <w:u w:val="none"/>
          <w:lang w:val="en-GB"/>
        </w:rPr>
        <w:lastRenderedPageBreak/>
        <w:t xml:space="preserve">Table </w:t>
      </w:r>
      <w:r w:rsidR="00F27CBB">
        <w:rPr>
          <w:rFonts w:ascii="Arial" w:hAnsi="Arial" w:cs="Arial"/>
          <w:b/>
          <w:bCs/>
          <w:sz w:val="21"/>
          <w:szCs w:val="21"/>
          <w:u w:val="none"/>
          <w:lang w:val="en-GB"/>
        </w:rPr>
        <w:t>4</w:t>
      </w:r>
      <w:r w:rsidRPr="00D16AB0">
        <w:rPr>
          <w:rFonts w:ascii="Arial" w:hAnsi="Arial" w:cs="Arial"/>
          <w:b/>
          <w:bCs/>
          <w:sz w:val="21"/>
          <w:szCs w:val="21"/>
          <w:u w:val="none"/>
          <w:lang w:val="en-GB"/>
        </w:rPr>
        <w:t xml:space="preserve">. The summary statistics of </w:t>
      </w:r>
      <w:r w:rsidR="00077A8A">
        <w:rPr>
          <w:rFonts w:ascii="Arial" w:hAnsi="Arial" w:cs="Arial"/>
          <w:b/>
          <w:bCs/>
          <w:sz w:val="21"/>
          <w:szCs w:val="21"/>
          <w:u w:val="none"/>
          <w:lang w:val="en-GB"/>
        </w:rPr>
        <w:t>numerical</w:t>
      </w:r>
      <w:r w:rsidRPr="00D16AB0">
        <w:rPr>
          <w:rFonts w:ascii="Arial" w:hAnsi="Arial" w:cs="Arial"/>
          <w:b/>
          <w:bCs/>
          <w:sz w:val="21"/>
          <w:szCs w:val="21"/>
          <w:u w:val="none"/>
          <w:lang w:val="en-GB"/>
        </w:rPr>
        <w:t xml:space="preserve"> variables in CDM Pipeline database</w:t>
      </w:r>
      <w:bookmarkEnd w:id="288"/>
      <w:bookmarkEnd w:id="289"/>
      <w:bookmarkEnd w:id="290"/>
      <w:bookmarkEnd w:id="291"/>
      <w:bookmarkEnd w:id="292"/>
      <w:bookmarkEnd w:id="293"/>
    </w:p>
    <w:tbl>
      <w:tblPr>
        <w:tblpPr w:leftFromText="180" w:rightFromText="180" w:horzAnchor="margin" w:tblpY="328"/>
        <w:tblW w:w="5000" w:type="pct"/>
        <w:tblLayout w:type="fixed"/>
        <w:tblLook w:val="04A0" w:firstRow="1" w:lastRow="0" w:firstColumn="1" w:lastColumn="0" w:noHBand="0" w:noVBand="1"/>
      </w:tblPr>
      <w:tblGrid>
        <w:gridCol w:w="3071"/>
        <w:gridCol w:w="899"/>
        <w:gridCol w:w="738"/>
        <w:gridCol w:w="1076"/>
        <w:gridCol w:w="726"/>
        <w:gridCol w:w="925"/>
        <w:gridCol w:w="925"/>
        <w:gridCol w:w="1000"/>
      </w:tblGrid>
      <w:tr w:rsidR="00E515B6" w:rsidRPr="00DB2377" w14:paraId="42FDFAC5" w14:textId="77777777" w:rsidTr="00C261B1">
        <w:trPr>
          <w:trHeight w:val="283"/>
        </w:trPr>
        <w:tc>
          <w:tcPr>
            <w:tcW w:w="1641" w:type="pct"/>
            <w:tcBorders>
              <w:top w:val="single" w:sz="4" w:space="0" w:color="auto"/>
              <w:left w:val="nil"/>
              <w:bottom w:val="single" w:sz="4" w:space="0" w:color="auto"/>
              <w:right w:val="nil"/>
            </w:tcBorders>
            <w:noWrap/>
            <w:vAlign w:val="center"/>
            <w:hideMark/>
          </w:tcPr>
          <w:p w14:paraId="723497A7" w14:textId="77777777" w:rsidR="00E515B6" w:rsidRPr="00DB2377" w:rsidRDefault="00E515B6" w:rsidP="009D6554">
            <w:pPr>
              <w:rPr>
                <w:rFonts w:ascii="Arial" w:eastAsia="DengXian" w:hAnsi="Arial" w:cs="Arial"/>
                <w:b/>
                <w:bCs/>
                <w:color w:val="000000"/>
                <w:sz w:val="20"/>
                <w:lang w:val="en-GB"/>
              </w:rPr>
            </w:pPr>
            <w:r w:rsidRPr="00DB2377">
              <w:rPr>
                <w:rFonts w:ascii="Arial" w:eastAsia="DengXian" w:hAnsi="Arial" w:cs="Arial"/>
                <w:b/>
                <w:bCs/>
                <w:color w:val="000000"/>
                <w:sz w:val="20"/>
                <w:lang w:val="en-GB"/>
              </w:rPr>
              <w:t>Variable</w:t>
            </w:r>
          </w:p>
        </w:tc>
        <w:tc>
          <w:tcPr>
            <w:tcW w:w="480" w:type="pct"/>
            <w:tcBorders>
              <w:top w:val="single" w:sz="4" w:space="0" w:color="auto"/>
              <w:left w:val="nil"/>
              <w:bottom w:val="single" w:sz="4" w:space="0" w:color="auto"/>
              <w:right w:val="nil"/>
            </w:tcBorders>
            <w:noWrap/>
            <w:vAlign w:val="center"/>
            <w:hideMark/>
          </w:tcPr>
          <w:p w14:paraId="66AACB8A" w14:textId="77777777" w:rsidR="00E515B6" w:rsidRPr="00DB2377" w:rsidRDefault="00E515B6" w:rsidP="009D6554">
            <w:pPr>
              <w:rPr>
                <w:rFonts w:ascii="Arial" w:eastAsia="DengXian" w:hAnsi="Arial" w:cs="Arial"/>
                <w:b/>
                <w:bCs/>
                <w:color w:val="000000"/>
                <w:sz w:val="20"/>
                <w:lang w:val="en-GB"/>
              </w:rPr>
            </w:pPr>
            <w:r w:rsidRPr="00DB2377">
              <w:rPr>
                <w:rFonts w:ascii="Arial" w:eastAsia="DengXian" w:hAnsi="Arial" w:cs="Arial"/>
                <w:b/>
                <w:bCs/>
                <w:color w:val="000000"/>
                <w:sz w:val="20"/>
                <w:lang w:val="en-GB"/>
              </w:rPr>
              <w:t>N</w:t>
            </w:r>
          </w:p>
        </w:tc>
        <w:tc>
          <w:tcPr>
            <w:tcW w:w="394" w:type="pct"/>
            <w:tcBorders>
              <w:top w:val="single" w:sz="4" w:space="0" w:color="auto"/>
              <w:left w:val="nil"/>
              <w:bottom w:val="single" w:sz="4" w:space="0" w:color="auto"/>
              <w:right w:val="nil"/>
            </w:tcBorders>
            <w:noWrap/>
            <w:vAlign w:val="center"/>
            <w:hideMark/>
          </w:tcPr>
          <w:p w14:paraId="414F604C" w14:textId="77777777" w:rsidR="00E515B6" w:rsidRPr="00DB2377" w:rsidRDefault="00E515B6" w:rsidP="009D6554">
            <w:pPr>
              <w:rPr>
                <w:rFonts w:ascii="Arial" w:eastAsia="DengXian" w:hAnsi="Arial" w:cs="Arial"/>
                <w:b/>
                <w:bCs/>
                <w:color w:val="000000"/>
                <w:sz w:val="20"/>
                <w:lang w:val="en-GB"/>
              </w:rPr>
            </w:pPr>
            <w:r w:rsidRPr="00DB2377">
              <w:rPr>
                <w:rFonts w:ascii="Arial" w:eastAsia="DengXian" w:hAnsi="Arial" w:cs="Arial"/>
                <w:b/>
                <w:bCs/>
                <w:color w:val="000000"/>
                <w:sz w:val="20"/>
                <w:lang w:val="en-GB"/>
              </w:rPr>
              <w:t>Mean</w:t>
            </w:r>
          </w:p>
        </w:tc>
        <w:tc>
          <w:tcPr>
            <w:tcW w:w="575" w:type="pct"/>
            <w:tcBorders>
              <w:top w:val="single" w:sz="4" w:space="0" w:color="auto"/>
              <w:left w:val="nil"/>
              <w:bottom w:val="single" w:sz="4" w:space="0" w:color="auto"/>
              <w:right w:val="nil"/>
            </w:tcBorders>
            <w:noWrap/>
            <w:vAlign w:val="center"/>
            <w:hideMark/>
          </w:tcPr>
          <w:p w14:paraId="1D2E246B" w14:textId="77777777" w:rsidR="00E515B6" w:rsidRPr="00DB2377" w:rsidRDefault="00E515B6" w:rsidP="009D6554">
            <w:pPr>
              <w:rPr>
                <w:rFonts w:ascii="Arial" w:eastAsia="DengXian" w:hAnsi="Arial" w:cs="Arial"/>
                <w:b/>
                <w:bCs/>
                <w:color w:val="000000"/>
                <w:sz w:val="20"/>
                <w:lang w:val="en-GB"/>
              </w:rPr>
            </w:pPr>
            <w:r w:rsidRPr="00DB2377">
              <w:rPr>
                <w:rFonts w:ascii="Arial" w:eastAsia="DengXian" w:hAnsi="Arial" w:cs="Arial"/>
                <w:b/>
                <w:bCs/>
                <w:color w:val="000000"/>
                <w:sz w:val="20"/>
                <w:lang w:val="en-GB"/>
              </w:rPr>
              <w:t>Std. Dev.</w:t>
            </w:r>
          </w:p>
        </w:tc>
        <w:tc>
          <w:tcPr>
            <w:tcW w:w="388" w:type="pct"/>
            <w:tcBorders>
              <w:top w:val="single" w:sz="4" w:space="0" w:color="auto"/>
              <w:left w:val="nil"/>
              <w:bottom w:val="single" w:sz="4" w:space="0" w:color="auto"/>
              <w:right w:val="nil"/>
            </w:tcBorders>
            <w:noWrap/>
            <w:vAlign w:val="center"/>
            <w:hideMark/>
          </w:tcPr>
          <w:p w14:paraId="0E37EA6D" w14:textId="77777777" w:rsidR="00E515B6" w:rsidRPr="00DB2377" w:rsidRDefault="00E515B6" w:rsidP="009D6554">
            <w:pPr>
              <w:rPr>
                <w:rFonts w:ascii="Arial" w:eastAsia="DengXian" w:hAnsi="Arial" w:cs="Arial"/>
                <w:b/>
                <w:bCs/>
                <w:color w:val="000000"/>
                <w:sz w:val="20"/>
                <w:lang w:val="en-GB"/>
              </w:rPr>
            </w:pPr>
            <w:r w:rsidRPr="00DB2377">
              <w:rPr>
                <w:rFonts w:ascii="Arial" w:eastAsia="DengXian" w:hAnsi="Arial" w:cs="Arial"/>
                <w:b/>
                <w:bCs/>
                <w:color w:val="000000"/>
                <w:sz w:val="20"/>
                <w:lang w:val="en-GB"/>
              </w:rPr>
              <w:t>Min</w:t>
            </w:r>
          </w:p>
        </w:tc>
        <w:tc>
          <w:tcPr>
            <w:tcW w:w="494" w:type="pct"/>
            <w:tcBorders>
              <w:top w:val="single" w:sz="4" w:space="0" w:color="auto"/>
              <w:left w:val="nil"/>
              <w:bottom w:val="single" w:sz="4" w:space="0" w:color="auto"/>
              <w:right w:val="nil"/>
            </w:tcBorders>
            <w:noWrap/>
            <w:vAlign w:val="center"/>
            <w:hideMark/>
          </w:tcPr>
          <w:p w14:paraId="12290B00" w14:textId="77777777" w:rsidR="00E515B6" w:rsidRPr="00DB2377" w:rsidRDefault="00E515B6" w:rsidP="009D6554">
            <w:pPr>
              <w:rPr>
                <w:rFonts w:ascii="Arial" w:eastAsia="DengXian" w:hAnsi="Arial" w:cs="Arial"/>
                <w:b/>
                <w:bCs/>
                <w:color w:val="000000"/>
                <w:sz w:val="20"/>
                <w:lang w:val="en-GB"/>
              </w:rPr>
            </w:pPr>
            <w:proofErr w:type="spellStart"/>
            <w:r w:rsidRPr="00DB2377">
              <w:rPr>
                <w:rFonts w:ascii="Arial" w:eastAsia="DengXian" w:hAnsi="Arial" w:cs="Arial"/>
                <w:b/>
                <w:bCs/>
                <w:color w:val="000000"/>
                <w:sz w:val="20"/>
                <w:lang w:val="en-GB"/>
              </w:rPr>
              <w:t>Pctl</w:t>
            </w:r>
            <w:proofErr w:type="spellEnd"/>
            <w:r w:rsidRPr="00DB2377">
              <w:rPr>
                <w:rFonts w:ascii="Arial" w:eastAsia="DengXian" w:hAnsi="Arial" w:cs="Arial"/>
                <w:b/>
                <w:bCs/>
                <w:color w:val="000000"/>
                <w:sz w:val="20"/>
                <w:lang w:val="en-GB"/>
              </w:rPr>
              <w:t>. 25</w:t>
            </w:r>
          </w:p>
        </w:tc>
        <w:tc>
          <w:tcPr>
            <w:tcW w:w="494" w:type="pct"/>
            <w:tcBorders>
              <w:top w:val="single" w:sz="4" w:space="0" w:color="auto"/>
              <w:left w:val="nil"/>
              <w:bottom w:val="single" w:sz="4" w:space="0" w:color="auto"/>
              <w:right w:val="nil"/>
            </w:tcBorders>
            <w:noWrap/>
            <w:vAlign w:val="center"/>
            <w:hideMark/>
          </w:tcPr>
          <w:p w14:paraId="4B97C9B4" w14:textId="77777777" w:rsidR="00E515B6" w:rsidRPr="00DB2377" w:rsidRDefault="00E515B6" w:rsidP="009D6554">
            <w:pPr>
              <w:rPr>
                <w:rFonts w:ascii="Arial" w:eastAsia="DengXian" w:hAnsi="Arial" w:cs="Arial"/>
                <w:b/>
                <w:bCs/>
                <w:color w:val="000000"/>
                <w:sz w:val="20"/>
                <w:lang w:val="en-GB"/>
              </w:rPr>
            </w:pPr>
            <w:proofErr w:type="spellStart"/>
            <w:r w:rsidRPr="00DB2377">
              <w:rPr>
                <w:rFonts w:ascii="Arial" w:eastAsia="DengXian" w:hAnsi="Arial" w:cs="Arial"/>
                <w:b/>
                <w:bCs/>
                <w:color w:val="000000"/>
                <w:sz w:val="20"/>
                <w:lang w:val="en-GB"/>
              </w:rPr>
              <w:t>Pctl</w:t>
            </w:r>
            <w:proofErr w:type="spellEnd"/>
            <w:r w:rsidRPr="00DB2377">
              <w:rPr>
                <w:rFonts w:ascii="Arial" w:eastAsia="DengXian" w:hAnsi="Arial" w:cs="Arial"/>
                <w:b/>
                <w:bCs/>
                <w:color w:val="000000"/>
                <w:sz w:val="20"/>
                <w:lang w:val="en-GB"/>
              </w:rPr>
              <w:t>. 75</w:t>
            </w:r>
          </w:p>
        </w:tc>
        <w:tc>
          <w:tcPr>
            <w:tcW w:w="534" w:type="pct"/>
            <w:tcBorders>
              <w:top w:val="single" w:sz="4" w:space="0" w:color="auto"/>
              <w:left w:val="nil"/>
              <w:bottom w:val="single" w:sz="4" w:space="0" w:color="auto"/>
              <w:right w:val="nil"/>
            </w:tcBorders>
            <w:noWrap/>
            <w:vAlign w:val="center"/>
            <w:hideMark/>
          </w:tcPr>
          <w:p w14:paraId="1921DBE7" w14:textId="77777777" w:rsidR="00E515B6" w:rsidRPr="00DB2377" w:rsidRDefault="00E515B6" w:rsidP="009D6554">
            <w:pPr>
              <w:rPr>
                <w:rFonts w:ascii="Arial" w:eastAsia="DengXian" w:hAnsi="Arial" w:cs="Arial"/>
                <w:b/>
                <w:bCs/>
                <w:color w:val="000000"/>
                <w:sz w:val="20"/>
                <w:lang w:val="en-GB"/>
              </w:rPr>
            </w:pPr>
            <w:r w:rsidRPr="00DB2377">
              <w:rPr>
                <w:rFonts w:ascii="Arial" w:eastAsia="DengXian" w:hAnsi="Arial" w:cs="Arial"/>
                <w:b/>
                <w:bCs/>
                <w:color w:val="000000"/>
                <w:sz w:val="20"/>
                <w:lang w:val="en-GB"/>
              </w:rPr>
              <w:t>Max</w:t>
            </w:r>
          </w:p>
        </w:tc>
      </w:tr>
      <w:tr w:rsidR="00E515B6" w:rsidRPr="00DB2377" w14:paraId="5CA10556" w14:textId="77777777" w:rsidTr="00C261B1">
        <w:trPr>
          <w:trHeight w:val="283"/>
        </w:trPr>
        <w:tc>
          <w:tcPr>
            <w:tcW w:w="1641" w:type="pct"/>
            <w:tcBorders>
              <w:top w:val="nil"/>
              <w:left w:val="nil"/>
              <w:bottom w:val="nil"/>
              <w:right w:val="nil"/>
            </w:tcBorders>
            <w:noWrap/>
            <w:vAlign w:val="center"/>
          </w:tcPr>
          <w:p w14:paraId="248A26D8"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Ref.</w:t>
            </w:r>
          </w:p>
        </w:tc>
        <w:tc>
          <w:tcPr>
            <w:tcW w:w="480" w:type="pct"/>
            <w:tcBorders>
              <w:top w:val="nil"/>
              <w:left w:val="nil"/>
              <w:bottom w:val="nil"/>
              <w:right w:val="nil"/>
            </w:tcBorders>
            <w:noWrap/>
            <w:vAlign w:val="center"/>
          </w:tcPr>
          <w:p w14:paraId="6300E6B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tcPr>
          <w:p w14:paraId="349ECCF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3551</w:t>
            </w:r>
          </w:p>
        </w:tc>
        <w:tc>
          <w:tcPr>
            <w:tcW w:w="575" w:type="pct"/>
            <w:tcBorders>
              <w:top w:val="nil"/>
              <w:left w:val="nil"/>
              <w:bottom w:val="nil"/>
              <w:right w:val="nil"/>
            </w:tcBorders>
            <w:noWrap/>
            <w:vAlign w:val="center"/>
          </w:tcPr>
          <w:p w14:paraId="4B29460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3510</w:t>
            </w:r>
          </w:p>
        </w:tc>
        <w:tc>
          <w:tcPr>
            <w:tcW w:w="388" w:type="pct"/>
            <w:tcBorders>
              <w:top w:val="nil"/>
              <w:left w:val="nil"/>
              <w:bottom w:val="nil"/>
              <w:right w:val="nil"/>
            </w:tcBorders>
            <w:noWrap/>
            <w:vAlign w:val="center"/>
          </w:tcPr>
          <w:p w14:paraId="0970DD94"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tcPr>
          <w:p w14:paraId="49F1387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tcPr>
          <w:p w14:paraId="461085A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6713</w:t>
            </w:r>
          </w:p>
        </w:tc>
        <w:tc>
          <w:tcPr>
            <w:tcW w:w="534" w:type="pct"/>
            <w:tcBorders>
              <w:top w:val="nil"/>
              <w:left w:val="nil"/>
              <w:bottom w:val="nil"/>
              <w:right w:val="nil"/>
            </w:tcBorders>
            <w:noWrap/>
            <w:vAlign w:val="center"/>
          </w:tcPr>
          <w:p w14:paraId="02E314C9"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10749</w:t>
            </w:r>
          </w:p>
        </w:tc>
      </w:tr>
      <w:tr w:rsidR="00E515B6" w:rsidRPr="00DB2377" w14:paraId="1C052F4A" w14:textId="77777777" w:rsidTr="00C261B1">
        <w:trPr>
          <w:trHeight w:val="283"/>
        </w:trPr>
        <w:tc>
          <w:tcPr>
            <w:tcW w:w="1641" w:type="pct"/>
            <w:tcBorders>
              <w:top w:val="nil"/>
              <w:left w:val="nil"/>
              <w:bottom w:val="nil"/>
              <w:right w:val="nil"/>
            </w:tcBorders>
            <w:noWrap/>
            <w:vAlign w:val="center"/>
            <w:hideMark/>
          </w:tcPr>
          <w:p w14:paraId="2856956E"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1st period ktCO2e/yr</w:t>
            </w:r>
          </w:p>
        </w:tc>
        <w:tc>
          <w:tcPr>
            <w:tcW w:w="480" w:type="pct"/>
            <w:tcBorders>
              <w:top w:val="nil"/>
              <w:left w:val="nil"/>
              <w:bottom w:val="nil"/>
              <w:right w:val="nil"/>
            </w:tcBorders>
            <w:noWrap/>
            <w:vAlign w:val="center"/>
            <w:hideMark/>
          </w:tcPr>
          <w:p w14:paraId="1CAF57A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0DC19DF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143</w:t>
            </w:r>
          </w:p>
        </w:tc>
        <w:tc>
          <w:tcPr>
            <w:tcW w:w="575" w:type="pct"/>
            <w:tcBorders>
              <w:top w:val="nil"/>
              <w:left w:val="nil"/>
              <w:bottom w:val="nil"/>
              <w:right w:val="nil"/>
            </w:tcBorders>
            <w:noWrap/>
            <w:vAlign w:val="center"/>
            <w:hideMark/>
          </w:tcPr>
          <w:p w14:paraId="57D51A5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701</w:t>
            </w:r>
          </w:p>
        </w:tc>
        <w:tc>
          <w:tcPr>
            <w:tcW w:w="388" w:type="pct"/>
            <w:tcBorders>
              <w:top w:val="nil"/>
              <w:left w:val="nil"/>
              <w:bottom w:val="nil"/>
              <w:right w:val="nil"/>
            </w:tcBorders>
            <w:noWrap/>
            <w:vAlign w:val="center"/>
            <w:hideMark/>
          </w:tcPr>
          <w:p w14:paraId="255F6141"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5722CD8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22</w:t>
            </w:r>
          </w:p>
        </w:tc>
        <w:tc>
          <w:tcPr>
            <w:tcW w:w="494" w:type="pct"/>
            <w:tcBorders>
              <w:top w:val="nil"/>
              <w:left w:val="nil"/>
              <w:bottom w:val="nil"/>
              <w:right w:val="nil"/>
            </w:tcBorders>
            <w:noWrap/>
            <w:vAlign w:val="center"/>
            <w:hideMark/>
          </w:tcPr>
          <w:p w14:paraId="6D34C3B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107</w:t>
            </w:r>
          </w:p>
        </w:tc>
        <w:tc>
          <w:tcPr>
            <w:tcW w:w="534" w:type="pct"/>
            <w:tcBorders>
              <w:top w:val="nil"/>
              <w:left w:val="nil"/>
              <w:bottom w:val="nil"/>
              <w:right w:val="nil"/>
            </w:tcBorders>
            <w:noWrap/>
            <w:vAlign w:val="center"/>
            <w:hideMark/>
          </w:tcPr>
          <w:p w14:paraId="1C44F20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47809</w:t>
            </w:r>
          </w:p>
        </w:tc>
      </w:tr>
      <w:tr w:rsidR="00E515B6" w:rsidRPr="00DB2377" w14:paraId="386DFE78" w14:textId="77777777" w:rsidTr="00C261B1">
        <w:trPr>
          <w:trHeight w:val="283"/>
        </w:trPr>
        <w:tc>
          <w:tcPr>
            <w:tcW w:w="1641" w:type="pct"/>
            <w:tcBorders>
              <w:top w:val="nil"/>
              <w:left w:val="nil"/>
              <w:bottom w:val="nil"/>
              <w:right w:val="nil"/>
            </w:tcBorders>
            <w:noWrap/>
            <w:vAlign w:val="center"/>
            <w:hideMark/>
          </w:tcPr>
          <w:p w14:paraId="0DF3E754"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2nd period ktCO2e/yr</w:t>
            </w:r>
          </w:p>
        </w:tc>
        <w:tc>
          <w:tcPr>
            <w:tcW w:w="480" w:type="pct"/>
            <w:tcBorders>
              <w:top w:val="nil"/>
              <w:left w:val="nil"/>
              <w:bottom w:val="nil"/>
              <w:right w:val="nil"/>
            </w:tcBorders>
            <w:noWrap/>
            <w:vAlign w:val="center"/>
            <w:hideMark/>
          </w:tcPr>
          <w:p w14:paraId="60FE32E4"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12F3499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15</w:t>
            </w:r>
          </w:p>
        </w:tc>
        <w:tc>
          <w:tcPr>
            <w:tcW w:w="575" w:type="pct"/>
            <w:tcBorders>
              <w:top w:val="nil"/>
              <w:left w:val="nil"/>
              <w:bottom w:val="nil"/>
              <w:right w:val="nil"/>
            </w:tcBorders>
            <w:noWrap/>
            <w:vAlign w:val="center"/>
            <w:hideMark/>
          </w:tcPr>
          <w:p w14:paraId="1A5A195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169</w:t>
            </w:r>
          </w:p>
        </w:tc>
        <w:tc>
          <w:tcPr>
            <w:tcW w:w="388" w:type="pct"/>
            <w:tcBorders>
              <w:top w:val="nil"/>
              <w:left w:val="nil"/>
              <w:bottom w:val="nil"/>
              <w:right w:val="nil"/>
            </w:tcBorders>
            <w:noWrap/>
            <w:vAlign w:val="center"/>
            <w:hideMark/>
          </w:tcPr>
          <w:p w14:paraId="0D8BEEE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4C5835B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6F123AC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534" w:type="pct"/>
            <w:tcBorders>
              <w:top w:val="nil"/>
              <w:left w:val="nil"/>
              <w:bottom w:val="nil"/>
              <w:right w:val="nil"/>
            </w:tcBorders>
            <w:noWrap/>
            <w:vAlign w:val="center"/>
            <w:hideMark/>
          </w:tcPr>
          <w:p w14:paraId="296590B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11862</w:t>
            </w:r>
          </w:p>
        </w:tc>
      </w:tr>
      <w:tr w:rsidR="00E515B6" w:rsidRPr="00DB2377" w14:paraId="706F478F" w14:textId="77777777" w:rsidTr="00C261B1">
        <w:trPr>
          <w:trHeight w:val="283"/>
        </w:trPr>
        <w:tc>
          <w:tcPr>
            <w:tcW w:w="1641" w:type="pct"/>
            <w:tcBorders>
              <w:top w:val="nil"/>
              <w:left w:val="nil"/>
              <w:bottom w:val="nil"/>
              <w:right w:val="nil"/>
            </w:tcBorders>
            <w:noWrap/>
            <w:vAlign w:val="center"/>
            <w:hideMark/>
          </w:tcPr>
          <w:p w14:paraId="6EC825B2"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3rd period ktCO2e/yr</w:t>
            </w:r>
          </w:p>
        </w:tc>
        <w:tc>
          <w:tcPr>
            <w:tcW w:w="480" w:type="pct"/>
            <w:tcBorders>
              <w:top w:val="nil"/>
              <w:left w:val="nil"/>
              <w:bottom w:val="nil"/>
              <w:right w:val="nil"/>
            </w:tcBorders>
            <w:noWrap/>
            <w:vAlign w:val="center"/>
            <w:hideMark/>
          </w:tcPr>
          <w:p w14:paraId="0F5B1148"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33B2B51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1.7</w:t>
            </w:r>
          </w:p>
        </w:tc>
        <w:tc>
          <w:tcPr>
            <w:tcW w:w="575" w:type="pct"/>
            <w:tcBorders>
              <w:top w:val="nil"/>
              <w:left w:val="nil"/>
              <w:bottom w:val="nil"/>
              <w:right w:val="nil"/>
            </w:tcBorders>
            <w:noWrap/>
            <w:vAlign w:val="center"/>
            <w:hideMark/>
          </w:tcPr>
          <w:p w14:paraId="69DB486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49</w:t>
            </w:r>
          </w:p>
        </w:tc>
        <w:tc>
          <w:tcPr>
            <w:tcW w:w="388" w:type="pct"/>
            <w:tcBorders>
              <w:top w:val="nil"/>
              <w:left w:val="nil"/>
              <w:bottom w:val="nil"/>
              <w:right w:val="nil"/>
            </w:tcBorders>
            <w:noWrap/>
            <w:vAlign w:val="center"/>
            <w:hideMark/>
          </w:tcPr>
          <w:p w14:paraId="1C7608C4"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773AFD2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2D0E929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534" w:type="pct"/>
            <w:tcBorders>
              <w:top w:val="nil"/>
              <w:left w:val="nil"/>
              <w:bottom w:val="nil"/>
              <w:right w:val="nil"/>
            </w:tcBorders>
            <w:noWrap/>
            <w:vAlign w:val="center"/>
            <w:hideMark/>
          </w:tcPr>
          <w:p w14:paraId="231B7BF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4434</w:t>
            </w:r>
          </w:p>
        </w:tc>
      </w:tr>
      <w:tr w:rsidR="00E515B6" w:rsidRPr="00DB2377" w14:paraId="44E11FFD" w14:textId="77777777" w:rsidTr="00C261B1">
        <w:trPr>
          <w:trHeight w:val="283"/>
        </w:trPr>
        <w:tc>
          <w:tcPr>
            <w:tcW w:w="1641" w:type="pct"/>
            <w:tcBorders>
              <w:top w:val="nil"/>
              <w:left w:val="nil"/>
              <w:bottom w:val="nil"/>
              <w:right w:val="nil"/>
            </w:tcBorders>
            <w:noWrap/>
            <w:vAlign w:val="center"/>
            <w:hideMark/>
          </w:tcPr>
          <w:p w14:paraId="781925D1"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Reductions (ktCO2e/yr)</w:t>
            </w:r>
          </w:p>
        </w:tc>
        <w:tc>
          <w:tcPr>
            <w:tcW w:w="480" w:type="pct"/>
            <w:tcBorders>
              <w:top w:val="nil"/>
              <w:left w:val="nil"/>
              <w:bottom w:val="nil"/>
              <w:right w:val="nil"/>
            </w:tcBorders>
            <w:noWrap/>
            <w:vAlign w:val="center"/>
            <w:hideMark/>
          </w:tcPr>
          <w:p w14:paraId="77CCC04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04F95FA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138</w:t>
            </w:r>
          </w:p>
        </w:tc>
        <w:tc>
          <w:tcPr>
            <w:tcW w:w="575" w:type="pct"/>
            <w:tcBorders>
              <w:top w:val="nil"/>
              <w:left w:val="nil"/>
              <w:bottom w:val="nil"/>
              <w:right w:val="nil"/>
            </w:tcBorders>
            <w:noWrap/>
            <w:vAlign w:val="center"/>
            <w:hideMark/>
          </w:tcPr>
          <w:p w14:paraId="6DD746E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694</w:t>
            </w:r>
          </w:p>
        </w:tc>
        <w:tc>
          <w:tcPr>
            <w:tcW w:w="388" w:type="pct"/>
            <w:tcBorders>
              <w:top w:val="nil"/>
              <w:left w:val="nil"/>
              <w:bottom w:val="nil"/>
              <w:right w:val="nil"/>
            </w:tcBorders>
            <w:noWrap/>
            <w:vAlign w:val="center"/>
            <w:hideMark/>
          </w:tcPr>
          <w:p w14:paraId="76C7354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5354A5B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21</w:t>
            </w:r>
          </w:p>
        </w:tc>
        <w:tc>
          <w:tcPr>
            <w:tcW w:w="494" w:type="pct"/>
            <w:tcBorders>
              <w:top w:val="nil"/>
              <w:left w:val="nil"/>
              <w:bottom w:val="nil"/>
              <w:right w:val="nil"/>
            </w:tcBorders>
            <w:noWrap/>
            <w:vAlign w:val="center"/>
            <w:hideMark/>
          </w:tcPr>
          <w:p w14:paraId="71660FC1"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103</w:t>
            </w:r>
          </w:p>
        </w:tc>
        <w:tc>
          <w:tcPr>
            <w:tcW w:w="534" w:type="pct"/>
            <w:tcBorders>
              <w:top w:val="nil"/>
              <w:left w:val="nil"/>
              <w:bottom w:val="nil"/>
              <w:right w:val="nil"/>
            </w:tcBorders>
            <w:noWrap/>
            <w:vAlign w:val="center"/>
            <w:hideMark/>
          </w:tcPr>
          <w:p w14:paraId="73775AB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47809</w:t>
            </w:r>
          </w:p>
        </w:tc>
      </w:tr>
      <w:tr w:rsidR="00E515B6" w:rsidRPr="00DB2377" w14:paraId="175310C3" w14:textId="77777777" w:rsidTr="00C261B1">
        <w:trPr>
          <w:trHeight w:val="283"/>
        </w:trPr>
        <w:tc>
          <w:tcPr>
            <w:tcW w:w="1641" w:type="pct"/>
            <w:tcBorders>
              <w:top w:val="nil"/>
              <w:left w:val="nil"/>
              <w:bottom w:val="nil"/>
              <w:right w:val="nil"/>
            </w:tcBorders>
            <w:noWrap/>
            <w:vAlign w:val="center"/>
            <w:hideMark/>
          </w:tcPr>
          <w:p w14:paraId="0B94F538"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yrs.</w:t>
            </w:r>
          </w:p>
        </w:tc>
        <w:tc>
          <w:tcPr>
            <w:tcW w:w="480" w:type="pct"/>
            <w:tcBorders>
              <w:top w:val="nil"/>
              <w:left w:val="nil"/>
              <w:bottom w:val="nil"/>
              <w:right w:val="nil"/>
            </w:tcBorders>
            <w:noWrap/>
            <w:vAlign w:val="center"/>
            <w:hideMark/>
          </w:tcPr>
          <w:p w14:paraId="6C9023A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70B5CF3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8.3</w:t>
            </w:r>
          </w:p>
        </w:tc>
        <w:tc>
          <w:tcPr>
            <w:tcW w:w="575" w:type="pct"/>
            <w:tcBorders>
              <w:top w:val="nil"/>
              <w:left w:val="nil"/>
              <w:bottom w:val="nil"/>
              <w:right w:val="nil"/>
            </w:tcBorders>
            <w:noWrap/>
            <w:vAlign w:val="center"/>
            <w:hideMark/>
          </w:tcPr>
          <w:p w14:paraId="09DB0DF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2.1</w:t>
            </w:r>
          </w:p>
        </w:tc>
        <w:tc>
          <w:tcPr>
            <w:tcW w:w="388" w:type="pct"/>
            <w:tcBorders>
              <w:top w:val="nil"/>
              <w:left w:val="nil"/>
              <w:bottom w:val="nil"/>
              <w:right w:val="nil"/>
            </w:tcBorders>
            <w:noWrap/>
            <w:vAlign w:val="center"/>
            <w:hideMark/>
          </w:tcPr>
          <w:p w14:paraId="33B4150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1E985669"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w:t>
            </w:r>
          </w:p>
        </w:tc>
        <w:tc>
          <w:tcPr>
            <w:tcW w:w="494" w:type="pct"/>
            <w:tcBorders>
              <w:top w:val="nil"/>
              <w:left w:val="nil"/>
              <w:bottom w:val="nil"/>
              <w:right w:val="nil"/>
            </w:tcBorders>
            <w:noWrap/>
            <w:vAlign w:val="center"/>
            <w:hideMark/>
          </w:tcPr>
          <w:p w14:paraId="5537C6F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10</w:t>
            </w:r>
          </w:p>
        </w:tc>
        <w:tc>
          <w:tcPr>
            <w:tcW w:w="534" w:type="pct"/>
            <w:tcBorders>
              <w:top w:val="nil"/>
              <w:left w:val="nil"/>
              <w:bottom w:val="nil"/>
              <w:right w:val="nil"/>
            </w:tcBorders>
            <w:noWrap/>
            <w:vAlign w:val="center"/>
            <w:hideMark/>
          </w:tcPr>
          <w:p w14:paraId="57D812B8"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40</w:t>
            </w:r>
          </w:p>
        </w:tc>
      </w:tr>
      <w:tr w:rsidR="00E515B6" w:rsidRPr="00DB2377" w14:paraId="26A7A592" w14:textId="77777777" w:rsidTr="00C261B1">
        <w:trPr>
          <w:trHeight w:val="283"/>
        </w:trPr>
        <w:tc>
          <w:tcPr>
            <w:tcW w:w="1641" w:type="pct"/>
            <w:tcBorders>
              <w:top w:val="nil"/>
              <w:left w:val="nil"/>
              <w:bottom w:val="nil"/>
              <w:right w:val="nil"/>
            </w:tcBorders>
            <w:noWrap/>
            <w:vAlign w:val="center"/>
            <w:hideMark/>
          </w:tcPr>
          <w:p w14:paraId="68B6BC3D"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Potential A6 Reductions (ktCO2e)</w:t>
            </w:r>
          </w:p>
        </w:tc>
        <w:tc>
          <w:tcPr>
            <w:tcW w:w="480" w:type="pct"/>
            <w:tcBorders>
              <w:top w:val="nil"/>
              <w:left w:val="nil"/>
              <w:bottom w:val="nil"/>
              <w:right w:val="nil"/>
            </w:tcBorders>
            <w:noWrap/>
            <w:vAlign w:val="center"/>
            <w:hideMark/>
          </w:tcPr>
          <w:p w14:paraId="4560613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1D7ECB9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117</w:t>
            </w:r>
          </w:p>
        </w:tc>
        <w:tc>
          <w:tcPr>
            <w:tcW w:w="575" w:type="pct"/>
            <w:tcBorders>
              <w:top w:val="nil"/>
              <w:left w:val="nil"/>
              <w:bottom w:val="nil"/>
              <w:right w:val="nil"/>
            </w:tcBorders>
            <w:noWrap/>
            <w:vAlign w:val="center"/>
            <w:hideMark/>
          </w:tcPr>
          <w:p w14:paraId="2454E0F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1093</w:t>
            </w:r>
          </w:p>
        </w:tc>
        <w:tc>
          <w:tcPr>
            <w:tcW w:w="388" w:type="pct"/>
            <w:tcBorders>
              <w:top w:val="nil"/>
              <w:left w:val="nil"/>
              <w:bottom w:val="nil"/>
              <w:right w:val="nil"/>
            </w:tcBorders>
            <w:noWrap/>
            <w:vAlign w:val="center"/>
            <w:hideMark/>
          </w:tcPr>
          <w:p w14:paraId="6747CC7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487B851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45AD7C0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5.6</w:t>
            </w:r>
          </w:p>
        </w:tc>
        <w:tc>
          <w:tcPr>
            <w:tcW w:w="534" w:type="pct"/>
            <w:tcBorders>
              <w:top w:val="nil"/>
              <w:left w:val="nil"/>
              <w:bottom w:val="nil"/>
              <w:right w:val="nil"/>
            </w:tcBorders>
            <w:noWrap/>
            <w:vAlign w:val="center"/>
            <w:hideMark/>
          </w:tcPr>
          <w:p w14:paraId="2B7AF221"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66086</w:t>
            </w:r>
          </w:p>
        </w:tc>
      </w:tr>
      <w:tr w:rsidR="00E515B6" w:rsidRPr="00DB2377" w14:paraId="1FC3AA08" w14:textId="77777777" w:rsidTr="00C261B1">
        <w:trPr>
          <w:trHeight w:val="283"/>
        </w:trPr>
        <w:tc>
          <w:tcPr>
            <w:tcW w:w="1641" w:type="pct"/>
            <w:tcBorders>
              <w:top w:val="nil"/>
              <w:left w:val="nil"/>
              <w:bottom w:val="nil"/>
              <w:right w:val="nil"/>
            </w:tcBorders>
            <w:noWrap/>
            <w:vAlign w:val="center"/>
            <w:hideMark/>
          </w:tcPr>
          <w:p w14:paraId="088793C1" w14:textId="77777777" w:rsidR="00E515B6" w:rsidRPr="00DB2377" w:rsidRDefault="00E515B6" w:rsidP="009D6554">
            <w:pPr>
              <w:rPr>
                <w:rFonts w:ascii="Arial" w:eastAsia="DengXian" w:hAnsi="Arial" w:cs="Arial"/>
                <w:color w:val="000000"/>
                <w:sz w:val="20"/>
                <w:lang w:val="en-GB"/>
              </w:rPr>
            </w:pPr>
            <w:proofErr w:type="spellStart"/>
            <w:r w:rsidRPr="00DB2377">
              <w:rPr>
                <w:rFonts w:ascii="Arial" w:eastAsia="DengXian" w:hAnsi="Arial" w:cs="Arial"/>
                <w:color w:val="000000"/>
                <w:sz w:val="20"/>
                <w:lang w:val="en-GB"/>
              </w:rPr>
              <w:t>Pot_Red</w:t>
            </w:r>
            <w:proofErr w:type="spellEnd"/>
            <w:r w:rsidRPr="00DB2377">
              <w:rPr>
                <w:rFonts w:ascii="Arial" w:eastAsia="DengXian" w:hAnsi="Arial" w:cs="Arial"/>
                <w:color w:val="000000"/>
                <w:sz w:val="20"/>
                <w:lang w:val="en-GB"/>
              </w:rPr>
              <w:t xml:space="preserve"> 2021</w:t>
            </w:r>
          </w:p>
        </w:tc>
        <w:tc>
          <w:tcPr>
            <w:tcW w:w="480" w:type="pct"/>
            <w:tcBorders>
              <w:top w:val="nil"/>
              <w:left w:val="nil"/>
              <w:bottom w:val="nil"/>
              <w:right w:val="nil"/>
            </w:tcBorders>
            <w:noWrap/>
            <w:vAlign w:val="center"/>
            <w:hideMark/>
          </w:tcPr>
          <w:p w14:paraId="543C120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1F8D6CB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37</w:t>
            </w:r>
          </w:p>
        </w:tc>
        <w:tc>
          <w:tcPr>
            <w:tcW w:w="575" w:type="pct"/>
            <w:tcBorders>
              <w:top w:val="nil"/>
              <w:left w:val="nil"/>
              <w:bottom w:val="nil"/>
              <w:right w:val="nil"/>
            </w:tcBorders>
            <w:noWrap/>
            <w:vAlign w:val="center"/>
            <w:hideMark/>
          </w:tcPr>
          <w:p w14:paraId="0F917DB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269</w:t>
            </w:r>
          </w:p>
        </w:tc>
        <w:tc>
          <w:tcPr>
            <w:tcW w:w="388" w:type="pct"/>
            <w:tcBorders>
              <w:top w:val="nil"/>
              <w:left w:val="nil"/>
              <w:bottom w:val="nil"/>
              <w:right w:val="nil"/>
            </w:tcBorders>
            <w:noWrap/>
            <w:vAlign w:val="center"/>
            <w:hideMark/>
          </w:tcPr>
          <w:p w14:paraId="5B90439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487D286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0484EF7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3.3</w:t>
            </w:r>
          </w:p>
        </w:tc>
        <w:tc>
          <w:tcPr>
            <w:tcW w:w="534" w:type="pct"/>
            <w:tcBorders>
              <w:top w:val="nil"/>
              <w:left w:val="nil"/>
              <w:bottom w:val="nil"/>
              <w:right w:val="nil"/>
            </w:tcBorders>
            <w:noWrap/>
            <w:vAlign w:val="center"/>
            <w:hideMark/>
          </w:tcPr>
          <w:p w14:paraId="7AE4349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13339</w:t>
            </w:r>
          </w:p>
        </w:tc>
      </w:tr>
      <w:tr w:rsidR="00E515B6" w:rsidRPr="00DB2377" w14:paraId="507125A7" w14:textId="77777777" w:rsidTr="00C261B1">
        <w:trPr>
          <w:trHeight w:val="283"/>
        </w:trPr>
        <w:tc>
          <w:tcPr>
            <w:tcW w:w="1641" w:type="pct"/>
            <w:tcBorders>
              <w:top w:val="nil"/>
              <w:left w:val="nil"/>
              <w:bottom w:val="nil"/>
              <w:right w:val="nil"/>
            </w:tcBorders>
            <w:noWrap/>
            <w:vAlign w:val="center"/>
            <w:hideMark/>
          </w:tcPr>
          <w:p w14:paraId="305EA888" w14:textId="77777777" w:rsidR="00E515B6" w:rsidRPr="00DB2377" w:rsidRDefault="00E515B6" w:rsidP="009D6554">
            <w:pPr>
              <w:rPr>
                <w:rFonts w:ascii="Arial" w:eastAsia="DengXian" w:hAnsi="Arial" w:cs="Arial"/>
                <w:color w:val="000000"/>
                <w:sz w:val="20"/>
                <w:lang w:val="en-GB"/>
              </w:rPr>
            </w:pPr>
            <w:proofErr w:type="spellStart"/>
            <w:r w:rsidRPr="00DB2377">
              <w:rPr>
                <w:rFonts w:ascii="Arial" w:eastAsia="DengXian" w:hAnsi="Arial" w:cs="Arial"/>
                <w:color w:val="000000"/>
                <w:sz w:val="20"/>
                <w:lang w:val="en-GB"/>
              </w:rPr>
              <w:t>Pot_Red</w:t>
            </w:r>
            <w:proofErr w:type="spellEnd"/>
            <w:r w:rsidRPr="00DB2377">
              <w:rPr>
                <w:rFonts w:ascii="Arial" w:eastAsia="DengXian" w:hAnsi="Arial" w:cs="Arial"/>
                <w:color w:val="000000"/>
                <w:sz w:val="20"/>
                <w:lang w:val="en-GB"/>
              </w:rPr>
              <w:t xml:space="preserve"> 2022</w:t>
            </w:r>
          </w:p>
        </w:tc>
        <w:tc>
          <w:tcPr>
            <w:tcW w:w="480" w:type="pct"/>
            <w:tcBorders>
              <w:top w:val="nil"/>
              <w:left w:val="nil"/>
              <w:bottom w:val="nil"/>
              <w:right w:val="nil"/>
            </w:tcBorders>
            <w:noWrap/>
            <w:vAlign w:val="center"/>
            <w:hideMark/>
          </w:tcPr>
          <w:p w14:paraId="3A744904"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1A21EF9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29</w:t>
            </w:r>
          </w:p>
        </w:tc>
        <w:tc>
          <w:tcPr>
            <w:tcW w:w="575" w:type="pct"/>
            <w:tcBorders>
              <w:top w:val="nil"/>
              <w:left w:val="nil"/>
              <w:bottom w:val="nil"/>
              <w:right w:val="nil"/>
            </w:tcBorders>
            <w:noWrap/>
            <w:vAlign w:val="center"/>
            <w:hideMark/>
          </w:tcPr>
          <w:p w14:paraId="22F1B5E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250</w:t>
            </w:r>
          </w:p>
        </w:tc>
        <w:tc>
          <w:tcPr>
            <w:tcW w:w="388" w:type="pct"/>
            <w:tcBorders>
              <w:top w:val="nil"/>
              <w:left w:val="nil"/>
              <w:bottom w:val="nil"/>
              <w:right w:val="nil"/>
            </w:tcBorders>
            <w:noWrap/>
            <w:vAlign w:val="center"/>
            <w:hideMark/>
          </w:tcPr>
          <w:p w14:paraId="2DDCE37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0E0E558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56F49A2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534" w:type="pct"/>
            <w:tcBorders>
              <w:top w:val="nil"/>
              <w:left w:val="nil"/>
              <w:bottom w:val="nil"/>
              <w:right w:val="nil"/>
            </w:tcBorders>
            <w:noWrap/>
            <w:vAlign w:val="center"/>
            <w:hideMark/>
          </w:tcPr>
          <w:p w14:paraId="00C9954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15100</w:t>
            </w:r>
          </w:p>
        </w:tc>
      </w:tr>
      <w:tr w:rsidR="00E515B6" w:rsidRPr="00DB2377" w14:paraId="148791DB" w14:textId="77777777" w:rsidTr="00C261B1">
        <w:trPr>
          <w:trHeight w:val="283"/>
        </w:trPr>
        <w:tc>
          <w:tcPr>
            <w:tcW w:w="1641" w:type="pct"/>
            <w:tcBorders>
              <w:top w:val="nil"/>
              <w:left w:val="nil"/>
              <w:bottom w:val="nil"/>
              <w:right w:val="nil"/>
            </w:tcBorders>
            <w:noWrap/>
            <w:vAlign w:val="center"/>
            <w:hideMark/>
          </w:tcPr>
          <w:p w14:paraId="1FBE557B" w14:textId="77777777" w:rsidR="00E515B6" w:rsidRPr="00DB2377" w:rsidRDefault="00E515B6" w:rsidP="009D6554">
            <w:pPr>
              <w:rPr>
                <w:rFonts w:ascii="Arial" w:eastAsia="DengXian" w:hAnsi="Arial" w:cs="Arial"/>
                <w:color w:val="000000"/>
                <w:sz w:val="20"/>
                <w:lang w:val="en-GB"/>
              </w:rPr>
            </w:pPr>
            <w:proofErr w:type="spellStart"/>
            <w:r w:rsidRPr="00DB2377">
              <w:rPr>
                <w:rFonts w:ascii="Arial" w:eastAsia="DengXian" w:hAnsi="Arial" w:cs="Arial"/>
                <w:color w:val="000000"/>
                <w:sz w:val="20"/>
                <w:lang w:val="en-GB"/>
              </w:rPr>
              <w:t>Pot_Red</w:t>
            </w:r>
            <w:proofErr w:type="spellEnd"/>
            <w:r w:rsidRPr="00DB2377">
              <w:rPr>
                <w:rFonts w:ascii="Arial" w:eastAsia="DengXian" w:hAnsi="Arial" w:cs="Arial"/>
                <w:color w:val="000000"/>
                <w:sz w:val="20"/>
                <w:lang w:val="en-GB"/>
              </w:rPr>
              <w:t xml:space="preserve"> 2023</w:t>
            </w:r>
          </w:p>
        </w:tc>
        <w:tc>
          <w:tcPr>
            <w:tcW w:w="480" w:type="pct"/>
            <w:tcBorders>
              <w:top w:val="nil"/>
              <w:left w:val="nil"/>
              <w:bottom w:val="nil"/>
              <w:right w:val="nil"/>
            </w:tcBorders>
            <w:noWrap/>
            <w:vAlign w:val="center"/>
            <w:hideMark/>
          </w:tcPr>
          <w:p w14:paraId="63E21E8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74B93E5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22</w:t>
            </w:r>
          </w:p>
        </w:tc>
        <w:tc>
          <w:tcPr>
            <w:tcW w:w="575" w:type="pct"/>
            <w:tcBorders>
              <w:top w:val="nil"/>
              <w:left w:val="nil"/>
              <w:bottom w:val="nil"/>
              <w:right w:val="nil"/>
            </w:tcBorders>
            <w:noWrap/>
            <w:vAlign w:val="center"/>
            <w:hideMark/>
          </w:tcPr>
          <w:p w14:paraId="019A4729"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249</w:t>
            </w:r>
          </w:p>
        </w:tc>
        <w:tc>
          <w:tcPr>
            <w:tcW w:w="388" w:type="pct"/>
            <w:tcBorders>
              <w:top w:val="nil"/>
              <w:left w:val="nil"/>
              <w:bottom w:val="nil"/>
              <w:right w:val="nil"/>
            </w:tcBorders>
            <w:noWrap/>
            <w:vAlign w:val="center"/>
            <w:hideMark/>
          </w:tcPr>
          <w:p w14:paraId="16A8AD6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601173D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18966E51"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534" w:type="pct"/>
            <w:tcBorders>
              <w:top w:val="nil"/>
              <w:left w:val="nil"/>
              <w:bottom w:val="nil"/>
              <w:right w:val="nil"/>
            </w:tcBorders>
            <w:noWrap/>
            <w:vAlign w:val="center"/>
            <w:hideMark/>
          </w:tcPr>
          <w:p w14:paraId="5E12DBD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15712</w:t>
            </w:r>
          </w:p>
        </w:tc>
      </w:tr>
      <w:tr w:rsidR="00E515B6" w:rsidRPr="00DB2377" w14:paraId="0DEACACF" w14:textId="77777777" w:rsidTr="00C261B1">
        <w:trPr>
          <w:trHeight w:val="283"/>
        </w:trPr>
        <w:tc>
          <w:tcPr>
            <w:tcW w:w="1641" w:type="pct"/>
            <w:tcBorders>
              <w:top w:val="nil"/>
              <w:left w:val="nil"/>
              <w:bottom w:val="nil"/>
              <w:right w:val="nil"/>
            </w:tcBorders>
            <w:noWrap/>
            <w:vAlign w:val="center"/>
            <w:hideMark/>
          </w:tcPr>
          <w:p w14:paraId="2FF3497D" w14:textId="77777777" w:rsidR="00E515B6" w:rsidRPr="00DB2377" w:rsidRDefault="00E515B6" w:rsidP="009D6554">
            <w:pPr>
              <w:rPr>
                <w:rFonts w:ascii="Arial" w:eastAsia="DengXian" w:hAnsi="Arial" w:cs="Arial"/>
                <w:color w:val="000000"/>
                <w:sz w:val="20"/>
                <w:lang w:val="en-GB"/>
              </w:rPr>
            </w:pPr>
            <w:proofErr w:type="spellStart"/>
            <w:r w:rsidRPr="00DB2377">
              <w:rPr>
                <w:rFonts w:ascii="Arial" w:eastAsia="DengXian" w:hAnsi="Arial" w:cs="Arial"/>
                <w:color w:val="000000"/>
                <w:sz w:val="20"/>
                <w:lang w:val="en-GB"/>
              </w:rPr>
              <w:t>Pot_Red</w:t>
            </w:r>
            <w:proofErr w:type="spellEnd"/>
            <w:r w:rsidRPr="00DB2377">
              <w:rPr>
                <w:rFonts w:ascii="Arial" w:eastAsia="DengXian" w:hAnsi="Arial" w:cs="Arial"/>
                <w:color w:val="000000"/>
                <w:sz w:val="20"/>
                <w:lang w:val="en-GB"/>
              </w:rPr>
              <w:t xml:space="preserve"> 2024</w:t>
            </w:r>
          </w:p>
        </w:tc>
        <w:tc>
          <w:tcPr>
            <w:tcW w:w="480" w:type="pct"/>
            <w:tcBorders>
              <w:top w:val="nil"/>
              <w:left w:val="nil"/>
              <w:bottom w:val="nil"/>
              <w:right w:val="nil"/>
            </w:tcBorders>
            <w:noWrap/>
            <w:vAlign w:val="center"/>
            <w:hideMark/>
          </w:tcPr>
          <w:p w14:paraId="23570C7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5D85F2B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17</w:t>
            </w:r>
          </w:p>
        </w:tc>
        <w:tc>
          <w:tcPr>
            <w:tcW w:w="575" w:type="pct"/>
            <w:tcBorders>
              <w:top w:val="nil"/>
              <w:left w:val="nil"/>
              <w:bottom w:val="nil"/>
              <w:right w:val="nil"/>
            </w:tcBorders>
            <w:noWrap/>
            <w:vAlign w:val="center"/>
            <w:hideMark/>
          </w:tcPr>
          <w:p w14:paraId="76BD4D3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243</w:t>
            </w:r>
          </w:p>
        </w:tc>
        <w:tc>
          <w:tcPr>
            <w:tcW w:w="388" w:type="pct"/>
            <w:tcBorders>
              <w:top w:val="nil"/>
              <w:left w:val="nil"/>
              <w:bottom w:val="nil"/>
              <w:right w:val="nil"/>
            </w:tcBorders>
            <w:noWrap/>
            <w:vAlign w:val="center"/>
            <w:hideMark/>
          </w:tcPr>
          <w:p w14:paraId="5749198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2A65B10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1A462B79"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534" w:type="pct"/>
            <w:tcBorders>
              <w:top w:val="nil"/>
              <w:left w:val="nil"/>
              <w:bottom w:val="nil"/>
              <w:right w:val="nil"/>
            </w:tcBorders>
            <w:noWrap/>
            <w:vAlign w:val="center"/>
            <w:hideMark/>
          </w:tcPr>
          <w:p w14:paraId="10FE7C14"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16090</w:t>
            </w:r>
          </w:p>
        </w:tc>
      </w:tr>
      <w:tr w:rsidR="00E515B6" w:rsidRPr="00DB2377" w14:paraId="3F4A22F9" w14:textId="77777777" w:rsidTr="00C261B1">
        <w:trPr>
          <w:trHeight w:val="283"/>
        </w:trPr>
        <w:tc>
          <w:tcPr>
            <w:tcW w:w="1641" w:type="pct"/>
            <w:tcBorders>
              <w:top w:val="nil"/>
              <w:left w:val="nil"/>
              <w:bottom w:val="nil"/>
              <w:right w:val="nil"/>
            </w:tcBorders>
            <w:noWrap/>
            <w:vAlign w:val="center"/>
            <w:hideMark/>
          </w:tcPr>
          <w:p w14:paraId="03731BE1" w14:textId="77777777" w:rsidR="00E515B6" w:rsidRPr="00DB2377" w:rsidRDefault="00E515B6" w:rsidP="009D6554">
            <w:pPr>
              <w:rPr>
                <w:rFonts w:ascii="Arial" w:eastAsia="DengXian" w:hAnsi="Arial" w:cs="Arial"/>
                <w:color w:val="000000"/>
                <w:sz w:val="20"/>
                <w:lang w:val="en-GB"/>
              </w:rPr>
            </w:pPr>
            <w:proofErr w:type="spellStart"/>
            <w:r w:rsidRPr="00DB2377">
              <w:rPr>
                <w:rFonts w:ascii="Arial" w:eastAsia="DengXian" w:hAnsi="Arial" w:cs="Arial"/>
                <w:color w:val="000000"/>
                <w:sz w:val="20"/>
                <w:lang w:val="en-GB"/>
              </w:rPr>
              <w:t>Pot_Red</w:t>
            </w:r>
            <w:proofErr w:type="spellEnd"/>
            <w:r w:rsidRPr="00DB2377">
              <w:rPr>
                <w:rFonts w:ascii="Arial" w:eastAsia="DengXian" w:hAnsi="Arial" w:cs="Arial"/>
                <w:color w:val="000000"/>
                <w:sz w:val="20"/>
                <w:lang w:val="en-GB"/>
              </w:rPr>
              <w:t xml:space="preserve"> 2025</w:t>
            </w:r>
          </w:p>
        </w:tc>
        <w:tc>
          <w:tcPr>
            <w:tcW w:w="480" w:type="pct"/>
            <w:tcBorders>
              <w:top w:val="nil"/>
              <w:left w:val="nil"/>
              <w:bottom w:val="nil"/>
              <w:right w:val="nil"/>
            </w:tcBorders>
            <w:noWrap/>
            <w:vAlign w:val="center"/>
            <w:hideMark/>
          </w:tcPr>
          <w:p w14:paraId="72012E7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325FD5F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12</w:t>
            </w:r>
          </w:p>
        </w:tc>
        <w:tc>
          <w:tcPr>
            <w:tcW w:w="575" w:type="pct"/>
            <w:tcBorders>
              <w:top w:val="nil"/>
              <w:left w:val="nil"/>
              <w:bottom w:val="nil"/>
              <w:right w:val="nil"/>
            </w:tcBorders>
            <w:noWrap/>
            <w:vAlign w:val="center"/>
            <w:hideMark/>
          </w:tcPr>
          <w:p w14:paraId="219FEC4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144</w:t>
            </w:r>
          </w:p>
        </w:tc>
        <w:tc>
          <w:tcPr>
            <w:tcW w:w="388" w:type="pct"/>
            <w:tcBorders>
              <w:top w:val="nil"/>
              <w:left w:val="nil"/>
              <w:bottom w:val="nil"/>
              <w:right w:val="nil"/>
            </w:tcBorders>
            <w:noWrap/>
            <w:vAlign w:val="center"/>
            <w:hideMark/>
          </w:tcPr>
          <w:p w14:paraId="0F3906B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19C34B9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743685D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534" w:type="pct"/>
            <w:tcBorders>
              <w:top w:val="nil"/>
              <w:left w:val="nil"/>
              <w:bottom w:val="nil"/>
              <w:right w:val="nil"/>
            </w:tcBorders>
            <w:noWrap/>
            <w:vAlign w:val="center"/>
            <w:hideMark/>
          </w:tcPr>
          <w:p w14:paraId="6AB866B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8751</w:t>
            </w:r>
          </w:p>
        </w:tc>
      </w:tr>
      <w:tr w:rsidR="00E515B6" w:rsidRPr="00DB2377" w14:paraId="7E4681C9" w14:textId="77777777" w:rsidTr="00C261B1">
        <w:trPr>
          <w:trHeight w:val="283"/>
        </w:trPr>
        <w:tc>
          <w:tcPr>
            <w:tcW w:w="1641" w:type="pct"/>
            <w:tcBorders>
              <w:top w:val="nil"/>
              <w:left w:val="nil"/>
              <w:bottom w:val="nil"/>
              <w:right w:val="nil"/>
            </w:tcBorders>
            <w:noWrap/>
            <w:vAlign w:val="center"/>
            <w:hideMark/>
          </w:tcPr>
          <w:p w14:paraId="1A2C7AC8" w14:textId="77777777" w:rsidR="00E515B6" w:rsidRPr="00DB2377" w:rsidRDefault="00E515B6" w:rsidP="009D6554">
            <w:pPr>
              <w:rPr>
                <w:rFonts w:ascii="Arial" w:eastAsia="DengXian" w:hAnsi="Arial" w:cs="Arial"/>
                <w:color w:val="000000"/>
                <w:sz w:val="20"/>
                <w:lang w:val="en-GB"/>
              </w:rPr>
            </w:pPr>
            <w:proofErr w:type="spellStart"/>
            <w:r w:rsidRPr="00DB2377">
              <w:rPr>
                <w:rFonts w:ascii="Arial" w:eastAsia="DengXian" w:hAnsi="Arial" w:cs="Arial"/>
                <w:color w:val="000000"/>
                <w:sz w:val="20"/>
                <w:lang w:val="en-GB"/>
              </w:rPr>
              <w:t>kCERs</w:t>
            </w:r>
            <w:proofErr w:type="spellEnd"/>
            <w:r w:rsidRPr="00DB2377">
              <w:rPr>
                <w:rFonts w:ascii="Arial" w:eastAsia="DengXian" w:hAnsi="Arial" w:cs="Arial"/>
                <w:color w:val="000000"/>
                <w:sz w:val="20"/>
                <w:lang w:val="en-GB"/>
              </w:rPr>
              <w:t xml:space="preserve"> CP1</w:t>
            </w:r>
          </w:p>
        </w:tc>
        <w:tc>
          <w:tcPr>
            <w:tcW w:w="480" w:type="pct"/>
            <w:tcBorders>
              <w:top w:val="nil"/>
              <w:left w:val="nil"/>
              <w:bottom w:val="nil"/>
              <w:right w:val="nil"/>
            </w:tcBorders>
            <w:noWrap/>
            <w:vAlign w:val="center"/>
            <w:hideMark/>
          </w:tcPr>
          <w:p w14:paraId="376F19B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3C3A006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113</w:t>
            </w:r>
          </w:p>
        </w:tc>
        <w:tc>
          <w:tcPr>
            <w:tcW w:w="575" w:type="pct"/>
            <w:tcBorders>
              <w:top w:val="nil"/>
              <w:left w:val="nil"/>
              <w:bottom w:val="nil"/>
              <w:right w:val="nil"/>
            </w:tcBorders>
            <w:noWrap/>
            <w:vAlign w:val="center"/>
            <w:hideMark/>
          </w:tcPr>
          <w:p w14:paraId="182F675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1580</w:t>
            </w:r>
          </w:p>
        </w:tc>
        <w:tc>
          <w:tcPr>
            <w:tcW w:w="388" w:type="pct"/>
            <w:tcBorders>
              <w:top w:val="nil"/>
              <w:left w:val="nil"/>
              <w:bottom w:val="nil"/>
              <w:right w:val="nil"/>
            </w:tcBorders>
            <w:noWrap/>
            <w:vAlign w:val="center"/>
            <w:hideMark/>
          </w:tcPr>
          <w:p w14:paraId="6D9C0CE1"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16A70E4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21DA6021"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534" w:type="pct"/>
            <w:tcBorders>
              <w:top w:val="nil"/>
              <w:left w:val="nil"/>
              <w:bottom w:val="nil"/>
              <w:right w:val="nil"/>
            </w:tcBorders>
            <w:noWrap/>
            <w:vAlign w:val="center"/>
            <w:hideMark/>
          </w:tcPr>
          <w:p w14:paraId="51A6924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74928</w:t>
            </w:r>
          </w:p>
        </w:tc>
      </w:tr>
      <w:tr w:rsidR="00E515B6" w:rsidRPr="00DB2377" w14:paraId="64A931D9" w14:textId="77777777" w:rsidTr="00C261B1">
        <w:trPr>
          <w:trHeight w:val="283"/>
        </w:trPr>
        <w:tc>
          <w:tcPr>
            <w:tcW w:w="1641" w:type="pct"/>
            <w:tcBorders>
              <w:top w:val="nil"/>
              <w:left w:val="nil"/>
              <w:bottom w:val="nil"/>
              <w:right w:val="nil"/>
            </w:tcBorders>
            <w:noWrap/>
            <w:vAlign w:val="center"/>
            <w:hideMark/>
          </w:tcPr>
          <w:p w14:paraId="71EDED9C" w14:textId="77777777" w:rsidR="00E515B6" w:rsidRPr="00DB2377" w:rsidRDefault="00E515B6" w:rsidP="009D6554">
            <w:pPr>
              <w:rPr>
                <w:rFonts w:ascii="Arial" w:eastAsia="DengXian" w:hAnsi="Arial" w:cs="Arial"/>
                <w:color w:val="000000"/>
                <w:sz w:val="20"/>
                <w:lang w:val="en-GB"/>
              </w:rPr>
            </w:pPr>
            <w:proofErr w:type="spellStart"/>
            <w:r w:rsidRPr="00DB2377">
              <w:rPr>
                <w:rFonts w:ascii="Arial" w:eastAsia="DengXian" w:hAnsi="Arial" w:cs="Arial"/>
                <w:color w:val="000000"/>
                <w:sz w:val="20"/>
                <w:lang w:val="en-GB"/>
              </w:rPr>
              <w:t>kCERs</w:t>
            </w:r>
            <w:proofErr w:type="spellEnd"/>
            <w:r w:rsidRPr="00DB2377">
              <w:rPr>
                <w:rFonts w:ascii="Arial" w:eastAsia="DengXian" w:hAnsi="Arial" w:cs="Arial"/>
                <w:color w:val="000000"/>
                <w:sz w:val="20"/>
                <w:lang w:val="en-GB"/>
              </w:rPr>
              <w:t xml:space="preserve"> CP2</w:t>
            </w:r>
          </w:p>
        </w:tc>
        <w:tc>
          <w:tcPr>
            <w:tcW w:w="480" w:type="pct"/>
            <w:tcBorders>
              <w:top w:val="nil"/>
              <w:left w:val="nil"/>
              <w:bottom w:val="nil"/>
              <w:right w:val="nil"/>
            </w:tcBorders>
            <w:noWrap/>
            <w:vAlign w:val="center"/>
            <w:hideMark/>
          </w:tcPr>
          <w:p w14:paraId="4FC16199"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48CA020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71</w:t>
            </w:r>
          </w:p>
        </w:tc>
        <w:tc>
          <w:tcPr>
            <w:tcW w:w="575" w:type="pct"/>
            <w:tcBorders>
              <w:top w:val="nil"/>
              <w:left w:val="nil"/>
              <w:bottom w:val="nil"/>
              <w:right w:val="nil"/>
            </w:tcBorders>
            <w:noWrap/>
            <w:vAlign w:val="center"/>
            <w:hideMark/>
          </w:tcPr>
          <w:p w14:paraId="08BC790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594</w:t>
            </w:r>
          </w:p>
        </w:tc>
        <w:tc>
          <w:tcPr>
            <w:tcW w:w="388" w:type="pct"/>
            <w:tcBorders>
              <w:top w:val="nil"/>
              <w:left w:val="nil"/>
              <w:bottom w:val="nil"/>
              <w:right w:val="nil"/>
            </w:tcBorders>
            <w:noWrap/>
            <w:vAlign w:val="center"/>
            <w:hideMark/>
          </w:tcPr>
          <w:p w14:paraId="417C852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610DAB38"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646E730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534" w:type="pct"/>
            <w:tcBorders>
              <w:top w:val="nil"/>
              <w:left w:val="nil"/>
              <w:bottom w:val="nil"/>
              <w:right w:val="nil"/>
            </w:tcBorders>
            <w:noWrap/>
            <w:vAlign w:val="center"/>
            <w:hideMark/>
          </w:tcPr>
          <w:p w14:paraId="7C40FFF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43096</w:t>
            </w:r>
          </w:p>
        </w:tc>
      </w:tr>
      <w:tr w:rsidR="00E515B6" w:rsidRPr="00DB2377" w14:paraId="584A7E95" w14:textId="77777777" w:rsidTr="00C261B1">
        <w:trPr>
          <w:trHeight w:val="283"/>
        </w:trPr>
        <w:tc>
          <w:tcPr>
            <w:tcW w:w="1641" w:type="pct"/>
            <w:tcBorders>
              <w:top w:val="nil"/>
              <w:left w:val="nil"/>
              <w:bottom w:val="nil"/>
              <w:right w:val="nil"/>
            </w:tcBorders>
            <w:noWrap/>
            <w:vAlign w:val="center"/>
            <w:hideMark/>
          </w:tcPr>
          <w:p w14:paraId="49EA40CD"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Total issuance (</w:t>
            </w:r>
            <w:proofErr w:type="spellStart"/>
            <w:r w:rsidRPr="00DB2377">
              <w:rPr>
                <w:rFonts w:ascii="Arial" w:eastAsia="DengXian" w:hAnsi="Arial" w:cs="Arial"/>
                <w:color w:val="000000"/>
                <w:sz w:val="20"/>
                <w:lang w:val="en-GB"/>
              </w:rPr>
              <w:t>kCERs</w:t>
            </w:r>
            <w:proofErr w:type="spellEnd"/>
            <w:r w:rsidRPr="00DB2377">
              <w:rPr>
                <w:rFonts w:ascii="Arial" w:eastAsia="DengXian" w:hAnsi="Arial" w:cs="Arial"/>
                <w:color w:val="000000"/>
                <w:sz w:val="20"/>
                <w:lang w:val="en-GB"/>
              </w:rPr>
              <w:t>)</w:t>
            </w:r>
          </w:p>
        </w:tc>
        <w:tc>
          <w:tcPr>
            <w:tcW w:w="480" w:type="pct"/>
            <w:tcBorders>
              <w:top w:val="nil"/>
              <w:left w:val="nil"/>
              <w:bottom w:val="nil"/>
              <w:right w:val="nil"/>
            </w:tcBorders>
            <w:noWrap/>
            <w:vAlign w:val="center"/>
            <w:hideMark/>
          </w:tcPr>
          <w:p w14:paraId="3AC4D2B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2BD3781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184</w:t>
            </w:r>
          </w:p>
        </w:tc>
        <w:tc>
          <w:tcPr>
            <w:tcW w:w="575" w:type="pct"/>
            <w:tcBorders>
              <w:top w:val="nil"/>
              <w:left w:val="nil"/>
              <w:bottom w:val="nil"/>
              <w:right w:val="nil"/>
            </w:tcBorders>
            <w:noWrap/>
            <w:vAlign w:val="center"/>
            <w:hideMark/>
          </w:tcPr>
          <w:p w14:paraId="6AB2CF2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1931</w:t>
            </w:r>
          </w:p>
        </w:tc>
        <w:tc>
          <w:tcPr>
            <w:tcW w:w="388" w:type="pct"/>
            <w:tcBorders>
              <w:top w:val="nil"/>
              <w:left w:val="nil"/>
              <w:bottom w:val="nil"/>
              <w:right w:val="nil"/>
            </w:tcBorders>
            <w:noWrap/>
            <w:vAlign w:val="center"/>
            <w:hideMark/>
          </w:tcPr>
          <w:p w14:paraId="68C1682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5EC666D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7C64B799"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25</w:t>
            </w:r>
          </w:p>
        </w:tc>
        <w:tc>
          <w:tcPr>
            <w:tcW w:w="534" w:type="pct"/>
            <w:tcBorders>
              <w:top w:val="nil"/>
              <w:left w:val="nil"/>
              <w:bottom w:val="nil"/>
              <w:right w:val="nil"/>
            </w:tcBorders>
            <w:noWrap/>
            <w:vAlign w:val="center"/>
            <w:hideMark/>
          </w:tcPr>
          <w:p w14:paraId="3EE452D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118025</w:t>
            </w:r>
          </w:p>
        </w:tc>
      </w:tr>
      <w:tr w:rsidR="00E515B6" w:rsidRPr="00DB2377" w14:paraId="005C317C" w14:textId="77777777" w:rsidTr="00C261B1">
        <w:trPr>
          <w:trHeight w:val="283"/>
        </w:trPr>
        <w:tc>
          <w:tcPr>
            <w:tcW w:w="1641" w:type="pct"/>
            <w:tcBorders>
              <w:top w:val="nil"/>
              <w:left w:val="nil"/>
              <w:bottom w:val="nil"/>
              <w:right w:val="nil"/>
            </w:tcBorders>
            <w:noWrap/>
            <w:vAlign w:val="center"/>
            <w:hideMark/>
          </w:tcPr>
          <w:p w14:paraId="3CE705BA"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Voluntary cancellations (</w:t>
            </w:r>
            <w:proofErr w:type="spellStart"/>
            <w:r w:rsidRPr="00DB2377">
              <w:rPr>
                <w:rFonts w:ascii="Arial" w:eastAsia="DengXian" w:hAnsi="Arial" w:cs="Arial"/>
                <w:color w:val="000000"/>
                <w:sz w:val="20"/>
                <w:lang w:val="en-GB"/>
              </w:rPr>
              <w:t>kCERs</w:t>
            </w:r>
            <w:proofErr w:type="spellEnd"/>
            <w:r w:rsidRPr="00DB2377">
              <w:rPr>
                <w:rFonts w:ascii="Arial" w:eastAsia="DengXian" w:hAnsi="Arial" w:cs="Arial"/>
                <w:color w:val="000000"/>
                <w:sz w:val="20"/>
                <w:lang w:val="en-GB"/>
              </w:rPr>
              <w:t>)</w:t>
            </w:r>
          </w:p>
        </w:tc>
        <w:tc>
          <w:tcPr>
            <w:tcW w:w="480" w:type="pct"/>
            <w:tcBorders>
              <w:top w:val="nil"/>
              <w:left w:val="nil"/>
              <w:bottom w:val="nil"/>
              <w:right w:val="nil"/>
            </w:tcBorders>
            <w:noWrap/>
            <w:vAlign w:val="center"/>
            <w:hideMark/>
          </w:tcPr>
          <w:p w14:paraId="05D3841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13152</w:t>
            </w:r>
          </w:p>
        </w:tc>
        <w:tc>
          <w:tcPr>
            <w:tcW w:w="394" w:type="pct"/>
            <w:tcBorders>
              <w:top w:val="nil"/>
              <w:left w:val="nil"/>
              <w:bottom w:val="nil"/>
              <w:right w:val="nil"/>
            </w:tcBorders>
            <w:noWrap/>
            <w:vAlign w:val="center"/>
            <w:hideMark/>
          </w:tcPr>
          <w:p w14:paraId="1E803AA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12</w:t>
            </w:r>
          </w:p>
        </w:tc>
        <w:tc>
          <w:tcPr>
            <w:tcW w:w="575" w:type="pct"/>
            <w:tcBorders>
              <w:top w:val="nil"/>
              <w:left w:val="nil"/>
              <w:bottom w:val="nil"/>
              <w:right w:val="nil"/>
            </w:tcBorders>
            <w:noWrap/>
            <w:vAlign w:val="center"/>
            <w:hideMark/>
          </w:tcPr>
          <w:p w14:paraId="3857FF8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171</w:t>
            </w:r>
          </w:p>
        </w:tc>
        <w:tc>
          <w:tcPr>
            <w:tcW w:w="388" w:type="pct"/>
            <w:tcBorders>
              <w:top w:val="nil"/>
              <w:left w:val="nil"/>
              <w:bottom w:val="nil"/>
              <w:right w:val="nil"/>
            </w:tcBorders>
            <w:noWrap/>
            <w:vAlign w:val="center"/>
            <w:hideMark/>
          </w:tcPr>
          <w:p w14:paraId="22F1A69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2B91E26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494" w:type="pct"/>
            <w:tcBorders>
              <w:top w:val="nil"/>
              <w:left w:val="nil"/>
              <w:bottom w:val="nil"/>
              <w:right w:val="nil"/>
            </w:tcBorders>
            <w:noWrap/>
            <w:vAlign w:val="center"/>
            <w:hideMark/>
          </w:tcPr>
          <w:p w14:paraId="16A8401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w:t>
            </w:r>
          </w:p>
        </w:tc>
        <w:tc>
          <w:tcPr>
            <w:tcW w:w="534" w:type="pct"/>
            <w:tcBorders>
              <w:top w:val="nil"/>
              <w:left w:val="nil"/>
              <w:bottom w:val="nil"/>
              <w:right w:val="nil"/>
            </w:tcBorders>
            <w:noWrap/>
            <w:vAlign w:val="center"/>
            <w:hideMark/>
          </w:tcPr>
          <w:p w14:paraId="4FAECF8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10129</w:t>
            </w:r>
          </w:p>
        </w:tc>
      </w:tr>
      <w:tr w:rsidR="00E515B6" w:rsidRPr="00DB2377" w14:paraId="383D5404" w14:textId="77777777" w:rsidTr="00C261B1">
        <w:trPr>
          <w:trHeight w:val="283"/>
        </w:trPr>
        <w:tc>
          <w:tcPr>
            <w:tcW w:w="1641" w:type="pct"/>
            <w:tcBorders>
              <w:top w:val="nil"/>
              <w:left w:val="nil"/>
              <w:bottom w:val="nil"/>
              <w:right w:val="nil"/>
            </w:tcBorders>
            <w:noWrap/>
            <w:vAlign w:val="center"/>
            <w:hideMark/>
          </w:tcPr>
          <w:p w14:paraId="6BE30171"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MW</w:t>
            </w:r>
          </w:p>
        </w:tc>
        <w:tc>
          <w:tcPr>
            <w:tcW w:w="480" w:type="pct"/>
            <w:tcBorders>
              <w:top w:val="nil"/>
              <w:left w:val="nil"/>
              <w:bottom w:val="nil"/>
              <w:right w:val="nil"/>
            </w:tcBorders>
            <w:noWrap/>
            <w:vAlign w:val="center"/>
            <w:hideMark/>
          </w:tcPr>
          <w:p w14:paraId="7EBB2A0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9848</w:t>
            </w:r>
          </w:p>
        </w:tc>
        <w:tc>
          <w:tcPr>
            <w:tcW w:w="394" w:type="pct"/>
            <w:tcBorders>
              <w:top w:val="nil"/>
              <w:left w:val="nil"/>
              <w:bottom w:val="nil"/>
              <w:right w:val="nil"/>
            </w:tcBorders>
            <w:noWrap/>
            <w:vAlign w:val="center"/>
            <w:hideMark/>
          </w:tcPr>
          <w:p w14:paraId="6D4794C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55</w:t>
            </w:r>
          </w:p>
        </w:tc>
        <w:tc>
          <w:tcPr>
            <w:tcW w:w="575" w:type="pct"/>
            <w:tcBorders>
              <w:top w:val="nil"/>
              <w:left w:val="nil"/>
              <w:bottom w:val="nil"/>
              <w:right w:val="nil"/>
            </w:tcBorders>
            <w:noWrap/>
            <w:vAlign w:val="center"/>
            <w:hideMark/>
          </w:tcPr>
          <w:p w14:paraId="6E23481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200</w:t>
            </w:r>
          </w:p>
        </w:tc>
        <w:tc>
          <w:tcPr>
            <w:tcW w:w="388" w:type="pct"/>
            <w:tcBorders>
              <w:top w:val="nil"/>
              <w:left w:val="nil"/>
              <w:bottom w:val="nil"/>
              <w:right w:val="nil"/>
            </w:tcBorders>
            <w:noWrap/>
            <w:vAlign w:val="center"/>
            <w:hideMark/>
          </w:tcPr>
          <w:p w14:paraId="5A929F28"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0.01</w:t>
            </w:r>
          </w:p>
        </w:tc>
        <w:tc>
          <w:tcPr>
            <w:tcW w:w="494" w:type="pct"/>
            <w:tcBorders>
              <w:top w:val="nil"/>
              <w:left w:val="nil"/>
              <w:bottom w:val="nil"/>
              <w:right w:val="nil"/>
            </w:tcBorders>
            <w:noWrap/>
            <w:vAlign w:val="center"/>
            <w:hideMark/>
          </w:tcPr>
          <w:p w14:paraId="45F0AFE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7.5</w:t>
            </w:r>
          </w:p>
        </w:tc>
        <w:tc>
          <w:tcPr>
            <w:tcW w:w="494" w:type="pct"/>
            <w:tcBorders>
              <w:top w:val="nil"/>
              <w:left w:val="nil"/>
              <w:bottom w:val="nil"/>
              <w:right w:val="nil"/>
            </w:tcBorders>
            <w:noWrap/>
            <w:vAlign w:val="center"/>
            <w:hideMark/>
          </w:tcPr>
          <w:p w14:paraId="3D98F9C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50</w:t>
            </w:r>
          </w:p>
        </w:tc>
        <w:tc>
          <w:tcPr>
            <w:tcW w:w="534" w:type="pct"/>
            <w:tcBorders>
              <w:top w:val="nil"/>
              <w:left w:val="nil"/>
              <w:bottom w:val="nil"/>
              <w:right w:val="nil"/>
            </w:tcBorders>
            <w:noWrap/>
            <w:vAlign w:val="center"/>
            <w:hideMark/>
          </w:tcPr>
          <w:p w14:paraId="30B2038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7176</w:t>
            </w:r>
          </w:p>
        </w:tc>
      </w:tr>
      <w:tr w:rsidR="00E515B6" w:rsidRPr="00DB2377" w14:paraId="2028AC3E" w14:textId="77777777" w:rsidTr="00C261B1">
        <w:trPr>
          <w:trHeight w:val="283"/>
        </w:trPr>
        <w:tc>
          <w:tcPr>
            <w:tcW w:w="1641" w:type="pct"/>
            <w:tcBorders>
              <w:top w:val="nil"/>
              <w:left w:val="nil"/>
              <w:bottom w:val="nil"/>
              <w:right w:val="nil"/>
            </w:tcBorders>
            <w:noWrap/>
            <w:vAlign w:val="center"/>
            <w:hideMark/>
          </w:tcPr>
          <w:p w14:paraId="23CCE35D"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Full time hours</w:t>
            </w:r>
          </w:p>
        </w:tc>
        <w:tc>
          <w:tcPr>
            <w:tcW w:w="480" w:type="pct"/>
            <w:tcBorders>
              <w:top w:val="nil"/>
              <w:left w:val="nil"/>
              <w:bottom w:val="nil"/>
              <w:right w:val="nil"/>
            </w:tcBorders>
            <w:noWrap/>
            <w:vAlign w:val="center"/>
            <w:hideMark/>
          </w:tcPr>
          <w:p w14:paraId="063B2C5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8395</w:t>
            </w:r>
          </w:p>
        </w:tc>
        <w:tc>
          <w:tcPr>
            <w:tcW w:w="394" w:type="pct"/>
            <w:tcBorders>
              <w:top w:val="nil"/>
              <w:left w:val="nil"/>
              <w:bottom w:val="nil"/>
              <w:right w:val="nil"/>
            </w:tcBorders>
            <w:noWrap/>
            <w:vAlign w:val="center"/>
            <w:hideMark/>
          </w:tcPr>
          <w:p w14:paraId="27200ED9"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7687</w:t>
            </w:r>
          </w:p>
        </w:tc>
        <w:tc>
          <w:tcPr>
            <w:tcW w:w="575" w:type="pct"/>
            <w:tcBorders>
              <w:top w:val="nil"/>
              <w:left w:val="nil"/>
              <w:bottom w:val="nil"/>
              <w:right w:val="nil"/>
            </w:tcBorders>
            <w:noWrap/>
            <w:vAlign w:val="center"/>
            <w:hideMark/>
          </w:tcPr>
          <w:p w14:paraId="13E6522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69231</w:t>
            </w:r>
          </w:p>
        </w:tc>
        <w:tc>
          <w:tcPr>
            <w:tcW w:w="388" w:type="pct"/>
            <w:tcBorders>
              <w:top w:val="nil"/>
              <w:left w:val="nil"/>
              <w:bottom w:val="nil"/>
              <w:right w:val="nil"/>
            </w:tcBorders>
            <w:noWrap/>
            <w:vAlign w:val="center"/>
            <w:hideMark/>
          </w:tcPr>
          <w:p w14:paraId="05E997C8"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2.1</w:t>
            </w:r>
          </w:p>
        </w:tc>
        <w:tc>
          <w:tcPr>
            <w:tcW w:w="494" w:type="pct"/>
            <w:tcBorders>
              <w:top w:val="nil"/>
              <w:left w:val="nil"/>
              <w:bottom w:val="nil"/>
              <w:right w:val="nil"/>
            </w:tcBorders>
            <w:noWrap/>
            <w:vAlign w:val="center"/>
            <w:hideMark/>
          </w:tcPr>
          <w:p w14:paraId="6D70745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2109</w:t>
            </w:r>
          </w:p>
        </w:tc>
        <w:tc>
          <w:tcPr>
            <w:tcW w:w="494" w:type="pct"/>
            <w:tcBorders>
              <w:top w:val="nil"/>
              <w:left w:val="nil"/>
              <w:bottom w:val="nil"/>
              <w:right w:val="nil"/>
            </w:tcBorders>
            <w:noWrap/>
            <w:vAlign w:val="center"/>
            <w:hideMark/>
          </w:tcPr>
          <w:p w14:paraId="0E2B757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5226</w:t>
            </w:r>
          </w:p>
        </w:tc>
        <w:tc>
          <w:tcPr>
            <w:tcW w:w="534" w:type="pct"/>
            <w:tcBorders>
              <w:top w:val="nil"/>
              <w:left w:val="nil"/>
              <w:bottom w:val="nil"/>
              <w:right w:val="nil"/>
            </w:tcBorders>
            <w:noWrap/>
            <w:vAlign w:val="center"/>
            <w:hideMark/>
          </w:tcPr>
          <w:p w14:paraId="3446EE1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3700000</w:t>
            </w:r>
          </w:p>
        </w:tc>
      </w:tr>
      <w:tr w:rsidR="00E515B6" w:rsidRPr="00DB2377" w14:paraId="2A67CFCC" w14:textId="77777777" w:rsidTr="00C261B1">
        <w:trPr>
          <w:trHeight w:val="283"/>
        </w:trPr>
        <w:tc>
          <w:tcPr>
            <w:tcW w:w="1641" w:type="pct"/>
            <w:tcBorders>
              <w:top w:val="nil"/>
              <w:left w:val="nil"/>
              <w:bottom w:val="nil"/>
              <w:right w:val="nil"/>
            </w:tcBorders>
            <w:noWrap/>
            <w:vAlign w:val="center"/>
            <w:hideMark/>
          </w:tcPr>
          <w:p w14:paraId="53648FBA"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Grid emission factor tCO2e/MWh</w:t>
            </w:r>
          </w:p>
        </w:tc>
        <w:tc>
          <w:tcPr>
            <w:tcW w:w="480" w:type="pct"/>
            <w:tcBorders>
              <w:top w:val="nil"/>
              <w:left w:val="nil"/>
              <w:bottom w:val="nil"/>
              <w:right w:val="nil"/>
            </w:tcBorders>
            <w:noWrap/>
            <w:vAlign w:val="center"/>
            <w:hideMark/>
          </w:tcPr>
          <w:p w14:paraId="53EABE2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4848</w:t>
            </w:r>
          </w:p>
        </w:tc>
        <w:tc>
          <w:tcPr>
            <w:tcW w:w="394" w:type="pct"/>
            <w:tcBorders>
              <w:top w:val="nil"/>
              <w:left w:val="nil"/>
              <w:bottom w:val="nil"/>
              <w:right w:val="nil"/>
            </w:tcBorders>
            <w:noWrap/>
            <w:vAlign w:val="center"/>
            <w:hideMark/>
          </w:tcPr>
          <w:p w14:paraId="6F8E4B2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0.8</w:t>
            </w:r>
          </w:p>
        </w:tc>
        <w:tc>
          <w:tcPr>
            <w:tcW w:w="575" w:type="pct"/>
            <w:tcBorders>
              <w:top w:val="nil"/>
              <w:left w:val="nil"/>
              <w:bottom w:val="nil"/>
              <w:right w:val="nil"/>
            </w:tcBorders>
            <w:noWrap/>
            <w:vAlign w:val="center"/>
            <w:hideMark/>
          </w:tcPr>
          <w:p w14:paraId="40E6786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0.21</w:t>
            </w:r>
          </w:p>
        </w:tc>
        <w:tc>
          <w:tcPr>
            <w:tcW w:w="388" w:type="pct"/>
            <w:tcBorders>
              <w:top w:val="nil"/>
              <w:left w:val="nil"/>
              <w:bottom w:val="nil"/>
              <w:right w:val="nil"/>
            </w:tcBorders>
            <w:noWrap/>
            <w:vAlign w:val="center"/>
            <w:hideMark/>
          </w:tcPr>
          <w:p w14:paraId="64A5E1B4"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0.04</w:t>
            </w:r>
          </w:p>
        </w:tc>
        <w:tc>
          <w:tcPr>
            <w:tcW w:w="494" w:type="pct"/>
            <w:tcBorders>
              <w:top w:val="nil"/>
              <w:left w:val="nil"/>
              <w:bottom w:val="nil"/>
              <w:right w:val="nil"/>
            </w:tcBorders>
            <w:noWrap/>
            <w:vAlign w:val="center"/>
            <w:hideMark/>
          </w:tcPr>
          <w:p w14:paraId="4AD0B1D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0.71</w:t>
            </w:r>
          </w:p>
        </w:tc>
        <w:tc>
          <w:tcPr>
            <w:tcW w:w="494" w:type="pct"/>
            <w:tcBorders>
              <w:top w:val="nil"/>
              <w:left w:val="nil"/>
              <w:bottom w:val="nil"/>
              <w:right w:val="nil"/>
            </w:tcBorders>
            <w:noWrap/>
            <w:vAlign w:val="center"/>
            <w:hideMark/>
          </w:tcPr>
          <w:p w14:paraId="43449F0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0.93</w:t>
            </w:r>
          </w:p>
        </w:tc>
        <w:tc>
          <w:tcPr>
            <w:tcW w:w="534" w:type="pct"/>
            <w:tcBorders>
              <w:top w:val="nil"/>
              <w:left w:val="nil"/>
              <w:bottom w:val="nil"/>
              <w:right w:val="nil"/>
            </w:tcBorders>
            <w:noWrap/>
            <w:vAlign w:val="center"/>
            <w:hideMark/>
          </w:tcPr>
          <w:p w14:paraId="3A96131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8.1</w:t>
            </w:r>
          </w:p>
        </w:tc>
      </w:tr>
      <w:tr w:rsidR="00E515B6" w:rsidRPr="00DB2377" w14:paraId="1F18FDBA" w14:textId="77777777" w:rsidTr="00C261B1">
        <w:trPr>
          <w:trHeight w:val="283"/>
        </w:trPr>
        <w:tc>
          <w:tcPr>
            <w:tcW w:w="1641" w:type="pct"/>
            <w:tcBorders>
              <w:top w:val="nil"/>
              <w:left w:val="nil"/>
              <w:bottom w:val="nil"/>
              <w:right w:val="nil"/>
            </w:tcBorders>
            <w:noWrap/>
            <w:vAlign w:val="center"/>
            <w:hideMark/>
          </w:tcPr>
          <w:p w14:paraId="6B9B888B"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Annual EE GWh reduced</w:t>
            </w:r>
          </w:p>
        </w:tc>
        <w:tc>
          <w:tcPr>
            <w:tcW w:w="480" w:type="pct"/>
            <w:tcBorders>
              <w:top w:val="nil"/>
              <w:left w:val="nil"/>
              <w:bottom w:val="nil"/>
              <w:right w:val="nil"/>
            </w:tcBorders>
            <w:noWrap/>
            <w:vAlign w:val="center"/>
            <w:hideMark/>
          </w:tcPr>
          <w:p w14:paraId="48D2289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74</w:t>
            </w:r>
          </w:p>
        </w:tc>
        <w:tc>
          <w:tcPr>
            <w:tcW w:w="394" w:type="pct"/>
            <w:tcBorders>
              <w:top w:val="nil"/>
              <w:left w:val="nil"/>
              <w:bottom w:val="nil"/>
              <w:right w:val="nil"/>
            </w:tcBorders>
            <w:noWrap/>
            <w:vAlign w:val="center"/>
            <w:hideMark/>
          </w:tcPr>
          <w:p w14:paraId="416D136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27</w:t>
            </w:r>
          </w:p>
        </w:tc>
        <w:tc>
          <w:tcPr>
            <w:tcW w:w="575" w:type="pct"/>
            <w:tcBorders>
              <w:top w:val="nil"/>
              <w:left w:val="nil"/>
              <w:bottom w:val="nil"/>
              <w:right w:val="nil"/>
            </w:tcBorders>
            <w:noWrap/>
            <w:vAlign w:val="center"/>
            <w:hideMark/>
          </w:tcPr>
          <w:p w14:paraId="108F6198"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36</w:t>
            </w:r>
          </w:p>
        </w:tc>
        <w:tc>
          <w:tcPr>
            <w:tcW w:w="388" w:type="pct"/>
            <w:tcBorders>
              <w:top w:val="nil"/>
              <w:left w:val="nil"/>
              <w:bottom w:val="nil"/>
              <w:right w:val="nil"/>
            </w:tcBorders>
            <w:noWrap/>
            <w:vAlign w:val="center"/>
            <w:hideMark/>
          </w:tcPr>
          <w:p w14:paraId="679FB6A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0.27</w:t>
            </w:r>
          </w:p>
        </w:tc>
        <w:tc>
          <w:tcPr>
            <w:tcW w:w="494" w:type="pct"/>
            <w:tcBorders>
              <w:top w:val="nil"/>
              <w:left w:val="nil"/>
              <w:bottom w:val="nil"/>
              <w:right w:val="nil"/>
            </w:tcBorders>
            <w:noWrap/>
            <w:vAlign w:val="center"/>
            <w:hideMark/>
          </w:tcPr>
          <w:p w14:paraId="752EBB2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6.9</w:t>
            </w:r>
          </w:p>
        </w:tc>
        <w:tc>
          <w:tcPr>
            <w:tcW w:w="494" w:type="pct"/>
            <w:tcBorders>
              <w:top w:val="nil"/>
              <w:left w:val="nil"/>
              <w:bottom w:val="nil"/>
              <w:right w:val="nil"/>
            </w:tcBorders>
            <w:noWrap/>
            <w:vAlign w:val="center"/>
            <w:hideMark/>
          </w:tcPr>
          <w:p w14:paraId="1CCE672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43</w:t>
            </w:r>
          </w:p>
        </w:tc>
        <w:tc>
          <w:tcPr>
            <w:tcW w:w="534" w:type="pct"/>
            <w:tcBorders>
              <w:top w:val="nil"/>
              <w:left w:val="nil"/>
              <w:bottom w:val="nil"/>
              <w:right w:val="nil"/>
            </w:tcBorders>
            <w:noWrap/>
            <w:vAlign w:val="center"/>
            <w:hideMark/>
          </w:tcPr>
          <w:p w14:paraId="35587F5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209</w:t>
            </w:r>
          </w:p>
        </w:tc>
      </w:tr>
      <w:tr w:rsidR="00E515B6" w:rsidRPr="00DB2377" w14:paraId="6FAB1E96" w14:textId="77777777" w:rsidTr="00C261B1">
        <w:trPr>
          <w:trHeight w:val="283"/>
        </w:trPr>
        <w:tc>
          <w:tcPr>
            <w:tcW w:w="1641" w:type="pct"/>
            <w:tcBorders>
              <w:top w:val="nil"/>
              <w:left w:val="nil"/>
              <w:bottom w:val="nil"/>
              <w:right w:val="nil"/>
            </w:tcBorders>
            <w:noWrap/>
            <w:vAlign w:val="center"/>
            <w:hideMark/>
          </w:tcPr>
          <w:p w14:paraId="1CCA7DFF"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Forest size ha</w:t>
            </w:r>
          </w:p>
        </w:tc>
        <w:tc>
          <w:tcPr>
            <w:tcW w:w="480" w:type="pct"/>
            <w:tcBorders>
              <w:top w:val="nil"/>
              <w:left w:val="nil"/>
              <w:bottom w:val="nil"/>
              <w:right w:val="nil"/>
            </w:tcBorders>
            <w:noWrap/>
            <w:vAlign w:val="center"/>
            <w:hideMark/>
          </w:tcPr>
          <w:p w14:paraId="1F5066A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94</w:t>
            </w:r>
          </w:p>
        </w:tc>
        <w:tc>
          <w:tcPr>
            <w:tcW w:w="394" w:type="pct"/>
            <w:tcBorders>
              <w:top w:val="nil"/>
              <w:left w:val="nil"/>
              <w:bottom w:val="nil"/>
              <w:right w:val="nil"/>
            </w:tcBorders>
            <w:noWrap/>
            <w:vAlign w:val="center"/>
            <w:hideMark/>
          </w:tcPr>
          <w:p w14:paraId="6A7F8F7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5850</w:t>
            </w:r>
          </w:p>
        </w:tc>
        <w:tc>
          <w:tcPr>
            <w:tcW w:w="575" w:type="pct"/>
            <w:tcBorders>
              <w:top w:val="nil"/>
              <w:left w:val="nil"/>
              <w:bottom w:val="nil"/>
              <w:right w:val="nil"/>
            </w:tcBorders>
            <w:noWrap/>
            <w:vAlign w:val="center"/>
            <w:hideMark/>
          </w:tcPr>
          <w:p w14:paraId="3AAF2D1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14055</w:t>
            </w:r>
          </w:p>
        </w:tc>
        <w:tc>
          <w:tcPr>
            <w:tcW w:w="388" w:type="pct"/>
            <w:tcBorders>
              <w:top w:val="nil"/>
              <w:left w:val="nil"/>
              <w:bottom w:val="nil"/>
              <w:right w:val="nil"/>
            </w:tcBorders>
            <w:noWrap/>
            <w:vAlign w:val="center"/>
            <w:hideMark/>
          </w:tcPr>
          <w:p w14:paraId="6D62481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75</w:t>
            </w:r>
          </w:p>
        </w:tc>
        <w:tc>
          <w:tcPr>
            <w:tcW w:w="494" w:type="pct"/>
            <w:tcBorders>
              <w:top w:val="nil"/>
              <w:left w:val="nil"/>
              <w:bottom w:val="nil"/>
              <w:right w:val="nil"/>
            </w:tcBorders>
            <w:noWrap/>
            <w:vAlign w:val="center"/>
            <w:hideMark/>
          </w:tcPr>
          <w:p w14:paraId="6E7467A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348</w:t>
            </w:r>
          </w:p>
        </w:tc>
        <w:tc>
          <w:tcPr>
            <w:tcW w:w="494" w:type="pct"/>
            <w:tcBorders>
              <w:top w:val="nil"/>
              <w:left w:val="nil"/>
              <w:bottom w:val="nil"/>
              <w:right w:val="nil"/>
            </w:tcBorders>
            <w:noWrap/>
            <w:vAlign w:val="center"/>
            <w:hideMark/>
          </w:tcPr>
          <w:p w14:paraId="02BA697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5386</w:t>
            </w:r>
          </w:p>
        </w:tc>
        <w:tc>
          <w:tcPr>
            <w:tcW w:w="534" w:type="pct"/>
            <w:tcBorders>
              <w:top w:val="nil"/>
              <w:left w:val="nil"/>
              <w:bottom w:val="nil"/>
              <w:right w:val="nil"/>
            </w:tcBorders>
            <w:noWrap/>
            <w:vAlign w:val="center"/>
            <w:hideMark/>
          </w:tcPr>
          <w:p w14:paraId="446B9E7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106926</w:t>
            </w:r>
          </w:p>
        </w:tc>
      </w:tr>
      <w:tr w:rsidR="00E515B6" w:rsidRPr="00DB2377" w14:paraId="01E252C8" w14:textId="77777777" w:rsidTr="00C261B1">
        <w:trPr>
          <w:trHeight w:val="283"/>
        </w:trPr>
        <w:tc>
          <w:tcPr>
            <w:tcW w:w="1641" w:type="pct"/>
            <w:tcBorders>
              <w:top w:val="nil"/>
              <w:left w:val="nil"/>
              <w:bottom w:val="nil"/>
              <w:right w:val="nil"/>
            </w:tcBorders>
            <w:noWrap/>
            <w:vAlign w:val="center"/>
            <w:hideMark/>
          </w:tcPr>
          <w:p w14:paraId="12C14BCB"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Investment MUS$</w:t>
            </w:r>
          </w:p>
        </w:tc>
        <w:tc>
          <w:tcPr>
            <w:tcW w:w="480" w:type="pct"/>
            <w:tcBorders>
              <w:top w:val="nil"/>
              <w:left w:val="nil"/>
              <w:bottom w:val="nil"/>
              <w:right w:val="nil"/>
            </w:tcBorders>
            <w:noWrap/>
            <w:vAlign w:val="center"/>
            <w:hideMark/>
          </w:tcPr>
          <w:p w14:paraId="1C85626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6750</w:t>
            </w:r>
          </w:p>
        </w:tc>
        <w:tc>
          <w:tcPr>
            <w:tcW w:w="394" w:type="pct"/>
            <w:tcBorders>
              <w:top w:val="nil"/>
              <w:left w:val="nil"/>
              <w:bottom w:val="nil"/>
              <w:right w:val="nil"/>
            </w:tcBorders>
            <w:noWrap/>
            <w:vAlign w:val="center"/>
            <w:hideMark/>
          </w:tcPr>
          <w:p w14:paraId="441D7B2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63</w:t>
            </w:r>
          </w:p>
        </w:tc>
        <w:tc>
          <w:tcPr>
            <w:tcW w:w="575" w:type="pct"/>
            <w:tcBorders>
              <w:top w:val="nil"/>
              <w:left w:val="nil"/>
              <w:bottom w:val="nil"/>
              <w:right w:val="nil"/>
            </w:tcBorders>
            <w:noWrap/>
            <w:vAlign w:val="center"/>
            <w:hideMark/>
          </w:tcPr>
          <w:p w14:paraId="3A09C681"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218</w:t>
            </w:r>
          </w:p>
        </w:tc>
        <w:tc>
          <w:tcPr>
            <w:tcW w:w="388" w:type="pct"/>
            <w:tcBorders>
              <w:top w:val="nil"/>
              <w:left w:val="nil"/>
              <w:bottom w:val="nil"/>
              <w:right w:val="nil"/>
            </w:tcBorders>
            <w:noWrap/>
            <w:vAlign w:val="center"/>
            <w:hideMark/>
          </w:tcPr>
          <w:p w14:paraId="2411261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0.031</w:t>
            </w:r>
          </w:p>
        </w:tc>
        <w:tc>
          <w:tcPr>
            <w:tcW w:w="494" w:type="pct"/>
            <w:tcBorders>
              <w:top w:val="nil"/>
              <w:left w:val="nil"/>
              <w:bottom w:val="nil"/>
              <w:right w:val="nil"/>
            </w:tcBorders>
            <w:noWrap/>
            <w:vAlign w:val="center"/>
            <w:hideMark/>
          </w:tcPr>
          <w:p w14:paraId="40EE46E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7.3</w:t>
            </w:r>
          </w:p>
        </w:tc>
        <w:tc>
          <w:tcPr>
            <w:tcW w:w="494" w:type="pct"/>
            <w:tcBorders>
              <w:top w:val="nil"/>
              <w:left w:val="nil"/>
              <w:bottom w:val="nil"/>
              <w:right w:val="nil"/>
            </w:tcBorders>
            <w:noWrap/>
            <w:vAlign w:val="center"/>
            <w:hideMark/>
          </w:tcPr>
          <w:p w14:paraId="1022AE8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64</w:t>
            </w:r>
          </w:p>
        </w:tc>
        <w:tc>
          <w:tcPr>
            <w:tcW w:w="534" w:type="pct"/>
            <w:tcBorders>
              <w:top w:val="nil"/>
              <w:left w:val="nil"/>
              <w:bottom w:val="nil"/>
              <w:right w:val="nil"/>
            </w:tcBorders>
            <w:noWrap/>
            <w:vAlign w:val="center"/>
            <w:hideMark/>
          </w:tcPr>
          <w:p w14:paraId="1D8E947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6256</w:t>
            </w:r>
          </w:p>
        </w:tc>
      </w:tr>
      <w:tr w:rsidR="00E515B6" w:rsidRPr="00DB2377" w14:paraId="10BF3A5A" w14:textId="77777777" w:rsidTr="00C261B1">
        <w:trPr>
          <w:trHeight w:val="283"/>
        </w:trPr>
        <w:tc>
          <w:tcPr>
            <w:tcW w:w="1641" w:type="pct"/>
            <w:tcBorders>
              <w:top w:val="nil"/>
              <w:left w:val="nil"/>
              <w:bottom w:val="nil"/>
              <w:right w:val="nil"/>
            </w:tcBorders>
            <w:noWrap/>
            <w:vAlign w:val="center"/>
            <w:hideMark/>
          </w:tcPr>
          <w:p w14:paraId="628E62F3"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Investment US$/tCO2</w:t>
            </w:r>
          </w:p>
        </w:tc>
        <w:tc>
          <w:tcPr>
            <w:tcW w:w="480" w:type="pct"/>
            <w:tcBorders>
              <w:top w:val="nil"/>
              <w:left w:val="nil"/>
              <w:bottom w:val="nil"/>
              <w:right w:val="nil"/>
            </w:tcBorders>
            <w:noWrap/>
            <w:vAlign w:val="center"/>
            <w:hideMark/>
          </w:tcPr>
          <w:p w14:paraId="0B76E92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6750</w:t>
            </w:r>
          </w:p>
        </w:tc>
        <w:tc>
          <w:tcPr>
            <w:tcW w:w="394" w:type="pct"/>
            <w:tcBorders>
              <w:top w:val="nil"/>
              <w:left w:val="nil"/>
              <w:bottom w:val="nil"/>
              <w:right w:val="nil"/>
            </w:tcBorders>
            <w:noWrap/>
            <w:vAlign w:val="center"/>
            <w:hideMark/>
          </w:tcPr>
          <w:p w14:paraId="6BDA9A8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645</w:t>
            </w:r>
          </w:p>
        </w:tc>
        <w:tc>
          <w:tcPr>
            <w:tcW w:w="575" w:type="pct"/>
            <w:tcBorders>
              <w:top w:val="nil"/>
              <w:left w:val="nil"/>
              <w:bottom w:val="nil"/>
              <w:right w:val="nil"/>
            </w:tcBorders>
            <w:noWrap/>
            <w:vAlign w:val="center"/>
            <w:hideMark/>
          </w:tcPr>
          <w:p w14:paraId="3C685EA7"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1665</w:t>
            </w:r>
          </w:p>
        </w:tc>
        <w:tc>
          <w:tcPr>
            <w:tcW w:w="388" w:type="pct"/>
            <w:tcBorders>
              <w:top w:val="nil"/>
              <w:left w:val="nil"/>
              <w:bottom w:val="nil"/>
              <w:right w:val="nil"/>
            </w:tcBorders>
            <w:noWrap/>
            <w:vAlign w:val="center"/>
            <w:hideMark/>
          </w:tcPr>
          <w:p w14:paraId="0B040C81"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0.25</w:t>
            </w:r>
          </w:p>
        </w:tc>
        <w:tc>
          <w:tcPr>
            <w:tcW w:w="494" w:type="pct"/>
            <w:tcBorders>
              <w:top w:val="nil"/>
              <w:left w:val="nil"/>
              <w:bottom w:val="nil"/>
              <w:right w:val="nil"/>
            </w:tcBorders>
            <w:noWrap/>
            <w:vAlign w:val="center"/>
            <w:hideMark/>
          </w:tcPr>
          <w:p w14:paraId="3560708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212</w:t>
            </w:r>
          </w:p>
        </w:tc>
        <w:tc>
          <w:tcPr>
            <w:tcW w:w="494" w:type="pct"/>
            <w:tcBorders>
              <w:top w:val="nil"/>
              <w:left w:val="nil"/>
              <w:bottom w:val="nil"/>
              <w:right w:val="nil"/>
            </w:tcBorders>
            <w:noWrap/>
            <w:vAlign w:val="center"/>
            <w:hideMark/>
          </w:tcPr>
          <w:p w14:paraId="4FCABA3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692</w:t>
            </w:r>
          </w:p>
        </w:tc>
        <w:tc>
          <w:tcPr>
            <w:tcW w:w="534" w:type="pct"/>
            <w:tcBorders>
              <w:top w:val="nil"/>
              <w:left w:val="nil"/>
              <w:bottom w:val="nil"/>
              <w:right w:val="nil"/>
            </w:tcBorders>
            <w:noWrap/>
            <w:vAlign w:val="center"/>
            <w:hideMark/>
          </w:tcPr>
          <w:p w14:paraId="2F55FC5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62624</w:t>
            </w:r>
          </w:p>
        </w:tc>
      </w:tr>
      <w:tr w:rsidR="00E515B6" w:rsidRPr="00DB2377" w14:paraId="7FBB66D3" w14:textId="77777777" w:rsidTr="00C261B1">
        <w:trPr>
          <w:trHeight w:val="283"/>
        </w:trPr>
        <w:tc>
          <w:tcPr>
            <w:tcW w:w="1641" w:type="pct"/>
            <w:tcBorders>
              <w:top w:val="nil"/>
              <w:left w:val="nil"/>
              <w:bottom w:val="nil"/>
              <w:right w:val="nil"/>
            </w:tcBorders>
            <w:noWrap/>
            <w:vAlign w:val="center"/>
            <w:hideMark/>
          </w:tcPr>
          <w:p w14:paraId="132E5BE0"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Investment US$/kW</w:t>
            </w:r>
          </w:p>
        </w:tc>
        <w:tc>
          <w:tcPr>
            <w:tcW w:w="480" w:type="pct"/>
            <w:tcBorders>
              <w:top w:val="nil"/>
              <w:left w:val="nil"/>
              <w:bottom w:val="nil"/>
              <w:right w:val="nil"/>
            </w:tcBorders>
            <w:noWrap/>
            <w:vAlign w:val="center"/>
            <w:hideMark/>
          </w:tcPr>
          <w:p w14:paraId="7487574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5956</w:t>
            </w:r>
          </w:p>
        </w:tc>
        <w:tc>
          <w:tcPr>
            <w:tcW w:w="394" w:type="pct"/>
            <w:tcBorders>
              <w:top w:val="nil"/>
              <w:left w:val="nil"/>
              <w:bottom w:val="nil"/>
              <w:right w:val="nil"/>
            </w:tcBorders>
            <w:noWrap/>
            <w:vAlign w:val="center"/>
            <w:hideMark/>
          </w:tcPr>
          <w:p w14:paraId="072CDDE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1727</w:t>
            </w:r>
          </w:p>
        </w:tc>
        <w:tc>
          <w:tcPr>
            <w:tcW w:w="575" w:type="pct"/>
            <w:tcBorders>
              <w:top w:val="nil"/>
              <w:left w:val="nil"/>
              <w:bottom w:val="nil"/>
              <w:right w:val="nil"/>
            </w:tcBorders>
            <w:noWrap/>
            <w:vAlign w:val="center"/>
            <w:hideMark/>
          </w:tcPr>
          <w:p w14:paraId="5F4A5C0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6725</w:t>
            </w:r>
          </w:p>
        </w:tc>
        <w:tc>
          <w:tcPr>
            <w:tcW w:w="388" w:type="pct"/>
            <w:tcBorders>
              <w:top w:val="nil"/>
              <w:left w:val="nil"/>
              <w:bottom w:val="nil"/>
              <w:right w:val="nil"/>
            </w:tcBorders>
            <w:noWrap/>
            <w:vAlign w:val="center"/>
            <w:hideMark/>
          </w:tcPr>
          <w:p w14:paraId="42B8982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4.5</w:t>
            </w:r>
          </w:p>
        </w:tc>
        <w:tc>
          <w:tcPr>
            <w:tcW w:w="494" w:type="pct"/>
            <w:tcBorders>
              <w:top w:val="nil"/>
              <w:left w:val="nil"/>
              <w:bottom w:val="nil"/>
              <w:right w:val="nil"/>
            </w:tcBorders>
            <w:noWrap/>
            <w:vAlign w:val="center"/>
            <w:hideMark/>
          </w:tcPr>
          <w:p w14:paraId="3EB32CA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984</w:t>
            </w:r>
          </w:p>
        </w:tc>
        <w:tc>
          <w:tcPr>
            <w:tcW w:w="494" w:type="pct"/>
            <w:tcBorders>
              <w:top w:val="nil"/>
              <w:left w:val="nil"/>
              <w:bottom w:val="nil"/>
              <w:right w:val="nil"/>
            </w:tcBorders>
            <w:noWrap/>
            <w:vAlign w:val="center"/>
            <w:hideMark/>
          </w:tcPr>
          <w:p w14:paraId="7AC4B38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1550</w:t>
            </w:r>
          </w:p>
        </w:tc>
        <w:tc>
          <w:tcPr>
            <w:tcW w:w="534" w:type="pct"/>
            <w:tcBorders>
              <w:top w:val="nil"/>
              <w:left w:val="nil"/>
              <w:bottom w:val="nil"/>
              <w:right w:val="nil"/>
            </w:tcBorders>
            <w:noWrap/>
            <w:vAlign w:val="center"/>
            <w:hideMark/>
          </w:tcPr>
          <w:p w14:paraId="6727DFA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329300</w:t>
            </w:r>
          </w:p>
        </w:tc>
      </w:tr>
      <w:tr w:rsidR="00E515B6" w:rsidRPr="00DB2377" w14:paraId="61568425" w14:textId="77777777" w:rsidTr="00C261B1">
        <w:trPr>
          <w:trHeight w:val="283"/>
        </w:trPr>
        <w:tc>
          <w:tcPr>
            <w:tcW w:w="1641" w:type="pct"/>
            <w:tcBorders>
              <w:top w:val="nil"/>
              <w:left w:val="nil"/>
              <w:bottom w:val="nil"/>
              <w:right w:val="nil"/>
            </w:tcBorders>
            <w:noWrap/>
            <w:vAlign w:val="center"/>
            <w:hideMark/>
          </w:tcPr>
          <w:p w14:paraId="53649B19"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IRR % excl. CER</w:t>
            </w:r>
          </w:p>
        </w:tc>
        <w:tc>
          <w:tcPr>
            <w:tcW w:w="480" w:type="pct"/>
            <w:tcBorders>
              <w:top w:val="nil"/>
              <w:left w:val="nil"/>
              <w:bottom w:val="nil"/>
              <w:right w:val="nil"/>
            </w:tcBorders>
            <w:noWrap/>
            <w:vAlign w:val="center"/>
            <w:hideMark/>
          </w:tcPr>
          <w:p w14:paraId="559EDDE1"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7309</w:t>
            </w:r>
          </w:p>
        </w:tc>
        <w:tc>
          <w:tcPr>
            <w:tcW w:w="394" w:type="pct"/>
            <w:tcBorders>
              <w:top w:val="nil"/>
              <w:left w:val="nil"/>
              <w:bottom w:val="nil"/>
              <w:right w:val="nil"/>
            </w:tcBorders>
            <w:noWrap/>
            <w:vAlign w:val="center"/>
            <w:hideMark/>
          </w:tcPr>
          <w:p w14:paraId="4AB2EBB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7.2</w:t>
            </w:r>
          </w:p>
        </w:tc>
        <w:tc>
          <w:tcPr>
            <w:tcW w:w="575" w:type="pct"/>
            <w:tcBorders>
              <w:top w:val="nil"/>
              <w:left w:val="nil"/>
              <w:bottom w:val="nil"/>
              <w:right w:val="nil"/>
            </w:tcBorders>
            <w:noWrap/>
            <w:vAlign w:val="center"/>
            <w:hideMark/>
          </w:tcPr>
          <w:p w14:paraId="4D0A73D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5.6</w:t>
            </w:r>
          </w:p>
        </w:tc>
        <w:tc>
          <w:tcPr>
            <w:tcW w:w="388" w:type="pct"/>
            <w:tcBorders>
              <w:top w:val="nil"/>
              <w:left w:val="nil"/>
              <w:bottom w:val="nil"/>
              <w:right w:val="nil"/>
            </w:tcBorders>
            <w:noWrap/>
            <w:vAlign w:val="center"/>
            <w:hideMark/>
          </w:tcPr>
          <w:p w14:paraId="250A280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-88</w:t>
            </w:r>
          </w:p>
        </w:tc>
        <w:tc>
          <w:tcPr>
            <w:tcW w:w="494" w:type="pct"/>
            <w:tcBorders>
              <w:top w:val="nil"/>
              <w:left w:val="nil"/>
              <w:bottom w:val="nil"/>
              <w:right w:val="nil"/>
            </w:tcBorders>
            <w:noWrap/>
            <w:vAlign w:val="center"/>
            <w:hideMark/>
          </w:tcPr>
          <w:p w14:paraId="11AEDEED"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5.9</w:t>
            </w:r>
          </w:p>
        </w:tc>
        <w:tc>
          <w:tcPr>
            <w:tcW w:w="494" w:type="pct"/>
            <w:tcBorders>
              <w:top w:val="nil"/>
              <w:left w:val="nil"/>
              <w:bottom w:val="nil"/>
              <w:right w:val="nil"/>
            </w:tcBorders>
            <w:noWrap/>
            <w:vAlign w:val="center"/>
            <w:hideMark/>
          </w:tcPr>
          <w:p w14:paraId="7CAAF50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8.9</w:t>
            </w:r>
          </w:p>
        </w:tc>
        <w:tc>
          <w:tcPr>
            <w:tcW w:w="534" w:type="pct"/>
            <w:tcBorders>
              <w:top w:val="nil"/>
              <w:left w:val="nil"/>
              <w:bottom w:val="nil"/>
              <w:right w:val="nil"/>
            </w:tcBorders>
            <w:noWrap/>
            <w:vAlign w:val="center"/>
            <w:hideMark/>
          </w:tcPr>
          <w:p w14:paraId="4586D998"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99</w:t>
            </w:r>
          </w:p>
        </w:tc>
      </w:tr>
      <w:tr w:rsidR="00E515B6" w:rsidRPr="00DB2377" w14:paraId="55BE0B60" w14:textId="77777777" w:rsidTr="00C261B1">
        <w:trPr>
          <w:trHeight w:val="283"/>
        </w:trPr>
        <w:tc>
          <w:tcPr>
            <w:tcW w:w="1641" w:type="pct"/>
            <w:tcBorders>
              <w:top w:val="nil"/>
              <w:left w:val="nil"/>
              <w:bottom w:val="nil"/>
              <w:right w:val="nil"/>
            </w:tcBorders>
            <w:noWrap/>
            <w:vAlign w:val="center"/>
            <w:hideMark/>
          </w:tcPr>
          <w:p w14:paraId="4F1856CF"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IRR benchmark</w:t>
            </w:r>
          </w:p>
        </w:tc>
        <w:tc>
          <w:tcPr>
            <w:tcW w:w="480" w:type="pct"/>
            <w:tcBorders>
              <w:top w:val="nil"/>
              <w:left w:val="nil"/>
              <w:bottom w:val="nil"/>
              <w:right w:val="nil"/>
            </w:tcBorders>
            <w:noWrap/>
            <w:vAlign w:val="center"/>
            <w:hideMark/>
          </w:tcPr>
          <w:p w14:paraId="73C71518"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6676</w:t>
            </w:r>
          </w:p>
        </w:tc>
        <w:tc>
          <w:tcPr>
            <w:tcW w:w="394" w:type="pct"/>
            <w:tcBorders>
              <w:top w:val="nil"/>
              <w:left w:val="nil"/>
              <w:bottom w:val="nil"/>
              <w:right w:val="nil"/>
            </w:tcBorders>
            <w:noWrap/>
            <w:vAlign w:val="center"/>
            <w:hideMark/>
          </w:tcPr>
          <w:p w14:paraId="37812804"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11</w:t>
            </w:r>
          </w:p>
        </w:tc>
        <w:tc>
          <w:tcPr>
            <w:tcW w:w="575" w:type="pct"/>
            <w:tcBorders>
              <w:top w:val="nil"/>
              <w:left w:val="nil"/>
              <w:bottom w:val="nil"/>
              <w:right w:val="nil"/>
            </w:tcBorders>
            <w:noWrap/>
            <w:vAlign w:val="center"/>
            <w:hideMark/>
          </w:tcPr>
          <w:p w14:paraId="70E8E35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3.6</w:t>
            </w:r>
          </w:p>
        </w:tc>
        <w:tc>
          <w:tcPr>
            <w:tcW w:w="388" w:type="pct"/>
            <w:tcBorders>
              <w:top w:val="nil"/>
              <w:left w:val="nil"/>
              <w:bottom w:val="nil"/>
              <w:right w:val="nil"/>
            </w:tcBorders>
            <w:noWrap/>
            <w:vAlign w:val="center"/>
            <w:hideMark/>
          </w:tcPr>
          <w:p w14:paraId="3165674E"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3.6</w:t>
            </w:r>
          </w:p>
        </w:tc>
        <w:tc>
          <w:tcPr>
            <w:tcW w:w="494" w:type="pct"/>
            <w:tcBorders>
              <w:top w:val="nil"/>
              <w:left w:val="nil"/>
              <w:bottom w:val="nil"/>
              <w:right w:val="nil"/>
            </w:tcBorders>
            <w:noWrap/>
            <w:vAlign w:val="center"/>
            <w:hideMark/>
          </w:tcPr>
          <w:p w14:paraId="1A38DCC0"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8</w:t>
            </w:r>
          </w:p>
        </w:tc>
        <w:tc>
          <w:tcPr>
            <w:tcW w:w="494" w:type="pct"/>
            <w:tcBorders>
              <w:top w:val="nil"/>
              <w:left w:val="nil"/>
              <w:bottom w:val="nil"/>
              <w:right w:val="nil"/>
            </w:tcBorders>
            <w:noWrap/>
            <w:vAlign w:val="center"/>
            <w:hideMark/>
          </w:tcPr>
          <w:p w14:paraId="12797B2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w:t>
            </w:r>
          </w:p>
        </w:tc>
        <w:tc>
          <w:tcPr>
            <w:tcW w:w="534" w:type="pct"/>
            <w:tcBorders>
              <w:top w:val="nil"/>
              <w:left w:val="nil"/>
              <w:bottom w:val="nil"/>
              <w:right w:val="nil"/>
            </w:tcBorders>
            <w:noWrap/>
            <w:vAlign w:val="center"/>
            <w:hideMark/>
          </w:tcPr>
          <w:p w14:paraId="59776DD9"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49</w:t>
            </w:r>
          </w:p>
        </w:tc>
      </w:tr>
      <w:tr w:rsidR="00E515B6" w:rsidRPr="00DB2377" w14:paraId="53A5A2F1" w14:textId="77777777" w:rsidTr="00C261B1">
        <w:trPr>
          <w:trHeight w:val="283"/>
        </w:trPr>
        <w:tc>
          <w:tcPr>
            <w:tcW w:w="1641" w:type="pct"/>
            <w:tcBorders>
              <w:top w:val="nil"/>
              <w:left w:val="nil"/>
              <w:bottom w:val="nil"/>
              <w:right w:val="nil"/>
            </w:tcBorders>
            <w:noWrap/>
            <w:vAlign w:val="center"/>
            <w:hideMark/>
          </w:tcPr>
          <w:p w14:paraId="76C75124"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IRR % incl. CER</w:t>
            </w:r>
          </w:p>
        </w:tc>
        <w:tc>
          <w:tcPr>
            <w:tcW w:w="480" w:type="pct"/>
            <w:tcBorders>
              <w:top w:val="nil"/>
              <w:left w:val="nil"/>
              <w:bottom w:val="nil"/>
              <w:right w:val="nil"/>
            </w:tcBorders>
            <w:noWrap/>
            <w:vAlign w:val="center"/>
            <w:hideMark/>
          </w:tcPr>
          <w:p w14:paraId="5780C82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5861</w:t>
            </w:r>
          </w:p>
        </w:tc>
        <w:tc>
          <w:tcPr>
            <w:tcW w:w="394" w:type="pct"/>
            <w:tcBorders>
              <w:top w:val="nil"/>
              <w:left w:val="nil"/>
              <w:bottom w:val="nil"/>
              <w:right w:val="nil"/>
            </w:tcBorders>
            <w:noWrap/>
            <w:vAlign w:val="center"/>
            <w:hideMark/>
          </w:tcPr>
          <w:p w14:paraId="028BD74B"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w:t>
            </w:r>
          </w:p>
        </w:tc>
        <w:tc>
          <w:tcPr>
            <w:tcW w:w="575" w:type="pct"/>
            <w:tcBorders>
              <w:top w:val="nil"/>
              <w:left w:val="nil"/>
              <w:bottom w:val="nil"/>
              <w:right w:val="nil"/>
            </w:tcBorders>
            <w:noWrap/>
            <w:vAlign w:val="center"/>
            <w:hideMark/>
          </w:tcPr>
          <w:p w14:paraId="49CEF82A"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6.7</w:t>
            </w:r>
          </w:p>
        </w:tc>
        <w:tc>
          <w:tcPr>
            <w:tcW w:w="388" w:type="pct"/>
            <w:tcBorders>
              <w:top w:val="nil"/>
              <w:left w:val="nil"/>
              <w:bottom w:val="nil"/>
              <w:right w:val="nil"/>
            </w:tcBorders>
            <w:noWrap/>
            <w:vAlign w:val="center"/>
            <w:hideMark/>
          </w:tcPr>
          <w:p w14:paraId="24134BA3"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0.089</w:t>
            </w:r>
          </w:p>
        </w:tc>
        <w:tc>
          <w:tcPr>
            <w:tcW w:w="494" w:type="pct"/>
            <w:tcBorders>
              <w:top w:val="nil"/>
              <w:left w:val="nil"/>
              <w:bottom w:val="nil"/>
              <w:right w:val="nil"/>
            </w:tcBorders>
            <w:noWrap/>
            <w:vAlign w:val="center"/>
            <w:hideMark/>
          </w:tcPr>
          <w:p w14:paraId="134977A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9</w:t>
            </w:r>
          </w:p>
        </w:tc>
        <w:tc>
          <w:tcPr>
            <w:tcW w:w="494" w:type="pct"/>
            <w:tcBorders>
              <w:top w:val="nil"/>
              <w:left w:val="nil"/>
              <w:bottom w:val="nil"/>
              <w:right w:val="nil"/>
            </w:tcBorders>
            <w:noWrap/>
            <w:vAlign w:val="center"/>
            <w:hideMark/>
          </w:tcPr>
          <w:p w14:paraId="0480B198"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14</w:t>
            </w:r>
          </w:p>
        </w:tc>
        <w:tc>
          <w:tcPr>
            <w:tcW w:w="534" w:type="pct"/>
            <w:tcBorders>
              <w:top w:val="nil"/>
              <w:left w:val="nil"/>
              <w:bottom w:val="nil"/>
              <w:right w:val="nil"/>
            </w:tcBorders>
            <w:noWrap/>
            <w:vAlign w:val="center"/>
            <w:hideMark/>
          </w:tcPr>
          <w:p w14:paraId="5829B8D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96</w:t>
            </w:r>
          </w:p>
        </w:tc>
      </w:tr>
      <w:tr w:rsidR="00E515B6" w:rsidRPr="00DB2377" w14:paraId="2C4D51A1" w14:textId="77777777" w:rsidTr="00C261B1">
        <w:trPr>
          <w:trHeight w:val="283"/>
        </w:trPr>
        <w:tc>
          <w:tcPr>
            <w:tcW w:w="1641" w:type="pct"/>
            <w:tcBorders>
              <w:top w:val="nil"/>
              <w:left w:val="nil"/>
              <w:bottom w:val="single" w:sz="4" w:space="0" w:color="auto"/>
              <w:right w:val="nil"/>
            </w:tcBorders>
            <w:noWrap/>
            <w:vAlign w:val="center"/>
            <w:hideMark/>
          </w:tcPr>
          <w:p w14:paraId="1468DB49" w14:textId="77777777" w:rsidR="00E515B6" w:rsidRPr="00DB2377" w:rsidRDefault="00E515B6" w:rsidP="009D6554">
            <w:pPr>
              <w:rPr>
                <w:rFonts w:ascii="Arial" w:eastAsia="DengXian" w:hAnsi="Arial" w:cs="Arial"/>
                <w:color w:val="000000"/>
                <w:sz w:val="20"/>
                <w:lang w:val="en-GB"/>
              </w:rPr>
            </w:pPr>
            <w:r w:rsidRPr="00DB2377">
              <w:rPr>
                <w:rFonts w:ascii="Arial" w:eastAsia="DengXian" w:hAnsi="Arial" w:cs="Arial"/>
                <w:color w:val="000000"/>
                <w:sz w:val="20"/>
                <w:lang w:val="en-GB"/>
              </w:rPr>
              <w:t>CER price US$/tCO2</w:t>
            </w:r>
          </w:p>
        </w:tc>
        <w:tc>
          <w:tcPr>
            <w:tcW w:w="480" w:type="pct"/>
            <w:tcBorders>
              <w:top w:val="nil"/>
              <w:left w:val="nil"/>
              <w:bottom w:val="single" w:sz="4" w:space="0" w:color="auto"/>
              <w:right w:val="nil"/>
            </w:tcBorders>
            <w:noWrap/>
            <w:vAlign w:val="center"/>
            <w:hideMark/>
          </w:tcPr>
          <w:p w14:paraId="15B129EF"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3945</w:t>
            </w:r>
          </w:p>
        </w:tc>
        <w:tc>
          <w:tcPr>
            <w:tcW w:w="394" w:type="pct"/>
            <w:tcBorders>
              <w:top w:val="nil"/>
              <w:left w:val="nil"/>
              <w:bottom w:val="single" w:sz="4" w:space="0" w:color="auto"/>
              <w:right w:val="nil"/>
            </w:tcBorders>
            <w:noWrap/>
            <w:vAlign w:val="center"/>
            <w:hideMark/>
          </w:tcPr>
          <w:p w14:paraId="48A261F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12</w:t>
            </w:r>
          </w:p>
        </w:tc>
        <w:tc>
          <w:tcPr>
            <w:tcW w:w="575" w:type="pct"/>
            <w:tcBorders>
              <w:top w:val="nil"/>
              <w:left w:val="nil"/>
              <w:bottom w:val="single" w:sz="4" w:space="0" w:color="auto"/>
              <w:right w:val="nil"/>
            </w:tcBorders>
            <w:noWrap/>
            <w:vAlign w:val="center"/>
            <w:hideMark/>
          </w:tcPr>
          <w:p w14:paraId="1894CD52"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4</w:t>
            </w:r>
          </w:p>
        </w:tc>
        <w:tc>
          <w:tcPr>
            <w:tcW w:w="388" w:type="pct"/>
            <w:tcBorders>
              <w:top w:val="nil"/>
              <w:left w:val="nil"/>
              <w:bottom w:val="single" w:sz="4" w:space="0" w:color="auto"/>
              <w:right w:val="nil"/>
            </w:tcBorders>
            <w:noWrap/>
            <w:vAlign w:val="center"/>
            <w:hideMark/>
          </w:tcPr>
          <w:p w14:paraId="1F958A0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0.22</w:t>
            </w:r>
          </w:p>
        </w:tc>
        <w:tc>
          <w:tcPr>
            <w:tcW w:w="494" w:type="pct"/>
            <w:tcBorders>
              <w:top w:val="nil"/>
              <w:left w:val="nil"/>
              <w:bottom w:val="single" w:sz="4" w:space="0" w:color="auto"/>
              <w:right w:val="nil"/>
            </w:tcBorders>
            <w:noWrap/>
            <w:vAlign w:val="center"/>
            <w:hideMark/>
          </w:tcPr>
          <w:p w14:paraId="46DDBE3C"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10</w:t>
            </w:r>
          </w:p>
        </w:tc>
        <w:tc>
          <w:tcPr>
            <w:tcW w:w="494" w:type="pct"/>
            <w:tcBorders>
              <w:top w:val="nil"/>
              <w:left w:val="nil"/>
              <w:bottom w:val="single" w:sz="4" w:space="0" w:color="auto"/>
              <w:right w:val="nil"/>
            </w:tcBorders>
            <w:noWrap/>
            <w:vAlign w:val="center"/>
            <w:hideMark/>
          </w:tcPr>
          <w:p w14:paraId="43D7CF66"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13</w:t>
            </w:r>
          </w:p>
        </w:tc>
        <w:tc>
          <w:tcPr>
            <w:tcW w:w="534" w:type="pct"/>
            <w:tcBorders>
              <w:top w:val="nil"/>
              <w:left w:val="nil"/>
              <w:bottom w:val="single" w:sz="4" w:space="0" w:color="auto"/>
              <w:right w:val="nil"/>
            </w:tcBorders>
            <w:noWrap/>
            <w:vAlign w:val="center"/>
            <w:hideMark/>
          </w:tcPr>
          <w:p w14:paraId="493C6075" w14:textId="77777777" w:rsidR="00E515B6" w:rsidRPr="00DB2377" w:rsidRDefault="00E515B6" w:rsidP="009D6554">
            <w:pPr>
              <w:jc w:val="right"/>
              <w:rPr>
                <w:rFonts w:ascii="Arial" w:eastAsia="DengXian" w:hAnsi="Arial" w:cs="Arial"/>
                <w:color w:val="000000"/>
                <w:sz w:val="20"/>
                <w:lang w:val="en-GB"/>
              </w:rPr>
            </w:pPr>
            <w:r w:rsidRPr="00DB2377">
              <w:rPr>
                <w:rFonts w:ascii="Arial" w:eastAsia="DengXian" w:hAnsi="Arial" w:cs="Arial"/>
                <w:color w:val="000000"/>
                <w:sz w:val="20"/>
                <w:lang w:val="en-GB"/>
              </w:rPr>
              <w:t>124</w:t>
            </w:r>
          </w:p>
        </w:tc>
      </w:tr>
    </w:tbl>
    <w:p w14:paraId="3C50D5BD" w14:textId="77777777" w:rsidR="00C261B1" w:rsidRPr="00FD5114" w:rsidRDefault="00C261B1" w:rsidP="00A20FD0">
      <w:pPr>
        <w:pStyle w:val="SMcaption"/>
        <w:rPr>
          <w:rFonts w:ascii="Arial" w:hAnsi="Arial" w:cs="Arial"/>
          <w:sz w:val="20"/>
          <w:lang w:val="en-GB"/>
        </w:rPr>
      </w:pPr>
      <w:r w:rsidRPr="00FD5114">
        <w:rPr>
          <w:rFonts w:ascii="Arial" w:hAnsi="Arial" w:cs="Arial"/>
          <w:sz w:val="20"/>
          <w:lang w:val="en-GB"/>
        </w:rPr>
        <w:t>Notes: This table implies the CDM Pipeline has some strange outliers (very likely typos) in the parameters. After comparing the outliers and the PDDs, we manually correct the typos and exclude the outliers for model calibration later and more robust analysis. Here, IRR refers to internal rate of return.</w:t>
      </w:r>
    </w:p>
    <w:p w14:paraId="4FB65B0D" w14:textId="275F0EDB" w:rsidR="00022659" w:rsidRPr="00D16AB0" w:rsidRDefault="00022659" w:rsidP="00256C79">
      <w:pPr>
        <w:spacing w:line="276" w:lineRule="auto"/>
        <w:rPr>
          <w:rFonts w:ascii="Arial" w:hAnsi="Arial" w:cs="Arial"/>
          <w:sz w:val="20"/>
          <w:lang w:val="en-GB"/>
        </w:rPr>
      </w:pPr>
      <w:r w:rsidRPr="00D16AB0">
        <w:rPr>
          <w:rFonts w:ascii="Arial" w:hAnsi="Arial" w:cs="Arial"/>
          <w:sz w:val="20"/>
          <w:lang w:val="en-GB"/>
        </w:rPr>
        <w:br w:type="page"/>
      </w:r>
    </w:p>
    <w:p w14:paraId="30683146" w14:textId="4CE28837" w:rsidR="00D63277" w:rsidRPr="00D16AB0" w:rsidRDefault="00D63277" w:rsidP="00E038FA">
      <w:pPr>
        <w:pStyle w:val="SMSubheading"/>
        <w:spacing w:beforeLines="50" w:before="120" w:line="276" w:lineRule="auto"/>
        <w:rPr>
          <w:rFonts w:ascii="Arial" w:hAnsi="Arial" w:cs="Arial"/>
          <w:b/>
          <w:bCs/>
          <w:sz w:val="21"/>
          <w:szCs w:val="21"/>
          <w:u w:val="none"/>
          <w:lang w:val="en-GB"/>
        </w:rPr>
      </w:pPr>
      <w:bookmarkStart w:id="294" w:name="_Toc214982046"/>
      <w:bookmarkStart w:id="295" w:name="_Toc214984270"/>
      <w:bookmarkStart w:id="296" w:name="_Toc214984296"/>
      <w:bookmarkStart w:id="297" w:name="_Toc214984966"/>
      <w:bookmarkStart w:id="298" w:name="_Toc214985855"/>
      <w:bookmarkStart w:id="299" w:name="_Toc214986997"/>
      <w:r w:rsidRPr="00D16AB0">
        <w:rPr>
          <w:rFonts w:ascii="Arial" w:hAnsi="Arial" w:cs="Arial"/>
          <w:b/>
          <w:bCs/>
          <w:sz w:val="21"/>
          <w:szCs w:val="21"/>
          <w:u w:val="none"/>
          <w:lang w:val="en-GB"/>
        </w:rPr>
        <w:lastRenderedPageBreak/>
        <w:t xml:space="preserve">Table </w:t>
      </w:r>
      <w:r w:rsidR="00F27CBB">
        <w:rPr>
          <w:rFonts w:ascii="Arial" w:hAnsi="Arial" w:cs="Arial"/>
          <w:b/>
          <w:bCs/>
          <w:sz w:val="21"/>
          <w:szCs w:val="21"/>
          <w:u w:val="none"/>
          <w:lang w:val="en-GB"/>
        </w:rPr>
        <w:t>5</w:t>
      </w:r>
      <w:r w:rsidRPr="00D16AB0">
        <w:rPr>
          <w:rFonts w:ascii="Arial" w:hAnsi="Arial" w:cs="Arial"/>
          <w:b/>
          <w:bCs/>
          <w:sz w:val="21"/>
          <w:szCs w:val="21"/>
          <w:u w:val="none"/>
          <w:lang w:val="en-GB"/>
        </w:rPr>
        <w:t xml:space="preserve">. The summary statistics of </w:t>
      </w:r>
      <w:r w:rsidR="00F80214" w:rsidRPr="00D16AB0">
        <w:rPr>
          <w:rFonts w:ascii="Arial" w:hAnsi="Arial" w:cs="Arial"/>
          <w:b/>
          <w:bCs/>
          <w:sz w:val="21"/>
          <w:szCs w:val="21"/>
          <w:u w:val="none"/>
          <w:lang w:val="en-GB"/>
        </w:rPr>
        <w:t>important variables in voluntary registry offset database</w:t>
      </w:r>
      <w:bookmarkEnd w:id="294"/>
      <w:bookmarkEnd w:id="295"/>
      <w:bookmarkEnd w:id="296"/>
      <w:bookmarkEnd w:id="297"/>
      <w:bookmarkEnd w:id="298"/>
      <w:bookmarkEnd w:id="299"/>
    </w:p>
    <w:tbl>
      <w:tblPr>
        <w:tblW w:w="5576" w:type="pct"/>
        <w:tblInd w:w="-490" w:type="dxa"/>
        <w:tblBorders>
          <w:top w:val="single" w:sz="4" w:space="0" w:color="auto"/>
          <w:bottom w:val="single" w:sz="4" w:space="0" w:color="auto"/>
        </w:tblBorders>
        <w:tblLook w:val="04A0" w:firstRow="1" w:lastRow="0" w:firstColumn="1" w:lastColumn="0" w:noHBand="0" w:noVBand="1"/>
      </w:tblPr>
      <w:tblGrid>
        <w:gridCol w:w="3509"/>
        <w:gridCol w:w="716"/>
        <w:gridCol w:w="958"/>
        <w:gridCol w:w="1161"/>
        <w:gridCol w:w="908"/>
        <w:gridCol w:w="994"/>
        <w:gridCol w:w="994"/>
        <w:gridCol w:w="1198"/>
      </w:tblGrid>
      <w:tr w:rsidR="006A6AFF" w:rsidRPr="001258B1" w14:paraId="3F544DD7" w14:textId="77777777" w:rsidTr="00763E2D">
        <w:trPr>
          <w:trHeight w:val="227"/>
        </w:trPr>
        <w:tc>
          <w:tcPr>
            <w:tcW w:w="1681" w:type="pct"/>
            <w:tcBorders>
              <w:top w:val="single" w:sz="4" w:space="0" w:color="auto"/>
              <w:bottom w:val="single" w:sz="4" w:space="0" w:color="auto"/>
            </w:tcBorders>
            <w:noWrap/>
            <w:vAlign w:val="bottom"/>
            <w:hideMark/>
          </w:tcPr>
          <w:p w14:paraId="2358B11F" w14:textId="77777777" w:rsidR="00D63277" w:rsidRPr="001258B1" w:rsidRDefault="00D63277" w:rsidP="003073DF">
            <w:pPr>
              <w:rPr>
                <w:rFonts w:ascii="Arial" w:hAnsi="Arial" w:cs="Arial"/>
                <w:b/>
                <w:bCs/>
                <w:color w:val="000000"/>
                <w:sz w:val="20"/>
                <w:lang w:val="en-GB"/>
              </w:rPr>
            </w:pPr>
            <w:r w:rsidRPr="001258B1">
              <w:rPr>
                <w:rFonts w:ascii="Arial" w:hAnsi="Arial" w:cs="Arial"/>
                <w:b/>
                <w:bCs/>
                <w:color w:val="000000"/>
                <w:sz w:val="20"/>
                <w:lang w:val="en-GB"/>
              </w:rPr>
              <w:t>Variable</w:t>
            </w:r>
          </w:p>
        </w:tc>
        <w:tc>
          <w:tcPr>
            <w:tcW w:w="343" w:type="pct"/>
            <w:tcBorders>
              <w:top w:val="single" w:sz="4" w:space="0" w:color="auto"/>
              <w:bottom w:val="single" w:sz="4" w:space="0" w:color="auto"/>
            </w:tcBorders>
            <w:noWrap/>
            <w:vAlign w:val="bottom"/>
            <w:hideMark/>
          </w:tcPr>
          <w:p w14:paraId="1C8FBE2B" w14:textId="77777777" w:rsidR="00D63277" w:rsidRPr="001258B1" w:rsidRDefault="00D63277" w:rsidP="003073DF">
            <w:pPr>
              <w:rPr>
                <w:rFonts w:ascii="Arial" w:hAnsi="Arial" w:cs="Arial"/>
                <w:b/>
                <w:bCs/>
                <w:color w:val="000000"/>
                <w:sz w:val="20"/>
                <w:lang w:val="en-GB"/>
              </w:rPr>
            </w:pPr>
            <w:r w:rsidRPr="001258B1">
              <w:rPr>
                <w:rFonts w:ascii="Arial" w:hAnsi="Arial" w:cs="Arial"/>
                <w:b/>
                <w:bCs/>
                <w:color w:val="000000"/>
                <w:sz w:val="20"/>
                <w:lang w:val="en-GB"/>
              </w:rPr>
              <w:t>N</w:t>
            </w:r>
          </w:p>
        </w:tc>
        <w:tc>
          <w:tcPr>
            <w:tcW w:w="459" w:type="pct"/>
            <w:tcBorders>
              <w:top w:val="single" w:sz="4" w:space="0" w:color="auto"/>
              <w:bottom w:val="single" w:sz="4" w:space="0" w:color="auto"/>
            </w:tcBorders>
            <w:noWrap/>
            <w:vAlign w:val="bottom"/>
            <w:hideMark/>
          </w:tcPr>
          <w:p w14:paraId="517F2B2C" w14:textId="77777777" w:rsidR="00D63277" w:rsidRPr="001258B1" w:rsidRDefault="00D63277" w:rsidP="003073DF">
            <w:pPr>
              <w:rPr>
                <w:rFonts w:ascii="Arial" w:hAnsi="Arial" w:cs="Arial"/>
                <w:b/>
                <w:bCs/>
                <w:color w:val="000000"/>
                <w:sz w:val="20"/>
                <w:lang w:val="en-GB"/>
              </w:rPr>
            </w:pPr>
            <w:r w:rsidRPr="001258B1">
              <w:rPr>
                <w:rFonts w:ascii="Arial" w:hAnsi="Arial" w:cs="Arial"/>
                <w:b/>
                <w:bCs/>
                <w:color w:val="000000"/>
                <w:sz w:val="20"/>
                <w:lang w:val="en-GB"/>
              </w:rPr>
              <w:t>Mean</w:t>
            </w:r>
          </w:p>
        </w:tc>
        <w:tc>
          <w:tcPr>
            <w:tcW w:w="556" w:type="pct"/>
            <w:tcBorders>
              <w:top w:val="single" w:sz="4" w:space="0" w:color="auto"/>
              <w:bottom w:val="single" w:sz="4" w:space="0" w:color="auto"/>
            </w:tcBorders>
            <w:noWrap/>
            <w:vAlign w:val="bottom"/>
            <w:hideMark/>
          </w:tcPr>
          <w:p w14:paraId="16A80FA1" w14:textId="77777777" w:rsidR="00D63277" w:rsidRPr="001258B1" w:rsidRDefault="00D63277" w:rsidP="003073DF">
            <w:pPr>
              <w:rPr>
                <w:rFonts w:ascii="Arial" w:hAnsi="Arial" w:cs="Arial"/>
                <w:b/>
                <w:bCs/>
                <w:color w:val="000000"/>
                <w:sz w:val="20"/>
                <w:lang w:val="en-GB"/>
              </w:rPr>
            </w:pPr>
            <w:r w:rsidRPr="001258B1">
              <w:rPr>
                <w:rFonts w:ascii="Arial" w:hAnsi="Arial" w:cs="Arial"/>
                <w:b/>
                <w:bCs/>
                <w:color w:val="000000"/>
                <w:sz w:val="20"/>
                <w:lang w:val="en-GB"/>
              </w:rPr>
              <w:t>Std. Dev.</w:t>
            </w:r>
          </w:p>
        </w:tc>
        <w:tc>
          <w:tcPr>
            <w:tcW w:w="435" w:type="pct"/>
            <w:tcBorders>
              <w:top w:val="single" w:sz="4" w:space="0" w:color="auto"/>
              <w:bottom w:val="single" w:sz="4" w:space="0" w:color="auto"/>
            </w:tcBorders>
            <w:noWrap/>
            <w:vAlign w:val="bottom"/>
            <w:hideMark/>
          </w:tcPr>
          <w:p w14:paraId="486C4265" w14:textId="77777777" w:rsidR="00D63277" w:rsidRPr="001258B1" w:rsidRDefault="00D63277" w:rsidP="003073DF">
            <w:pPr>
              <w:rPr>
                <w:rFonts w:ascii="Arial" w:hAnsi="Arial" w:cs="Arial"/>
                <w:b/>
                <w:bCs/>
                <w:color w:val="000000"/>
                <w:sz w:val="20"/>
                <w:lang w:val="en-GB"/>
              </w:rPr>
            </w:pPr>
            <w:r w:rsidRPr="001258B1">
              <w:rPr>
                <w:rFonts w:ascii="Arial" w:hAnsi="Arial" w:cs="Arial"/>
                <w:b/>
                <w:bCs/>
                <w:color w:val="000000"/>
                <w:sz w:val="20"/>
                <w:lang w:val="en-GB"/>
              </w:rPr>
              <w:t>Min</w:t>
            </w:r>
          </w:p>
        </w:tc>
        <w:tc>
          <w:tcPr>
            <w:tcW w:w="476" w:type="pct"/>
            <w:tcBorders>
              <w:top w:val="single" w:sz="4" w:space="0" w:color="auto"/>
              <w:bottom w:val="single" w:sz="4" w:space="0" w:color="auto"/>
            </w:tcBorders>
            <w:noWrap/>
            <w:vAlign w:val="bottom"/>
            <w:hideMark/>
          </w:tcPr>
          <w:p w14:paraId="7C3BEB4A" w14:textId="77777777" w:rsidR="00D63277" w:rsidRPr="001258B1" w:rsidRDefault="00D63277" w:rsidP="003073DF">
            <w:pPr>
              <w:rPr>
                <w:rFonts w:ascii="Arial" w:hAnsi="Arial" w:cs="Arial"/>
                <w:b/>
                <w:bCs/>
                <w:color w:val="000000"/>
                <w:sz w:val="20"/>
                <w:lang w:val="en-GB"/>
              </w:rPr>
            </w:pPr>
            <w:proofErr w:type="spellStart"/>
            <w:r w:rsidRPr="001258B1">
              <w:rPr>
                <w:rFonts w:ascii="Arial" w:hAnsi="Arial" w:cs="Arial"/>
                <w:b/>
                <w:bCs/>
                <w:color w:val="000000"/>
                <w:sz w:val="20"/>
                <w:lang w:val="en-GB"/>
              </w:rPr>
              <w:t>Pctl</w:t>
            </w:r>
            <w:proofErr w:type="spellEnd"/>
            <w:r w:rsidRPr="001258B1">
              <w:rPr>
                <w:rFonts w:ascii="Arial" w:hAnsi="Arial" w:cs="Arial"/>
                <w:b/>
                <w:bCs/>
                <w:color w:val="000000"/>
                <w:sz w:val="20"/>
                <w:lang w:val="en-GB"/>
              </w:rPr>
              <w:t>. 25</w:t>
            </w:r>
          </w:p>
        </w:tc>
        <w:tc>
          <w:tcPr>
            <w:tcW w:w="476" w:type="pct"/>
            <w:tcBorders>
              <w:top w:val="single" w:sz="4" w:space="0" w:color="auto"/>
              <w:bottom w:val="single" w:sz="4" w:space="0" w:color="auto"/>
            </w:tcBorders>
            <w:noWrap/>
            <w:vAlign w:val="bottom"/>
            <w:hideMark/>
          </w:tcPr>
          <w:p w14:paraId="21BE647B" w14:textId="77777777" w:rsidR="00D63277" w:rsidRPr="001258B1" w:rsidRDefault="00D63277" w:rsidP="003073DF">
            <w:pPr>
              <w:rPr>
                <w:rFonts w:ascii="Arial" w:hAnsi="Arial" w:cs="Arial"/>
                <w:b/>
                <w:bCs/>
                <w:color w:val="000000"/>
                <w:sz w:val="20"/>
                <w:lang w:val="en-GB"/>
              </w:rPr>
            </w:pPr>
            <w:proofErr w:type="spellStart"/>
            <w:r w:rsidRPr="001258B1">
              <w:rPr>
                <w:rFonts w:ascii="Arial" w:hAnsi="Arial" w:cs="Arial"/>
                <w:b/>
                <w:bCs/>
                <w:color w:val="000000"/>
                <w:sz w:val="20"/>
                <w:lang w:val="en-GB"/>
              </w:rPr>
              <w:t>Pctl</w:t>
            </w:r>
            <w:proofErr w:type="spellEnd"/>
            <w:r w:rsidRPr="001258B1">
              <w:rPr>
                <w:rFonts w:ascii="Arial" w:hAnsi="Arial" w:cs="Arial"/>
                <w:b/>
                <w:bCs/>
                <w:color w:val="000000"/>
                <w:sz w:val="20"/>
                <w:lang w:val="en-GB"/>
              </w:rPr>
              <w:t>. 75</w:t>
            </w:r>
          </w:p>
        </w:tc>
        <w:tc>
          <w:tcPr>
            <w:tcW w:w="574" w:type="pct"/>
            <w:tcBorders>
              <w:top w:val="single" w:sz="4" w:space="0" w:color="auto"/>
              <w:bottom w:val="single" w:sz="4" w:space="0" w:color="auto"/>
            </w:tcBorders>
            <w:noWrap/>
            <w:vAlign w:val="bottom"/>
            <w:hideMark/>
          </w:tcPr>
          <w:p w14:paraId="20217A0F" w14:textId="77777777" w:rsidR="00D63277" w:rsidRPr="001258B1" w:rsidRDefault="00D63277" w:rsidP="003073DF">
            <w:pPr>
              <w:rPr>
                <w:rFonts w:ascii="Arial" w:hAnsi="Arial" w:cs="Arial"/>
                <w:b/>
                <w:bCs/>
                <w:color w:val="000000"/>
                <w:sz w:val="20"/>
                <w:lang w:val="en-GB"/>
              </w:rPr>
            </w:pPr>
            <w:r w:rsidRPr="001258B1">
              <w:rPr>
                <w:rFonts w:ascii="Arial" w:hAnsi="Arial" w:cs="Arial"/>
                <w:b/>
                <w:bCs/>
                <w:color w:val="000000"/>
                <w:sz w:val="20"/>
                <w:lang w:val="en-GB"/>
              </w:rPr>
              <w:t>Max</w:t>
            </w:r>
          </w:p>
        </w:tc>
      </w:tr>
      <w:tr w:rsidR="006A6AFF" w:rsidRPr="001258B1" w14:paraId="3B4BC0F9" w14:textId="77777777" w:rsidTr="00763E2D">
        <w:trPr>
          <w:trHeight w:val="227"/>
        </w:trPr>
        <w:tc>
          <w:tcPr>
            <w:tcW w:w="1681" w:type="pct"/>
            <w:tcBorders>
              <w:top w:val="single" w:sz="4" w:space="0" w:color="auto"/>
            </w:tcBorders>
            <w:noWrap/>
            <w:vAlign w:val="bottom"/>
            <w:hideMark/>
          </w:tcPr>
          <w:p w14:paraId="203B1A62"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Voluntary Registry</w:t>
            </w:r>
          </w:p>
        </w:tc>
        <w:tc>
          <w:tcPr>
            <w:tcW w:w="343" w:type="pct"/>
            <w:tcBorders>
              <w:top w:val="single" w:sz="4" w:space="0" w:color="auto"/>
            </w:tcBorders>
            <w:noWrap/>
            <w:vAlign w:val="bottom"/>
            <w:hideMark/>
          </w:tcPr>
          <w:p w14:paraId="166FDCF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tcBorders>
              <w:top w:val="single" w:sz="4" w:space="0" w:color="auto"/>
            </w:tcBorders>
            <w:noWrap/>
            <w:vAlign w:val="bottom"/>
            <w:hideMark/>
          </w:tcPr>
          <w:p w14:paraId="5C7C045B" w14:textId="77777777" w:rsidR="00D63277" w:rsidRPr="001258B1" w:rsidRDefault="00D63277" w:rsidP="003073DF">
            <w:pPr>
              <w:jc w:val="right"/>
              <w:rPr>
                <w:rFonts w:ascii="Arial" w:hAnsi="Arial" w:cs="Arial"/>
                <w:color w:val="000000"/>
                <w:sz w:val="20"/>
                <w:lang w:val="en-GB"/>
              </w:rPr>
            </w:pPr>
          </w:p>
        </w:tc>
        <w:tc>
          <w:tcPr>
            <w:tcW w:w="556" w:type="pct"/>
            <w:tcBorders>
              <w:top w:val="single" w:sz="4" w:space="0" w:color="auto"/>
            </w:tcBorders>
            <w:noWrap/>
            <w:vAlign w:val="bottom"/>
            <w:hideMark/>
          </w:tcPr>
          <w:p w14:paraId="1CC00C19" w14:textId="77777777" w:rsidR="00D63277" w:rsidRPr="001258B1" w:rsidRDefault="00D63277" w:rsidP="003073DF">
            <w:pPr>
              <w:rPr>
                <w:rFonts w:ascii="Arial" w:eastAsia="Times New Roman" w:hAnsi="Arial" w:cs="Arial"/>
                <w:sz w:val="20"/>
                <w:lang w:val="en-GB"/>
              </w:rPr>
            </w:pPr>
          </w:p>
        </w:tc>
        <w:tc>
          <w:tcPr>
            <w:tcW w:w="435" w:type="pct"/>
            <w:tcBorders>
              <w:top w:val="single" w:sz="4" w:space="0" w:color="auto"/>
            </w:tcBorders>
            <w:noWrap/>
            <w:vAlign w:val="bottom"/>
            <w:hideMark/>
          </w:tcPr>
          <w:p w14:paraId="0E9CEA49" w14:textId="77777777" w:rsidR="00D63277" w:rsidRPr="001258B1" w:rsidRDefault="00D63277" w:rsidP="003073DF">
            <w:pPr>
              <w:rPr>
                <w:rFonts w:ascii="Arial" w:eastAsia="Times New Roman" w:hAnsi="Arial" w:cs="Arial"/>
                <w:sz w:val="20"/>
                <w:lang w:val="en-GB"/>
              </w:rPr>
            </w:pPr>
          </w:p>
        </w:tc>
        <w:tc>
          <w:tcPr>
            <w:tcW w:w="476" w:type="pct"/>
            <w:tcBorders>
              <w:top w:val="single" w:sz="4" w:space="0" w:color="auto"/>
            </w:tcBorders>
            <w:noWrap/>
            <w:vAlign w:val="bottom"/>
            <w:hideMark/>
          </w:tcPr>
          <w:p w14:paraId="34D4A5C6" w14:textId="77777777" w:rsidR="00D63277" w:rsidRPr="001258B1" w:rsidRDefault="00D63277" w:rsidP="003073DF">
            <w:pPr>
              <w:rPr>
                <w:rFonts w:ascii="Arial" w:eastAsia="Times New Roman" w:hAnsi="Arial" w:cs="Arial"/>
                <w:sz w:val="20"/>
                <w:lang w:val="en-GB"/>
              </w:rPr>
            </w:pPr>
          </w:p>
        </w:tc>
        <w:tc>
          <w:tcPr>
            <w:tcW w:w="476" w:type="pct"/>
            <w:tcBorders>
              <w:top w:val="single" w:sz="4" w:space="0" w:color="auto"/>
            </w:tcBorders>
            <w:noWrap/>
            <w:vAlign w:val="bottom"/>
            <w:hideMark/>
          </w:tcPr>
          <w:p w14:paraId="5CE859B2" w14:textId="77777777" w:rsidR="00D63277" w:rsidRPr="001258B1" w:rsidRDefault="00D63277" w:rsidP="003073DF">
            <w:pPr>
              <w:rPr>
                <w:rFonts w:ascii="Arial" w:eastAsia="Times New Roman" w:hAnsi="Arial" w:cs="Arial"/>
                <w:sz w:val="20"/>
                <w:lang w:val="en-GB"/>
              </w:rPr>
            </w:pPr>
          </w:p>
        </w:tc>
        <w:tc>
          <w:tcPr>
            <w:tcW w:w="574" w:type="pct"/>
            <w:tcBorders>
              <w:top w:val="single" w:sz="4" w:space="0" w:color="auto"/>
            </w:tcBorders>
            <w:noWrap/>
            <w:vAlign w:val="bottom"/>
            <w:hideMark/>
          </w:tcPr>
          <w:p w14:paraId="58C5E76A" w14:textId="77777777" w:rsidR="00D63277" w:rsidRPr="001258B1" w:rsidRDefault="00D63277" w:rsidP="003073DF">
            <w:pPr>
              <w:rPr>
                <w:rFonts w:ascii="Arial" w:eastAsia="Times New Roman" w:hAnsi="Arial" w:cs="Arial"/>
                <w:sz w:val="20"/>
                <w:lang w:val="en-GB"/>
              </w:rPr>
            </w:pPr>
          </w:p>
        </w:tc>
      </w:tr>
      <w:tr w:rsidR="006A6AFF" w:rsidRPr="001258B1" w14:paraId="79A20DB8" w14:textId="77777777" w:rsidTr="00763E2D">
        <w:trPr>
          <w:trHeight w:val="227"/>
        </w:trPr>
        <w:tc>
          <w:tcPr>
            <w:tcW w:w="1681" w:type="pct"/>
            <w:noWrap/>
            <w:vAlign w:val="bottom"/>
            <w:hideMark/>
          </w:tcPr>
          <w:p w14:paraId="6436E6C6"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 ACR</w:t>
            </w:r>
          </w:p>
        </w:tc>
        <w:tc>
          <w:tcPr>
            <w:tcW w:w="343" w:type="pct"/>
            <w:noWrap/>
            <w:vAlign w:val="bottom"/>
            <w:hideMark/>
          </w:tcPr>
          <w:p w14:paraId="29401D5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457</w:t>
            </w:r>
          </w:p>
        </w:tc>
        <w:tc>
          <w:tcPr>
            <w:tcW w:w="459" w:type="pct"/>
            <w:noWrap/>
            <w:vAlign w:val="bottom"/>
            <w:hideMark/>
          </w:tcPr>
          <w:p w14:paraId="1BB32DB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w:t>
            </w:r>
          </w:p>
        </w:tc>
        <w:tc>
          <w:tcPr>
            <w:tcW w:w="556" w:type="pct"/>
            <w:noWrap/>
            <w:vAlign w:val="bottom"/>
            <w:hideMark/>
          </w:tcPr>
          <w:p w14:paraId="43EC758E" w14:textId="77777777" w:rsidR="00D63277" w:rsidRPr="001258B1" w:rsidRDefault="00D63277" w:rsidP="003073DF">
            <w:pPr>
              <w:jc w:val="right"/>
              <w:rPr>
                <w:rFonts w:ascii="Arial" w:hAnsi="Arial" w:cs="Arial"/>
                <w:color w:val="000000"/>
                <w:sz w:val="20"/>
                <w:lang w:val="en-GB"/>
              </w:rPr>
            </w:pPr>
          </w:p>
        </w:tc>
        <w:tc>
          <w:tcPr>
            <w:tcW w:w="435" w:type="pct"/>
            <w:noWrap/>
            <w:vAlign w:val="bottom"/>
            <w:hideMark/>
          </w:tcPr>
          <w:p w14:paraId="6166A066"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392464C3"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443A6268" w14:textId="77777777" w:rsidR="00D63277" w:rsidRPr="001258B1" w:rsidRDefault="00D63277" w:rsidP="003073DF">
            <w:pPr>
              <w:rPr>
                <w:rFonts w:ascii="Arial" w:eastAsia="Times New Roman" w:hAnsi="Arial" w:cs="Arial"/>
                <w:sz w:val="20"/>
                <w:lang w:val="en-GB"/>
              </w:rPr>
            </w:pPr>
          </w:p>
        </w:tc>
        <w:tc>
          <w:tcPr>
            <w:tcW w:w="574" w:type="pct"/>
            <w:noWrap/>
            <w:vAlign w:val="bottom"/>
            <w:hideMark/>
          </w:tcPr>
          <w:p w14:paraId="0EDE1A42" w14:textId="77777777" w:rsidR="00D63277" w:rsidRPr="001258B1" w:rsidRDefault="00D63277" w:rsidP="003073DF">
            <w:pPr>
              <w:rPr>
                <w:rFonts w:ascii="Arial" w:eastAsia="Times New Roman" w:hAnsi="Arial" w:cs="Arial"/>
                <w:sz w:val="20"/>
                <w:lang w:val="en-GB"/>
              </w:rPr>
            </w:pPr>
          </w:p>
        </w:tc>
      </w:tr>
      <w:tr w:rsidR="006A6AFF" w:rsidRPr="001258B1" w14:paraId="501F5019" w14:textId="77777777" w:rsidTr="00763E2D">
        <w:trPr>
          <w:trHeight w:val="227"/>
        </w:trPr>
        <w:tc>
          <w:tcPr>
            <w:tcW w:w="1681" w:type="pct"/>
            <w:noWrap/>
            <w:vAlign w:val="bottom"/>
            <w:hideMark/>
          </w:tcPr>
          <w:p w14:paraId="58F55171"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 CAR</w:t>
            </w:r>
          </w:p>
        </w:tc>
        <w:tc>
          <w:tcPr>
            <w:tcW w:w="343" w:type="pct"/>
            <w:noWrap/>
            <w:vAlign w:val="bottom"/>
            <w:hideMark/>
          </w:tcPr>
          <w:p w14:paraId="564230C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609</w:t>
            </w:r>
          </w:p>
        </w:tc>
        <w:tc>
          <w:tcPr>
            <w:tcW w:w="459" w:type="pct"/>
            <w:noWrap/>
            <w:vAlign w:val="bottom"/>
            <w:hideMark/>
          </w:tcPr>
          <w:p w14:paraId="4456C64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7%</w:t>
            </w:r>
          </w:p>
        </w:tc>
        <w:tc>
          <w:tcPr>
            <w:tcW w:w="556" w:type="pct"/>
            <w:noWrap/>
            <w:vAlign w:val="bottom"/>
            <w:hideMark/>
          </w:tcPr>
          <w:p w14:paraId="50021053" w14:textId="77777777" w:rsidR="00D63277" w:rsidRPr="001258B1" w:rsidRDefault="00D63277" w:rsidP="003073DF">
            <w:pPr>
              <w:jc w:val="right"/>
              <w:rPr>
                <w:rFonts w:ascii="Arial" w:hAnsi="Arial" w:cs="Arial"/>
                <w:color w:val="000000"/>
                <w:sz w:val="20"/>
                <w:lang w:val="en-GB"/>
              </w:rPr>
            </w:pPr>
          </w:p>
        </w:tc>
        <w:tc>
          <w:tcPr>
            <w:tcW w:w="435" w:type="pct"/>
            <w:noWrap/>
            <w:vAlign w:val="bottom"/>
            <w:hideMark/>
          </w:tcPr>
          <w:p w14:paraId="7A391B43"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7BD7D4BE"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22098386" w14:textId="77777777" w:rsidR="00D63277" w:rsidRPr="001258B1" w:rsidRDefault="00D63277" w:rsidP="003073DF">
            <w:pPr>
              <w:rPr>
                <w:rFonts w:ascii="Arial" w:eastAsia="Times New Roman" w:hAnsi="Arial" w:cs="Arial"/>
                <w:sz w:val="20"/>
                <w:lang w:val="en-GB"/>
              </w:rPr>
            </w:pPr>
          </w:p>
        </w:tc>
        <w:tc>
          <w:tcPr>
            <w:tcW w:w="574" w:type="pct"/>
            <w:noWrap/>
            <w:vAlign w:val="bottom"/>
            <w:hideMark/>
          </w:tcPr>
          <w:p w14:paraId="620760F4" w14:textId="77777777" w:rsidR="00D63277" w:rsidRPr="001258B1" w:rsidRDefault="00D63277" w:rsidP="003073DF">
            <w:pPr>
              <w:rPr>
                <w:rFonts w:ascii="Arial" w:eastAsia="Times New Roman" w:hAnsi="Arial" w:cs="Arial"/>
                <w:sz w:val="20"/>
                <w:lang w:val="en-GB"/>
              </w:rPr>
            </w:pPr>
          </w:p>
        </w:tc>
      </w:tr>
      <w:tr w:rsidR="006A6AFF" w:rsidRPr="001258B1" w14:paraId="558CA264" w14:textId="77777777" w:rsidTr="00763E2D">
        <w:trPr>
          <w:trHeight w:val="227"/>
        </w:trPr>
        <w:tc>
          <w:tcPr>
            <w:tcW w:w="1681" w:type="pct"/>
            <w:noWrap/>
            <w:vAlign w:val="bottom"/>
            <w:hideMark/>
          </w:tcPr>
          <w:p w14:paraId="5C50B8A8"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 GOLD</w:t>
            </w:r>
          </w:p>
        </w:tc>
        <w:tc>
          <w:tcPr>
            <w:tcW w:w="343" w:type="pct"/>
            <w:noWrap/>
            <w:vAlign w:val="bottom"/>
            <w:hideMark/>
          </w:tcPr>
          <w:p w14:paraId="1FC8DC4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3437</w:t>
            </w:r>
          </w:p>
        </w:tc>
        <w:tc>
          <w:tcPr>
            <w:tcW w:w="459" w:type="pct"/>
            <w:noWrap/>
            <w:vAlign w:val="bottom"/>
            <w:hideMark/>
          </w:tcPr>
          <w:p w14:paraId="77B6473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39%</w:t>
            </w:r>
          </w:p>
        </w:tc>
        <w:tc>
          <w:tcPr>
            <w:tcW w:w="556" w:type="pct"/>
            <w:noWrap/>
            <w:vAlign w:val="bottom"/>
            <w:hideMark/>
          </w:tcPr>
          <w:p w14:paraId="26D6B2CB" w14:textId="77777777" w:rsidR="00D63277" w:rsidRPr="001258B1" w:rsidRDefault="00D63277" w:rsidP="003073DF">
            <w:pPr>
              <w:jc w:val="right"/>
              <w:rPr>
                <w:rFonts w:ascii="Arial" w:hAnsi="Arial" w:cs="Arial"/>
                <w:color w:val="000000"/>
                <w:sz w:val="20"/>
                <w:lang w:val="en-GB"/>
              </w:rPr>
            </w:pPr>
          </w:p>
        </w:tc>
        <w:tc>
          <w:tcPr>
            <w:tcW w:w="435" w:type="pct"/>
            <w:noWrap/>
            <w:vAlign w:val="bottom"/>
            <w:hideMark/>
          </w:tcPr>
          <w:p w14:paraId="1595D6DD"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306089D8"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0294E7BC" w14:textId="77777777" w:rsidR="00D63277" w:rsidRPr="001258B1" w:rsidRDefault="00D63277" w:rsidP="003073DF">
            <w:pPr>
              <w:rPr>
                <w:rFonts w:ascii="Arial" w:eastAsia="Times New Roman" w:hAnsi="Arial" w:cs="Arial"/>
                <w:sz w:val="20"/>
                <w:lang w:val="en-GB"/>
              </w:rPr>
            </w:pPr>
          </w:p>
        </w:tc>
        <w:tc>
          <w:tcPr>
            <w:tcW w:w="574" w:type="pct"/>
            <w:noWrap/>
            <w:vAlign w:val="bottom"/>
            <w:hideMark/>
          </w:tcPr>
          <w:p w14:paraId="258AB69E" w14:textId="77777777" w:rsidR="00D63277" w:rsidRPr="001258B1" w:rsidRDefault="00D63277" w:rsidP="003073DF">
            <w:pPr>
              <w:rPr>
                <w:rFonts w:ascii="Arial" w:eastAsia="Times New Roman" w:hAnsi="Arial" w:cs="Arial"/>
                <w:sz w:val="20"/>
                <w:lang w:val="en-GB"/>
              </w:rPr>
            </w:pPr>
          </w:p>
        </w:tc>
      </w:tr>
      <w:tr w:rsidR="006A6AFF" w:rsidRPr="001258B1" w14:paraId="3F73B83C" w14:textId="77777777" w:rsidTr="00763E2D">
        <w:trPr>
          <w:trHeight w:val="227"/>
        </w:trPr>
        <w:tc>
          <w:tcPr>
            <w:tcW w:w="1681" w:type="pct"/>
            <w:noWrap/>
            <w:vAlign w:val="bottom"/>
            <w:hideMark/>
          </w:tcPr>
          <w:p w14:paraId="0F3EC2C1"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 VCS</w:t>
            </w:r>
          </w:p>
        </w:tc>
        <w:tc>
          <w:tcPr>
            <w:tcW w:w="343" w:type="pct"/>
            <w:noWrap/>
            <w:vAlign w:val="bottom"/>
            <w:hideMark/>
          </w:tcPr>
          <w:p w14:paraId="75C2133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4347</w:t>
            </w:r>
          </w:p>
        </w:tc>
        <w:tc>
          <w:tcPr>
            <w:tcW w:w="459" w:type="pct"/>
            <w:noWrap/>
            <w:vAlign w:val="bottom"/>
            <w:hideMark/>
          </w:tcPr>
          <w:p w14:paraId="3168328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49%</w:t>
            </w:r>
          </w:p>
        </w:tc>
        <w:tc>
          <w:tcPr>
            <w:tcW w:w="556" w:type="pct"/>
            <w:noWrap/>
            <w:vAlign w:val="bottom"/>
            <w:hideMark/>
          </w:tcPr>
          <w:p w14:paraId="0566F6CE" w14:textId="77777777" w:rsidR="00D63277" w:rsidRPr="001258B1" w:rsidRDefault="00D63277" w:rsidP="003073DF">
            <w:pPr>
              <w:jc w:val="right"/>
              <w:rPr>
                <w:rFonts w:ascii="Arial" w:hAnsi="Arial" w:cs="Arial"/>
                <w:color w:val="000000"/>
                <w:sz w:val="20"/>
                <w:lang w:val="en-GB"/>
              </w:rPr>
            </w:pPr>
          </w:p>
        </w:tc>
        <w:tc>
          <w:tcPr>
            <w:tcW w:w="435" w:type="pct"/>
            <w:noWrap/>
            <w:vAlign w:val="bottom"/>
            <w:hideMark/>
          </w:tcPr>
          <w:p w14:paraId="5A16F22F"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3D55DB80"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21D2A2F4" w14:textId="77777777" w:rsidR="00D63277" w:rsidRPr="001258B1" w:rsidRDefault="00D63277" w:rsidP="003073DF">
            <w:pPr>
              <w:rPr>
                <w:rFonts w:ascii="Arial" w:eastAsia="Times New Roman" w:hAnsi="Arial" w:cs="Arial"/>
                <w:sz w:val="20"/>
                <w:lang w:val="en-GB"/>
              </w:rPr>
            </w:pPr>
          </w:p>
        </w:tc>
        <w:tc>
          <w:tcPr>
            <w:tcW w:w="574" w:type="pct"/>
            <w:noWrap/>
            <w:vAlign w:val="bottom"/>
            <w:hideMark/>
          </w:tcPr>
          <w:p w14:paraId="28C2423C" w14:textId="77777777" w:rsidR="00D63277" w:rsidRPr="001258B1" w:rsidRDefault="00D63277" w:rsidP="003073DF">
            <w:pPr>
              <w:rPr>
                <w:rFonts w:ascii="Arial" w:eastAsia="Times New Roman" w:hAnsi="Arial" w:cs="Arial"/>
                <w:sz w:val="20"/>
                <w:lang w:val="en-GB"/>
              </w:rPr>
            </w:pPr>
          </w:p>
        </w:tc>
      </w:tr>
      <w:tr w:rsidR="006A6AFF" w:rsidRPr="001258B1" w14:paraId="7955B419" w14:textId="77777777" w:rsidTr="00763E2D">
        <w:trPr>
          <w:trHeight w:val="227"/>
        </w:trPr>
        <w:tc>
          <w:tcPr>
            <w:tcW w:w="1681" w:type="pct"/>
            <w:noWrap/>
            <w:vAlign w:val="bottom"/>
            <w:hideMark/>
          </w:tcPr>
          <w:p w14:paraId="556FB7BA"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Reduction / Removal</w:t>
            </w:r>
          </w:p>
        </w:tc>
        <w:tc>
          <w:tcPr>
            <w:tcW w:w="343" w:type="pct"/>
            <w:noWrap/>
            <w:vAlign w:val="bottom"/>
            <w:hideMark/>
          </w:tcPr>
          <w:p w14:paraId="39E843E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1E82770C" w14:textId="77777777" w:rsidR="00D63277" w:rsidRPr="001258B1" w:rsidRDefault="00D63277" w:rsidP="003073DF">
            <w:pPr>
              <w:jc w:val="right"/>
              <w:rPr>
                <w:rFonts w:ascii="Arial" w:hAnsi="Arial" w:cs="Arial"/>
                <w:color w:val="000000"/>
                <w:sz w:val="20"/>
                <w:lang w:val="en-GB"/>
              </w:rPr>
            </w:pPr>
          </w:p>
        </w:tc>
        <w:tc>
          <w:tcPr>
            <w:tcW w:w="556" w:type="pct"/>
            <w:noWrap/>
            <w:vAlign w:val="bottom"/>
            <w:hideMark/>
          </w:tcPr>
          <w:p w14:paraId="0E1DD7B0" w14:textId="77777777" w:rsidR="00D63277" w:rsidRPr="001258B1" w:rsidRDefault="00D63277" w:rsidP="003073DF">
            <w:pPr>
              <w:rPr>
                <w:rFonts w:ascii="Arial" w:eastAsia="Times New Roman" w:hAnsi="Arial" w:cs="Arial"/>
                <w:sz w:val="20"/>
                <w:lang w:val="en-GB"/>
              </w:rPr>
            </w:pPr>
          </w:p>
        </w:tc>
        <w:tc>
          <w:tcPr>
            <w:tcW w:w="435" w:type="pct"/>
            <w:noWrap/>
            <w:vAlign w:val="bottom"/>
            <w:hideMark/>
          </w:tcPr>
          <w:p w14:paraId="29E823A0"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49AB7CCD"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52DFAFD8" w14:textId="77777777" w:rsidR="00D63277" w:rsidRPr="001258B1" w:rsidRDefault="00D63277" w:rsidP="003073DF">
            <w:pPr>
              <w:rPr>
                <w:rFonts w:ascii="Arial" w:eastAsia="Times New Roman" w:hAnsi="Arial" w:cs="Arial"/>
                <w:sz w:val="20"/>
                <w:lang w:val="en-GB"/>
              </w:rPr>
            </w:pPr>
          </w:p>
        </w:tc>
        <w:tc>
          <w:tcPr>
            <w:tcW w:w="574" w:type="pct"/>
            <w:noWrap/>
            <w:vAlign w:val="bottom"/>
            <w:hideMark/>
          </w:tcPr>
          <w:p w14:paraId="6A69D678" w14:textId="77777777" w:rsidR="00D63277" w:rsidRPr="001258B1" w:rsidRDefault="00D63277" w:rsidP="003073DF">
            <w:pPr>
              <w:rPr>
                <w:rFonts w:ascii="Arial" w:eastAsia="Times New Roman" w:hAnsi="Arial" w:cs="Arial"/>
                <w:sz w:val="20"/>
                <w:lang w:val="en-GB"/>
              </w:rPr>
            </w:pPr>
          </w:p>
        </w:tc>
      </w:tr>
      <w:tr w:rsidR="006A6AFF" w:rsidRPr="001258B1" w14:paraId="6ECE7927" w14:textId="77777777" w:rsidTr="00763E2D">
        <w:trPr>
          <w:trHeight w:val="227"/>
        </w:trPr>
        <w:tc>
          <w:tcPr>
            <w:tcW w:w="1681" w:type="pct"/>
            <w:noWrap/>
            <w:vAlign w:val="bottom"/>
            <w:hideMark/>
          </w:tcPr>
          <w:p w14:paraId="67EB229C"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 Impermanent Removal</w:t>
            </w:r>
          </w:p>
        </w:tc>
        <w:tc>
          <w:tcPr>
            <w:tcW w:w="343" w:type="pct"/>
            <w:noWrap/>
            <w:vAlign w:val="bottom"/>
            <w:hideMark/>
          </w:tcPr>
          <w:p w14:paraId="429B9A5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533</w:t>
            </w:r>
          </w:p>
        </w:tc>
        <w:tc>
          <w:tcPr>
            <w:tcW w:w="459" w:type="pct"/>
            <w:noWrap/>
            <w:vAlign w:val="bottom"/>
            <w:hideMark/>
          </w:tcPr>
          <w:p w14:paraId="667D6D2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6%</w:t>
            </w:r>
          </w:p>
        </w:tc>
        <w:tc>
          <w:tcPr>
            <w:tcW w:w="556" w:type="pct"/>
            <w:noWrap/>
            <w:vAlign w:val="bottom"/>
            <w:hideMark/>
          </w:tcPr>
          <w:p w14:paraId="74D22233" w14:textId="77777777" w:rsidR="00D63277" w:rsidRPr="001258B1" w:rsidRDefault="00D63277" w:rsidP="003073DF">
            <w:pPr>
              <w:jc w:val="right"/>
              <w:rPr>
                <w:rFonts w:ascii="Arial" w:hAnsi="Arial" w:cs="Arial"/>
                <w:color w:val="000000"/>
                <w:sz w:val="20"/>
                <w:lang w:val="en-GB"/>
              </w:rPr>
            </w:pPr>
          </w:p>
        </w:tc>
        <w:tc>
          <w:tcPr>
            <w:tcW w:w="435" w:type="pct"/>
            <w:noWrap/>
            <w:vAlign w:val="bottom"/>
            <w:hideMark/>
          </w:tcPr>
          <w:p w14:paraId="3C76E9FA"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38FAE16E"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0BA708FD" w14:textId="77777777" w:rsidR="00D63277" w:rsidRPr="001258B1" w:rsidRDefault="00D63277" w:rsidP="003073DF">
            <w:pPr>
              <w:rPr>
                <w:rFonts w:ascii="Arial" w:eastAsia="Times New Roman" w:hAnsi="Arial" w:cs="Arial"/>
                <w:sz w:val="20"/>
                <w:lang w:val="en-GB"/>
              </w:rPr>
            </w:pPr>
          </w:p>
        </w:tc>
        <w:tc>
          <w:tcPr>
            <w:tcW w:w="574" w:type="pct"/>
            <w:noWrap/>
            <w:vAlign w:val="bottom"/>
            <w:hideMark/>
          </w:tcPr>
          <w:p w14:paraId="22108517" w14:textId="77777777" w:rsidR="00D63277" w:rsidRPr="001258B1" w:rsidRDefault="00D63277" w:rsidP="003073DF">
            <w:pPr>
              <w:rPr>
                <w:rFonts w:ascii="Arial" w:eastAsia="Times New Roman" w:hAnsi="Arial" w:cs="Arial"/>
                <w:sz w:val="20"/>
                <w:lang w:val="en-GB"/>
              </w:rPr>
            </w:pPr>
          </w:p>
        </w:tc>
      </w:tr>
      <w:tr w:rsidR="006A6AFF" w:rsidRPr="001258B1" w14:paraId="344D3BCA" w14:textId="77777777" w:rsidTr="00763E2D">
        <w:trPr>
          <w:trHeight w:val="227"/>
        </w:trPr>
        <w:tc>
          <w:tcPr>
            <w:tcW w:w="1681" w:type="pct"/>
            <w:noWrap/>
            <w:vAlign w:val="bottom"/>
            <w:hideMark/>
          </w:tcPr>
          <w:p w14:paraId="020AB70C"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 Long-Duration Removal</w:t>
            </w:r>
          </w:p>
        </w:tc>
        <w:tc>
          <w:tcPr>
            <w:tcW w:w="343" w:type="pct"/>
            <w:noWrap/>
            <w:vAlign w:val="bottom"/>
            <w:hideMark/>
          </w:tcPr>
          <w:p w14:paraId="701CEDC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17</w:t>
            </w:r>
          </w:p>
        </w:tc>
        <w:tc>
          <w:tcPr>
            <w:tcW w:w="459" w:type="pct"/>
            <w:noWrap/>
            <w:vAlign w:val="bottom"/>
            <w:hideMark/>
          </w:tcPr>
          <w:p w14:paraId="20DB8BE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0.2%</w:t>
            </w:r>
          </w:p>
        </w:tc>
        <w:tc>
          <w:tcPr>
            <w:tcW w:w="556" w:type="pct"/>
            <w:noWrap/>
            <w:vAlign w:val="bottom"/>
            <w:hideMark/>
          </w:tcPr>
          <w:p w14:paraId="21939ADA" w14:textId="77777777" w:rsidR="00D63277" w:rsidRPr="001258B1" w:rsidRDefault="00D63277" w:rsidP="003073DF">
            <w:pPr>
              <w:jc w:val="right"/>
              <w:rPr>
                <w:rFonts w:ascii="Arial" w:hAnsi="Arial" w:cs="Arial"/>
                <w:color w:val="000000"/>
                <w:sz w:val="20"/>
                <w:lang w:val="en-GB"/>
              </w:rPr>
            </w:pPr>
          </w:p>
        </w:tc>
        <w:tc>
          <w:tcPr>
            <w:tcW w:w="435" w:type="pct"/>
            <w:noWrap/>
            <w:vAlign w:val="bottom"/>
            <w:hideMark/>
          </w:tcPr>
          <w:p w14:paraId="36A866ED"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758161BE"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7F8FB972" w14:textId="77777777" w:rsidR="00D63277" w:rsidRPr="001258B1" w:rsidRDefault="00D63277" w:rsidP="003073DF">
            <w:pPr>
              <w:rPr>
                <w:rFonts w:ascii="Arial" w:eastAsia="Times New Roman" w:hAnsi="Arial" w:cs="Arial"/>
                <w:sz w:val="20"/>
                <w:lang w:val="en-GB"/>
              </w:rPr>
            </w:pPr>
          </w:p>
        </w:tc>
        <w:tc>
          <w:tcPr>
            <w:tcW w:w="574" w:type="pct"/>
            <w:noWrap/>
            <w:vAlign w:val="bottom"/>
            <w:hideMark/>
          </w:tcPr>
          <w:p w14:paraId="47CA3B2E" w14:textId="77777777" w:rsidR="00D63277" w:rsidRPr="001258B1" w:rsidRDefault="00D63277" w:rsidP="003073DF">
            <w:pPr>
              <w:rPr>
                <w:rFonts w:ascii="Arial" w:eastAsia="Times New Roman" w:hAnsi="Arial" w:cs="Arial"/>
                <w:sz w:val="20"/>
                <w:lang w:val="en-GB"/>
              </w:rPr>
            </w:pPr>
          </w:p>
        </w:tc>
      </w:tr>
      <w:tr w:rsidR="006A6AFF" w:rsidRPr="001258B1" w14:paraId="1A1076BF" w14:textId="77777777" w:rsidTr="00763E2D">
        <w:trPr>
          <w:trHeight w:val="227"/>
        </w:trPr>
        <w:tc>
          <w:tcPr>
            <w:tcW w:w="1681" w:type="pct"/>
            <w:noWrap/>
            <w:vAlign w:val="bottom"/>
            <w:hideMark/>
          </w:tcPr>
          <w:p w14:paraId="11FB7353"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 Mixed</w:t>
            </w:r>
          </w:p>
        </w:tc>
        <w:tc>
          <w:tcPr>
            <w:tcW w:w="343" w:type="pct"/>
            <w:noWrap/>
            <w:vAlign w:val="bottom"/>
            <w:hideMark/>
          </w:tcPr>
          <w:p w14:paraId="768400C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948</w:t>
            </w:r>
          </w:p>
        </w:tc>
        <w:tc>
          <w:tcPr>
            <w:tcW w:w="459" w:type="pct"/>
            <w:noWrap/>
            <w:vAlign w:val="bottom"/>
            <w:hideMark/>
          </w:tcPr>
          <w:p w14:paraId="411FCDE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11%</w:t>
            </w:r>
          </w:p>
        </w:tc>
        <w:tc>
          <w:tcPr>
            <w:tcW w:w="556" w:type="pct"/>
            <w:noWrap/>
            <w:vAlign w:val="bottom"/>
            <w:hideMark/>
          </w:tcPr>
          <w:p w14:paraId="7C2A11EB" w14:textId="77777777" w:rsidR="00D63277" w:rsidRPr="001258B1" w:rsidRDefault="00D63277" w:rsidP="003073DF">
            <w:pPr>
              <w:jc w:val="right"/>
              <w:rPr>
                <w:rFonts w:ascii="Arial" w:hAnsi="Arial" w:cs="Arial"/>
                <w:color w:val="000000"/>
                <w:sz w:val="20"/>
                <w:lang w:val="en-GB"/>
              </w:rPr>
            </w:pPr>
          </w:p>
        </w:tc>
        <w:tc>
          <w:tcPr>
            <w:tcW w:w="435" w:type="pct"/>
            <w:noWrap/>
            <w:vAlign w:val="bottom"/>
            <w:hideMark/>
          </w:tcPr>
          <w:p w14:paraId="74FE54C3"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5C06A85C"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0675C471" w14:textId="77777777" w:rsidR="00D63277" w:rsidRPr="001258B1" w:rsidRDefault="00D63277" w:rsidP="003073DF">
            <w:pPr>
              <w:rPr>
                <w:rFonts w:ascii="Arial" w:eastAsia="Times New Roman" w:hAnsi="Arial" w:cs="Arial"/>
                <w:sz w:val="20"/>
                <w:lang w:val="en-GB"/>
              </w:rPr>
            </w:pPr>
          </w:p>
        </w:tc>
        <w:tc>
          <w:tcPr>
            <w:tcW w:w="574" w:type="pct"/>
            <w:noWrap/>
            <w:vAlign w:val="bottom"/>
            <w:hideMark/>
          </w:tcPr>
          <w:p w14:paraId="6EFDCF8E" w14:textId="77777777" w:rsidR="00D63277" w:rsidRPr="001258B1" w:rsidRDefault="00D63277" w:rsidP="003073DF">
            <w:pPr>
              <w:rPr>
                <w:rFonts w:ascii="Arial" w:eastAsia="Times New Roman" w:hAnsi="Arial" w:cs="Arial"/>
                <w:sz w:val="20"/>
                <w:lang w:val="en-GB"/>
              </w:rPr>
            </w:pPr>
          </w:p>
        </w:tc>
      </w:tr>
      <w:tr w:rsidR="006A6AFF" w:rsidRPr="001258B1" w14:paraId="113FFD70" w14:textId="77777777" w:rsidTr="00763E2D">
        <w:trPr>
          <w:trHeight w:val="227"/>
        </w:trPr>
        <w:tc>
          <w:tcPr>
            <w:tcW w:w="1681" w:type="pct"/>
            <w:noWrap/>
            <w:vAlign w:val="bottom"/>
            <w:hideMark/>
          </w:tcPr>
          <w:p w14:paraId="04A8301E"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 Reduction</w:t>
            </w:r>
          </w:p>
        </w:tc>
        <w:tc>
          <w:tcPr>
            <w:tcW w:w="343" w:type="pct"/>
            <w:noWrap/>
            <w:vAlign w:val="bottom"/>
            <w:hideMark/>
          </w:tcPr>
          <w:p w14:paraId="434AA14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7352</w:t>
            </w:r>
          </w:p>
        </w:tc>
        <w:tc>
          <w:tcPr>
            <w:tcW w:w="459" w:type="pct"/>
            <w:noWrap/>
            <w:vAlign w:val="bottom"/>
            <w:hideMark/>
          </w:tcPr>
          <w:p w14:paraId="2118F07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83%</w:t>
            </w:r>
          </w:p>
        </w:tc>
        <w:tc>
          <w:tcPr>
            <w:tcW w:w="556" w:type="pct"/>
            <w:noWrap/>
            <w:vAlign w:val="bottom"/>
            <w:hideMark/>
          </w:tcPr>
          <w:p w14:paraId="54CEB5E3" w14:textId="77777777" w:rsidR="00D63277" w:rsidRPr="001258B1" w:rsidRDefault="00D63277" w:rsidP="003073DF">
            <w:pPr>
              <w:jc w:val="right"/>
              <w:rPr>
                <w:rFonts w:ascii="Arial" w:hAnsi="Arial" w:cs="Arial"/>
                <w:color w:val="000000"/>
                <w:sz w:val="20"/>
                <w:lang w:val="en-GB"/>
              </w:rPr>
            </w:pPr>
          </w:p>
        </w:tc>
        <w:tc>
          <w:tcPr>
            <w:tcW w:w="435" w:type="pct"/>
            <w:noWrap/>
            <w:vAlign w:val="bottom"/>
            <w:hideMark/>
          </w:tcPr>
          <w:p w14:paraId="1924B470"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302AE08A" w14:textId="77777777" w:rsidR="00D63277" w:rsidRPr="001258B1" w:rsidRDefault="00D63277" w:rsidP="003073DF">
            <w:pPr>
              <w:rPr>
                <w:rFonts w:ascii="Arial" w:eastAsia="Times New Roman" w:hAnsi="Arial" w:cs="Arial"/>
                <w:sz w:val="20"/>
                <w:lang w:val="en-GB"/>
              </w:rPr>
            </w:pPr>
          </w:p>
        </w:tc>
        <w:tc>
          <w:tcPr>
            <w:tcW w:w="476" w:type="pct"/>
            <w:noWrap/>
            <w:vAlign w:val="bottom"/>
            <w:hideMark/>
          </w:tcPr>
          <w:p w14:paraId="77F4DC48" w14:textId="77777777" w:rsidR="00D63277" w:rsidRPr="001258B1" w:rsidRDefault="00D63277" w:rsidP="003073DF">
            <w:pPr>
              <w:rPr>
                <w:rFonts w:ascii="Arial" w:eastAsia="Times New Roman" w:hAnsi="Arial" w:cs="Arial"/>
                <w:sz w:val="20"/>
                <w:lang w:val="en-GB"/>
              </w:rPr>
            </w:pPr>
          </w:p>
        </w:tc>
        <w:tc>
          <w:tcPr>
            <w:tcW w:w="574" w:type="pct"/>
            <w:noWrap/>
            <w:vAlign w:val="bottom"/>
            <w:hideMark/>
          </w:tcPr>
          <w:p w14:paraId="07B3A14F" w14:textId="77777777" w:rsidR="00D63277" w:rsidRPr="001258B1" w:rsidRDefault="00D63277" w:rsidP="003073DF">
            <w:pPr>
              <w:rPr>
                <w:rFonts w:ascii="Arial" w:eastAsia="Times New Roman" w:hAnsi="Arial" w:cs="Arial"/>
                <w:sz w:val="20"/>
                <w:lang w:val="en-GB"/>
              </w:rPr>
            </w:pPr>
          </w:p>
        </w:tc>
      </w:tr>
      <w:tr w:rsidR="006A6AFF" w:rsidRPr="001258B1" w14:paraId="1EB5B7D9" w14:textId="77777777" w:rsidTr="00763E2D">
        <w:trPr>
          <w:trHeight w:val="227"/>
        </w:trPr>
        <w:tc>
          <w:tcPr>
            <w:tcW w:w="1681" w:type="pct"/>
            <w:noWrap/>
            <w:vAlign w:val="bottom"/>
            <w:hideMark/>
          </w:tcPr>
          <w:p w14:paraId="5EEA6BD5"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Total Credits Issued</w:t>
            </w:r>
          </w:p>
        </w:tc>
        <w:tc>
          <w:tcPr>
            <w:tcW w:w="343" w:type="pct"/>
            <w:noWrap/>
            <w:vAlign w:val="bottom"/>
            <w:hideMark/>
          </w:tcPr>
          <w:p w14:paraId="6237A26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0B5ECD1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215383</w:t>
            </w:r>
          </w:p>
        </w:tc>
        <w:tc>
          <w:tcPr>
            <w:tcW w:w="556" w:type="pct"/>
            <w:noWrap/>
            <w:vAlign w:val="bottom"/>
            <w:hideMark/>
          </w:tcPr>
          <w:p w14:paraId="4EEFE77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1269590</w:t>
            </w:r>
          </w:p>
        </w:tc>
        <w:tc>
          <w:tcPr>
            <w:tcW w:w="435" w:type="pct"/>
            <w:noWrap/>
            <w:vAlign w:val="bottom"/>
            <w:hideMark/>
          </w:tcPr>
          <w:p w14:paraId="648FABD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76BFB78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33F1D71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86861</w:t>
            </w:r>
          </w:p>
        </w:tc>
        <w:tc>
          <w:tcPr>
            <w:tcW w:w="574" w:type="pct"/>
            <w:noWrap/>
            <w:vAlign w:val="bottom"/>
            <w:hideMark/>
          </w:tcPr>
          <w:p w14:paraId="5FD58E0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39998290</w:t>
            </w:r>
          </w:p>
        </w:tc>
      </w:tr>
      <w:tr w:rsidR="006A6AFF" w:rsidRPr="001258B1" w14:paraId="761C4EDF" w14:textId="77777777" w:rsidTr="00763E2D">
        <w:trPr>
          <w:trHeight w:val="227"/>
        </w:trPr>
        <w:tc>
          <w:tcPr>
            <w:tcW w:w="1681" w:type="pct"/>
            <w:noWrap/>
            <w:vAlign w:val="bottom"/>
            <w:hideMark/>
          </w:tcPr>
          <w:p w14:paraId="3C5AC07F"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Total Credits Retired</w:t>
            </w:r>
          </w:p>
        </w:tc>
        <w:tc>
          <w:tcPr>
            <w:tcW w:w="343" w:type="pct"/>
            <w:noWrap/>
            <w:vAlign w:val="bottom"/>
            <w:hideMark/>
          </w:tcPr>
          <w:p w14:paraId="0097989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52C675A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116212</w:t>
            </w:r>
          </w:p>
        </w:tc>
        <w:tc>
          <w:tcPr>
            <w:tcW w:w="556" w:type="pct"/>
            <w:noWrap/>
            <w:vAlign w:val="bottom"/>
            <w:hideMark/>
          </w:tcPr>
          <w:p w14:paraId="229C97D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735716</w:t>
            </w:r>
          </w:p>
        </w:tc>
        <w:tc>
          <w:tcPr>
            <w:tcW w:w="435" w:type="pct"/>
            <w:noWrap/>
            <w:vAlign w:val="bottom"/>
            <w:hideMark/>
          </w:tcPr>
          <w:p w14:paraId="6C79979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0FB9C4E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64C31F7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29742</w:t>
            </w:r>
          </w:p>
        </w:tc>
        <w:tc>
          <w:tcPr>
            <w:tcW w:w="574" w:type="pct"/>
            <w:noWrap/>
            <w:vAlign w:val="bottom"/>
            <w:hideMark/>
          </w:tcPr>
          <w:p w14:paraId="2C9BF53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26317269</w:t>
            </w:r>
          </w:p>
        </w:tc>
      </w:tr>
      <w:tr w:rsidR="006A6AFF" w:rsidRPr="001258B1" w14:paraId="061701B5" w14:textId="77777777" w:rsidTr="00763E2D">
        <w:trPr>
          <w:trHeight w:val="227"/>
        </w:trPr>
        <w:tc>
          <w:tcPr>
            <w:tcW w:w="1681" w:type="pct"/>
            <w:noWrap/>
            <w:vAlign w:val="bottom"/>
            <w:hideMark/>
          </w:tcPr>
          <w:p w14:paraId="370AAAD0"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Total Credits Remaining</w:t>
            </w:r>
          </w:p>
        </w:tc>
        <w:tc>
          <w:tcPr>
            <w:tcW w:w="343" w:type="pct"/>
            <w:noWrap/>
            <w:vAlign w:val="bottom"/>
            <w:hideMark/>
          </w:tcPr>
          <w:p w14:paraId="2F47B35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6CB72EB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99170</w:t>
            </w:r>
          </w:p>
        </w:tc>
        <w:tc>
          <w:tcPr>
            <w:tcW w:w="556" w:type="pct"/>
            <w:noWrap/>
            <w:vAlign w:val="bottom"/>
            <w:hideMark/>
          </w:tcPr>
          <w:p w14:paraId="4A894D0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676413</w:t>
            </w:r>
          </w:p>
        </w:tc>
        <w:tc>
          <w:tcPr>
            <w:tcW w:w="435" w:type="pct"/>
            <w:noWrap/>
            <w:vAlign w:val="bottom"/>
            <w:hideMark/>
          </w:tcPr>
          <w:p w14:paraId="105DA25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-85557</w:t>
            </w:r>
          </w:p>
        </w:tc>
        <w:tc>
          <w:tcPr>
            <w:tcW w:w="476" w:type="pct"/>
            <w:noWrap/>
            <w:vAlign w:val="bottom"/>
            <w:hideMark/>
          </w:tcPr>
          <w:p w14:paraId="7329F3C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2B79925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26718</w:t>
            </w:r>
          </w:p>
        </w:tc>
        <w:tc>
          <w:tcPr>
            <w:tcW w:w="574" w:type="pct"/>
            <w:noWrap/>
            <w:vAlign w:val="bottom"/>
            <w:hideMark/>
          </w:tcPr>
          <w:p w14:paraId="71EF582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29597435</w:t>
            </w:r>
          </w:p>
        </w:tc>
      </w:tr>
      <w:tr w:rsidR="006A6AFF" w:rsidRPr="001258B1" w14:paraId="4892505C" w14:textId="77777777" w:rsidTr="00763E2D">
        <w:trPr>
          <w:trHeight w:val="227"/>
        </w:trPr>
        <w:tc>
          <w:tcPr>
            <w:tcW w:w="1681" w:type="pct"/>
            <w:noWrap/>
            <w:vAlign w:val="bottom"/>
            <w:hideMark/>
          </w:tcPr>
          <w:p w14:paraId="3BA92F2E"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Total Buffer Pool Deposits</w:t>
            </w:r>
          </w:p>
        </w:tc>
        <w:tc>
          <w:tcPr>
            <w:tcW w:w="343" w:type="pct"/>
            <w:noWrap/>
            <w:vAlign w:val="bottom"/>
            <w:hideMark/>
          </w:tcPr>
          <w:p w14:paraId="6483DAE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31722FB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10442</w:t>
            </w:r>
          </w:p>
        </w:tc>
        <w:tc>
          <w:tcPr>
            <w:tcW w:w="556" w:type="pct"/>
            <w:noWrap/>
            <w:vAlign w:val="bottom"/>
            <w:hideMark/>
          </w:tcPr>
          <w:p w14:paraId="049DE1E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152960</w:t>
            </w:r>
          </w:p>
        </w:tc>
        <w:tc>
          <w:tcPr>
            <w:tcW w:w="435" w:type="pct"/>
            <w:noWrap/>
            <w:vAlign w:val="bottom"/>
            <w:hideMark/>
          </w:tcPr>
          <w:p w14:paraId="37F0A4B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25EB46F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4E0D2BD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6A57E25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5049473</w:t>
            </w:r>
          </w:p>
        </w:tc>
      </w:tr>
      <w:tr w:rsidR="006A6AFF" w:rsidRPr="001258B1" w14:paraId="2E6EB325" w14:textId="77777777" w:rsidTr="00763E2D">
        <w:trPr>
          <w:trHeight w:val="227"/>
        </w:trPr>
        <w:tc>
          <w:tcPr>
            <w:tcW w:w="1681" w:type="pct"/>
            <w:noWrap/>
            <w:vAlign w:val="bottom"/>
            <w:hideMark/>
          </w:tcPr>
          <w:p w14:paraId="3021BAD4"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Reversals Covered by Buffer Pool</w:t>
            </w:r>
          </w:p>
        </w:tc>
        <w:tc>
          <w:tcPr>
            <w:tcW w:w="343" w:type="pct"/>
            <w:noWrap/>
            <w:vAlign w:val="bottom"/>
            <w:hideMark/>
          </w:tcPr>
          <w:p w14:paraId="190935F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11678A7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5.5</w:t>
            </w:r>
          </w:p>
        </w:tc>
        <w:tc>
          <w:tcPr>
            <w:tcW w:w="556" w:type="pct"/>
            <w:noWrap/>
            <w:vAlign w:val="bottom"/>
            <w:hideMark/>
          </w:tcPr>
          <w:p w14:paraId="4C36B86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519</w:t>
            </w:r>
          </w:p>
        </w:tc>
        <w:tc>
          <w:tcPr>
            <w:tcW w:w="435" w:type="pct"/>
            <w:noWrap/>
            <w:vAlign w:val="bottom"/>
            <w:hideMark/>
          </w:tcPr>
          <w:p w14:paraId="6A4C95A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716839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5C2C96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2CB4C82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48837</w:t>
            </w:r>
          </w:p>
        </w:tc>
      </w:tr>
      <w:tr w:rsidR="006A6AFF" w:rsidRPr="001258B1" w14:paraId="5870B0E9" w14:textId="77777777" w:rsidTr="00763E2D">
        <w:trPr>
          <w:trHeight w:val="227"/>
        </w:trPr>
        <w:tc>
          <w:tcPr>
            <w:tcW w:w="1681" w:type="pct"/>
            <w:noWrap/>
            <w:vAlign w:val="bottom"/>
            <w:hideMark/>
          </w:tcPr>
          <w:p w14:paraId="67DB5068"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Reversals Not Covered by Buffer</w:t>
            </w:r>
          </w:p>
        </w:tc>
        <w:tc>
          <w:tcPr>
            <w:tcW w:w="343" w:type="pct"/>
            <w:noWrap/>
            <w:vAlign w:val="bottom"/>
            <w:hideMark/>
          </w:tcPr>
          <w:p w14:paraId="63A887E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5373DA1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1.7</w:t>
            </w:r>
          </w:p>
        </w:tc>
        <w:tc>
          <w:tcPr>
            <w:tcW w:w="556" w:type="pct"/>
            <w:noWrap/>
            <w:vAlign w:val="bottom"/>
            <w:hideMark/>
          </w:tcPr>
          <w:p w14:paraId="1E820D9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159</w:t>
            </w:r>
          </w:p>
        </w:tc>
        <w:tc>
          <w:tcPr>
            <w:tcW w:w="435" w:type="pct"/>
            <w:noWrap/>
            <w:vAlign w:val="bottom"/>
            <w:hideMark/>
          </w:tcPr>
          <w:p w14:paraId="7E4FB83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35ADA7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F7BE1D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2E92FFE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14934</w:t>
            </w:r>
          </w:p>
        </w:tc>
      </w:tr>
      <w:tr w:rsidR="006A6AFF" w:rsidRPr="001258B1" w14:paraId="0645FE49" w14:textId="77777777" w:rsidTr="00763E2D">
        <w:trPr>
          <w:trHeight w:val="227"/>
        </w:trPr>
        <w:tc>
          <w:tcPr>
            <w:tcW w:w="1681" w:type="pct"/>
            <w:noWrap/>
            <w:vAlign w:val="bottom"/>
            <w:hideMark/>
          </w:tcPr>
          <w:p w14:paraId="763FD2FA"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Buffer Credits Released to Project</w:t>
            </w:r>
          </w:p>
        </w:tc>
        <w:tc>
          <w:tcPr>
            <w:tcW w:w="343" w:type="pct"/>
            <w:noWrap/>
            <w:vAlign w:val="bottom"/>
            <w:hideMark/>
          </w:tcPr>
          <w:p w14:paraId="098DB61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1C8F27C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740</w:t>
            </w:r>
          </w:p>
        </w:tc>
        <w:tc>
          <w:tcPr>
            <w:tcW w:w="556" w:type="pct"/>
            <w:noWrap/>
            <w:vAlign w:val="bottom"/>
            <w:hideMark/>
          </w:tcPr>
          <w:p w14:paraId="3AF7046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26541</w:t>
            </w:r>
          </w:p>
        </w:tc>
        <w:tc>
          <w:tcPr>
            <w:tcW w:w="435" w:type="pct"/>
            <w:noWrap/>
            <w:vAlign w:val="bottom"/>
            <w:hideMark/>
          </w:tcPr>
          <w:p w14:paraId="31715D0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6509CAE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43BABE9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6E2E6E2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1878938</w:t>
            </w:r>
          </w:p>
        </w:tc>
      </w:tr>
      <w:tr w:rsidR="006A6AFF" w:rsidRPr="001258B1" w14:paraId="1F63EF00" w14:textId="77777777" w:rsidTr="00763E2D">
        <w:trPr>
          <w:trHeight w:val="227"/>
        </w:trPr>
        <w:tc>
          <w:tcPr>
            <w:tcW w:w="1681" w:type="pct"/>
            <w:noWrap/>
            <w:vAlign w:val="bottom"/>
            <w:hideMark/>
          </w:tcPr>
          <w:p w14:paraId="4638D7B6"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First Year of Project (Vintage)</w:t>
            </w:r>
          </w:p>
        </w:tc>
        <w:tc>
          <w:tcPr>
            <w:tcW w:w="343" w:type="pct"/>
            <w:noWrap/>
            <w:vAlign w:val="bottom"/>
            <w:hideMark/>
          </w:tcPr>
          <w:p w14:paraId="0DB84CD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4363</w:t>
            </w:r>
          </w:p>
        </w:tc>
        <w:tc>
          <w:tcPr>
            <w:tcW w:w="459" w:type="pct"/>
            <w:noWrap/>
            <w:vAlign w:val="bottom"/>
            <w:hideMark/>
          </w:tcPr>
          <w:p w14:paraId="72699BC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2015</w:t>
            </w:r>
          </w:p>
        </w:tc>
        <w:tc>
          <w:tcPr>
            <w:tcW w:w="556" w:type="pct"/>
            <w:noWrap/>
            <w:vAlign w:val="bottom"/>
            <w:hideMark/>
          </w:tcPr>
          <w:p w14:paraId="5889941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5.3</w:t>
            </w:r>
          </w:p>
        </w:tc>
        <w:tc>
          <w:tcPr>
            <w:tcW w:w="435" w:type="pct"/>
            <w:noWrap/>
            <w:vAlign w:val="bottom"/>
            <w:hideMark/>
          </w:tcPr>
          <w:p w14:paraId="3103AAD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1996</w:t>
            </w:r>
          </w:p>
        </w:tc>
        <w:tc>
          <w:tcPr>
            <w:tcW w:w="476" w:type="pct"/>
            <w:noWrap/>
            <w:vAlign w:val="bottom"/>
            <w:hideMark/>
          </w:tcPr>
          <w:p w14:paraId="74BE14E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2010</w:t>
            </w:r>
          </w:p>
        </w:tc>
        <w:tc>
          <w:tcPr>
            <w:tcW w:w="476" w:type="pct"/>
            <w:noWrap/>
            <w:vAlign w:val="bottom"/>
            <w:hideMark/>
          </w:tcPr>
          <w:p w14:paraId="3B34EC7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2020</w:t>
            </w:r>
          </w:p>
        </w:tc>
        <w:tc>
          <w:tcPr>
            <w:tcW w:w="574" w:type="pct"/>
            <w:noWrap/>
            <w:vAlign w:val="bottom"/>
            <w:hideMark/>
          </w:tcPr>
          <w:p w14:paraId="78603F2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2024</w:t>
            </w:r>
          </w:p>
        </w:tc>
      </w:tr>
      <w:tr w:rsidR="006A6AFF" w:rsidRPr="001258B1" w14:paraId="76F78D9E" w14:textId="77777777" w:rsidTr="00763E2D">
        <w:trPr>
          <w:trHeight w:val="227"/>
        </w:trPr>
        <w:tc>
          <w:tcPr>
            <w:tcW w:w="1681" w:type="pct"/>
            <w:noWrap/>
            <w:vAlign w:val="bottom"/>
            <w:hideMark/>
          </w:tcPr>
          <w:p w14:paraId="57D48414"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2002</w:t>
            </w:r>
          </w:p>
        </w:tc>
        <w:tc>
          <w:tcPr>
            <w:tcW w:w="343" w:type="pct"/>
            <w:noWrap/>
            <w:vAlign w:val="bottom"/>
            <w:hideMark/>
          </w:tcPr>
          <w:p w14:paraId="0EDBCC2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2132F82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14</w:t>
            </w:r>
          </w:p>
        </w:tc>
        <w:tc>
          <w:tcPr>
            <w:tcW w:w="556" w:type="pct"/>
            <w:noWrap/>
            <w:vAlign w:val="bottom"/>
            <w:hideMark/>
          </w:tcPr>
          <w:p w14:paraId="3B67257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1329</w:t>
            </w:r>
          </w:p>
        </w:tc>
        <w:tc>
          <w:tcPr>
            <w:tcW w:w="435" w:type="pct"/>
            <w:noWrap/>
            <w:vAlign w:val="bottom"/>
            <w:hideMark/>
          </w:tcPr>
          <w:p w14:paraId="7F16427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401AEF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FA1453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08E93DE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125000</w:t>
            </w:r>
          </w:p>
        </w:tc>
      </w:tr>
      <w:tr w:rsidR="006A6AFF" w:rsidRPr="001258B1" w14:paraId="381111B2" w14:textId="77777777" w:rsidTr="00763E2D">
        <w:trPr>
          <w:trHeight w:val="227"/>
        </w:trPr>
        <w:tc>
          <w:tcPr>
            <w:tcW w:w="1681" w:type="pct"/>
            <w:noWrap/>
            <w:vAlign w:val="bottom"/>
            <w:hideMark/>
          </w:tcPr>
          <w:p w14:paraId="1200DF09"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2003</w:t>
            </w:r>
          </w:p>
        </w:tc>
        <w:tc>
          <w:tcPr>
            <w:tcW w:w="343" w:type="pct"/>
            <w:noWrap/>
            <w:vAlign w:val="bottom"/>
            <w:hideMark/>
          </w:tcPr>
          <w:p w14:paraId="467920A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2FE786D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56" w:type="pct"/>
            <w:noWrap/>
            <w:vAlign w:val="bottom"/>
            <w:hideMark/>
          </w:tcPr>
          <w:p w14:paraId="602C682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35" w:type="pct"/>
            <w:noWrap/>
            <w:vAlign w:val="bottom"/>
            <w:hideMark/>
          </w:tcPr>
          <w:p w14:paraId="22A3902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77DE240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2018DDB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74FD64C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r>
      <w:tr w:rsidR="006A6AFF" w:rsidRPr="001258B1" w14:paraId="754FFD46" w14:textId="77777777" w:rsidTr="00763E2D">
        <w:trPr>
          <w:trHeight w:val="227"/>
        </w:trPr>
        <w:tc>
          <w:tcPr>
            <w:tcW w:w="1681" w:type="pct"/>
            <w:noWrap/>
            <w:vAlign w:val="bottom"/>
            <w:hideMark/>
          </w:tcPr>
          <w:p w14:paraId="01E0B1DC"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2004</w:t>
            </w:r>
          </w:p>
        </w:tc>
        <w:tc>
          <w:tcPr>
            <w:tcW w:w="343" w:type="pct"/>
            <w:noWrap/>
            <w:vAlign w:val="bottom"/>
            <w:hideMark/>
          </w:tcPr>
          <w:p w14:paraId="2413F06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2BF9A09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0.056</w:t>
            </w:r>
          </w:p>
        </w:tc>
        <w:tc>
          <w:tcPr>
            <w:tcW w:w="556" w:type="pct"/>
            <w:noWrap/>
            <w:vAlign w:val="bottom"/>
            <w:hideMark/>
          </w:tcPr>
          <w:p w14:paraId="2291B7A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5.3</w:t>
            </w:r>
          </w:p>
        </w:tc>
        <w:tc>
          <w:tcPr>
            <w:tcW w:w="435" w:type="pct"/>
            <w:noWrap/>
            <w:vAlign w:val="bottom"/>
            <w:hideMark/>
          </w:tcPr>
          <w:p w14:paraId="4B3FB83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668A1BE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B5E0AB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41CD1FF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500</w:t>
            </w:r>
          </w:p>
        </w:tc>
      </w:tr>
      <w:tr w:rsidR="006A6AFF" w:rsidRPr="001258B1" w14:paraId="310564F9" w14:textId="77777777" w:rsidTr="00763E2D">
        <w:trPr>
          <w:trHeight w:val="227"/>
        </w:trPr>
        <w:tc>
          <w:tcPr>
            <w:tcW w:w="1681" w:type="pct"/>
            <w:noWrap/>
            <w:vAlign w:val="bottom"/>
            <w:hideMark/>
          </w:tcPr>
          <w:p w14:paraId="18B46FA0"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2005</w:t>
            </w:r>
          </w:p>
        </w:tc>
        <w:tc>
          <w:tcPr>
            <w:tcW w:w="343" w:type="pct"/>
            <w:noWrap/>
            <w:vAlign w:val="bottom"/>
            <w:hideMark/>
          </w:tcPr>
          <w:p w14:paraId="5D2B171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59213ED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325</w:t>
            </w:r>
          </w:p>
        </w:tc>
        <w:tc>
          <w:tcPr>
            <w:tcW w:w="556" w:type="pct"/>
            <w:noWrap/>
            <w:vAlign w:val="bottom"/>
            <w:hideMark/>
          </w:tcPr>
          <w:p w14:paraId="6B73CEF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21623</w:t>
            </w:r>
          </w:p>
        </w:tc>
        <w:tc>
          <w:tcPr>
            <w:tcW w:w="435" w:type="pct"/>
            <w:noWrap/>
            <w:vAlign w:val="bottom"/>
            <w:hideMark/>
          </w:tcPr>
          <w:p w14:paraId="54D88B7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26A252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0D1F038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79D6659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1898000</w:t>
            </w:r>
          </w:p>
        </w:tc>
      </w:tr>
      <w:tr w:rsidR="006A6AFF" w:rsidRPr="001258B1" w14:paraId="4C681D43" w14:textId="77777777" w:rsidTr="00763E2D">
        <w:trPr>
          <w:trHeight w:val="227"/>
        </w:trPr>
        <w:tc>
          <w:tcPr>
            <w:tcW w:w="1681" w:type="pct"/>
            <w:noWrap/>
            <w:vAlign w:val="bottom"/>
            <w:hideMark/>
          </w:tcPr>
          <w:p w14:paraId="36FF60A0"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2006</w:t>
            </w:r>
          </w:p>
        </w:tc>
        <w:tc>
          <w:tcPr>
            <w:tcW w:w="343" w:type="pct"/>
            <w:noWrap/>
            <w:vAlign w:val="bottom"/>
            <w:hideMark/>
          </w:tcPr>
          <w:p w14:paraId="7E2AAE7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467505D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1246</w:t>
            </w:r>
          </w:p>
        </w:tc>
        <w:tc>
          <w:tcPr>
            <w:tcW w:w="556" w:type="pct"/>
            <w:noWrap/>
            <w:vAlign w:val="bottom"/>
            <w:hideMark/>
          </w:tcPr>
          <w:p w14:paraId="126E02D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79208</w:t>
            </w:r>
          </w:p>
        </w:tc>
        <w:tc>
          <w:tcPr>
            <w:tcW w:w="435" w:type="pct"/>
            <w:noWrap/>
            <w:vAlign w:val="bottom"/>
            <w:hideMark/>
          </w:tcPr>
          <w:p w14:paraId="2170B87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7C629C4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6E1330B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7140577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6086006</w:t>
            </w:r>
          </w:p>
        </w:tc>
      </w:tr>
      <w:tr w:rsidR="006A6AFF" w:rsidRPr="001258B1" w14:paraId="02F4599A" w14:textId="77777777" w:rsidTr="00763E2D">
        <w:trPr>
          <w:trHeight w:val="227"/>
        </w:trPr>
        <w:tc>
          <w:tcPr>
            <w:tcW w:w="1681" w:type="pct"/>
            <w:noWrap/>
            <w:vAlign w:val="bottom"/>
            <w:hideMark/>
          </w:tcPr>
          <w:p w14:paraId="5137739F"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2007</w:t>
            </w:r>
          </w:p>
        </w:tc>
        <w:tc>
          <w:tcPr>
            <w:tcW w:w="343" w:type="pct"/>
            <w:noWrap/>
            <w:vAlign w:val="bottom"/>
            <w:hideMark/>
          </w:tcPr>
          <w:p w14:paraId="575B844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6CEDCE9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661</w:t>
            </w:r>
          </w:p>
        </w:tc>
        <w:tc>
          <w:tcPr>
            <w:tcW w:w="556" w:type="pct"/>
            <w:noWrap/>
            <w:vAlign w:val="bottom"/>
            <w:hideMark/>
          </w:tcPr>
          <w:p w14:paraId="7A1B3EE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27840</w:t>
            </w:r>
          </w:p>
        </w:tc>
        <w:tc>
          <w:tcPr>
            <w:tcW w:w="435" w:type="pct"/>
            <w:noWrap/>
            <w:vAlign w:val="bottom"/>
            <w:hideMark/>
          </w:tcPr>
          <w:p w14:paraId="024A4CF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77784A9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CD37EE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38B7EC6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2231178</w:t>
            </w:r>
          </w:p>
        </w:tc>
      </w:tr>
      <w:tr w:rsidR="006A6AFF" w:rsidRPr="001258B1" w14:paraId="2EFDE001" w14:textId="77777777" w:rsidTr="00763E2D">
        <w:trPr>
          <w:trHeight w:val="227"/>
        </w:trPr>
        <w:tc>
          <w:tcPr>
            <w:tcW w:w="1681" w:type="pct"/>
            <w:noWrap/>
            <w:vAlign w:val="bottom"/>
            <w:hideMark/>
          </w:tcPr>
          <w:p w14:paraId="731E0EEE"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2008</w:t>
            </w:r>
          </w:p>
        </w:tc>
        <w:tc>
          <w:tcPr>
            <w:tcW w:w="343" w:type="pct"/>
            <w:noWrap/>
            <w:vAlign w:val="bottom"/>
            <w:hideMark/>
          </w:tcPr>
          <w:p w14:paraId="632FC42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3A863C4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994</w:t>
            </w:r>
          </w:p>
        </w:tc>
        <w:tc>
          <w:tcPr>
            <w:tcW w:w="556" w:type="pct"/>
            <w:noWrap/>
            <w:vAlign w:val="bottom"/>
            <w:hideMark/>
          </w:tcPr>
          <w:p w14:paraId="4AC35DA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41926</w:t>
            </w:r>
          </w:p>
        </w:tc>
        <w:tc>
          <w:tcPr>
            <w:tcW w:w="435" w:type="pct"/>
            <w:noWrap/>
            <w:vAlign w:val="bottom"/>
            <w:hideMark/>
          </w:tcPr>
          <w:p w14:paraId="43EC1AF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3D467E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6A1E1E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5B64397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3024628</w:t>
            </w:r>
          </w:p>
        </w:tc>
      </w:tr>
      <w:tr w:rsidR="006A6AFF" w:rsidRPr="001258B1" w14:paraId="1DA3FBCC" w14:textId="77777777" w:rsidTr="00763E2D">
        <w:trPr>
          <w:trHeight w:val="227"/>
        </w:trPr>
        <w:tc>
          <w:tcPr>
            <w:tcW w:w="1681" w:type="pct"/>
            <w:noWrap/>
            <w:vAlign w:val="bottom"/>
            <w:hideMark/>
          </w:tcPr>
          <w:p w14:paraId="5C87424E"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2009</w:t>
            </w:r>
          </w:p>
        </w:tc>
        <w:tc>
          <w:tcPr>
            <w:tcW w:w="343" w:type="pct"/>
            <w:noWrap/>
            <w:vAlign w:val="bottom"/>
            <w:hideMark/>
          </w:tcPr>
          <w:p w14:paraId="4C07902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59326F5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3438</w:t>
            </w:r>
          </w:p>
        </w:tc>
        <w:tc>
          <w:tcPr>
            <w:tcW w:w="556" w:type="pct"/>
            <w:noWrap/>
            <w:vAlign w:val="bottom"/>
            <w:hideMark/>
          </w:tcPr>
          <w:p w14:paraId="7EE5BBB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61791</w:t>
            </w:r>
          </w:p>
        </w:tc>
        <w:tc>
          <w:tcPr>
            <w:tcW w:w="435" w:type="pct"/>
            <w:noWrap/>
            <w:vAlign w:val="bottom"/>
            <w:hideMark/>
          </w:tcPr>
          <w:p w14:paraId="4E5F18E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314BED7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48E22FB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284C995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4881729</w:t>
            </w:r>
          </w:p>
        </w:tc>
      </w:tr>
      <w:tr w:rsidR="006A6AFF" w:rsidRPr="001258B1" w14:paraId="081DB1E9" w14:textId="77777777" w:rsidTr="00763E2D">
        <w:trPr>
          <w:trHeight w:val="227"/>
        </w:trPr>
        <w:tc>
          <w:tcPr>
            <w:tcW w:w="1681" w:type="pct"/>
            <w:noWrap/>
            <w:vAlign w:val="bottom"/>
            <w:hideMark/>
          </w:tcPr>
          <w:p w14:paraId="36FF7C61"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2010</w:t>
            </w:r>
          </w:p>
        </w:tc>
        <w:tc>
          <w:tcPr>
            <w:tcW w:w="343" w:type="pct"/>
            <w:noWrap/>
            <w:vAlign w:val="bottom"/>
            <w:hideMark/>
          </w:tcPr>
          <w:p w14:paraId="025362B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53FED94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4553</w:t>
            </w:r>
          </w:p>
        </w:tc>
        <w:tc>
          <w:tcPr>
            <w:tcW w:w="556" w:type="pct"/>
            <w:noWrap/>
            <w:vAlign w:val="bottom"/>
            <w:hideMark/>
          </w:tcPr>
          <w:p w14:paraId="72E2479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66336</w:t>
            </w:r>
          </w:p>
        </w:tc>
        <w:tc>
          <w:tcPr>
            <w:tcW w:w="435" w:type="pct"/>
            <w:noWrap/>
            <w:vAlign w:val="bottom"/>
            <w:hideMark/>
          </w:tcPr>
          <w:p w14:paraId="6DE26C8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226AB27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724C577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75C455D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4483537</w:t>
            </w:r>
          </w:p>
        </w:tc>
      </w:tr>
      <w:tr w:rsidR="006A6AFF" w:rsidRPr="001258B1" w14:paraId="77FF3DFA" w14:textId="77777777" w:rsidTr="00763E2D">
        <w:trPr>
          <w:trHeight w:val="227"/>
        </w:trPr>
        <w:tc>
          <w:tcPr>
            <w:tcW w:w="1681" w:type="pct"/>
            <w:noWrap/>
            <w:vAlign w:val="bottom"/>
            <w:hideMark/>
          </w:tcPr>
          <w:p w14:paraId="763EEFEA"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2011</w:t>
            </w:r>
          </w:p>
        </w:tc>
        <w:tc>
          <w:tcPr>
            <w:tcW w:w="343" w:type="pct"/>
            <w:noWrap/>
            <w:vAlign w:val="bottom"/>
            <w:hideMark/>
          </w:tcPr>
          <w:p w14:paraId="6786CDA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398C843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4810</w:t>
            </w:r>
          </w:p>
        </w:tc>
        <w:tc>
          <w:tcPr>
            <w:tcW w:w="556" w:type="pct"/>
            <w:noWrap/>
            <w:vAlign w:val="bottom"/>
            <w:hideMark/>
          </w:tcPr>
          <w:p w14:paraId="5EB9182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52443</w:t>
            </w:r>
          </w:p>
        </w:tc>
        <w:tc>
          <w:tcPr>
            <w:tcW w:w="435" w:type="pct"/>
            <w:noWrap/>
            <w:vAlign w:val="bottom"/>
            <w:hideMark/>
          </w:tcPr>
          <w:p w14:paraId="7DE1939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1E91EB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774C382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4213430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1934722</w:t>
            </w:r>
          </w:p>
        </w:tc>
      </w:tr>
      <w:tr w:rsidR="006A6AFF" w:rsidRPr="001258B1" w14:paraId="6FC5E154" w14:textId="77777777" w:rsidTr="00763E2D">
        <w:trPr>
          <w:trHeight w:val="227"/>
        </w:trPr>
        <w:tc>
          <w:tcPr>
            <w:tcW w:w="1681" w:type="pct"/>
            <w:noWrap/>
            <w:vAlign w:val="bottom"/>
            <w:hideMark/>
          </w:tcPr>
          <w:p w14:paraId="15F9A93E"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2012</w:t>
            </w:r>
          </w:p>
        </w:tc>
        <w:tc>
          <w:tcPr>
            <w:tcW w:w="343" w:type="pct"/>
            <w:noWrap/>
            <w:vAlign w:val="bottom"/>
            <w:hideMark/>
          </w:tcPr>
          <w:p w14:paraId="25DE67F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6046802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7453</w:t>
            </w:r>
          </w:p>
        </w:tc>
        <w:tc>
          <w:tcPr>
            <w:tcW w:w="556" w:type="pct"/>
            <w:noWrap/>
            <w:vAlign w:val="bottom"/>
            <w:hideMark/>
          </w:tcPr>
          <w:p w14:paraId="0BAE94A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103885</w:t>
            </w:r>
          </w:p>
        </w:tc>
        <w:tc>
          <w:tcPr>
            <w:tcW w:w="435" w:type="pct"/>
            <w:noWrap/>
            <w:vAlign w:val="bottom"/>
            <w:hideMark/>
          </w:tcPr>
          <w:p w14:paraId="4389D7F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A2FA80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314EDBD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39543D7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4865137</w:t>
            </w:r>
          </w:p>
        </w:tc>
      </w:tr>
      <w:tr w:rsidR="006A6AFF" w:rsidRPr="001258B1" w14:paraId="3380F8DD" w14:textId="77777777" w:rsidTr="00763E2D">
        <w:trPr>
          <w:trHeight w:val="227"/>
        </w:trPr>
        <w:tc>
          <w:tcPr>
            <w:tcW w:w="1681" w:type="pct"/>
            <w:noWrap/>
            <w:vAlign w:val="bottom"/>
            <w:hideMark/>
          </w:tcPr>
          <w:p w14:paraId="15624615"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2013</w:t>
            </w:r>
          </w:p>
        </w:tc>
        <w:tc>
          <w:tcPr>
            <w:tcW w:w="343" w:type="pct"/>
            <w:noWrap/>
            <w:vAlign w:val="bottom"/>
            <w:hideMark/>
          </w:tcPr>
          <w:p w14:paraId="7627632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6012B81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7733</w:t>
            </w:r>
          </w:p>
        </w:tc>
        <w:tc>
          <w:tcPr>
            <w:tcW w:w="556" w:type="pct"/>
            <w:noWrap/>
            <w:vAlign w:val="bottom"/>
            <w:hideMark/>
          </w:tcPr>
          <w:p w14:paraId="492E032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139783</w:t>
            </w:r>
          </w:p>
        </w:tc>
        <w:tc>
          <w:tcPr>
            <w:tcW w:w="435" w:type="pct"/>
            <w:noWrap/>
            <w:vAlign w:val="bottom"/>
            <w:hideMark/>
          </w:tcPr>
          <w:p w14:paraId="053CE2F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0BDBDCC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0CB05C0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64C6A3A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9015685</w:t>
            </w:r>
          </w:p>
        </w:tc>
      </w:tr>
      <w:tr w:rsidR="006A6AFF" w:rsidRPr="001258B1" w14:paraId="0E6E939F" w14:textId="77777777" w:rsidTr="00763E2D">
        <w:trPr>
          <w:trHeight w:val="227"/>
        </w:trPr>
        <w:tc>
          <w:tcPr>
            <w:tcW w:w="1681" w:type="pct"/>
            <w:noWrap/>
            <w:vAlign w:val="bottom"/>
            <w:hideMark/>
          </w:tcPr>
          <w:p w14:paraId="75D7FCCA"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2014</w:t>
            </w:r>
          </w:p>
        </w:tc>
        <w:tc>
          <w:tcPr>
            <w:tcW w:w="343" w:type="pct"/>
            <w:noWrap/>
            <w:vAlign w:val="bottom"/>
            <w:hideMark/>
          </w:tcPr>
          <w:p w14:paraId="7A09CEA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654A1E3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5560</w:t>
            </w:r>
          </w:p>
        </w:tc>
        <w:tc>
          <w:tcPr>
            <w:tcW w:w="556" w:type="pct"/>
            <w:noWrap/>
            <w:vAlign w:val="bottom"/>
            <w:hideMark/>
          </w:tcPr>
          <w:p w14:paraId="6775B7F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78416</w:t>
            </w:r>
          </w:p>
        </w:tc>
        <w:tc>
          <w:tcPr>
            <w:tcW w:w="435" w:type="pct"/>
            <w:noWrap/>
            <w:vAlign w:val="bottom"/>
            <w:hideMark/>
          </w:tcPr>
          <w:p w14:paraId="2A202B7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2F315EA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40943B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4277F13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5772071</w:t>
            </w:r>
          </w:p>
        </w:tc>
      </w:tr>
      <w:tr w:rsidR="006A6AFF" w:rsidRPr="001258B1" w14:paraId="315D0E59" w14:textId="77777777" w:rsidTr="00763E2D">
        <w:trPr>
          <w:trHeight w:val="227"/>
        </w:trPr>
        <w:tc>
          <w:tcPr>
            <w:tcW w:w="1681" w:type="pct"/>
            <w:noWrap/>
            <w:vAlign w:val="bottom"/>
            <w:hideMark/>
          </w:tcPr>
          <w:p w14:paraId="4321E1CD"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2015</w:t>
            </w:r>
          </w:p>
        </w:tc>
        <w:tc>
          <w:tcPr>
            <w:tcW w:w="343" w:type="pct"/>
            <w:noWrap/>
            <w:vAlign w:val="bottom"/>
            <w:hideMark/>
          </w:tcPr>
          <w:p w14:paraId="05E0414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0735F9E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5401</w:t>
            </w:r>
          </w:p>
        </w:tc>
        <w:tc>
          <w:tcPr>
            <w:tcW w:w="556" w:type="pct"/>
            <w:noWrap/>
            <w:vAlign w:val="bottom"/>
            <w:hideMark/>
          </w:tcPr>
          <w:p w14:paraId="3CC1892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62714</w:t>
            </w:r>
          </w:p>
        </w:tc>
        <w:tc>
          <w:tcPr>
            <w:tcW w:w="435" w:type="pct"/>
            <w:noWrap/>
            <w:vAlign w:val="bottom"/>
            <w:hideMark/>
          </w:tcPr>
          <w:p w14:paraId="67B6B23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66E0ED0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DF1429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0B936A2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2722170</w:t>
            </w:r>
          </w:p>
        </w:tc>
      </w:tr>
      <w:tr w:rsidR="006A6AFF" w:rsidRPr="001258B1" w14:paraId="62886AFF" w14:textId="77777777" w:rsidTr="00763E2D">
        <w:trPr>
          <w:trHeight w:val="227"/>
        </w:trPr>
        <w:tc>
          <w:tcPr>
            <w:tcW w:w="1681" w:type="pct"/>
            <w:noWrap/>
            <w:vAlign w:val="bottom"/>
            <w:hideMark/>
          </w:tcPr>
          <w:p w14:paraId="59FC498B"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2016</w:t>
            </w:r>
          </w:p>
        </w:tc>
        <w:tc>
          <w:tcPr>
            <w:tcW w:w="343" w:type="pct"/>
            <w:noWrap/>
            <w:vAlign w:val="bottom"/>
            <w:hideMark/>
          </w:tcPr>
          <w:p w14:paraId="3E9E31D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55EABE8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4080</w:t>
            </w:r>
          </w:p>
        </w:tc>
        <w:tc>
          <w:tcPr>
            <w:tcW w:w="556" w:type="pct"/>
            <w:noWrap/>
            <w:vAlign w:val="bottom"/>
            <w:hideMark/>
          </w:tcPr>
          <w:p w14:paraId="299B139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46730</w:t>
            </w:r>
          </w:p>
        </w:tc>
        <w:tc>
          <w:tcPr>
            <w:tcW w:w="435" w:type="pct"/>
            <w:noWrap/>
            <w:vAlign w:val="bottom"/>
            <w:hideMark/>
          </w:tcPr>
          <w:p w14:paraId="3D4B283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0752FE8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5FB697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690AE88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2126828</w:t>
            </w:r>
          </w:p>
        </w:tc>
      </w:tr>
      <w:tr w:rsidR="006A6AFF" w:rsidRPr="001258B1" w14:paraId="18C94CE3" w14:textId="77777777" w:rsidTr="00763E2D">
        <w:trPr>
          <w:trHeight w:val="227"/>
        </w:trPr>
        <w:tc>
          <w:tcPr>
            <w:tcW w:w="1681" w:type="pct"/>
            <w:noWrap/>
            <w:vAlign w:val="bottom"/>
            <w:hideMark/>
          </w:tcPr>
          <w:p w14:paraId="267DA98E"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2017</w:t>
            </w:r>
          </w:p>
        </w:tc>
        <w:tc>
          <w:tcPr>
            <w:tcW w:w="343" w:type="pct"/>
            <w:noWrap/>
            <w:vAlign w:val="bottom"/>
            <w:hideMark/>
          </w:tcPr>
          <w:p w14:paraId="3DDE7C2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1B4E06F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10844</w:t>
            </w:r>
          </w:p>
        </w:tc>
        <w:tc>
          <w:tcPr>
            <w:tcW w:w="556" w:type="pct"/>
            <w:noWrap/>
            <w:vAlign w:val="bottom"/>
            <w:hideMark/>
          </w:tcPr>
          <w:p w14:paraId="1B6EE67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250964</w:t>
            </w:r>
          </w:p>
        </w:tc>
        <w:tc>
          <w:tcPr>
            <w:tcW w:w="435" w:type="pct"/>
            <w:noWrap/>
            <w:vAlign w:val="bottom"/>
            <w:hideMark/>
          </w:tcPr>
          <w:p w14:paraId="088B17F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B22A72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B72A5B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584CE3B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14165124</w:t>
            </w:r>
          </w:p>
        </w:tc>
      </w:tr>
      <w:tr w:rsidR="006A6AFF" w:rsidRPr="001258B1" w14:paraId="36B494C2" w14:textId="77777777" w:rsidTr="00763E2D">
        <w:trPr>
          <w:trHeight w:val="227"/>
        </w:trPr>
        <w:tc>
          <w:tcPr>
            <w:tcW w:w="1681" w:type="pct"/>
            <w:noWrap/>
            <w:vAlign w:val="bottom"/>
            <w:hideMark/>
          </w:tcPr>
          <w:p w14:paraId="7D974CAB"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2018</w:t>
            </w:r>
          </w:p>
        </w:tc>
        <w:tc>
          <w:tcPr>
            <w:tcW w:w="343" w:type="pct"/>
            <w:noWrap/>
            <w:vAlign w:val="bottom"/>
            <w:hideMark/>
          </w:tcPr>
          <w:p w14:paraId="306542C5"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37BF42C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9687</w:t>
            </w:r>
          </w:p>
        </w:tc>
        <w:tc>
          <w:tcPr>
            <w:tcW w:w="556" w:type="pct"/>
            <w:noWrap/>
            <w:vAlign w:val="bottom"/>
            <w:hideMark/>
          </w:tcPr>
          <w:p w14:paraId="3F71A383"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151714</w:t>
            </w:r>
          </w:p>
        </w:tc>
        <w:tc>
          <w:tcPr>
            <w:tcW w:w="435" w:type="pct"/>
            <w:noWrap/>
            <w:vAlign w:val="bottom"/>
            <w:hideMark/>
          </w:tcPr>
          <w:p w14:paraId="059A9C8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7749D6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6FC7132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43372C8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7985332</w:t>
            </w:r>
          </w:p>
        </w:tc>
      </w:tr>
      <w:tr w:rsidR="006A6AFF" w:rsidRPr="001258B1" w14:paraId="0A6487C1" w14:textId="77777777" w:rsidTr="00763E2D">
        <w:trPr>
          <w:trHeight w:val="227"/>
        </w:trPr>
        <w:tc>
          <w:tcPr>
            <w:tcW w:w="1681" w:type="pct"/>
            <w:noWrap/>
            <w:vAlign w:val="bottom"/>
            <w:hideMark/>
          </w:tcPr>
          <w:p w14:paraId="48BB9C29"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2019</w:t>
            </w:r>
          </w:p>
        </w:tc>
        <w:tc>
          <w:tcPr>
            <w:tcW w:w="343" w:type="pct"/>
            <w:noWrap/>
            <w:vAlign w:val="bottom"/>
            <w:hideMark/>
          </w:tcPr>
          <w:p w14:paraId="6062A7E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43CF84E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17225</w:t>
            </w:r>
          </w:p>
        </w:tc>
        <w:tc>
          <w:tcPr>
            <w:tcW w:w="556" w:type="pct"/>
            <w:noWrap/>
            <w:vAlign w:val="bottom"/>
            <w:hideMark/>
          </w:tcPr>
          <w:p w14:paraId="0B29AEA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269437</w:t>
            </w:r>
          </w:p>
        </w:tc>
        <w:tc>
          <w:tcPr>
            <w:tcW w:w="435" w:type="pct"/>
            <w:noWrap/>
            <w:vAlign w:val="bottom"/>
            <w:hideMark/>
          </w:tcPr>
          <w:p w14:paraId="591D899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D335E2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6B0269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7EC5EEB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15322772</w:t>
            </w:r>
          </w:p>
        </w:tc>
      </w:tr>
      <w:tr w:rsidR="006A6AFF" w:rsidRPr="001258B1" w14:paraId="5F05D7A8" w14:textId="77777777" w:rsidTr="00763E2D">
        <w:trPr>
          <w:trHeight w:val="227"/>
        </w:trPr>
        <w:tc>
          <w:tcPr>
            <w:tcW w:w="1681" w:type="pct"/>
            <w:noWrap/>
            <w:vAlign w:val="bottom"/>
            <w:hideMark/>
          </w:tcPr>
          <w:p w14:paraId="4DB8A857"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2020</w:t>
            </w:r>
          </w:p>
        </w:tc>
        <w:tc>
          <w:tcPr>
            <w:tcW w:w="343" w:type="pct"/>
            <w:noWrap/>
            <w:vAlign w:val="bottom"/>
            <w:hideMark/>
          </w:tcPr>
          <w:p w14:paraId="401EF86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7F2C8FB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20764</w:t>
            </w:r>
          </w:p>
        </w:tc>
        <w:tc>
          <w:tcPr>
            <w:tcW w:w="556" w:type="pct"/>
            <w:noWrap/>
            <w:vAlign w:val="bottom"/>
            <w:hideMark/>
          </w:tcPr>
          <w:p w14:paraId="6B92227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199772</w:t>
            </w:r>
          </w:p>
        </w:tc>
        <w:tc>
          <w:tcPr>
            <w:tcW w:w="435" w:type="pct"/>
            <w:noWrap/>
            <w:vAlign w:val="bottom"/>
            <w:hideMark/>
          </w:tcPr>
          <w:p w14:paraId="604117E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3C3EEFA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57DBC3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53AAEAF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9059054</w:t>
            </w:r>
          </w:p>
        </w:tc>
      </w:tr>
      <w:tr w:rsidR="006A6AFF" w:rsidRPr="001258B1" w14:paraId="53340BF4" w14:textId="77777777" w:rsidTr="00763E2D">
        <w:trPr>
          <w:trHeight w:val="227"/>
        </w:trPr>
        <w:tc>
          <w:tcPr>
            <w:tcW w:w="1681" w:type="pct"/>
            <w:noWrap/>
            <w:vAlign w:val="bottom"/>
            <w:hideMark/>
          </w:tcPr>
          <w:p w14:paraId="7E2F2982"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2021</w:t>
            </w:r>
          </w:p>
        </w:tc>
        <w:tc>
          <w:tcPr>
            <w:tcW w:w="343" w:type="pct"/>
            <w:noWrap/>
            <w:vAlign w:val="bottom"/>
            <w:hideMark/>
          </w:tcPr>
          <w:p w14:paraId="72586C7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4546F8D0"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32220</w:t>
            </w:r>
          </w:p>
        </w:tc>
        <w:tc>
          <w:tcPr>
            <w:tcW w:w="556" w:type="pct"/>
            <w:noWrap/>
            <w:vAlign w:val="bottom"/>
            <w:hideMark/>
          </w:tcPr>
          <w:p w14:paraId="4EC411B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300370</w:t>
            </w:r>
          </w:p>
        </w:tc>
        <w:tc>
          <w:tcPr>
            <w:tcW w:w="435" w:type="pct"/>
            <w:noWrap/>
            <w:vAlign w:val="bottom"/>
            <w:hideMark/>
          </w:tcPr>
          <w:p w14:paraId="52E85E44"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377526C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245E66F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54A1833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11838831</w:t>
            </w:r>
          </w:p>
        </w:tc>
      </w:tr>
      <w:tr w:rsidR="006A6AFF" w:rsidRPr="001258B1" w14:paraId="0033845B" w14:textId="77777777" w:rsidTr="00763E2D">
        <w:trPr>
          <w:trHeight w:val="227"/>
        </w:trPr>
        <w:tc>
          <w:tcPr>
            <w:tcW w:w="1681" w:type="pct"/>
            <w:noWrap/>
            <w:vAlign w:val="bottom"/>
            <w:hideMark/>
          </w:tcPr>
          <w:p w14:paraId="0EBB7F36"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2022</w:t>
            </w:r>
          </w:p>
        </w:tc>
        <w:tc>
          <w:tcPr>
            <w:tcW w:w="343" w:type="pct"/>
            <w:noWrap/>
            <w:vAlign w:val="bottom"/>
            <w:hideMark/>
          </w:tcPr>
          <w:p w14:paraId="4A0BFFD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496321B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31136</w:t>
            </w:r>
          </w:p>
        </w:tc>
        <w:tc>
          <w:tcPr>
            <w:tcW w:w="556" w:type="pct"/>
            <w:noWrap/>
            <w:vAlign w:val="bottom"/>
            <w:hideMark/>
          </w:tcPr>
          <w:p w14:paraId="7B123DC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322630</w:t>
            </w:r>
          </w:p>
        </w:tc>
        <w:tc>
          <w:tcPr>
            <w:tcW w:w="435" w:type="pct"/>
            <w:noWrap/>
            <w:vAlign w:val="bottom"/>
            <w:hideMark/>
          </w:tcPr>
          <w:p w14:paraId="05D9E221"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12C4BAD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203FD1EC"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4B651716"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23703328</w:t>
            </w:r>
          </w:p>
        </w:tc>
      </w:tr>
      <w:tr w:rsidR="006A6AFF" w:rsidRPr="001258B1" w14:paraId="56945CAE" w14:textId="77777777" w:rsidTr="00763E2D">
        <w:trPr>
          <w:trHeight w:val="227"/>
        </w:trPr>
        <w:tc>
          <w:tcPr>
            <w:tcW w:w="1681" w:type="pct"/>
            <w:noWrap/>
            <w:vAlign w:val="bottom"/>
            <w:hideMark/>
          </w:tcPr>
          <w:p w14:paraId="536956F9"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2023</w:t>
            </w:r>
          </w:p>
        </w:tc>
        <w:tc>
          <w:tcPr>
            <w:tcW w:w="343" w:type="pct"/>
            <w:noWrap/>
            <w:vAlign w:val="bottom"/>
            <w:hideMark/>
          </w:tcPr>
          <w:p w14:paraId="0B3A65F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5A66EFA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29423</w:t>
            </w:r>
          </w:p>
        </w:tc>
        <w:tc>
          <w:tcPr>
            <w:tcW w:w="556" w:type="pct"/>
            <w:noWrap/>
            <w:vAlign w:val="bottom"/>
            <w:hideMark/>
          </w:tcPr>
          <w:p w14:paraId="3A05A11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235742</w:t>
            </w:r>
          </w:p>
        </w:tc>
        <w:tc>
          <w:tcPr>
            <w:tcW w:w="435" w:type="pct"/>
            <w:noWrap/>
            <w:vAlign w:val="bottom"/>
            <w:hideMark/>
          </w:tcPr>
          <w:p w14:paraId="050259CF"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463C1B3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0AEDC01D"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5DEFE0EA"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11371671</w:t>
            </w:r>
          </w:p>
        </w:tc>
      </w:tr>
      <w:tr w:rsidR="006A6AFF" w:rsidRPr="001258B1" w14:paraId="0262D1C9" w14:textId="77777777" w:rsidTr="00763E2D">
        <w:trPr>
          <w:trHeight w:val="227"/>
        </w:trPr>
        <w:tc>
          <w:tcPr>
            <w:tcW w:w="1681" w:type="pct"/>
            <w:noWrap/>
            <w:vAlign w:val="bottom"/>
            <w:hideMark/>
          </w:tcPr>
          <w:p w14:paraId="14B459BA" w14:textId="77777777" w:rsidR="00D63277" w:rsidRPr="001258B1" w:rsidRDefault="00D63277" w:rsidP="003073DF">
            <w:pPr>
              <w:rPr>
                <w:rFonts w:ascii="Arial" w:hAnsi="Arial" w:cs="Arial"/>
                <w:color w:val="000000"/>
                <w:sz w:val="20"/>
                <w:lang w:val="en-GB"/>
              </w:rPr>
            </w:pPr>
            <w:r w:rsidRPr="001258B1">
              <w:rPr>
                <w:rFonts w:ascii="Arial" w:hAnsi="Arial" w:cs="Arial"/>
                <w:color w:val="000000"/>
                <w:sz w:val="20"/>
                <w:lang w:val="en-GB"/>
              </w:rPr>
              <w:t>2024</w:t>
            </w:r>
          </w:p>
        </w:tc>
        <w:tc>
          <w:tcPr>
            <w:tcW w:w="343" w:type="pct"/>
            <w:noWrap/>
            <w:vAlign w:val="bottom"/>
            <w:hideMark/>
          </w:tcPr>
          <w:p w14:paraId="65E2F83B"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8850</w:t>
            </w:r>
          </w:p>
        </w:tc>
        <w:tc>
          <w:tcPr>
            <w:tcW w:w="459" w:type="pct"/>
            <w:noWrap/>
            <w:vAlign w:val="bottom"/>
            <w:hideMark/>
          </w:tcPr>
          <w:p w14:paraId="4F59CA19"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17814</w:t>
            </w:r>
          </w:p>
        </w:tc>
        <w:tc>
          <w:tcPr>
            <w:tcW w:w="556" w:type="pct"/>
            <w:noWrap/>
            <w:vAlign w:val="bottom"/>
            <w:hideMark/>
          </w:tcPr>
          <w:p w14:paraId="42AAF2AE"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151974</w:t>
            </w:r>
          </w:p>
        </w:tc>
        <w:tc>
          <w:tcPr>
            <w:tcW w:w="435" w:type="pct"/>
            <w:noWrap/>
            <w:vAlign w:val="bottom"/>
            <w:hideMark/>
          </w:tcPr>
          <w:p w14:paraId="332CCFA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59264C32"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476" w:type="pct"/>
            <w:noWrap/>
            <w:vAlign w:val="bottom"/>
            <w:hideMark/>
          </w:tcPr>
          <w:p w14:paraId="2D460BE8"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0</w:t>
            </w:r>
          </w:p>
        </w:tc>
        <w:tc>
          <w:tcPr>
            <w:tcW w:w="574" w:type="pct"/>
            <w:noWrap/>
            <w:vAlign w:val="bottom"/>
            <w:hideMark/>
          </w:tcPr>
          <w:p w14:paraId="734392C7" w14:textId="77777777" w:rsidR="00D63277" w:rsidRPr="001258B1" w:rsidRDefault="00D63277" w:rsidP="003073DF">
            <w:pPr>
              <w:jc w:val="right"/>
              <w:rPr>
                <w:rFonts w:ascii="Arial" w:hAnsi="Arial" w:cs="Arial"/>
                <w:color w:val="000000"/>
                <w:sz w:val="20"/>
                <w:lang w:val="en-GB"/>
              </w:rPr>
            </w:pPr>
            <w:r w:rsidRPr="001258B1">
              <w:rPr>
                <w:rFonts w:ascii="Arial" w:hAnsi="Arial" w:cs="Arial"/>
                <w:color w:val="000000"/>
                <w:sz w:val="20"/>
                <w:lang w:val="en-GB"/>
              </w:rPr>
              <w:t>6334750</w:t>
            </w:r>
          </w:p>
        </w:tc>
      </w:tr>
    </w:tbl>
    <w:p w14:paraId="43D58471" w14:textId="77777777" w:rsidR="00A8737D" w:rsidRPr="00FD5114" w:rsidRDefault="00A8737D" w:rsidP="00256C79">
      <w:pPr>
        <w:pStyle w:val="SMcaption"/>
        <w:spacing w:line="276" w:lineRule="auto"/>
        <w:rPr>
          <w:rFonts w:ascii="Arial" w:hAnsi="Arial" w:cs="Arial"/>
          <w:sz w:val="20"/>
          <w:lang w:val="en-GB"/>
        </w:rPr>
      </w:pPr>
      <w:r w:rsidRPr="00FD5114">
        <w:rPr>
          <w:rFonts w:ascii="Arial" w:hAnsi="Arial" w:cs="Arial"/>
          <w:sz w:val="20"/>
          <w:lang w:val="en-GB"/>
        </w:rPr>
        <w:t>Notes: The year variables (2002-2024) refer to the number of credits issued in that year.</w:t>
      </w:r>
    </w:p>
    <w:p w14:paraId="6418B806" w14:textId="74145B85" w:rsidR="00763E2D" w:rsidRPr="00D16AB0" w:rsidRDefault="00763E2D" w:rsidP="00256C79">
      <w:pPr>
        <w:spacing w:line="276" w:lineRule="auto"/>
        <w:rPr>
          <w:rFonts w:ascii="Arial" w:hAnsi="Arial" w:cs="Arial"/>
          <w:sz w:val="21"/>
          <w:szCs w:val="21"/>
          <w:lang w:val="en-GB" w:eastAsia="zh-CN"/>
        </w:rPr>
      </w:pPr>
      <w:r w:rsidRPr="00D16AB0">
        <w:rPr>
          <w:rFonts w:ascii="Arial" w:hAnsi="Arial" w:cs="Arial"/>
          <w:sz w:val="21"/>
          <w:szCs w:val="21"/>
          <w:lang w:val="en-GB" w:eastAsia="zh-CN"/>
        </w:rPr>
        <w:br w:type="page"/>
      </w:r>
    </w:p>
    <w:p w14:paraId="4C07F3A1" w14:textId="6FC84974" w:rsidR="00D63277" w:rsidRPr="00D16AB0" w:rsidRDefault="0020522F" w:rsidP="00E038FA">
      <w:pPr>
        <w:pStyle w:val="SMSubheading"/>
        <w:spacing w:beforeLines="50" w:before="120" w:line="276" w:lineRule="auto"/>
        <w:rPr>
          <w:rFonts w:ascii="Arial" w:hAnsi="Arial" w:cs="Arial"/>
          <w:b/>
          <w:bCs/>
          <w:sz w:val="21"/>
          <w:szCs w:val="21"/>
          <w:u w:val="none"/>
          <w:lang w:val="en-GB"/>
        </w:rPr>
      </w:pPr>
      <w:bookmarkStart w:id="300" w:name="_Toc214982047"/>
      <w:bookmarkStart w:id="301" w:name="_Toc214984271"/>
      <w:bookmarkStart w:id="302" w:name="_Toc214984297"/>
      <w:bookmarkStart w:id="303" w:name="_Toc214984967"/>
      <w:bookmarkStart w:id="304" w:name="_Toc214985856"/>
      <w:bookmarkStart w:id="305" w:name="_Toc214986998"/>
      <w:r w:rsidRPr="00D16AB0">
        <w:rPr>
          <w:rFonts w:ascii="Arial" w:hAnsi="Arial" w:cs="Arial"/>
          <w:b/>
          <w:bCs/>
          <w:sz w:val="21"/>
          <w:szCs w:val="21"/>
          <w:u w:val="none"/>
          <w:lang w:val="en-GB"/>
        </w:rPr>
        <w:lastRenderedPageBreak/>
        <w:t xml:space="preserve">Table </w:t>
      </w:r>
      <w:r w:rsidR="00F27CBB">
        <w:rPr>
          <w:rFonts w:ascii="Arial" w:hAnsi="Arial" w:cs="Arial"/>
          <w:b/>
          <w:bCs/>
          <w:sz w:val="21"/>
          <w:szCs w:val="21"/>
          <w:u w:val="none"/>
          <w:lang w:val="en-GB"/>
        </w:rPr>
        <w:t>6</w:t>
      </w:r>
      <w:r w:rsidRPr="00D16AB0">
        <w:rPr>
          <w:rFonts w:ascii="Arial" w:hAnsi="Arial" w:cs="Arial"/>
          <w:b/>
          <w:bCs/>
          <w:sz w:val="21"/>
          <w:szCs w:val="21"/>
          <w:u w:val="none"/>
          <w:lang w:val="en-GB"/>
        </w:rPr>
        <w:t xml:space="preserve">. </w:t>
      </w:r>
      <w:r w:rsidR="007C3BE9" w:rsidRPr="00D16AB0">
        <w:rPr>
          <w:rFonts w:ascii="Arial" w:hAnsi="Arial" w:cs="Arial"/>
          <w:b/>
          <w:bCs/>
          <w:sz w:val="21"/>
          <w:szCs w:val="21"/>
          <w:u w:val="none"/>
          <w:lang w:val="en-GB"/>
        </w:rPr>
        <w:t>The distribution and number of benchmark IRR by host country and project type</w:t>
      </w:r>
      <w:bookmarkEnd w:id="300"/>
      <w:bookmarkEnd w:id="301"/>
      <w:bookmarkEnd w:id="302"/>
      <w:bookmarkEnd w:id="303"/>
      <w:bookmarkEnd w:id="304"/>
      <w:bookmarkEnd w:id="305"/>
    </w:p>
    <w:tbl>
      <w:tblPr>
        <w:tblW w:w="9356" w:type="dxa"/>
        <w:tblBorders>
          <w:top w:val="single" w:sz="4" w:space="0" w:color="auto"/>
          <w:bottom w:val="single" w:sz="4" w:space="0" w:color="auto"/>
        </w:tblBorders>
        <w:tblLayout w:type="fixed"/>
        <w:tblLook w:val="04A0" w:firstRow="1" w:lastRow="0" w:firstColumn="1" w:lastColumn="0" w:noHBand="0" w:noVBand="1"/>
      </w:tblPr>
      <w:tblGrid>
        <w:gridCol w:w="993"/>
        <w:gridCol w:w="567"/>
        <w:gridCol w:w="1842"/>
        <w:gridCol w:w="709"/>
        <w:gridCol w:w="851"/>
        <w:gridCol w:w="708"/>
        <w:gridCol w:w="993"/>
        <w:gridCol w:w="850"/>
        <w:gridCol w:w="851"/>
        <w:gridCol w:w="992"/>
      </w:tblGrid>
      <w:tr w:rsidR="008B32C3" w:rsidRPr="00D16AB0" w14:paraId="50156350" w14:textId="77777777" w:rsidTr="008176D9">
        <w:trPr>
          <w:trHeight w:val="227"/>
        </w:trPr>
        <w:tc>
          <w:tcPr>
            <w:tcW w:w="1560" w:type="dxa"/>
            <w:gridSpan w:val="2"/>
            <w:tcBorders>
              <w:top w:val="single" w:sz="4" w:space="0" w:color="auto"/>
              <w:bottom w:val="single" w:sz="4" w:space="0" w:color="auto"/>
            </w:tcBorders>
            <w:noWrap/>
            <w:hideMark/>
          </w:tcPr>
          <w:p w14:paraId="274BA24E" w14:textId="77777777" w:rsidR="00E90695" w:rsidRPr="00D16AB0" w:rsidRDefault="00E90695" w:rsidP="008176D9">
            <w:pPr>
              <w:jc w:val="center"/>
              <w:rPr>
                <w:rFonts w:ascii="Arial" w:eastAsia="DengXian" w:hAnsi="Arial" w:cs="Arial"/>
                <w:b/>
                <w:bCs/>
                <w:color w:val="000000"/>
                <w:sz w:val="20"/>
                <w:lang w:val="en-GB"/>
              </w:rPr>
            </w:pPr>
            <w:r w:rsidRPr="00D16AB0">
              <w:rPr>
                <w:rFonts w:ascii="Arial" w:eastAsia="DengXian" w:hAnsi="Arial" w:cs="Arial"/>
                <w:b/>
                <w:bCs/>
                <w:color w:val="000000"/>
                <w:sz w:val="20"/>
                <w:lang w:val="en-GB"/>
              </w:rPr>
              <w:t>Host country</w:t>
            </w:r>
          </w:p>
        </w:tc>
        <w:tc>
          <w:tcPr>
            <w:tcW w:w="1842" w:type="dxa"/>
            <w:tcBorders>
              <w:top w:val="single" w:sz="4" w:space="0" w:color="auto"/>
              <w:bottom w:val="single" w:sz="4" w:space="0" w:color="auto"/>
            </w:tcBorders>
            <w:noWrap/>
            <w:hideMark/>
          </w:tcPr>
          <w:p w14:paraId="1B9E4B74" w14:textId="77777777" w:rsidR="00E90695" w:rsidRPr="00D16AB0" w:rsidRDefault="00E90695" w:rsidP="008176D9">
            <w:pPr>
              <w:jc w:val="center"/>
              <w:rPr>
                <w:rFonts w:ascii="Arial" w:eastAsia="DengXian" w:hAnsi="Arial" w:cs="Arial"/>
                <w:b/>
                <w:bCs/>
                <w:color w:val="000000"/>
                <w:sz w:val="20"/>
                <w:lang w:val="en-GB"/>
              </w:rPr>
            </w:pPr>
            <w:r w:rsidRPr="00D16AB0">
              <w:rPr>
                <w:rFonts w:ascii="Arial" w:eastAsia="DengXian" w:hAnsi="Arial" w:cs="Arial"/>
                <w:b/>
                <w:bCs/>
                <w:color w:val="000000"/>
                <w:sz w:val="20"/>
                <w:lang w:val="en-GB"/>
              </w:rPr>
              <w:t>Type</w:t>
            </w:r>
          </w:p>
        </w:tc>
        <w:tc>
          <w:tcPr>
            <w:tcW w:w="709" w:type="dxa"/>
            <w:tcBorders>
              <w:top w:val="single" w:sz="4" w:space="0" w:color="auto"/>
              <w:bottom w:val="single" w:sz="4" w:space="0" w:color="auto"/>
            </w:tcBorders>
            <w:noWrap/>
            <w:hideMark/>
          </w:tcPr>
          <w:p w14:paraId="22C14EB3" w14:textId="77777777" w:rsidR="00E90695" w:rsidRPr="00D16AB0" w:rsidRDefault="00E90695" w:rsidP="008176D9">
            <w:pPr>
              <w:jc w:val="center"/>
              <w:rPr>
                <w:rFonts w:ascii="Arial" w:eastAsia="DengXian" w:hAnsi="Arial" w:cs="Arial"/>
                <w:b/>
                <w:bCs/>
                <w:color w:val="000000"/>
                <w:sz w:val="20"/>
                <w:lang w:val="en-GB"/>
              </w:rPr>
            </w:pPr>
            <w:r w:rsidRPr="00D16AB0">
              <w:rPr>
                <w:rFonts w:ascii="Arial" w:eastAsia="DengXian" w:hAnsi="Arial" w:cs="Arial"/>
                <w:b/>
                <w:bCs/>
                <w:color w:val="000000"/>
                <w:sz w:val="20"/>
                <w:lang w:val="en-GB"/>
              </w:rPr>
              <w:t>N</w:t>
            </w:r>
          </w:p>
        </w:tc>
        <w:tc>
          <w:tcPr>
            <w:tcW w:w="851" w:type="dxa"/>
            <w:tcBorders>
              <w:top w:val="single" w:sz="4" w:space="0" w:color="auto"/>
              <w:bottom w:val="single" w:sz="4" w:space="0" w:color="auto"/>
            </w:tcBorders>
            <w:noWrap/>
            <w:hideMark/>
          </w:tcPr>
          <w:p w14:paraId="6CF4ED49" w14:textId="77777777" w:rsidR="00E90695" w:rsidRPr="00D16AB0" w:rsidRDefault="00E90695" w:rsidP="008176D9">
            <w:pPr>
              <w:jc w:val="center"/>
              <w:rPr>
                <w:rFonts w:ascii="Arial" w:eastAsia="DengXian" w:hAnsi="Arial" w:cs="Arial"/>
                <w:b/>
                <w:bCs/>
                <w:color w:val="000000"/>
                <w:sz w:val="20"/>
                <w:lang w:val="en-GB"/>
              </w:rPr>
            </w:pPr>
            <w:r w:rsidRPr="00D16AB0">
              <w:rPr>
                <w:rFonts w:ascii="Arial" w:eastAsia="DengXian" w:hAnsi="Arial" w:cs="Arial"/>
                <w:b/>
                <w:bCs/>
                <w:color w:val="000000"/>
                <w:sz w:val="20"/>
                <w:lang w:val="en-GB"/>
              </w:rPr>
              <w:t>mean</w:t>
            </w:r>
          </w:p>
        </w:tc>
        <w:tc>
          <w:tcPr>
            <w:tcW w:w="708" w:type="dxa"/>
            <w:tcBorders>
              <w:top w:val="single" w:sz="4" w:space="0" w:color="auto"/>
              <w:bottom w:val="single" w:sz="4" w:space="0" w:color="auto"/>
            </w:tcBorders>
            <w:noWrap/>
            <w:hideMark/>
          </w:tcPr>
          <w:p w14:paraId="0B3FF592" w14:textId="77777777" w:rsidR="00E90695" w:rsidRPr="00D16AB0" w:rsidRDefault="00E90695" w:rsidP="008176D9">
            <w:pPr>
              <w:jc w:val="center"/>
              <w:rPr>
                <w:rFonts w:ascii="Arial" w:eastAsia="DengXian" w:hAnsi="Arial" w:cs="Arial"/>
                <w:b/>
                <w:bCs/>
                <w:sz w:val="20"/>
                <w:lang w:val="en-GB"/>
              </w:rPr>
            </w:pPr>
            <w:proofErr w:type="spellStart"/>
            <w:r w:rsidRPr="00D16AB0">
              <w:rPr>
                <w:rFonts w:ascii="Arial" w:eastAsia="DengXian" w:hAnsi="Arial" w:cs="Arial"/>
                <w:b/>
                <w:bCs/>
                <w:sz w:val="20"/>
                <w:lang w:val="en-GB"/>
              </w:rPr>
              <w:t>sd</w:t>
            </w:r>
            <w:proofErr w:type="spellEnd"/>
          </w:p>
        </w:tc>
        <w:tc>
          <w:tcPr>
            <w:tcW w:w="993" w:type="dxa"/>
            <w:tcBorders>
              <w:top w:val="single" w:sz="4" w:space="0" w:color="auto"/>
              <w:bottom w:val="single" w:sz="4" w:space="0" w:color="auto"/>
            </w:tcBorders>
            <w:noWrap/>
            <w:hideMark/>
          </w:tcPr>
          <w:p w14:paraId="2FBC92AB" w14:textId="77777777" w:rsidR="00E90695" w:rsidRPr="00D16AB0" w:rsidRDefault="00E90695" w:rsidP="008176D9">
            <w:pPr>
              <w:jc w:val="center"/>
              <w:rPr>
                <w:rFonts w:ascii="Arial" w:eastAsia="DengXian" w:hAnsi="Arial" w:cs="Arial"/>
                <w:b/>
                <w:bCs/>
                <w:color w:val="000000"/>
                <w:sz w:val="20"/>
                <w:lang w:val="en-GB"/>
              </w:rPr>
            </w:pPr>
            <w:r w:rsidRPr="00D16AB0">
              <w:rPr>
                <w:rFonts w:ascii="Arial" w:eastAsia="DengXian" w:hAnsi="Arial" w:cs="Arial"/>
                <w:b/>
                <w:bCs/>
                <w:color w:val="000000"/>
                <w:sz w:val="20"/>
                <w:lang w:val="en-GB"/>
              </w:rPr>
              <w:t>median</w:t>
            </w:r>
          </w:p>
        </w:tc>
        <w:tc>
          <w:tcPr>
            <w:tcW w:w="850" w:type="dxa"/>
            <w:tcBorders>
              <w:top w:val="single" w:sz="4" w:space="0" w:color="auto"/>
              <w:bottom w:val="single" w:sz="4" w:space="0" w:color="auto"/>
            </w:tcBorders>
            <w:noWrap/>
            <w:hideMark/>
          </w:tcPr>
          <w:p w14:paraId="70537F89" w14:textId="77777777" w:rsidR="00E90695" w:rsidRPr="00D16AB0" w:rsidRDefault="00E90695" w:rsidP="008176D9">
            <w:pPr>
              <w:jc w:val="center"/>
              <w:rPr>
                <w:rFonts w:ascii="Arial" w:eastAsia="DengXian" w:hAnsi="Arial" w:cs="Arial"/>
                <w:b/>
                <w:bCs/>
                <w:color w:val="000000"/>
                <w:sz w:val="20"/>
                <w:lang w:val="en-GB"/>
              </w:rPr>
            </w:pPr>
            <w:r w:rsidRPr="00D16AB0">
              <w:rPr>
                <w:rFonts w:ascii="Arial" w:eastAsia="DengXian" w:hAnsi="Arial" w:cs="Arial"/>
                <w:b/>
                <w:bCs/>
                <w:color w:val="000000"/>
                <w:sz w:val="20"/>
                <w:lang w:val="en-GB"/>
              </w:rPr>
              <w:t>min</w:t>
            </w:r>
          </w:p>
        </w:tc>
        <w:tc>
          <w:tcPr>
            <w:tcW w:w="851" w:type="dxa"/>
            <w:tcBorders>
              <w:top w:val="single" w:sz="4" w:space="0" w:color="auto"/>
              <w:bottom w:val="single" w:sz="4" w:space="0" w:color="auto"/>
            </w:tcBorders>
            <w:noWrap/>
            <w:hideMark/>
          </w:tcPr>
          <w:p w14:paraId="4E50ADAB" w14:textId="77777777" w:rsidR="00E90695" w:rsidRPr="00D16AB0" w:rsidRDefault="00E90695" w:rsidP="008176D9">
            <w:pPr>
              <w:jc w:val="center"/>
              <w:rPr>
                <w:rFonts w:ascii="Arial" w:eastAsia="DengXian" w:hAnsi="Arial" w:cs="Arial"/>
                <w:b/>
                <w:bCs/>
                <w:color w:val="000000"/>
                <w:sz w:val="20"/>
                <w:lang w:val="en-GB"/>
              </w:rPr>
            </w:pPr>
            <w:r w:rsidRPr="00D16AB0">
              <w:rPr>
                <w:rFonts w:ascii="Arial" w:eastAsia="DengXian" w:hAnsi="Arial" w:cs="Arial"/>
                <w:b/>
                <w:bCs/>
                <w:color w:val="000000"/>
                <w:sz w:val="20"/>
                <w:lang w:val="en-GB"/>
              </w:rPr>
              <w:t>max</w:t>
            </w:r>
          </w:p>
        </w:tc>
        <w:tc>
          <w:tcPr>
            <w:tcW w:w="992" w:type="dxa"/>
            <w:tcBorders>
              <w:top w:val="single" w:sz="4" w:space="0" w:color="auto"/>
              <w:bottom w:val="single" w:sz="4" w:space="0" w:color="auto"/>
            </w:tcBorders>
            <w:noWrap/>
            <w:hideMark/>
          </w:tcPr>
          <w:p w14:paraId="08235F8D" w14:textId="77777777" w:rsidR="00E90695" w:rsidRPr="00D16AB0" w:rsidRDefault="00E90695" w:rsidP="008176D9">
            <w:pPr>
              <w:jc w:val="center"/>
              <w:rPr>
                <w:rFonts w:ascii="Arial" w:eastAsia="DengXian" w:hAnsi="Arial" w:cs="Arial"/>
                <w:b/>
                <w:bCs/>
                <w:color w:val="000000"/>
                <w:sz w:val="20"/>
                <w:lang w:val="en-GB"/>
              </w:rPr>
            </w:pPr>
            <w:proofErr w:type="spellStart"/>
            <w:r w:rsidRPr="00D16AB0">
              <w:rPr>
                <w:rFonts w:ascii="Arial" w:eastAsia="DengXian" w:hAnsi="Arial" w:cs="Arial"/>
                <w:b/>
                <w:bCs/>
                <w:color w:val="000000"/>
                <w:sz w:val="20"/>
                <w:lang w:val="en-GB"/>
              </w:rPr>
              <w:t>Uniq_N</w:t>
            </w:r>
            <w:proofErr w:type="spellEnd"/>
          </w:p>
        </w:tc>
      </w:tr>
      <w:tr w:rsidR="008B32C3" w:rsidRPr="00D16AB0" w14:paraId="3B021035" w14:textId="77777777" w:rsidTr="008176D9">
        <w:trPr>
          <w:trHeight w:val="227"/>
        </w:trPr>
        <w:tc>
          <w:tcPr>
            <w:tcW w:w="993" w:type="dxa"/>
            <w:tcBorders>
              <w:top w:val="single" w:sz="4" w:space="0" w:color="auto"/>
            </w:tcBorders>
            <w:noWrap/>
            <w:hideMark/>
          </w:tcPr>
          <w:p w14:paraId="5F8FCBA7"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Brazil</w:t>
            </w:r>
          </w:p>
        </w:tc>
        <w:tc>
          <w:tcPr>
            <w:tcW w:w="2409" w:type="dxa"/>
            <w:gridSpan w:val="2"/>
            <w:tcBorders>
              <w:top w:val="single" w:sz="4" w:space="0" w:color="auto"/>
            </w:tcBorders>
            <w:noWrap/>
            <w:hideMark/>
          </w:tcPr>
          <w:p w14:paraId="2A84AC79"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Biomass energy</w:t>
            </w:r>
          </w:p>
        </w:tc>
        <w:tc>
          <w:tcPr>
            <w:tcW w:w="709" w:type="dxa"/>
            <w:tcBorders>
              <w:top w:val="single" w:sz="4" w:space="0" w:color="auto"/>
            </w:tcBorders>
            <w:noWrap/>
            <w:hideMark/>
          </w:tcPr>
          <w:p w14:paraId="3ED9598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184</w:t>
            </w:r>
          </w:p>
        </w:tc>
        <w:tc>
          <w:tcPr>
            <w:tcW w:w="851" w:type="dxa"/>
            <w:tcBorders>
              <w:top w:val="single" w:sz="4" w:space="0" w:color="auto"/>
            </w:tcBorders>
            <w:noWrap/>
            <w:hideMark/>
          </w:tcPr>
          <w:p w14:paraId="334C530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14.74</w:t>
            </w:r>
          </w:p>
        </w:tc>
        <w:tc>
          <w:tcPr>
            <w:tcW w:w="708" w:type="dxa"/>
            <w:tcBorders>
              <w:top w:val="single" w:sz="4" w:space="0" w:color="auto"/>
            </w:tcBorders>
            <w:noWrap/>
            <w:hideMark/>
          </w:tcPr>
          <w:p w14:paraId="121A1C39"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4.35</w:t>
            </w:r>
          </w:p>
        </w:tc>
        <w:tc>
          <w:tcPr>
            <w:tcW w:w="993" w:type="dxa"/>
            <w:tcBorders>
              <w:top w:val="single" w:sz="4" w:space="0" w:color="auto"/>
            </w:tcBorders>
            <w:noWrap/>
            <w:hideMark/>
          </w:tcPr>
          <w:p w14:paraId="0EB960A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12.4</w:t>
            </w:r>
          </w:p>
        </w:tc>
        <w:tc>
          <w:tcPr>
            <w:tcW w:w="850" w:type="dxa"/>
            <w:tcBorders>
              <w:top w:val="single" w:sz="4" w:space="0" w:color="auto"/>
            </w:tcBorders>
            <w:noWrap/>
            <w:hideMark/>
          </w:tcPr>
          <w:p w14:paraId="78BE4F2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11.43</w:t>
            </w:r>
          </w:p>
        </w:tc>
        <w:tc>
          <w:tcPr>
            <w:tcW w:w="851" w:type="dxa"/>
            <w:tcBorders>
              <w:top w:val="single" w:sz="4" w:space="0" w:color="auto"/>
            </w:tcBorders>
            <w:noWrap/>
            <w:hideMark/>
          </w:tcPr>
          <w:p w14:paraId="37F016A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28.52</w:t>
            </w:r>
          </w:p>
        </w:tc>
        <w:tc>
          <w:tcPr>
            <w:tcW w:w="992" w:type="dxa"/>
            <w:tcBorders>
              <w:top w:val="single" w:sz="4" w:space="0" w:color="auto"/>
            </w:tcBorders>
            <w:noWrap/>
            <w:hideMark/>
          </w:tcPr>
          <w:p w14:paraId="10A23CC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r>
      <w:tr w:rsidR="008B32C3" w:rsidRPr="00D16AB0" w14:paraId="27AB9B44" w14:textId="77777777" w:rsidTr="008176D9">
        <w:trPr>
          <w:trHeight w:val="227"/>
        </w:trPr>
        <w:tc>
          <w:tcPr>
            <w:tcW w:w="993" w:type="dxa"/>
            <w:noWrap/>
            <w:hideMark/>
          </w:tcPr>
          <w:p w14:paraId="59349566"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Brazil</w:t>
            </w:r>
          </w:p>
        </w:tc>
        <w:tc>
          <w:tcPr>
            <w:tcW w:w="2409" w:type="dxa"/>
            <w:gridSpan w:val="2"/>
            <w:noWrap/>
            <w:hideMark/>
          </w:tcPr>
          <w:p w14:paraId="51544338"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own generation</w:t>
            </w:r>
          </w:p>
        </w:tc>
        <w:tc>
          <w:tcPr>
            <w:tcW w:w="709" w:type="dxa"/>
            <w:noWrap/>
            <w:hideMark/>
          </w:tcPr>
          <w:p w14:paraId="28A39B0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w:t>
            </w:r>
          </w:p>
        </w:tc>
        <w:tc>
          <w:tcPr>
            <w:tcW w:w="851" w:type="dxa"/>
            <w:noWrap/>
            <w:hideMark/>
          </w:tcPr>
          <w:p w14:paraId="277F33A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12.65</w:t>
            </w:r>
          </w:p>
        </w:tc>
        <w:tc>
          <w:tcPr>
            <w:tcW w:w="708" w:type="dxa"/>
            <w:noWrap/>
            <w:hideMark/>
          </w:tcPr>
          <w:p w14:paraId="55EDA53F"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0.91</w:t>
            </w:r>
          </w:p>
        </w:tc>
        <w:tc>
          <w:tcPr>
            <w:tcW w:w="993" w:type="dxa"/>
            <w:noWrap/>
            <w:hideMark/>
          </w:tcPr>
          <w:p w14:paraId="18E94D5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12.65</w:t>
            </w:r>
          </w:p>
        </w:tc>
        <w:tc>
          <w:tcPr>
            <w:tcW w:w="850" w:type="dxa"/>
            <w:noWrap/>
            <w:hideMark/>
          </w:tcPr>
          <w:p w14:paraId="4948A1D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851" w:type="dxa"/>
            <w:noWrap/>
            <w:hideMark/>
          </w:tcPr>
          <w:p w14:paraId="0275F83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13.29</w:t>
            </w:r>
          </w:p>
        </w:tc>
        <w:tc>
          <w:tcPr>
            <w:tcW w:w="992" w:type="dxa"/>
            <w:noWrap/>
            <w:hideMark/>
          </w:tcPr>
          <w:p w14:paraId="02C055E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w:t>
            </w:r>
          </w:p>
        </w:tc>
      </w:tr>
      <w:tr w:rsidR="008B32C3" w:rsidRPr="00D16AB0" w14:paraId="279028EE" w14:textId="77777777" w:rsidTr="008176D9">
        <w:trPr>
          <w:trHeight w:val="227"/>
        </w:trPr>
        <w:tc>
          <w:tcPr>
            <w:tcW w:w="993" w:type="dxa"/>
            <w:noWrap/>
            <w:hideMark/>
          </w:tcPr>
          <w:p w14:paraId="7D705A35"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Brazil</w:t>
            </w:r>
          </w:p>
        </w:tc>
        <w:tc>
          <w:tcPr>
            <w:tcW w:w="2409" w:type="dxa"/>
            <w:gridSpan w:val="2"/>
            <w:noWrap/>
            <w:hideMark/>
          </w:tcPr>
          <w:p w14:paraId="5A41ABFF"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Energy distribution</w:t>
            </w:r>
          </w:p>
        </w:tc>
        <w:tc>
          <w:tcPr>
            <w:tcW w:w="709" w:type="dxa"/>
            <w:noWrap/>
            <w:hideMark/>
          </w:tcPr>
          <w:p w14:paraId="2470428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w:t>
            </w:r>
          </w:p>
        </w:tc>
        <w:tc>
          <w:tcPr>
            <w:tcW w:w="851" w:type="dxa"/>
            <w:noWrap/>
            <w:hideMark/>
          </w:tcPr>
          <w:p w14:paraId="01B44C2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12.16</w:t>
            </w:r>
          </w:p>
        </w:tc>
        <w:tc>
          <w:tcPr>
            <w:tcW w:w="708" w:type="dxa"/>
            <w:noWrap/>
            <w:hideMark/>
          </w:tcPr>
          <w:p w14:paraId="7CD9F5E3"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3.69</w:t>
            </w:r>
          </w:p>
        </w:tc>
        <w:tc>
          <w:tcPr>
            <w:tcW w:w="993" w:type="dxa"/>
            <w:noWrap/>
            <w:hideMark/>
          </w:tcPr>
          <w:p w14:paraId="50BB0C7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11.75</w:t>
            </w:r>
          </w:p>
        </w:tc>
        <w:tc>
          <w:tcPr>
            <w:tcW w:w="850" w:type="dxa"/>
            <w:noWrap/>
            <w:hideMark/>
          </w:tcPr>
          <w:p w14:paraId="32DAEDF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8.44</w:t>
            </w:r>
          </w:p>
        </w:tc>
        <w:tc>
          <w:tcPr>
            <w:tcW w:w="851" w:type="dxa"/>
            <w:noWrap/>
            <w:hideMark/>
          </w:tcPr>
          <w:p w14:paraId="13E77B9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16.7</w:t>
            </w:r>
          </w:p>
        </w:tc>
        <w:tc>
          <w:tcPr>
            <w:tcW w:w="992" w:type="dxa"/>
            <w:noWrap/>
            <w:hideMark/>
          </w:tcPr>
          <w:p w14:paraId="327E04F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r>
      <w:tr w:rsidR="008B32C3" w:rsidRPr="00D16AB0" w14:paraId="6BE81AAE" w14:textId="77777777" w:rsidTr="008176D9">
        <w:trPr>
          <w:trHeight w:val="227"/>
        </w:trPr>
        <w:tc>
          <w:tcPr>
            <w:tcW w:w="993" w:type="dxa"/>
            <w:noWrap/>
            <w:hideMark/>
          </w:tcPr>
          <w:p w14:paraId="607EFFB6"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Brazil</w:t>
            </w:r>
          </w:p>
        </w:tc>
        <w:tc>
          <w:tcPr>
            <w:tcW w:w="2409" w:type="dxa"/>
            <w:gridSpan w:val="2"/>
            <w:noWrap/>
            <w:hideMark/>
          </w:tcPr>
          <w:p w14:paraId="0324CD60"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Hydro</w:t>
            </w:r>
          </w:p>
        </w:tc>
        <w:tc>
          <w:tcPr>
            <w:tcW w:w="709" w:type="dxa"/>
            <w:noWrap/>
            <w:hideMark/>
          </w:tcPr>
          <w:p w14:paraId="35E790B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186</w:t>
            </w:r>
          </w:p>
        </w:tc>
        <w:tc>
          <w:tcPr>
            <w:tcW w:w="851" w:type="dxa"/>
            <w:noWrap/>
            <w:hideMark/>
          </w:tcPr>
          <w:p w14:paraId="0FA6FF0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15.31</w:t>
            </w:r>
          </w:p>
        </w:tc>
        <w:tc>
          <w:tcPr>
            <w:tcW w:w="708" w:type="dxa"/>
            <w:noWrap/>
            <w:hideMark/>
          </w:tcPr>
          <w:p w14:paraId="14931593"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3.87</w:t>
            </w:r>
          </w:p>
        </w:tc>
        <w:tc>
          <w:tcPr>
            <w:tcW w:w="993" w:type="dxa"/>
            <w:noWrap/>
            <w:hideMark/>
          </w:tcPr>
          <w:p w14:paraId="69AF744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15.52</w:t>
            </w:r>
          </w:p>
        </w:tc>
        <w:tc>
          <w:tcPr>
            <w:tcW w:w="850" w:type="dxa"/>
            <w:noWrap/>
            <w:hideMark/>
          </w:tcPr>
          <w:p w14:paraId="0B0DAE4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7.27</w:t>
            </w:r>
          </w:p>
        </w:tc>
        <w:tc>
          <w:tcPr>
            <w:tcW w:w="851" w:type="dxa"/>
            <w:noWrap/>
            <w:hideMark/>
          </w:tcPr>
          <w:p w14:paraId="26E2A5E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23.31</w:t>
            </w:r>
          </w:p>
        </w:tc>
        <w:tc>
          <w:tcPr>
            <w:tcW w:w="992" w:type="dxa"/>
            <w:noWrap/>
            <w:hideMark/>
          </w:tcPr>
          <w:p w14:paraId="6002F11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70</w:t>
            </w:r>
          </w:p>
        </w:tc>
      </w:tr>
      <w:tr w:rsidR="008B32C3" w:rsidRPr="00D16AB0" w14:paraId="3AE3B5B6" w14:textId="77777777" w:rsidTr="008176D9">
        <w:trPr>
          <w:trHeight w:val="227"/>
        </w:trPr>
        <w:tc>
          <w:tcPr>
            <w:tcW w:w="993" w:type="dxa"/>
            <w:noWrap/>
            <w:hideMark/>
          </w:tcPr>
          <w:p w14:paraId="425473CE"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Brazil</w:t>
            </w:r>
          </w:p>
        </w:tc>
        <w:tc>
          <w:tcPr>
            <w:tcW w:w="2409" w:type="dxa"/>
            <w:gridSpan w:val="2"/>
            <w:noWrap/>
            <w:hideMark/>
          </w:tcPr>
          <w:p w14:paraId="3CEB8392"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Landfill gas</w:t>
            </w:r>
          </w:p>
        </w:tc>
        <w:tc>
          <w:tcPr>
            <w:tcW w:w="709" w:type="dxa"/>
            <w:noWrap/>
            <w:hideMark/>
          </w:tcPr>
          <w:p w14:paraId="32235AC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92</w:t>
            </w:r>
          </w:p>
        </w:tc>
        <w:tc>
          <w:tcPr>
            <w:tcW w:w="851" w:type="dxa"/>
            <w:noWrap/>
            <w:hideMark/>
          </w:tcPr>
          <w:p w14:paraId="115F070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13.61</w:t>
            </w:r>
          </w:p>
        </w:tc>
        <w:tc>
          <w:tcPr>
            <w:tcW w:w="708" w:type="dxa"/>
            <w:noWrap/>
            <w:hideMark/>
          </w:tcPr>
          <w:p w14:paraId="059D2C87"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3.84</w:t>
            </w:r>
          </w:p>
        </w:tc>
        <w:tc>
          <w:tcPr>
            <w:tcW w:w="993" w:type="dxa"/>
            <w:noWrap/>
            <w:hideMark/>
          </w:tcPr>
          <w:p w14:paraId="79C1E51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11.75</w:t>
            </w:r>
          </w:p>
        </w:tc>
        <w:tc>
          <w:tcPr>
            <w:tcW w:w="850" w:type="dxa"/>
            <w:noWrap/>
            <w:hideMark/>
          </w:tcPr>
          <w:p w14:paraId="1E7FCB4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10.18</w:t>
            </w:r>
          </w:p>
        </w:tc>
        <w:tc>
          <w:tcPr>
            <w:tcW w:w="851" w:type="dxa"/>
            <w:noWrap/>
            <w:hideMark/>
          </w:tcPr>
          <w:p w14:paraId="27A7182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25</w:t>
            </w:r>
          </w:p>
        </w:tc>
        <w:tc>
          <w:tcPr>
            <w:tcW w:w="992" w:type="dxa"/>
            <w:noWrap/>
            <w:hideMark/>
          </w:tcPr>
          <w:p w14:paraId="5057299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w:t>
            </w:r>
          </w:p>
        </w:tc>
      </w:tr>
      <w:tr w:rsidR="008B32C3" w:rsidRPr="00D16AB0" w14:paraId="31AEA3E5" w14:textId="77777777" w:rsidTr="008176D9">
        <w:trPr>
          <w:trHeight w:val="227"/>
        </w:trPr>
        <w:tc>
          <w:tcPr>
            <w:tcW w:w="993" w:type="dxa"/>
            <w:noWrap/>
            <w:hideMark/>
          </w:tcPr>
          <w:p w14:paraId="4CBEECDF"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Brazil</w:t>
            </w:r>
          </w:p>
        </w:tc>
        <w:tc>
          <w:tcPr>
            <w:tcW w:w="2409" w:type="dxa"/>
            <w:gridSpan w:val="2"/>
            <w:noWrap/>
            <w:hideMark/>
          </w:tcPr>
          <w:p w14:paraId="5391F41D"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Methane avoidance</w:t>
            </w:r>
          </w:p>
        </w:tc>
        <w:tc>
          <w:tcPr>
            <w:tcW w:w="709" w:type="dxa"/>
            <w:noWrap/>
            <w:hideMark/>
          </w:tcPr>
          <w:p w14:paraId="214ED2D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101</w:t>
            </w:r>
          </w:p>
        </w:tc>
        <w:tc>
          <w:tcPr>
            <w:tcW w:w="851" w:type="dxa"/>
            <w:noWrap/>
            <w:hideMark/>
          </w:tcPr>
          <w:p w14:paraId="67FBD89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12.07</w:t>
            </w:r>
          </w:p>
        </w:tc>
        <w:tc>
          <w:tcPr>
            <w:tcW w:w="708" w:type="dxa"/>
            <w:noWrap/>
            <w:hideMark/>
          </w:tcPr>
          <w:p w14:paraId="43B24D63"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0.44</w:t>
            </w:r>
          </w:p>
        </w:tc>
        <w:tc>
          <w:tcPr>
            <w:tcW w:w="993" w:type="dxa"/>
            <w:noWrap/>
            <w:hideMark/>
          </w:tcPr>
          <w:p w14:paraId="2A4FB1F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12.13</w:t>
            </w:r>
          </w:p>
        </w:tc>
        <w:tc>
          <w:tcPr>
            <w:tcW w:w="850" w:type="dxa"/>
            <w:noWrap/>
            <w:hideMark/>
          </w:tcPr>
          <w:p w14:paraId="4E6A68B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11.25</w:t>
            </w:r>
          </w:p>
        </w:tc>
        <w:tc>
          <w:tcPr>
            <w:tcW w:w="851" w:type="dxa"/>
            <w:noWrap/>
            <w:hideMark/>
          </w:tcPr>
          <w:p w14:paraId="6340A34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12.75</w:t>
            </w:r>
          </w:p>
        </w:tc>
        <w:tc>
          <w:tcPr>
            <w:tcW w:w="992" w:type="dxa"/>
            <w:noWrap/>
            <w:hideMark/>
          </w:tcPr>
          <w:p w14:paraId="41C4B05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r>
      <w:tr w:rsidR="008B32C3" w:rsidRPr="00D16AB0" w14:paraId="37E833C6" w14:textId="77777777" w:rsidTr="008176D9">
        <w:trPr>
          <w:trHeight w:val="227"/>
        </w:trPr>
        <w:tc>
          <w:tcPr>
            <w:tcW w:w="993" w:type="dxa"/>
            <w:noWrap/>
            <w:hideMark/>
          </w:tcPr>
          <w:p w14:paraId="13D2664E"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Brazil</w:t>
            </w:r>
          </w:p>
        </w:tc>
        <w:tc>
          <w:tcPr>
            <w:tcW w:w="2409" w:type="dxa"/>
            <w:gridSpan w:val="2"/>
            <w:noWrap/>
            <w:hideMark/>
          </w:tcPr>
          <w:p w14:paraId="09AB7736"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PFCs and SF6</w:t>
            </w:r>
          </w:p>
        </w:tc>
        <w:tc>
          <w:tcPr>
            <w:tcW w:w="709" w:type="dxa"/>
            <w:noWrap/>
            <w:hideMark/>
          </w:tcPr>
          <w:p w14:paraId="120900E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c>
          <w:tcPr>
            <w:tcW w:w="851" w:type="dxa"/>
            <w:noWrap/>
            <w:hideMark/>
          </w:tcPr>
          <w:p w14:paraId="7E75415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17.9</w:t>
            </w:r>
          </w:p>
        </w:tc>
        <w:tc>
          <w:tcPr>
            <w:tcW w:w="708" w:type="dxa"/>
            <w:noWrap/>
            <w:hideMark/>
          </w:tcPr>
          <w:p w14:paraId="73578342" w14:textId="77777777" w:rsidR="00E90695" w:rsidRPr="00D16AB0" w:rsidRDefault="00E90695" w:rsidP="008176D9">
            <w:pPr>
              <w:jc w:val="right"/>
              <w:rPr>
                <w:rFonts w:ascii="Arial" w:eastAsia="DengXian" w:hAnsi="Arial" w:cs="Arial"/>
                <w:color w:val="000000"/>
                <w:sz w:val="20"/>
                <w:lang w:val="en-GB"/>
              </w:rPr>
            </w:pPr>
          </w:p>
        </w:tc>
        <w:tc>
          <w:tcPr>
            <w:tcW w:w="993" w:type="dxa"/>
            <w:noWrap/>
            <w:hideMark/>
          </w:tcPr>
          <w:p w14:paraId="7F537C1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17.9</w:t>
            </w:r>
          </w:p>
        </w:tc>
        <w:tc>
          <w:tcPr>
            <w:tcW w:w="850" w:type="dxa"/>
            <w:noWrap/>
            <w:hideMark/>
          </w:tcPr>
          <w:p w14:paraId="40CBE3E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17.9</w:t>
            </w:r>
          </w:p>
        </w:tc>
        <w:tc>
          <w:tcPr>
            <w:tcW w:w="851" w:type="dxa"/>
            <w:noWrap/>
            <w:hideMark/>
          </w:tcPr>
          <w:p w14:paraId="68F3109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17.9</w:t>
            </w:r>
          </w:p>
        </w:tc>
        <w:tc>
          <w:tcPr>
            <w:tcW w:w="992" w:type="dxa"/>
            <w:noWrap/>
            <w:hideMark/>
          </w:tcPr>
          <w:p w14:paraId="4FD19FB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w:t>
            </w:r>
          </w:p>
        </w:tc>
      </w:tr>
      <w:tr w:rsidR="008B32C3" w:rsidRPr="00D16AB0" w14:paraId="3C1C1B78" w14:textId="77777777" w:rsidTr="008176D9">
        <w:trPr>
          <w:trHeight w:val="227"/>
        </w:trPr>
        <w:tc>
          <w:tcPr>
            <w:tcW w:w="993" w:type="dxa"/>
            <w:noWrap/>
            <w:hideMark/>
          </w:tcPr>
          <w:p w14:paraId="6217110A"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Brazil</w:t>
            </w:r>
          </w:p>
        </w:tc>
        <w:tc>
          <w:tcPr>
            <w:tcW w:w="2409" w:type="dxa"/>
            <w:gridSpan w:val="2"/>
            <w:noWrap/>
            <w:hideMark/>
          </w:tcPr>
          <w:p w14:paraId="29F58BDE"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Reforestation</w:t>
            </w:r>
          </w:p>
        </w:tc>
        <w:tc>
          <w:tcPr>
            <w:tcW w:w="709" w:type="dxa"/>
            <w:noWrap/>
            <w:hideMark/>
          </w:tcPr>
          <w:p w14:paraId="4C03985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w:t>
            </w:r>
          </w:p>
        </w:tc>
        <w:tc>
          <w:tcPr>
            <w:tcW w:w="851" w:type="dxa"/>
            <w:noWrap/>
            <w:hideMark/>
          </w:tcPr>
          <w:p w14:paraId="40F73F0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8.29</w:t>
            </w:r>
          </w:p>
        </w:tc>
        <w:tc>
          <w:tcPr>
            <w:tcW w:w="708" w:type="dxa"/>
            <w:noWrap/>
            <w:hideMark/>
          </w:tcPr>
          <w:p w14:paraId="6838F28F" w14:textId="77777777" w:rsidR="00E90695" w:rsidRPr="00D16AB0" w:rsidRDefault="00E90695" w:rsidP="008176D9">
            <w:pPr>
              <w:jc w:val="right"/>
              <w:rPr>
                <w:rFonts w:ascii="Arial" w:eastAsia="DengXian" w:hAnsi="Arial" w:cs="Arial"/>
                <w:color w:val="000000"/>
                <w:sz w:val="20"/>
                <w:lang w:val="en-GB"/>
              </w:rPr>
            </w:pPr>
          </w:p>
        </w:tc>
        <w:tc>
          <w:tcPr>
            <w:tcW w:w="993" w:type="dxa"/>
            <w:noWrap/>
            <w:hideMark/>
          </w:tcPr>
          <w:p w14:paraId="6BBE590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8.29</w:t>
            </w:r>
          </w:p>
        </w:tc>
        <w:tc>
          <w:tcPr>
            <w:tcW w:w="850" w:type="dxa"/>
            <w:noWrap/>
            <w:hideMark/>
          </w:tcPr>
          <w:p w14:paraId="006B204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8.29</w:t>
            </w:r>
          </w:p>
        </w:tc>
        <w:tc>
          <w:tcPr>
            <w:tcW w:w="851" w:type="dxa"/>
            <w:noWrap/>
            <w:hideMark/>
          </w:tcPr>
          <w:p w14:paraId="28C2852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8.29</w:t>
            </w:r>
          </w:p>
        </w:tc>
        <w:tc>
          <w:tcPr>
            <w:tcW w:w="992" w:type="dxa"/>
            <w:noWrap/>
            <w:hideMark/>
          </w:tcPr>
          <w:p w14:paraId="497C2EC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w:t>
            </w:r>
          </w:p>
        </w:tc>
      </w:tr>
      <w:tr w:rsidR="008B32C3" w:rsidRPr="00D16AB0" w14:paraId="2C0F83EA" w14:textId="77777777" w:rsidTr="008176D9">
        <w:trPr>
          <w:trHeight w:val="227"/>
        </w:trPr>
        <w:tc>
          <w:tcPr>
            <w:tcW w:w="993" w:type="dxa"/>
            <w:noWrap/>
            <w:hideMark/>
          </w:tcPr>
          <w:p w14:paraId="1D56942D"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Brazil</w:t>
            </w:r>
          </w:p>
        </w:tc>
        <w:tc>
          <w:tcPr>
            <w:tcW w:w="2409" w:type="dxa"/>
            <w:gridSpan w:val="2"/>
            <w:noWrap/>
            <w:hideMark/>
          </w:tcPr>
          <w:p w14:paraId="1D7F4410"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Wind</w:t>
            </w:r>
          </w:p>
        </w:tc>
        <w:tc>
          <w:tcPr>
            <w:tcW w:w="709" w:type="dxa"/>
            <w:noWrap/>
            <w:hideMark/>
          </w:tcPr>
          <w:p w14:paraId="3662D8C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96</w:t>
            </w:r>
          </w:p>
        </w:tc>
        <w:tc>
          <w:tcPr>
            <w:tcW w:w="851" w:type="dxa"/>
            <w:noWrap/>
            <w:hideMark/>
          </w:tcPr>
          <w:p w14:paraId="09222DC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12.68</w:t>
            </w:r>
          </w:p>
        </w:tc>
        <w:tc>
          <w:tcPr>
            <w:tcW w:w="708" w:type="dxa"/>
            <w:noWrap/>
            <w:hideMark/>
          </w:tcPr>
          <w:p w14:paraId="7F42A73E"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2.69</w:t>
            </w:r>
          </w:p>
        </w:tc>
        <w:tc>
          <w:tcPr>
            <w:tcW w:w="993" w:type="dxa"/>
            <w:noWrap/>
            <w:hideMark/>
          </w:tcPr>
          <w:p w14:paraId="3B16FD1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11.99</w:t>
            </w:r>
          </w:p>
        </w:tc>
        <w:tc>
          <w:tcPr>
            <w:tcW w:w="850" w:type="dxa"/>
            <w:noWrap/>
            <w:hideMark/>
          </w:tcPr>
          <w:p w14:paraId="7BF765A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8.65</w:t>
            </w:r>
          </w:p>
        </w:tc>
        <w:tc>
          <w:tcPr>
            <w:tcW w:w="851" w:type="dxa"/>
            <w:noWrap/>
            <w:hideMark/>
          </w:tcPr>
          <w:p w14:paraId="5D03371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23.09</w:t>
            </w:r>
          </w:p>
        </w:tc>
        <w:tc>
          <w:tcPr>
            <w:tcW w:w="992" w:type="dxa"/>
            <w:noWrap/>
            <w:hideMark/>
          </w:tcPr>
          <w:p w14:paraId="5F6475F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39</w:t>
            </w:r>
          </w:p>
        </w:tc>
      </w:tr>
      <w:tr w:rsidR="008B32C3" w:rsidRPr="00D16AB0" w14:paraId="153ED5C4" w14:textId="77777777" w:rsidTr="008176D9">
        <w:trPr>
          <w:trHeight w:val="227"/>
        </w:trPr>
        <w:tc>
          <w:tcPr>
            <w:tcW w:w="993" w:type="dxa"/>
            <w:noWrap/>
            <w:hideMark/>
          </w:tcPr>
          <w:p w14:paraId="6A447E66"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60B1F974"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Biomass energy</w:t>
            </w:r>
          </w:p>
        </w:tc>
        <w:tc>
          <w:tcPr>
            <w:tcW w:w="709" w:type="dxa"/>
            <w:noWrap/>
            <w:hideMark/>
          </w:tcPr>
          <w:p w14:paraId="26BBAE4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220</w:t>
            </w:r>
          </w:p>
        </w:tc>
        <w:tc>
          <w:tcPr>
            <w:tcW w:w="851" w:type="dxa"/>
            <w:noWrap/>
            <w:hideMark/>
          </w:tcPr>
          <w:p w14:paraId="0919E38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8.11</w:t>
            </w:r>
          </w:p>
        </w:tc>
        <w:tc>
          <w:tcPr>
            <w:tcW w:w="708" w:type="dxa"/>
            <w:noWrap/>
            <w:hideMark/>
          </w:tcPr>
          <w:p w14:paraId="4139ECE2"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0.64</w:t>
            </w:r>
          </w:p>
        </w:tc>
        <w:tc>
          <w:tcPr>
            <w:tcW w:w="993" w:type="dxa"/>
            <w:noWrap/>
            <w:hideMark/>
          </w:tcPr>
          <w:p w14:paraId="6641813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7A067F5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664FB8B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992" w:type="dxa"/>
            <w:noWrap/>
            <w:hideMark/>
          </w:tcPr>
          <w:p w14:paraId="1B6F3B3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5</w:t>
            </w:r>
          </w:p>
        </w:tc>
      </w:tr>
      <w:tr w:rsidR="008B32C3" w:rsidRPr="00D16AB0" w14:paraId="34645B75" w14:textId="77777777" w:rsidTr="008176D9">
        <w:trPr>
          <w:trHeight w:val="227"/>
        </w:trPr>
        <w:tc>
          <w:tcPr>
            <w:tcW w:w="993" w:type="dxa"/>
            <w:noWrap/>
            <w:hideMark/>
          </w:tcPr>
          <w:p w14:paraId="269B898F"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37F9061F"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Cement</w:t>
            </w:r>
          </w:p>
        </w:tc>
        <w:tc>
          <w:tcPr>
            <w:tcW w:w="709" w:type="dxa"/>
            <w:noWrap/>
            <w:hideMark/>
          </w:tcPr>
          <w:p w14:paraId="676C9E9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46</w:t>
            </w:r>
          </w:p>
        </w:tc>
        <w:tc>
          <w:tcPr>
            <w:tcW w:w="851" w:type="dxa"/>
            <w:noWrap/>
            <w:hideMark/>
          </w:tcPr>
          <w:p w14:paraId="4D0BE93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12.17</w:t>
            </w:r>
          </w:p>
        </w:tc>
        <w:tc>
          <w:tcPr>
            <w:tcW w:w="708" w:type="dxa"/>
            <w:noWrap/>
            <w:hideMark/>
          </w:tcPr>
          <w:p w14:paraId="5CFE697F"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1.94</w:t>
            </w:r>
          </w:p>
        </w:tc>
        <w:tc>
          <w:tcPr>
            <w:tcW w:w="993" w:type="dxa"/>
            <w:noWrap/>
            <w:hideMark/>
          </w:tcPr>
          <w:p w14:paraId="272225C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11.5</w:t>
            </w:r>
          </w:p>
        </w:tc>
        <w:tc>
          <w:tcPr>
            <w:tcW w:w="850" w:type="dxa"/>
            <w:noWrap/>
            <w:hideMark/>
          </w:tcPr>
          <w:p w14:paraId="640FE15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w:t>
            </w:r>
          </w:p>
        </w:tc>
        <w:tc>
          <w:tcPr>
            <w:tcW w:w="851" w:type="dxa"/>
            <w:noWrap/>
            <w:hideMark/>
          </w:tcPr>
          <w:p w14:paraId="50449A3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16</w:t>
            </w:r>
          </w:p>
        </w:tc>
        <w:tc>
          <w:tcPr>
            <w:tcW w:w="992" w:type="dxa"/>
            <w:noWrap/>
            <w:hideMark/>
          </w:tcPr>
          <w:p w14:paraId="72DD71D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w:t>
            </w:r>
          </w:p>
        </w:tc>
      </w:tr>
      <w:tr w:rsidR="008B32C3" w:rsidRPr="00D16AB0" w14:paraId="33E9C19C" w14:textId="77777777" w:rsidTr="008176D9">
        <w:trPr>
          <w:trHeight w:val="227"/>
        </w:trPr>
        <w:tc>
          <w:tcPr>
            <w:tcW w:w="993" w:type="dxa"/>
            <w:noWrap/>
            <w:hideMark/>
          </w:tcPr>
          <w:p w14:paraId="09156D00"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16035625"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Coal bed/mine methane</w:t>
            </w:r>
          </w:p>
        </w:tc>
        <w:tc>
          <w:tcPr>
            <w:tcW w:w="709" w:type="dxa"/>
            <w:noWrap/>
            <w:hideMark/>
          </w:tcPr>
          <w:p w14:paraId="190C855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167</w:t>
            </w:r>
          </w:p>
        </w:tc>
        <w:tc>
          <w:tcPr>
            <w:tcW w:w="851" w:type="dxa"/>
            <w:noWrap/>
            <w:hideMark/>
          </w:tcPr>
          <w:p w14:paraId="1063069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10.68</w:t>
            </w:r>
          </w:p>
        </w:tc>
        <w:tc>
          <w:tcPr>
            <w:tcW w:w="708" w:type="dxa"/>
            <w:noWrap/>
            <w:hideMark/>
          </w:tcPr>
          <w:p w14:paraId="41FF7424"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2.92</w:t>
            </w:r>
          </w:p>
        </w:tc>
        <w:tc>
          <w:tcPr>
            <w:tcW w:w="993" w:type="dxa"/>
            <w:noWrap/>
            <w:hideMark/>
          </w:tcPr>
          <w:p w14:paraId="00175AE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0" w:type="dxa"/>
            <w:noWrap/>
            <w:hideMark/>
          </w:tcPr>
          <w:p w14:paraId="1B0710E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791F741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27.67</w:t>
            </w:r>
          </w:p>
        </w:tc>
        <w:tc>
          <w:tcPr>
            <w:tcW w:w="992" w:type="dxa"/>
            <w:noWrap/>
            <w:hideMark/>
          </w:tcPr>
          <w:p w14:paraId="46B54A2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r>
      <w:tr w:rsidR="008B32C3" w:rsidRPr="00D16AB0" w14:paraId="26527C5C" w14:textId="77777777" w:rsidTr="008176D9">
        <w:trPr>
          <w:trHeight w:val="227"/>
        </w:trPr>
        <w:tc>
          <w:tcPr>
            <w:tcW w:w="993" w:type="dxa"/>
            <w:noWrap/>
            <w:hideMark/>
          </w:tcPr>
          <w:p w14:paraId="29B54D8C"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2B6CBF77"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industry</w:t>
            </w:r>
          </w:p>
        </w:tc>
        <w:tc>
          <w:tcPr>
            <w:tcW w:w="709" w:type="dxa"/>
            <w:noWrap/>
            <w:hideMark/>
          </w:tcPr>
          <w:p w14:paraId="05F9F64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24</w:t>
            </w:r>
          </w:p>
        </w:tc>
        <w:tc>
          <w:tcPr>
            <w:tcW w:w="851" w:type="dxa"/>
            <w:noWrap/>
            <w:hideMark/>
          </w:tcPr>
          <w:p w14:paraId="61699E3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12.38</w:t>
            </w:r>
          </w:p>
        </w:tc>
        <w:tc>
          <w:tcPr>
            <w:tcW w:w="708" w:type="dxa"/>
            <w:noWrap/>
            <w:hideMark/>
          </w:tcPr>
          <w:p w14:paraId="2BE69192"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0.96</w:t>
            </w:r>
          </w:p>
        </w:tc>
        <w:tc>
          <w:tcPr>
            <w:tcW w:w="993" w:type="dxa"/>
            <w:noWrap/>
            <w:hideMark/>
          </w:tcPr>
          <w:p w14:paraId="476B6AB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850" w:type="dxa"/>
            <w:noWrap/>
            <w:hideMark/>
          </w:tcPr>
          <w:p w14:paraId="7EEA2F7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1" w:type="dxa"/>
            <w:noWrap/>
            <w:hideMark/>
          </w:tcPr>
          <w:p w14:paraId="792CF16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992" w:type="dxa"/>
            <w:noWrap/>
            <w:hideMark/>
          </w:tcPr>
          <w:p w14:paraId="4C34F2C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r>
      <w:tr w:rsidR="008B32C3" w:rsidRPr="00D16AB0" w14:paraId="3117D0F4" w14:textId="77777777" w:rsidTr="008176D9">
        <w:trPr>
          <w:trHeight w:val="227"/>
        </w:trPr>
        <w:tc>
          <w:tcPr>
            <w:tcW w:w="993" w:type="dxa"/>
            <w:noWrap/>
            <w:hideMark/>
          </w:tcPr>
          <w:p w14:paraId="45799483"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64433D2E"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own generation</w:t>
            </w:r>
          </w:p>
        </w:tc>
        <w:tc>
          <w:tcPr>
            <w:tcW w:w="709" w:type="dxa"/>
            <w:noWrap/>
            <w:hideMark/>
          </w:tcPr>
          <w:p w14:paraId="028EF48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497</w:t>
            </w:r>
          </w:p>
        </w:tc>
        <w:tc>
          <w:tcPr>
            <w:tcW w:w="851" w:type="dxa"/>
            <w:noWrap/>
            <w:hideMark/>
          </w:tcPr>
          <w:p w14:paraId="4147278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12.31</w:t>
            </w:r>
          </w:p>
        </w:tc>
        <w:tc>
          <w:tcPr>
            <w:tcW w:w="708" w:type="dxa"/>
            <w:noWrap/>
            <w:hideMark/>
          </w:tcPr>
          <w:p w14:paraId="61C402AB"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3.20</w:t>
            </w:r>
          </w:p>
        </w:tc>
        <w:tc>
          <w:tcPr>
            <w:tcW w:w="993" w:type="dxa"/>
            <w:noWrap/>
            <w:hideMark/>
          </w:tcPr>
          <w:p w14:paraId="37A7337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850" w:type="dxa"/>
            <w:noWrap/>
            <w:hideMark/>
          </w:tcPr>
          <w:p w14:paraId="246D16F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081611C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29.59</w:t>
            </w:r>
          </w:p>
        </w:tc>
        <w:tc>
          <w:tcPr>
            <w:tcW w:w="992" w:type="dxa"/>
            <w:noWrap/>
            <w:hideMark/>
          </w:tcPr>
          <w:p w14:paraId="51B53DF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18</w:t>
            </w:r>
          </w:p>
        </w:tc>
      </w:tr>
      <w:tr w:rsidR="008B32C3" w:rsidRPr="00D16AB0" w14:paraId="37C3A84F" w14:textId="77777777" w:rsidTr="008176D9">
        <w:trPr>
          <w:trHeight w:val="227"/>
        </w:trPr>
        <w:tc>
          <w:tcPr>
            <w:tcW w:w="993" w:type="dxa"/>
            <w:noWrap/>
            <w:hideMark/>
          </w:tcPr>
          <w:p w14:paraId="79B7E366"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1E9BBA31"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service</w:t>
            </w:r>
          </w:p>
        </w:tc>
        <w:tc>
          <w:tcPr>
            <w:tcW w:w="709" w:type="dxa"/>
            <w:noWrap/>
            <w:hideMark/>
          </w:tcPr>
          <w:p w14:paraId="5742A01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w:t>
            </w:r>
          </w:p>
        </w:tc>
        <w:tc>
          <w:tcPr>
            <w:tcW w:w="851" w:type="dxa"/>
            <w:noWrap/>
            <w:hideMark/>
          </w:tcPr>
          <w:p w14:paraId="3205B98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708" w:type="dxa"/>
            <w:noWrap/>
            <w:hideMark/>
          </w:tcPr>
          <w:p w14:paraId="20AC2C78" w14:textId="77777777" w:rsidR="00E90695" w:rsidRPr="00D16AB0" w:rsidRDefault="00E90695" w:rsidP="008176D9">
            <w:pPr>
              <w:jc w:val="right"/>
              <w:rPr>
                <w:rFonts w:ascii="Arial" w:eastAsia="DengXian" w:hAnsi="Arial" w:cs="Arial"/>
                <w:color w:val="000000"/>
                <w:sz w:val="20"/>
                <w:lang w:val="en-GB"/>
              </w:rPr>
            </w:pPr>
          </w:p>
        </w:tc>
        <w:tc>
          <w:tcPr>
            <w:tcW w:w="993" w:type="dxa"/>
            <w:noWrap/>
            <w:hideMark/>
          </w:tcPr>
          <w:p w14:paraId="0832ADB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850" w:type="dxa"/>
            <w:noWrap/>
            <w:hideMark/>
          </w:tcPr>
          <w:p w14:paraId="1B3E3EB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851" w:type="dxa"/>
            <w:noWrap/>
            <w:hideMark/>
          </w:tcPr>
          <w:p w14:paraId="3DF7A22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992" w:type="dxa"/>
            <w:noWrap/>
            <w:hideMark/>
          </w:tcPr>
          <w:p w14:paraId="60159A0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w:t>
            </w:r>
          </w:p>
        </w:tc>
      </w:tr>
      <w:tr w:rsidR="008B32C3" w:rsidRPr="00D16AB0" w14:paraId="24BCE114" w14:textId="77777777" w:rsidTr="008176D9">
        <w:trPr>
          <w:trHeight w:val="227"/>
        </w:trPr>
        <w:tc>
          <w:tcPr>
            <w:tcW w:w="993" w:type="dxa"/>
            <w:noWrap/>
            <w:hideMark/>
          </w:tcPr>
          <w:p w14:paraId="681CB264"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2FF4A269"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supply side</w:t>
            </w:r>
          </w:p>
        </w:tc>
        <w:tc>
          <w:tcPr>
            <w:tcW w:w="709" w:type="dxa"/>
            <w:noWrap/>
            <w:hideMark/>
          </w:tcPr>
          <w:p w14:paraId="5707683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43</w:t>
            </w:r>
          </w:p>
        </w:tc>
        <w:tc>
          <w:tcPr>
            <w:tcW w:w="851" w:type="dxa"/>
            <w:noWrap/>
            <w:hideMark/>
          </w:tcPr>
          <w:p w14:paraId="5234F5A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10.43</w:t>
            </w:r>
          </w:p>
        </w:tc>
        <w:tc>
          <w:tcPr>
            <w:tcW w:w="708" w:type="dxa"/>
            <w:noWrap/>
            <w:hideMark/>
          </w:tcPr>
          <w:p w14:paraId="54C1811A"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3.23</w:t>
            </w:r>
          </w:p>
        </w:tc>
        <w:tc>
          <w:tcPr>
            <w:tcW w:w="993" w:type="dxa"/>
            <w:noWrap/>
            <w:hideMark/>
          </w:tcPr>
          <w:p w14:paraId="1E82B67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179DA10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1538830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15.71</w:t>
            </w:r>
          </w:p>
        </w:tc>
        <w:tc>
          <w:tcPr>
            <w:tcW w:w="992" w:type="dxa"/>
            <w:noWrap/>
            <w:hideMark/>
          </w:tcPr>
          <w:p w14:paraId="3407A7C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r>
      <w:tr w:rsidR="008B32C3" w:rsidRPr="00D16AB0" w14:paraId="2220223F" w14:textId="77777777" w:rsidTr="008176D9">
        <w:trPr>
          <w:trHeight w:val="227"/>
        </w:trPr>
        <w:tc>
          <w:tcPr>
            <w:tcW w:w="993" w:type="dxa"/>
            <w:noWrap/>
            <w:hideMark/>
          </w:tcPr>
          <w:p w14:paraId="7D1376EE"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6EC69147"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Energy distribution</w:t>
            </w:r>
          </w:p>
        </w:tc>
        <w:tc>
          <w:tcPr>
            <w:tcW w:w="709" w:type="dxa"/>
            <w:noWrap/>
            <w:hideMark/>
          </w:tcPr>
          <w:p w14:paraId="52C0448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20</w:t>
            </w:r>
          </w:p>
        </w:tc>
        <w:tc>
          <w:tcPr>
            <w:tcW w:w="851" w:type="dxa"/>
            <w:noWrap/>
            <w:hideMark/>
          </w:tcPr>
          <w:p w14:paraId="3512EDD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7.94</w:t>
            </w:r>
          </w:p>
        </w:tc>
        <w:tc>
          <w:tcPr>
            <w:tcW w:w="708" w:type="dxa"/>
            <w:noWrap/>
            <w:hideMark/>
          </w:tcPr>
          <w:p w14:paraId="323B9E1C"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1.73</w:t>
            </w:r>
          </w:p>
        </w:tc>
        <w:tc>
          <w:tcPr>
            <w:tcW w:w="993" w:type="dxa"/>
            <w:noWrap/>
            <w:hideMark/>
          </w:tcPr>
          <w:p w14:paraId="342D70D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4E4DB0D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5.76</w:t>
            </w:r>
          </w:p>
        </w:tc>
        <w:tc>
          <w:tcPr>
            <w:tcW w:w="851" w:type="dxa"/>
            <w:noWrap/>
            <w:hideMark/>
          </w:tcPr>
          <w:p w14:paraId="1585A9F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992" w:type="dxa"/>
            <w:noWrap/>
            <w:hideMark/>
          </w:tcPr>
          <w:p w14:paraId="43D6CA6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w:t>
            </w:r>
          </w:p>
        </w:tc>
      </w:tr>
      <w:tr w:rsidR="008B32C3" w:rsidRPr="00D16AB0" w14:paraId="3B4A8F91" w14:textId="77777777" w:rsidTr="008176D9">
        <w:trPr>
          <w:trHeight w:val="227"/>
        </w:trPr>
        <w:tc>
          <w:tcPr>
            <w:tcW w:w="993" w:type="dxa"/>
            <w:noWrap/>
            <w:hideMark/>
          </w:tcPr>
          <w:p w14:paraId="45CE8747"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1F289812"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Fossil fuel switch</w:t>
            </w:r>
          </w:p>
        </w:tc>
        <w:tc>
          <w:tcPr>
            <w:tcW w:w="709" w:type="dxa"/>
            <w:noWrap/>
            <w:hideMark/>
          </w:tcPr>
          <w:p w14:paraId="735EA5E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53</w:t>
            </w:r>
          </w:p>
        </w:tc>
        <w:tc>
          <w:tcPr>
            <w:tcW w:w="851" w:type="dxa"/>
            <w:noWrap/>
            <w:hideMark/>
          </w:tcPr>
          <w:p w14:paraId="110EA38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8.38</w:t>
            </w:r>
          </w:p>
        </w:tc>
        <w:tc>
          <w:tcPr>
            <w:tcW w:w="708" w:type="dxa"/>
            <w:noWrap/>
            <w:hideMark/>
          </w:tcPr>
          <w:p w14:paraId="79A5009B"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1.54</w:t>
            </w:r>
          </w:p>
        </w:tc>
        <w:tc>
          <w:tcPr>
            <w:tcW w:w="993" w:type="dxa"/>
            <w:noWrap/>
            <w:hideMark/>
          </w:tcPr>
          <w:p w14:paraId="4A1536D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2AE5AB9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47F4F01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15.28</w:t>
            </w:r>
          </w:p>
        </w:tc>
        <w:tc>
          <w:tcPr>
            <w:tcW w:w="992" w:type="dxa"/>
            <w:noWrap/>
            <w:hideMark/>
          </w:tcPr>
          <w:p w14:paraId="1AAB5E3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w:t>
            </w:r>
          </w:p>
        </w:tc>
      </w:tr>
      <w:tr w:rsidR="008B32C3" w:rsidRPr="00D16AB0" w14:paraId="0FEA250B" w14:textId="77777777" w:rsidTr="008176D9">
        <w:trPr>
          <w:trHeight w:val="227"/>
        </w:trPr>
        <w:tc>
          <w:tcPr>
            <w:tcW w:w="993" w:type="dxa"/>
            <w:noWrap/>
            <w:hideMark/>
          </w:tcPr>
          <w:p w14:paraId="367285DE"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62866778"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Fugitive</w:t>
            </w:r>
          </w:p>
        </w:tc>
        <w:tc>
          <w:tcPr>
            <w:tcW w:w="709" w:type="dxa"/>
            <w:noWrap/>
            <w:hideMark/>
          </w:tcPr>
          <w:p w14:paraId="593C4DE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c>
          <w:tcPr>
            <w:tcW w:w="851" w:type="dxa"/>
            <w:noWrap/>
            <w:hideMark/>
          </w:tcPr>
          <w:p w14:paraId="79861CB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708" w:type="dxa"/>
            <w:noWrap/>
            <w:hideMark/>
          </w:tcPr>
          <w:p w14:paraId="29088B59"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w:t>
            </w:r>
          </w:p>
        </w:tc>
        <w:tc>
          <w:tcPr>
            <w:tcW w:w="993" w:type="dxa"/>
            <w:noWrap/>
            <w:hideMark/>
          </w:tcPr>
          <w:p w14:paraId="47D69A5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850" w:type="dxa"/>
            <w:noWrap/>
            <w:hideMark/>
          </w:tcPr>
          <w:p w14:paraId="0EEBE09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851" w:type="dxa"/>
            <w:noWrap/>
            <w:hideMark/>
          </w:tcPr>
          <w:p w14:paraId="0A1494D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992" w:type="dxa"/>
            <w:noWrap/>
            <w:hideMark/>
          </w:tcPr>
          <w:p w14:paraId="529DEF1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w:t>
            </w:r>
          </w:p>
        </w:tc>
      </w:tr>
      <w:tr w:rsidR="008B32C3" w:rsidRPr="00D16AB0" w14:paraId="5A0FE232" w14:textId="77777777" w:rsidTr="008176D9">
        <w:trPr>
          <w:trHeight w:val="227"/>
        </w:trPr>
        <w:tc>
          <w:tcPr>
            <w:tcW w:w="993" w:type="dxa"/>
            <w:noWrap/>
            <w:hideMark/>
          </w:tcPr>
          <w:p w14:paraId="249BC8C0"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0771389B"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Geothermal</w:t>
            </w:r>
          </w:p>
        </w:tc>
        <w:tc>
          <w:tcPr>
            <w:tcW w:w="709" w:type="dxa"/>
            <w:noWrap/>
            <w:hideMark/>
          </w:tcPr>
          <w:p w14:paraId="1D95576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w:t>
            </w:r>
          </w:p>
        </w:tc>
        <w:tc>
          <w:tcPr>
            <w:tcW w:w="851" w:type="dxa"/>
            <w:noWrap/>
            <w:hideMark/>
          </w:tcPr>
          <w:p w14:paraId="0546834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708" w:type="dxa"/>
            <w:noWrap/>
            <w:hideMark/>
          </w:tcPr>
          <w:p w14:paraId="7D27F0FE" w14:textId="77777777" w:rsidR="00E90695" w:rsidRPr="00D16AB0" w:rsidRDefault="00E90695" w:rsidP="008176D9">
            <w:pPr>
              <w:jc w:val="right"/>
              <w:rPr>
                <w:rFonts w:ascii="Arial" w:eastAsia="DengXian" w:hAnsi="Arial" w:cs="Arial"/>
                <w:color w:val="000000"/>
                <w:sz w:val="20"/>
                <w:lang w:val="en-GB"/>
              </w:rPr>
            </w:pPr>
          </w:p>
        </w:tc>
        <w:tc>
          <w:tcPr>
            <w:tcW w:w="993" w:type="dxa"/>
            <w:noWrap/>
            <w:hideMark/>
          </w:tcPr>
          <w:p w14:paraId="0055402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0" w:type="dxa"/>
            <w:noWrap/>
            <w:hideMark/>
          </w:tcPr>
          <w:p w14:paraId="618BDA9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1" w:type="dxa"/>
            <w:noWrap/>
            <w:hideMark/>
          </w:tcPr>
          <w:p w14:paraId="4D4D76F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992" w:type="dxa"/>
            <w:noWrap/>
            <w:hideMark/>
          </w:tcPr>
          <w:p w14:paraId="2FDA057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w:t>
            </w:r>
          </w:p>
        </w:tc>
      </w:tr>
      <w:tr w:rsidR="008B32C3" w:rsidRPr="00D16AB0" w14:paraId="42AF0F85" w14:textId="77777777" w:rsidTr="008176D9">
        <w:trPr>
          <w:trHeight w:val="227"/>
        </w:trPr>
        <w:tc>
          <w:tcPr>
            <w:tcW w:w="993" w:type="dxa"/>
            <w:noWrap/>
            <w:hideMark/>
          </w:tcPr>
          <w:p w14:paraId="2E6574B4"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053ADD62"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Hydro</w:t>
            </w:r>
          </w:p>
        </w:tc>
        <w:tc>
          <w:tcPr>
            <w:tcW w:w="709" w:type="dxa"/>
            <w:noWrap/>
            <w:hideMark/>
          </w:tcPr>
          <w:p w14:paraId="3E4BB0B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1738</w:t>
            </w:r>
          </w:p>
        </w:tc>
        <w:tc>
          <w:tcPr>
            <w:tcW w:w="851" w:type="dxa"/>
            <w:noWrap/>
            <w:hideMark/>
          </w:tcPr>
          <w:p w14:paraId="78C784E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9.44</w:t>
            </w:r>
          </w:p>
        </w:tc>
        <w:tc>
          <w:tcPr>
            <w:tcW w:w="708" w:type="dxa"/>
            <w:noWrap/>
            <w:hideMark/>
          </w:tcPr>
          <w:p w14:paraId="194311CD"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0.93</w:t>
            </w:r>
          </w:p>
        </w:tc>
        <w:tc>
          <w:tcPr>
            <w:tcW w:w="993" w:type="dxa"/>
            <w:noWrap/>
            <w:hideMark/>
          </w:tcPr>
          <w:p w14:paraId="3D0EA4A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0" w:type="dxa"/>
            <w:noWrap/>
            <w:hideMark/>
          </w:tcPr>
          <w:p w14:paraId="75CEDFC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w:t>
            </w:r>
          </w:p>
        </w:tc>
        <w:tc>
          <w:tcPr>
            <w:tcW w:w="851" w:type="dxa"/>
            <w:noWrap/>
            <w:hideMark/>
          </w:tcPr>
          <w:p w14:paraId="1C6B919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14.86</w:t>
            </w:r>
          </w:p>
        </w:tc>
        <w:tc>
          <w:tcPr>
            <w:tcW w:w="992" w:type="dxa"/>
            <w:noWrap/>
            <w:hideMark/>
          </w:tcPr>
          <w:p w14:paraId="65BDF00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9</w:t>
            </w:r>
          </w:p>
        </w:tc>
      </w:tr>
      <w:tr w:rsidR="008B32C3" w:rsidRPr="00D16AB0" w14:paraId="61AAF258" w14:textId="77777777" w:rsidTr="008176D9">
        <w:trPr>
          <w:trHeight w:val="227"/>
        </w:trPr>
        <w:tc>
          <w:tcPr>
            <w:tcW w:w="993" w:type="dxa"/>
            <w:noWrap/>
            <w:hideMark/>
          </w:tcPr>
          <w:p w14:paraId="50F33144"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1CB5D047"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Landfill gas</w:t>
            </w:r>
          </w:p>
        </w:tc>
        <w:tc>
          <w:tcPr>
            <w:tcW w:w="709" w:type="dxa"/>
            <w:noWrap/>
            <w:hideMark/>
          </w:tcPr>
          <w:p w14:paraId="0603EDB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156</w:t>
            </w:r>
          </w:p>
        </w:tc>
        <w:tc>
          <w:tcPr>
            <w:tcW w:w="851" w:type="dxa"/>
            <w:noWrap/>
            <w:hideMark/>
          </w:tcPr>
          <w:p w14:paraId="5FC3489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7.87</w:t>
            </w:r>
          </w:p>
        </w:tc>
        <w:tc>
          <w:tcPr>
            <w:tcW w:w="708" w:type="dxa"/>
            <w:noWrap/>
            <w:hideMark/>
          </w:tcPr>
          <w:p w14:paraId="61C5A5A5"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0.79</w:t>
            </w:r>
          </w:p>
        </w:tc>
        <w:tc>
          <w:tcPr>
            <w:tcW w:w="993" w:type="dxa"/>
            <w:noWrap/>
            <w:hideMark/>
          </w:tcPr>
          <w:p w14:paraId="7670996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58B93AC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4.44</w:t>
            </w:r>
          </w:p>
        </w:tc>
        <w:tc>
          <w:tcPr>
            <w:tcW w:w="851" w:type="dxa"/>
            <w:noWrap/>
            <w:hideMark/>
          </w:tcPr>
          <w:p w14:paraId="551035E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992" w:type="dxa"/>
            <w:noWrap/>
            <w:hideMark/>
          </w:tcPr>
          <w:p w14:paraId="69F11B2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r>
      <w:tr w:rsidR="008B32C3" w:rsidRPr="00D16AB0" w14:paraId="7BC9CBE2" w14:textId="77777777" w:rsidTr="008176D9">
        <w:trPr>
          <w:trHeight w:val="227"/>
        </w:trPr>
        <w:tc>
          <w:tcPr>
            <w:tcW w:w="993" w:type="dxa"/>
            <w:noWrap/>
            <w:hideMark/>
          </w:tcPr>
          <w:p w14:paraId="761FF1A2"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4285C19F"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Methane avoidance</w:t>
            </w:r>
          </w:p>
        </w:tc>
        <w:tc>
          <w:tcPr>
            <w:tcW w:w="709" w:type="dxa"/>
            <w:noWrap/>
            <w:hideMark/>
          </w:tcPr>
          <w:p w14:paraId="2061CEA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149</w:t>
            </w:r>
          </w:p>
        </w:tc>
        <w:tc>
          <w:tcPr>
            <w:tcW w:w="851" w:type="dxa"/>
            <w:noWrap/>
            <w:hideMark/>
          </w:tcPr>
          <w:p w14:paraId="634180A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10.48</w:t>
            </w:r>
          </w:p>
        </w:tc>
        <w:tc>
          <w:tcPr>
            <w:tcW w:w="708" w:type="dxa"/>
            <w:noWrap/>
            <w:hideMark/>
          </w:tcPr>
          <w:p w14:paraId="62F0A7E2"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2.34</w:t>
            </w:r>
          </w:p>
        </w:tc>
        <w:tc>
          <w:tcPr>
            <w:tcW w:w="993" w:type="dxa"/>
            <w:noWrap/>
            <w:hideMark/>
          </w:tcPr>
          <w:p w14:paraId="45656B8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w:t>
            </w:r>
          </w:p>
        </w:tc>
        <w:tc>
          <w:tcPr>
            <w:tcW w:w="850" w:type="dxa"/>
            <w:noWrap/>
            <w:hideMark/>
          </w:tcPr>
          <w:p w14:paraId="5EDC1A5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w:t>
            </w:r>
          </w:p>
        </w:tc>
        <w:tc>
          <w:tcPr>
            <w:tcW w:w="851" w:type="dxa"/>
            <w:noWrap/>
            <w:hideMark/>
          </w:tcPr>
          <w:p w14:paraId="3CEBBA8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16</w:t>
            </w:r>
          </w:p>
        </w:tc>
        <w:tc>
          <w:tcPr>
            <w:tcW w:w="992" w:type="dxa"/>
            <w:noWrap/>
            <w:hideMark/>
          </w:tcPr>
          <w:p w14:paraId="3A5F79A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9</w:t>
            </w:r>
          </w:p>
        </w:tc>
      </w:tr>
      <w:tr w:rsidR="008B32C3" w:rsidRPr="00D16AB0" w14:paraId="0915EB75" w14:textId="77777777" w:rsidTr="008176D9">
        <w:trPr>
          <w:trHeight w:val="227"/>
        </w:trPr>
        <w:tc>
          <w:tcPr>
            <w:tcW w:w="993" w:type="dxa"/>
            <w:noWrap/>
            <w:hideMark/>
          </w:tcPr>
          <w:p w14:paraId="079F985D"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10A4D39F"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Mixed renewables</w:t>
            </w:r>
          </w:p>
        </w:tc>
        <w:tc>
          <w:tcPr>
            <w:tcW w:w="709" w:type="dxa"/>
            <w:noWrap/>
            <w:hideMark/>
          </w:tcPr>
          <w:p w14:paraId="1E57383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c>
          <w:tcPr>
            <w:tcW w:w="851" w:type="dxa"/>
            <w:noWrap/>
            <w:hideMark/>
          </w:tcPr>
          <w:p w14:paraId="1313FAA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708" w:type="dxa"/>
            <w:noWrap/>
            <w:hideMark/>
          </w:tcPr>
          <w:p w14:paraId="0082E73B"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w:t>
            </w:r>
          </w:p>
        </w:tc>
        <w:tc>
          <w:tcPr>
            <w:tcW w:w="993" w:type="dxa"/>
            <w:noWrap/>
            <w:hideMark/>
          </w:tcPr>
          <w:p w14:paraId="38ED75C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08CB7D9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019D5D8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992" w:type="dxa"/>
            <w:noWrap/>
            <w:hideMark/>
          </w:tcPr>
          <w:p w14:paraId="0D18BCF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w:t>
            </w:r>
          </w:p>
        </w:tc>
      </w:tr>
      <w:tr w:rsidR="008B32C3" w:rsidRPr="00D16AB0" w14:paraId="2016F00F" w14:textId="77777777" w:rsidTr="008176D9">
        <w:trPr>
          <w:trHeight w:val="227"/>
        </w:trPr>
        <w:tc>
          <w:tcPr>
            <w:tcW w:w="993" w:type="dxa"/>
            <w:noWrap/>
            <w:hideMark/>
          </w:tcPr>
          <w:p w14:paraId="28F6AE6D"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1A8E4F4C"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N2O</w:t>
            </w:r>
          </w:p>
        </w:tc>
        <w:tc>
          <w:tcPr>
            <w:tcW w:w="709" w:type="dxa"/>
            <w:noWrap/>
            <w:hideMark/>
          </w:tcPr>
          <w:p w14:paraId="6084E19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62</w:t>
            </w:r>
          </w:p>
        </w:tc>
        <w:tc>
          <w:tcPr>
            <w:tcW w:w="851" w:type="dxa"/>
            <w:noWrap/>
            <w:hideMark/>
          </w:tcPr>
          <w:p w14:paraId="64CEA71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8.47</w:t>
            </w:r>
          </w:p>
        </w:tc>
        <w:tc>
          <w:tcPr>
            <w:tcW w:w="708" w:type="dxa"/>
            <w:noWrap/>
            <w:hideMark/>
          </w:tcPr>
          <w:p w14:paraId="66EE22E8"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4.13</w:t>
            </w:r>
          </w:p>
        </w:tc>
        <w:tc>
          <w:tcPr>
            <w:tcW w:w="993" w:type="dxa"/>
            <w:noWrap/>
            <w:hideMark/>
          </w:tcPr>
          <w:p w14:paraId="58BE058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9</w:t>
            </w:r>
          </w:p>
        </w:tc>
        <w:tc>
          <w:tcPr>
            <w:tcW w:w="850" w:type="dxa"/>
            <w:noWrap/>
            <w:hideMark/>
          </w:tcPr>
          <w:p w14:paraId="0CE717C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c>
          <w:tcPr>
            <w:tcW w:w="851" w:type="dxa"/>
            <w:noWrap/>
            <w:hideMark/>
          </w:tcPr>
          <w:p w14:paraId="18884AA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14.82</w:t>
            </w:r>
          </w:p>
        </w:tc>
        <w:tc>
          <w:tcPr>
            <w:tcW w:w="992" w:type="dxa"/>
            <w:noWrap/>
            <w:hideMark/>
          </w:tcPr>
          <w:p w14:paraId="3FA4608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r>
      <w:tr w:rsidR="008B32C3" w:rsidRPr="00D16AB0" w14:paraId="1D2A650C" w14:textId="77777777" w:rsidTr="008176D9">
        <w:trPr>
          <w:trHeight w:val="227"/>
        </w:trPr>
        <w:tc>
          <w:tcPr>
            <w:tcW w:w="993" w:type="dxa"/>
            <w:noWrap/>
            <w:hideMark/>
          </w:tcPr>
          <w:p w14:paraId="2B0435F5"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5B96CEEB"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PFCs and SF6</w:t>
            </w:r>
          </w:p>
        </w:tc>
        <w:tc>
          <w:tcPr>
            <w:tcW w:w="709" w:type="dxa"/>
            <w:noWrap/>
            <w:hideMark/>
          </w:tcPr>
          <w:p w14:paraId="438D022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w:t>
            </w:r>
          </w:p>
        </w:tc>
        <w:tc>
          <w:tcPr>
            <w:tcW w:w="851" w:type="dxa"/>
            <w:noWrap/>
            <w:hideMark/>
          </w:tcPr>
          <w:p w14:paraId="1399A5B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708" w:type="dxa"/>
            <w:noWrap/>
            <w:hideMark/>
          </w:tcPr>
          <w:p w14:paraId="0877DCEA" w14:textId="77777777" w:rsidR="00E90695" w:rsidRPr="00D16AB0" w:rsidRDefault="00E90695" w:rsidP="008176D9">
            <w:pPr>
              <w:jc w:val="right"/>
              <w:rPr>
                <w:rFonts w:ascii="Arial" w:eastAsia="DengXian" w:hAnsi="Arial" w:cs="Arial"/>
                <w:color w:val="000000"/>
                <w:sz w:val="20"/>
                <w:lang w:val="en-GB"/>
              </w:rPr>
            </w:pPr>
          </w:p>
        </w:tc>
        <w:tc>
          <w:tcPr>
            <w:tcW w:w="993" w:type="dxa"/>
            <w:noWrap/>
            <w:hideMark/>
          </w:tcPr>
          <w:p w14:paraId="7962B8A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5B52A89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0D1BC06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992" w:type="dxa"/>
            <w:noWrap/>
            <w:hideMark/>
          </w:tcPr>
          <w:p w14:paraId="7CB093F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w:t>
            </w:r>
          </w:p>
        </w:tc>
      </w:tr>
      <w:tr w:rsidR="008B32C3" w:rsidRPr="00D16AB0" w14:paraId="416B5ED7" w14:textId="77777777" w:rsidTr="008176D9">
        <w:trPr>
          <w:trHeight w:val="227"/>
        </w:trPr>
        <w:tc>
          <w:tcPr>
            <w:tcW w:w="993" w:type="dxa"/>
            <w:noWrap/>
            <w:hideMark/>
          </w:tcPr>
          <w:p w14:paraId="7E7334E1"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24C08C6F"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Reforestation</w:t>
            </w:r>
          </w:p>
        </w:tc>
        <w:tc>
          <w:tcPr>
            <w:tcW w:w="709" w:type="dxa"/>
            <w:noWrap/>
            <w:hideMark/>
          </w:tcPr>
          <w:p w14:paraId="09D838F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470F4AB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9.33</w:t>
            </w:r>
          </w:p>
        </w:tc>
        <w:tc>
          <w:tcPr>
            <w:tcW w:w="708" w:type="dxa"/>
            <w:noWrap/>
            <w:hideMark/>
          </w:tcPr>
          <w:p w14:paraId="30B2B556"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2.31</w:t>
            </w:r>
          </w:p>
        </w:tc>
        <w:tc>
          <w:tcPr>
            <w:tcW w:w="993" w:type="dxa"/>
            <w:noWrap/>
            <w:hideMark/>
          </w:tcPr>
          <w:p w14:paraId="52E3701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7A4F357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4BC3B2C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992" w:type="dxa"/>
            <w:noWrap/>
            <w:hideMark/>
          </w:tcPr>
          <w:p w14:paraId="2DAF841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w:t>
            </w:r>
          </w:p>
        </w:tc>
      </w:tr>
      <w:tr w:rsidR="008B32C3" w:rsidRPr="00D16AB0" w14:paraId="2E0AB5CF" w14:textId="77777777" w:rsidTr="008176D9">
        <w:trPr>
          <w:trHeight w:val="227"/>
        </w:trPr>
        <w:tc>
          <w:tcPr>
            <w:tcW w:w="993" w:type="dxa"/>
            <w:noWrap/>
            <w:hideMark/>
          </w:tcPr>
          <w:p w14:paraId="4F223AF1"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6F3C0B69"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Solar</w:t>
            </w:r>
          </w:p>
        </w:tc>
        <w:tc>
          <w:tcPr>
            <w:tcW w:w="709" w:type="dxa"/>
            <w:noWrap/>
            <w:hideMark/>
          </w:tcPr>
          <w:p w14:paraId="6D8EAF8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175</w:t>
            </w:r>
          </w:p>
        </w:tc>
        <w:tc>
          <w:tcPr>
            <w:tcW w:w="851" w:type="dxa"/>
            <w:noWrap/>
            <w:hideMark/>
          </w:tcPr>
          <w:p w14:paraId="15EFEB8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7.84</w:t>
            </w:r>
          </w:p>
        </w:tc>
        <w:tc>
          <w:tcPr>
            <w:tcW w:w="708" w:type="dxa"/>
            <w:noWrap/>
            <w:hideMark/>
          </w:tcPr>
          <w:p w14:paraId="302ADFFA"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0.81</w:t>
            </w:r>
          </w:p>
        </w:tc>
        <w:tc>
          <w:tcPr>
            <w:tcW w:w="993" w:type="dxa"/>
            <w:noWrap/>
            <w:hideMark/>
          </w:tcPr>
          <w:p w14:paraId="77DF360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4929DF2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3.6</w:t>
            </w:r>
          </w:p>
        </w:tc>
        <w:tc>
          <w:tcPr>
            <w:tcW w:w="851" w:type="dxa"/>
            <w:noWrap/>
            <w:hideMark/>
          </w:tcPr>
          <w:p w14:paraId="66629ED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992" w:type="dxa"/>
            <w:noWrap/>
            <w:hideMark/>
          </w:tcPr>
          <w:p w14:paraId="707405A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w:t>
            </w:r>
          </w:p>
        </w:tc>
      </w:tr>
      <w:tr w:rsidR="008B32C3" w:rsidRPr="00D16AB0" w14:paraId="5FF5230B" w14:textId="77777777" w:rsidTr="008176D9">
        <w:trPr>
          <w:trHeight w:val="227"/>
        </w:trPr>
        <w:tc>
          <w:tcPr>
            <w:tcW w:w="993" w:type="dxa"/>
            <w:noWrap/>
            <w:hideMark/>
          </w:tcPr>
          <w:p w14:paraId="6BED98B1"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1507BDFB"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Transport</w:t>
            </w:r>
          </w:p>
        </w:tc>
        <w:tc>
          <w:tcPr>
            <w:tcW w:w="709" w:type="dxa"/>
            <w:noWrap/>
            <w:hideMark/>
          </w:tcPr>
          <w:p w14:paraId="65100D7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1" w:type="dxa"/>
            <w:noWrap/>
            <w:hideMark/>
          </w:tcPr>
          <w:p w14:paraId="33E077E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12.5</w:t>
            </w:r>
          </w:p>
        </w:tc>
        <w:tc>
          <w:tcPr>
            <w:tcW w:w="708" w:type="dxa"/>
            <w:noWrap/>
            <w:hideMark/>
          </w:tcPr>
          <w:p w14:paraId="45658AB3"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0.71</w:t>
            </w:r>
          </w:p>
        </w:tc>
        <w:tc>
          <w:tcPr>
            <w:tcW w:w="993" w:type="dxa"/>
            <w:noWrap/>
            <w:hideMark/>
          </w:tcPr>
          <w:p w14:paraId="6386D96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12.5</w:t>
            </w:r>
          </w:p>
        </w:tc>
        <w:tc>
          <w:tcPr>
            <w:tcW w:w="850" w:type="dxa"/>
            <w:noWrap/>
            <w:hideMark/>
          </w:tcPr>
          <w:p w14:paraId="47503A1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851" w:type="dxa"/>
            <w:noWrap/>
            <w:hideMark/>
          </w:tcPr>
          <w:p w14:paraId="6BD131C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992" w:type="dxa"/>
            <w:noWrap/>
            <w:hideMark/>
          </w:tcPr>
          <w:p w14:paraId="536EE28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w:t>
            </w:r>
          </w:p>
        </w:tc>
      </w:tr>
      <w:tr w:rsidR="008B32C3" w:rsidRPr="00D16AB0" w14:paraId="6E995F77" w14:textId="77777777" w:rsidTr="008176D9">
        <w:trPr>
          <w:trHeight w:val="227"/>
        </w:trPr>
        <w:tc>
          <w:tcPr>
            <w:tcW w:w="993" w:type="dxa"/>
            <w:noWrap/>
            <w:hideMark/>
          </w:tcPr>
          <w:p w14:paraId="5A4E3A35"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China</w:t>
            </w:r>
          </w:p>
        </w:tc>
        <w:tc>
          <w:tcPr>
            <w:tcW w:w="2409" w:type="dxa"/>
            <w:gridSpan w:val="2"/>
            <w:noWrap/>
            <w:hideMark/>
          </w:tcPr>
          <w:p w14:paraId="061BDB99"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Wind</w:t>
            </w:r>
          </w:p>
        </w:tc>
        <w:tc>
          <w:tcPr>
            <w:tcW w:w="709" w:type="dxa"/>
            <w:noWrap/>
            <w:hideMark/>
          </w:tcPr>
          <w:p w14:paraId="75C435F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1614</w:t>
            </w:r>
          </w:p>
        </w:tc>
        <w:tc>
          <w:tcPr>
            <w:tcW w:w="851" w:type="dxa"/>
            <w:noWrap/>
            <w:hideMark/>
          </w:tcPr>
          <w:p w14:paraId="035796E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8.01</w:t>
            </w:r>
          </w:p>
        </w:tc>
        <w:tc>
          <w:tcPr>
            <w:tcW w:w="708" w:type="dxa"/>
            <w:noWrap/>
            <w:hideMark/>
          </w:tcPr>
          <w:p w14:paraId="52450916"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0.13</w:t>
            </w:r>
          </w:p>
        </w:tc>
        <w:tc>
          <w:tcPr>
            <w:tcW w:w="993" w:type="dxa"/>
            <w:noWrap/>
            <w:hideMark/>
          </w:tcPr>
          <w:p w14:paraId="3D7A83C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201E73F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4B546CB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992" w:type="dxa"/>
            <w:noWrap/>
            <w:hideMark/>
          </w:tcPr>
          <w:p w14:paraId="00DB0D4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w:t>
            </w:r>
          </w:p>
        </w:tc>
      </w:tr>
      <w:tr w:rsidR="008B32C3" w:rsidRPr="00D16AB0" w14:paraId="6A5C4CB2" w14:textId="77777777" w:rsidTr="008176D9">
        <w:trPr>
          <w:trHeight w:val="227"/>
        </w:trPr>
        <w:tc>
          <w:tcPr>
            <w:tcW w:w="993" w:type="dxa"/>
            <w:noWrap/>
            <w:hideMark/>
          </w:tcPr>
          <w:p w14:paraId="0CF0500C"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7A3B85F1"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Biomass energy</w:t>
            </w:r>
          </w:p>
        </w:tc>
        <w:tc>
          <w:tcPr>
            <w:tcW w:w="709" w:type="dxa"/>
            <w:noWrap/>
            <w:hideMark/>
          </w:tcPr>
          <w:p w14:paraId="588E677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659</w:t>
            </w:r>
          </w:p>
        </w:tc>
        <w:tc>
          <w:tcPr>
            <w:tcW w:w="851" w:type="dxa"/>
            <w:noWrap/>
            <w:hideMark/>
          </w:tcPr>
          <w:p w14:paraId="6A24E05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13.54</w:t>
            </w:r>
          </w:p>
        </w:tc>
        <w:tc>
          <w:tcPr>
            <w:tcW w:w="708" w:type="dxa"/>
            <w:noWrap/>
            <w:hideMark/>
          </w:tcPr>
          <w:p w14:paraId="23BEE004"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3.55</w:t>
            </w:r>
          </w:p>
        </w:tc>
        <w:tc>
          <w:tcPr>
            <w:tcW w:w="993" w:type="dxa"/>
            <w:noWrap/>
            <w:hideMark/>
          </w:tcPr>
          <w:p w14:paraId="6CA4C9B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850" w:type="dxa"/>
            <w:noWrap/>
            <w:hideMark/>
          </w:tcPr>
          <w:p w14:paraId="08DAC67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10.25</w:t>
            </w:r>
          </w:p>
        </w:tc>
        <w:tc>
          <w:tcPr>
            <w:tcW w:w="851" w:type="dxa"/>
            <w:noWrap/>
            <w:hideMark/>
          </w:tcPr>
          <w:p w14:paraId="4BFCDFC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48.86</w:t>
            </w:r>
          </w:p>
        </w:tc>
        <w:tc>
          <w:tcPr>
            <w:tcW w:w="992" w:type="dxa"/>
            <w:noWrap/>
            <w:hideMark/>
          </w:tcPr>
          <w:p w14:paraId="3F20DA1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71</w:t>
            </w:r>
          </w:p>
        </w:tc>
      </w:tr>
      <w:tr w:rsidR="008B32C3" w:rsidRPr="00D16AB0" w14:paraId="507D6532" w14:textId="77777777" w:rsidTr="008176D9">
        <w:trPr>
          <w:trHeight w:val="227"/>
        </w:trPr>
        <w:tc>
          <w:tcPr>
            <w:tcW w:w="993" w:type="dxa"/>
            <w:noWrap/>
            <w:hideMark/>
          </w:tcPr>
          <w:p w14:paraId="71F73169"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332F86CD"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households</w:t>
            </w:r>
          </w:p>
        </w:tc>
        <w:tc>
          <w:tcPr>
            <w:tcW w:w="709" w:type="dxa"/>
            <w:noWrap/>
            <w:hideMark/>
          </w:tcPr>
          <w:p w14:paraId="4153317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87</w:t>
            </w:r>
          </w:p>
        </w:tc>
        <w:tc>
          <w:tcPr>
            <w:tcW w:w="851" w:type="dxa"/>
            <w:noWrap/>
            <w:hideMark/>
          </w:tcPr>
          <w:p w14:paraId="2F9DE85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10.82</w:t>
            </w:r>
          </w:p>
        </w:tc>
        <w:tc>
          <w:tcPr>
            <w:tcW w:w="708" w:type="dxa"/>
            <w:noWrap/>
            <w:hideMark/>
          </w:tcPr>
          <w:p w14:paraId="57E73555"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5.20</w:t>
            </w:r>
          </w:p>
        </w:tc>
        <w:tc>
          <w:tcPr>
            <w:tcW w:w="993" w:type="dxa"/>
            <w:noWrap/>
            <w:hideMark/>
          </w:tcPr>
          <w:p w14:paraId="5BF5F50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0" w:type="dxa"/>
            <w:noWrap/>
            <w:hideMark/>
          </w:tcPr>
          <w:p w14:paraId="05C56CF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01F17F9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25</w:t>
            </w:r>
          </w:p>
        </w:tc>
        <w:tc>
          <w:tcPr>
            <w:tcW w:w="992" w:type="dxa"/>
            <w:noWrap/>
            <w:hideMark/>
          </w:tcPr>
          <w:p w14:paraId="28B8B17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5</w:t>
            </w:r>
          </w:p>
        </w:tc>
      </w:tr>
      <w:tr w:rsidR="008B32C3" w:rsidRPr="00D16AB0" w14:paraId="2DEA72B6" w14:textId="77777777" w:rsidTr="008176D9">
        <w:trPr>
          <w:trHeight w:val="227"/>
        </w:trPr>
        <w:tc>
          <w:tcPr>
            <w:tcW w:w="993" w:type="dxa"/>
            <w:noWrap/>
            <w:hideMark/>
          </w:tcPr>
          <w:p w14:paraId="75A011C4"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18D68DE8"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industry</w:t>
            </w:r>
          </w:p>
        </w:tc>
        <w:tc>
          <w:tcPr>
            <w:tcW w:w="709" w:type="dxa"/>
            <w:noWrap/>
            <w:hideMark/>
          </w:tcPr>
          <w:p w14:paraId="7A0EC0F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225</w:t>
            </w:r>
          </w:p>
        </w:tc>
        <w:tc>
          <w:tcPr>
            <w:tcW w:w="851" w:type="dxa"/>
            <w:noWrap/>
            <w:hideMark/>
          </w:tcPr>
          <w:p w14:paraId="230CB83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12.93</w:t>
            </w:r>
          </w:p>
        </w:tc>
        <w:tc>
          <w:tcPr>
            <w:tcW w:w="708" w:type="dxa"/>
            <w:noWrap/>
            <w:hideMark/>
          </w:tcPr>
          <w:p w14:paraId="3A03E794"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2.61</w:t>
            </w:r>
          </w:p>
        </w:tc>
        <w:tc>
          <w:tcPr>
            <w:tcW w:w="993" w:type="dxa"/>
            <w:noWrap/>
            <w:hideMark/>
          </w:tcPr>
          <w:p w14:paraId="42D7EB3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12.5</w:t>
            </w:r>
          </w:p>
        </w:tc>
        <w:tc>
          <w:tcPr>
            <w:tcW w:w="850" w:type="dxa"/>
            <w:noWrap/>
            <w:hideMark/>
          </w:tcPr>
          <w:p w14:paraId="706662C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1" w:type="dxa"/>
            <w:noWrap/>
            <w:hideMark/>
          </w:tcPr>
          <w:p w14:paraId="22E8846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18</w:t>
            </w:r>
          </w:p>
        </w:tc>
        <w:tc>
          <w:tcPr>
            <w:tcW w:w="992" w:type="dxa"/>
            <w:noWrap/>
            <w:hideMark/>
          </w:tcPr>
          <w:p w14:paraId="4D2C0C8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9</w:t>
            </w:r>
          </w:p>
        </w:tc>
      </w:tr>
      <w:tr w:rsidR="008B32C3" w:rsidRPr="00D16AB0" w14:paraId="332EE58F" w14:textId="77777777" w:rsidTr="008176D9">
        <w:trPr>
          <w:trHeight w:val="227"/>
        </w:trPr>
        <w:tc>
          <w:tcPr>
            <w:tcW w:w="993" w:type="dxa"/>
            <w:noWrap/>
            <w:hideMark/>
          </w:tcPr>
          <w:p w14:paraId="163F82C4"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1D885A18"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own generation</w:t>
            </w:r>
          </w:p>
        </w:tc>
        <w:tc>
          <w:tcPr>
            <w:tcW w:w="709" w:type="dxa"/>
            <w:noWrap/>
            <w:hideMark/>
          </w:tcPr>
          <w:p w14:paraId="12F509B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245</w:t>
            </w:r>
          </w:p>
        </w:tc>
        <w:tc>
          <w:tcPr>
            <w:tcW w:w="851" w:type="dxa"/>
            <w:noWrap/>
            <w:hideMark/>
          </w:tcPr>
          <w:p w14:paraId="5D8341E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15.45</w:t>
            </w:r>
          </w:p>
        </w:tc>
        <w:tc>
          <w:tcPr>
            <w:tcW w:w="708" w:type="dxa"/>
            <w:noWrap/>
            <w:hideMark/>
          </w:tcPr>
          <w:p w14:paraId="0F84BF4C"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4.30</w:t>
            </w:r>
          </w:p>
        </w:tc>
        <w:tc>
          <w:tcPr>
            <w:tcW w:w="993" w:type="dxa"/>
            <w:noWrap/>
            <w:hideMark/>
          </w:tcPr>
          <w:p w14:paraId="72AB81C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15.08</w:t>
            </w:r>
          </w:p>
        </w:tc>
        <w:tc>
          <w:tcPr>
            <w:tcW w:w="850" w:type="dxa"/>
            <w:noWrap/>
            <w:hideMark/>
          </w:tcPr>
          <w:p w14:paraId="389F825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5A5840F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26.5</w:t>
            </w:r>
          </w:p>
        </w:tc>
        <w:tc>
          <w:tcPr>
            <w:tcW w:w="992" w:type="dxa"/>
            <w:noWrap/>
            <w:hideMark/>
          </w:tcPr>
          <w:p w14:paraId="06C0F2C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39</w:t>
            </w:r>
          </w:p>
        </w:tc>
      </w:tr>
      <w:tr w:rsidR="008B32C3" w:rsidRPr="00D16AB0" w14:paraId="560DAF4A" w14:textId="77777777" w:rsidTr="008176D9">
        <w:trPr>
          <w:trHeight w:val="227"/>
        </w:trPr>
        <w:tc>
          <w:tcPr>
            <w:tcW w:w="993" w:type="dxa"/>
            <w:noWrap/>
            <w:hideMark/>
          </w:tcPr>
          <w:p w14:paraId="29295EF1"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332BFBAC"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service</w:t>
            </w:r>
          </w:p>
        </w:tc>
        <w:tc>
          <w:tcPr>
            <w:tcW w:w="709" w:type="dxa"/>
            <w:noWrap/>
            <w:hideMark/>
          </w:tcPr>
          <w:p w14:paraId="3962D13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48</w:t>
            </w:r>
          </w:p>
        </w:tc>
        <w:tc>
          <w:tcPr>
            <w:tcW w:w="851" w:type="dxa"/>
            <w:noWrap/>
            <w:hideMark/>
          </w:tcPr>
          <w:p w14:paraId="1F00519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10.10</w:t>
            </w:r>
          </w:p>
        </w:tc>
        <w:tc>
          <w:tcPr>
            <w:tcW w:w="708" w:type="dxa"/>
            <w:noWrap/>
            <w:hideMark/>
          </w:tcPr>
          <w:p w14:paraId="6A46F34E"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0.21</w:t>
            </w:r>
          </w:p>
        </w:tc>
        <w:tc>
          <w:tcPr>
            <w:tcW w:w="993" w:type="dxa"/>
            <w:noWrap/>
            <w:hideMark/>
          </w:tcPr>
          <w:p w14:paraId="3EF0F54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0" w:type="dxa"/>
            <w:noWrap/>
            <w:hideMark/>
          </w:tcPr>
          <w:p w14:paraId="3CFEFEA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1" w:type="dxa"/>
            <w:noWrap/>
            <w:hideMark/>
          </w:tcPr>
          <w:p w14:paraId="1D7D618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10.48</w:t>
            </w:r>
          </w:p>
        </w:tc>
        <w:tc>
          <w:tcPr>
            <w:tcW w:w="992" w:type="dxa"/>
            <w:noWrap/>
            <w:hideMark/>
          </w:tcPr>
          <w:p w14:paraId="6E127B3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w:t>
            </w:r>
          </w:p>
        </w:tc>
      </w:tr>
      <w:tr w:rsidR="008B32C3" w:rsidRPr="00D16AB0" w14:paraId="7593CD83" w14:textId="77777777" w:rsidTr="008176D9">
        <w:trPr>
          <w:trHeight w:val="227"/>
        </w:trPr>
        <w:tc>
          <w:tcPr>
            <w:tcW w:w="993" w:type="dxa"/>
            <w:noWrap/>
            <w:hideMark/>
          </w:tcPr>
          <w:p w14:paraId="660AA0A4"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40C1AFF6"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EE supply side</w:t>
            </w:r>
          </w:p>
        </w:tc>
        <w:tc>
          <w:tcPr>
            <w:tcW w:w="709" w:type="dxa"/>
            <w:noWrap/>
            <w:hideMark/>
          </w:tcPr>
          <w:p w14:paraId="618837E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77</w:t>
            </w:r>
          </w:p>
        </w:tc>
        <w:tc>
          <w:tcPr>
            <w:tcW w:w="851" w:type="dxa"/>
            <w:noWrap/>
            <w:hideMark/>
          </w:tcPr>
          <w:p w14:paraId="41D6447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14.35</w:t>
            </w:r>
          </w:p>
        </w:tc>
        <w:tc>
          <w:tcPr>
            <w:tcW w:w="708" w:type="dxa"/>
            <w:noWrap/>
            <w:hideMark/>
          </w:tcPr>
          <w:p w14:paraId="540E042A"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1.96</w:t>
            </w:r>
          </w:p>
        </w:tc>
        <w:tc>
          <w:tcPr>
            <w:tcW w:w="993" w:type="dxa"/>
            <w:noWrap/>
            <w:hideMark/>
          </w:tcPr>
          <w:p w14:paraId="38C2A52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w:t>
            </w:r>
          </w:p>
        </w:tc>
        <w:tc>
          <w:tcPr>
            <w:tcW w:w="850" w:type="dxa"/>
            <w:noWrap/>
            <w:hideMark/>
          </w:tcPr>
          <w:p w14:paraId="1E46F0E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11.5</w:t>
            </w:r>
          </w:p>
        </w:tc>
        <w:tc>
          <w:tcPr>
            <w:tcW w:w="851" w:type="dxa"/>
            <w:noWrap/>
            <w:hideMark/>
          </w:tcPr>
          <w:p w14:paraId="2295CEE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17.69</w:t>
            </w:r>
          </w:p>
        </w:tc>
        <w:tc>
          <w:tcPr>
            <w:tcW w:w="992" w:type="dxa"/>
            <w:noWrap/>
            <w:hideMark/>
          </w:tcPr>
          <w:p w14:paraId="682F31B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r>
      <w:tr w:rsidR="008B32C3" w:rsidRPr="00D16AB0" w14:paraId="69153FBB" w14:textId="77777777" w:rsidTr="008176D9">
        <w:trPr>
          <w:trHeight w:val="227"/>
        </w:trPr>
        <w:tc>
          <w:tcPr>
            <w:tcW w:w="993" w:type="dxa"/>
            <w:noWrap/>
            <w:hideMark/>
          </w:tcPr>
          <w:p w14:paraId="42402116"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314224A1"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Energy distribution</w:t>
            </w:r>
          </w:p>
        </w:tc>
        <w:tc>
          <w:tcPr>
            <w:tcW w:w="709" w:type="dxa"/>
            <w:noWrap/>
            <w:hideMark/>
          </w:tcPr>
          <w:p w14:paraId="518413F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6</w:t>
            </w:r>
          </w:p>
        </w:tc>
        <w:tc>
          <w:tcPr>
            <w:tcW w:w="851" w:type="dxa"/>
            <w:noWrap/>
            <w:hideMark/>
          </w:tcPr>
          <w:p w14:paraId="52FE147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11.5</w:t>
            </w:r>
          </w:p>
        </w:tc>
        <w:tc>
          <w:tcPr>
            <w:tcW w:w="708" w:type="dxa"/>
            <w:noWrap/>
            <w:hideMark/>
          </w:tcPr>
          <w:p w14:paraId="7864D6A0"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w:t>
            </w:r>
          </w:p>
        </w:tc>
        <w:tc>
          <w:tcPr>
            <w:tcW w:w="993" w:type="dxa"/>
            <w:noWrap/>
            <w:hideMark/>
          </w:tcPr>
          <w:p w14:paraId="4F8AA27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11.5</w:t>
            </w:r>
          </w:p>
        </w:tc>
        <w:tc>
          <w:tcPr>
            <w:tcW w:w="850" w:type="dxa"/>
            <w:noWrap/>
            <w:hideMark/>
          </w:tcPr>
          <w:p w14:paraId="1486E60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11.5</w:t>
            </w:r>
          </w:p>
        </w:tc>
        <w:tc>
          <w:tcPr>
            <w:tcW w:w="851" w:type="dxa"/>
            <w:noWrap/>
            <w:hideMark/>
          </w:tcPr>
          <w:p w14:paraId="163362A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11.5</w:t>
            </w:r>
          </w:p>
        </w:tc>
        <w:tc>
          <w:tcPr>
            <w:tcW w:w="992" w:type="dxa"/>
            <w:noWrap/>
            <w:hideMark/>
          </w:tcPr>
          <w:p w14:paraId="4C5B63E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w:t>
            </w:r>
          </w:p>
        </w:tc>
      </w:tr>
      <w:tr w:rsidR="008B32C3" w:rsidRPr="00D16AB0" w14:paraId="5EBF8C89" w14:textId="77777777" w:rsidTr="008176D9">
        <w:trPr>
          <w:trHeight w:val="227"/>
        </w:trPr>
        <w:tc>
          <w:tcPr>
            <w:tcW w:w="993" w:type="dxa"/>
            <w:noWrap/>
            <w:hideMark/>
          </w:tcPr>
          <w:p w14:paraId="6F3AD175"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3E825E41"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Fossil fuel switch</w:t>
            </w:r>
          </w:p>
        </w:tc>
        <w:tc>
          <w:tcPr>
            <w:tcW w:w="709" w:type="dxa"/>
            <w:noWrap/>
            <w:hideMark/>
          </w:tcPr>
          <w:p w14:paraId="2A66BAE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87</w:t>
            </w:r>
          </w:p>
        </w:tc>
        <w:tc>
          <w:tcPr>
            <w:tcW w:w="851" w:type="dxa"/>
            <w:noWrap/>
            <w:hideMark/>
          </w:tcPr>
          <w:p w14:paraId="421D213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13.95</w:t>
            </w:r>
          </w:p>
        </w:tc>
        <w:tc>
          <w:tcPr>
            <w:tcW w:w="708" w:type="dxa"/>
            <w:noWrap/>
            <w:hideMark/>
          </w:tcPr>
          <w:p w14:paraId="728FE0AB"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1.91</w:t>
            </w:r>
          </w:p>
        </w:tc>
        <w:tc>
          <w:tcPr>
            <w:tcW w:w="993" w:type="dxa"/>
            <w:noWrap/>
            <w:hideMark/>
          </w:tcPr>
          <w:p w14:paraId="14AAE7F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13.34</w:t>
            </w:r>
          </w:p>
        </w:tc>
        <w:tc>
          <w:tcPr>
            <w:tcW w:w="850" w:type="dxa"/>
            <w:noWrap/>
            <w:hideMark/>
          </w:tcPr>
          <w:p w14:paraId="7B920BD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851" w:type="dxa"/>
            <w:noWrap/>
            <w:hideMark/>
          </w:tcPr>
          <w:p w14:paraId="2CDDA69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18.75</w:t>
            </w:r>
          </w:p>
        </w:tc>
        <w:tc>
          <w:tcPr>
            <w:tcW w:w="992" w:type="dxa"/>
            <w:noWrap/>
            <w:hideMark/>
          </w:tcPr>
          <w:p w14:paraId="4E4C435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r>
      <w:tr w:rsidR="008B32C3" w:rsidRPr="00D16AB0" w14:paraId="00BC59B6" w14:textId="77777777" w:rsidTr="008176D9">
        <w:trPr>
          <w:trHeight w:val="227"/>
        </w:trPr>
        <w:tc>
          <w:tcPr>
            <w:tcW w:w="993" w:type="dxa"/>
            <w:noWrap/>
            <w:hideMark/>
          </w:tcPr>
          <w:p w14:paraId="757F4540"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2E908E27"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Fugitive</w:t>
            </w:r>
          </w:p>
        </w:tc>
        <w:tc>
          <w:tcPr>
            <w:tcW w:w="709" w:type="dxa"/>
            <w:noWrap/>
            <w:hideMark/>
          </w:tcPr>
          <w:p w14:paraId="7AAA493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23</w:t>
            </w:r>
          </w:p>
        </w:tc>
        <w:tc>
          <w:tcPr>
            <w:tcW w:w="851" w:type="dxa"/>
            <w:noWrap/>
            <w:hideMark/>
          </w:tcPr>
          <w:p w14:paraId="71C7445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14.50</w:t>
            </w:r>
          </w:p>
        </w:tc>
        <w:tc>
          <w:tcPr>
            <w:tcW w:w="708" w:type="dxa"/>
            <w:noWrap/>
            <w:hideMark/>
          </w:tcPr>
          <w:p w14:paraId="04952EB3"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3.32</w:t>
            </w:r>
          </w:p>
        </w:tc>
        <w:tc>
          <w:tcPr>
            <w:tcW w:w="993" w:type="dxa"/>
            <w:noWrap/>
            <w:hideMark/>
          </w:tcPr>
          <w:p w14:paraId="6A2D36F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13.5</w:t>
            </w:r>
          </w:p>
        </w:tc>
        <w:tc>
          <w:tcPr>
            <w:tcW w:w="850" w:type="dxa"/>
            <w:noWrap/>
            <w:hideMark/>
          </w:tcPr>
          <w:p w14:paraId="63A23C1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w:t>
            </w:r>
          </w:p>
        </w:tc>
        <w:tc>
          <w:tcPr>
            <w:tcW w:w="851" w:type="dxa"/>
            <w:noWrap/>
            <w:hideMark/>
          </w:tcPr>
          <w:p w14:paraId="61E8AF4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19.01</w:t>
            </w:r>
          </w:p>
        </w:tc>
        <w:tc>
          <w:tcPr>
            <w:tcW w:w="992" w:type="dxa"/>
            <w:noWrap/>
            <w:hideMark/>
          </w:tcPr>
          <w:p w14:paraId="3698031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w:t>
            </w:r>
          </w:p>
        </w:tc>
      </w:tr>
      <w:tr w:rsidR="008B32C3" w:rsidRPr="00D16AB0" w14:paraId="4DB347E3" w14:textId="77777777" w:rsidTr="008176D9">
        <w:trPr>
          <w:trHeight w:val="227"/>
        </w:trPr>
        <w:tc>
          <w:tcPr>
            <w:tcW w:w="993" w:type="dxa"/>
            <w:noWrap/>
            <w:hideMark/>
          </w:tcPr>
          <w:p w14:paraId="54CA5D5A"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726C3569"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Hydro</w:t>
            </w:r>
          </w:p>
        </w:tc>
        <w:tc>
          <w:tcPr>
            <w:tcW w:w="709" w:type="dxa"/>
            <w:noWrap/>
            <w:hideMark/>
          </w:tcPr>
          <w:p w14:paraId="3C4A022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329</w:t>
            </w:r>
          </w:p>
        </w:tc>
        <w:tc>
          <w:tcPr>
            <w:tcW w:w="851" w:type="dxa"/>
            <w:noWrap/>
            <w:hideMark/>
          </w:tcPr>
          <w:p w14:paraId="7E4108C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13.98</w:t>
            </w:r>
          </w:p>
        </w:tc>
        <w:tc>
          <w:tcPr>
            <w:tcW w:w="708" w:type="dxa"/>
            <w:noWrap/>
            <w:hideMark/>
          </w:tcPr>
          <w:p w14:paraId="1FFB85A1"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2.37</w:t>
            </w:r>
          </w:p>
        </w:tc>
        <w:tc>
          <w:tcPr>
            <w:tcW w:w="993" w:type="dxa"/>
            <w:noWrap/>
            <w:hideMark/>
          </w:tcPr>
          <w:p w14:paraId="0F422D3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13.47</w:t>
            </w:r>
          </w:p>
        </w:tc>
        <w:tc>
          <w:tcPr>
            <w:tcW w:w="850" w:type="dxa"/>
            <w:noWrap/>
            <w:hideMark/>
          </w:tcPr>
          <w:p w14:paraId="78CD1B2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8.25</w:t>
            </w:r>
          </w:p>
        </w:tc>
        <w:tc>
          <w:tcPr>
            <w:tcW w:w="851" w:type="dxa"/>
            <w:noWrap/>
            <w:hideMark/>
          </w:tcPr>
          <w:p w14:paraId="6F986DC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26.03</w:t>
            </w:r>
          </w:p>
        </w:tc>
        <w:tc>
          <w:tcPr>
            <w:tcW w:w="992" w:type="dxa"/>
            <w:noWrap/>
            <w:hideMark/>
          </w:tcPr>
          <w:p w14:paraId="45B862C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130</w:t>
            </w:r>
          </w:p>
        </w:tc>
      </w:tr>
      <w:tr w:rsidR="008B32C3" w:rsidRPr="00D16AB0" w14:paraId="729006D4" w14:textId="77777777" w:rsidTr="008176D9">
        <w:trPr>
          <w:trHeight w:val="227"/>
        </w:trPr>
        <w:tc>
          <w:tcPr>
            <w:tcW w:w="993" w:type="dxa"/>
            <w:noWrap/>
            <w:hideMark/>
          </w:tcPr>
          <w:p w14:paraId="71D99B24"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44219F73"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Landfill gas</w:t>
            </w:r>
          </w:p>
        </w:tc>
        <w:tc>
          <w:tcPr>
            <w:tcW w:w="709" w:type="dxa"/>
            <w:noWrap/>
            <w:hideMark/>
          </w:tcPr>
          <w:p w14:paraId="58EEE3D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61</w:t>
            </w:r>
          </w:p>
        </w:tc>
        <w:tc>
          <w:tcPr>
            <w:tcW w:w="851" w:type="dxa"/>
            <w:noWrap/>
            <w:hideMark/>
          </w:tcPr>
          <w:p w14:paraId="5FA823A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13.66</w:t>
            </w:r>
          </w:p>
        </w:tc>
        <w:tc>
          <w:tcPr>
            <w:tcW w:w="708" w:type="dxa"/>
            <w:noWrap/>
            <w:hideMark/>
          </w:tcPr>
          <w:p w14:paraId="506D5287"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2.11</w:t>
            </w:r>
          </w:p>
        </w:tc>
        <w:tc>
          <w:tcPr>
            <w:tcW w:w="993" w:type="dxa"/>
            <w:noWrap/>
            <w:hideMark/>
          </w:tcPr>
          <w:p w14:paraId="0D03E51B"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12.75</w:t>
            </w:r>
          </w:p>
        </w:tc>
        <w:tc>
          <w:tcPr>
            <w:tcW w:w="850" w:type="dxa"/>
            <w:noWrap/>
            <w:hideMark/>
          </w:tcPr>
          <w:p w14:paraId="6978EB0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w:t>
            </w:r>
          </w:p>
        </w:tc>
        <w:tc>
          <w:tcPr>
            <w:tcW w:w="851" w:type="dxa"/>
            <w:noWrap/>
            <w:hideMark/>
          </w:tcPr>
          <w:p w14:paraId="5EDDBB3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17.67</w:t>
            </w:r>
          </w:p>
        </w:tc>
        <w:tc>
          <w:tcPr>
            <w:tcW w:w="992" w:type="dxa"/>
            <w:noWrap/>
            <w:hideMark/>
          </w:tcPr>
          <w:p w14:paraId="7B6526D7"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w:t>
            </w:r>
          </w:p>
        </w:tc>
      </w:tr>
      <w:tr w:rsidR="008B32C3" w:rsidRPr="00D16AB0" w14:paraId="74871A3F" w14:textId="77777777" w:rsidTr="008176D9">
        <w:trPr>
          <w:trHeight w:val="227"/>
        </w:trPr>
        <w:tc>
          <w:tcPr>
            <w:tcW w:w="993" w:type="dxa"/>
            <w:noWrap/>
            <w:hideMark/>
          </w:tcPr>
          <w:p w14:paraId="1A62F578"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616FB936"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Methane avoidance</w:t>
            </w:r>
          </w:p>
        </w:tc>
        <w:tc>
          <w:tcPr>
            <w:tcW w:w="709" w:type="dxa"/>
            <w:noWrap/>
            <w:hideMark/>
          </w:tcPr>
          <w:p w14:paraId="16212470"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102</w:t>
            </w:r>
          </w:p>
        </w:tc>
        <w:tc>
          <w:tcPr>
            <w:tcW w:w="851" w:type="dxa"/>
            <w:noWrap/>
            <w:hideMark/>
          </w:tcPr>
          <w:p w14:paraId="107F8BA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13.032</w:t>
            </w:r>
          </w:p>
        </w:tc>
        <w:tc>
          <w:tcPr>
            <w:tcW w:w="708" w:type="dxa"/>
            <w:noWrap/>
            <w:hideMark/>
          </w:tcPr>
          <w:p w14:paraId="081DF4B1"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1.77</w:t>
            </w:r>
          </w:p>
        </w:tc>
        <w:tc>
          <w:tcPr>
            <w:tcW w:w="993" w:type="dxa"/>
            <w:noWrap/>
            <w:hideMark/>
          </w:tcPr>
          <w:p w14:paraId="0040EE6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12.75</w:t>
            </w:r>
          </w:p>
        </w:tc>
        <w:tc>
          <w:tcPr>
            <w:tcW w:w="850" w:type="dxa"/>
            <w:noWrap/>
            <w:hideMark/>
          </w:tcPr>
          <w:p w14:paraId="5607104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9.5</w:t>
            </w:r>
          </w:p>
        </w:tc>
        <w:tc>
          <w:tcPr>
            <w:tcW w:w="851" w:type="dxa"/>
            <w:noWrap/>
            <w:hideMark/>
          </w:tcPr>
          <w:p w14:paraId="68076CD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17.7</w:t>
            </w:r>
          </w:p>
        </w:tc>
        <w:tc>
          <w:tcPr>
            <w:tcW w:w="992" w:type="dxa"/>
            <w:noWrap/>
            <w:hideMark/>
          </w:tcPr>
          <w:p w14:paraId="7FE7A3E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16</w:t>
            </w:r>
          </w:p>
        </w:tc>
      </w:tr>
      <w:tr w:rsidR="008B32C3" w:rsidRPr="00D16AB0" w14:paraId="6C19636E" w14:textId="77777777" w:rsidTr="008176D9">
        <w:trPr>
          <w:trHeight w:val="227"/>
        </w:trPr>
        <w:tc>
          <w:tcPr>
            <w:tcW w:w="993" w:type="dxa"/>
            <w:noWrap/>
            <w:hideMark/>
          </w:tcPr>
          <w:p w14:paraId="7E06DA8B"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67FB09D8"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Mixed renewables</w:t>
            </w:r>
          </w:p>
        </w:tc>
        <w:tc>
          <w:tcPr>
            <w:tcW w:w="709" w:type="dxa"/>
            <w:noWrap/>
            <w:hideMark/>
          </w:tcPr>
          <w:p w14:paraId="24B58D5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851" w:type="dxa"/>
            <w:noWrap/>
            <w:hideMark/>
          </w:tcPr>
          <w:p w14:paraId="63FC35B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16.33</w:t>
            </w:r>
          </w:p>
        </w:tc>
        <w:tc>
          <w:tcPr>
            <w:tcW w:w="708" w:type="dxa"/>
            <w:noWrap/>
            <w:hideMark/>
          </w:tcPr>
          <w:p w14:paraId="5DA4C780"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0.92</w:t>
            </w:r>
          </w:p>
        </w:tc>
        <w:tc>
          <w:tcPr>
            <w:tcW w:w="993" w:type="dxa"/>
            <w:noWrap/>
            <w:hideMark/>
          </w:tcPr>
          <w:p w14:paraId="1586718A"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16.48</w:t>
            </w:r>
          </w:p>
        </w:tc>
        <w:tc>
          <w:tcPr>
            <w:tcW w:w="850" w:type="dxa"/>
            <w:noWrap/>
            <w:hideMark/>
          </w:tcPr>
          <w:p w14:paraId="61BE6E2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14.99</w:t>
            </w:r>
          </w:p>
        </w:tc>
        <w:tc>
          <w:tcPr>
            <w:tcW w:w="851" w:type="dxa"/>
            <w:noWrap/>
            <w:hideMark/>
          </w:tcPr>
          <w:p w14:paraId="6194E91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17.18</w:t>
            </w:r>
          </w:p>
        </w:tc>
        <w:tc>
          <w:tcPr>
            <w:tcW w:w="992" w:type="dxa"/>
            <w:noWrap/>
            <w:hideMark/>
          </w:tcPr>
          <w:p w14:paraId="28C0160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5</w:t>
            </w:r>
          </w:p>
        </w:tc>
      </w:tr>
      <w:tr w:rsidR="008B32C3" w:rsidRPr="00D16AB0" w14:paraId="7F668742" w14:textId="77777777" w:rsidTr="008176D9">
        <w:trPr>
          <w:trHeight w:val="227"/>
        </w:trPr>
        <w:tc>
          <w:tcPr>
            <w:tcW w:w="993" w:type="dxa"/>
            <w:noWrap/>
            <w:hideMark/>
          </w:tcPr>
          <w:p w14:paraId="250853D8"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4B855A10"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PFCs and SF6</w:t>
            </w:r>
          </w:p>
        </w:tc>
        <w:tc>
          <w:tcPr>
            <w:tcW w:w="709" w:type="dxa"/>
            <w:noWrap/>
            <w:hideMark/>
          </w:tcPr>
          <w:p w14:paraId="55DCF46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w:t>
            </w:r>
          </w:p>
        </w:tc>
        <w:tc>
          <w:tcPr>
            <w:tcW w:w="851" w:type="dxa"/>
            <w:noWrap/>
            <w:hideMark/>
          </w:tcPr>
          <w:p w14:paraId="1899C08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18.39</w:t>
            </w:r>
          </w:p>
        </w:tc>
        <w:tc>
          <w:tcPr>
            <w:tcW w:w="708" w:type="dxa"/>
            <w:noWrap/>
            <w:hideMark/>
          </w:tcPr>
          <w:p w14:paraId="5D7CE1F3" w14:textId="77777777" w:rsidR="00E90695" w:rsidRPr="00D16AB0" w:rsidRDefault="00E90695" w:rsidP="008176D9">
            <w:pPr>
              <w:jc w:val="right"/>
              <w:rPr>
                <w:rFonts w:ascii="Arial" w:eastAsia="DengXian" w:hAnsi="Arial" w:cs="Arial"/>
                <w:color w:val="000000"/>
                <w:sz w:val="20"/>
                <w:lang w:val="en-GB"/>
              </w:rPr>
            </w:pPr>
          </w:p>
        </w:tc>
        <w:tc>
          <w:tcPr>
            <w:tcW w:w="993" w:type="dxa"/>
            <w:noWrap/>
            <w:hideMark/>
          </w:tcPr>
          <w:p w14:paraId="1AF5035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18.39</w:t>
            </w:r>
          </w:p>
        </w:tc>
        <w:tc>
          <w:tcPr>
            <w:tcW w:w="850" w:type="dxa"/>
            <w:noWrap/>
            <w:hideMark/>
          </w:tcPr>
          <w:p w14:paraId="448EE9B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18.39</w:t>
            </w:r>
          </w:p>
        </w:tc>
        <w:tc>
          <w:tcPr>
            <w:tcW w:w="851" w:type="dxa"/>
            <w:noWrap/>
            <w:hideMark/>
          </w:tcPr>
          <w:p w14:paraId="39A7FC26"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18.39</w:t>
            </w:r>
          </w:p>
        </w:tc>
        <w:tc>
          <w:tcPr>
            <w:tcW w:w="992" w:type="dxa"/>
            <w:noWrap/>
            <w:hideMark/>
          </w:tcPr>
          <w:p w14:paraId="7C811744"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w:t>
            </w:r>
          </w:p>
        </w:tc>
      </w:tr>
      <w:tr w:rsidR="008B32C3" w:rsidRPr="00D16AB0" w14:paraId="1C0908E3" w14:textId="77777777" w:rsidTr="008176D9">
        <w:trPr>
          <w:trHeight w:val="227"/>
        </w:trPr>
        <w:tc>
          <w:tcPr>
            <w:tcW w:w="993" w:type="dxa"/>
            <w:noWrap/>
            <w:hideMark/>
          </w:tcPr>
          <w:p w14:paraId="1B5FDD0C"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noWrap/>
            <w:hideMark/>
          </w:tcPr>
          <w:p w14:paraId="47AFE8C1"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Solar</w:t>
            </w:r>
          </w:p>
        </w:tc>
        <w:tc>
          <w:tcPr>
            <w:tcW w:w="709" w:type="dxa"/>
            <w:noWrap/>
            <w:hideMark/>
          </w:tcPr>
          <w:p w14:paraId="4281145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211</w:t>
            </w:r>
          </w:p>
        </w:tc>
        <w:tc>
          <w:tcPr>
            <w:tcW w:w="851" w:type="dxa"/>
            <w:noWrap/>
            <w:hideMark/>
          </w:tcPr>
          <w:p w14:paraId="6CF57051"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14.62</w:t>
            </w:r>
          </w:p>
        </w:tc>
        <w:tc>
          <w:tcPr>
            <w:tcW w:w="708" w:type="dxa"/>
            <w:noWrap/>
            <w:hideMark/>
          </w:tcPr>
          <w:p w14:paraId="1EE2CE29"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2.82</w:t>
            </w:r>
          </w:p>
        </w:tc>
        <w:tc>
          <w:tcPr>
            <w:tcW w:w="993" w:type="dxa"/>
            <w:noWrap/>
            <w:hideMark/>
          </w:tcPr>
          <w:p w14:paraId="7E0BC299"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14.58</w:t>
            </w:r>
          </w:p>
        </w:tc>
        <w:tc>
          <w:tcPr>
            <w:tcW w:w="850" w:type="dxa"/>
            <w:noWrap/>
            <w:hideMark/>
          </w:tcPr>
          <w:p w14:paraId="2435614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w:t>
            </w:r>
          </w:p>
        </w:tc>
        <w:tc>
          <w:tcPr>
            <w:tcW w:w="851" w:type="dxa"/>
            <w:noWrap/>
            <w:hideMark/>
          </w:tcPr>
          <w:p w14:paraId="2EE146F2"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20.83</w:t>
            </w:r>
          </w:p>
        </w:tc>
        <w:tc>
          <w:tcPr>
            <w:tcW w:w="992" w:type="dxa"/>
            <w:noWrap/>
            <w:hideMark/>
          </w:tcPr>
          <w:p w14:paraId="136B723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34</w:t>
            </w:r>
          </w:p>
        </w:tc>
      </w:tr>
      <w:tr w:rsidR="008B32C3" w:rsidRPr="00D16AB0" w14:paraId="6FB8B80E" w14:textId="77777777" w:rsidTr="008176D9">
        <w:trPr>
          <w:trHeight w:val="227"/>
        </w:trPr>
        <w:tc>
          <w:tcPr>
            <w:tcW w:w="993" w:type="dxa"/>
            <w:tcBorders>
              <w:bottom w:val="nil"/>
            </w:tcBorders>
            <w:noWrap/>
            <w:hideMark/>
          </w:tcPr>
          <w:p w14:paraId="21A6B7B2"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tcBorders>
              <w:bottom w:val="nil"/>
            </w:tcBorders>
            <w:noWrap/>
            <w:hideMark/>
          </w:tcPr>
          <w:p w14:paraId="13E1E93B"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Transport</w:t>
            </w:r>
          </w:p>
        </w:tc>
        <w:tc>
          <w:tcPr>
            <w:tcW w:w="709" w:type="dxa"/>
            <w:tcBorders>
              <w:bottom w:val="nil"/>
            </w:tcBorders>
            <w:noWrap/>
            <w:hideMark/>
          </w:tcPr>
          <w:p w14:paraId="5CBD2D6F"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29</w:t>
            </w:r>
          </w:p>
        </w:tc>
        <w:tc>
          <w:tcPr>
            <w:tcW w:w="851" w:type="dxa"/>
            <w:tcBorders>
              <w:bottom w:val="nil"/>
            </w:tcBorders>
            <w:noWrap/>
            <w:hideMark/>
          </w:tcPr>
          <w:p w14:paraId="6084F39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13.09</w:t>
            </w:r>
          </w:p>
        </w:tc>
        <w:tc>
          <w:tcPr>
            <w:tcW w:w="708" w:type="dxa"/>
            <w:tcBorders>
              <w:bottom w:val="nil"/>
            </w:tcBorders>
            <w:noWrap/>
            <w:hideMark/>
          </w:tcPr>
          <w:p w14:paraId="6781896C"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5.16</w:t>
            </w:r>
          </w:p>
        </w:tc>
        <w:tc>
          <w:tcPr>
            <w:tcW w:w="993" w:type="dxa"/>
            <w:tcBorders>
              <w:bottom w:val="nil"/>
            </w:tcBorders>
            <w:noWrap/>
            <w:hideMark/>
          </w:tcPr>
          <w:p w14:paraId="6F81DC75"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13</w:t>
            </w:r>
          </w:p>
        </w:tc>
        <w:tc>
          <w:tcPr>
            <w:tcW w:w="850" w:type="dxa"/>
            <w:tcBorders>
              <w:bottom w:val="nil"/>
            </w:tcBorders>
            <w:noWrap/>
            <w:hideMark/>
          </w:tcPr>
          <w:p w14:paraId="63F367B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7.76</w:t>
            </w:r>
          </w:p>
        </w:tc>
        <w:tc>
          <w:tcPr>
            <w:tcW w:w="851" w:type="dxa"/>
            <w:tcBorders>
              <w:bottom w:val="nil"/>
            </w:tcBorders>
            <w:noWrap/>
            <w:hideMark/>
          </w:tcPr>
          <w:p w14:paraId="0BDFCBCD"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21.46</w:t>
            </w:r>
          </w:p>
        </w:tc>
        <w:tc>
          <w:tcPr>
            <w:tcW w:w="992" w:type="dxa"/>
            <w:tcBorders>
              <w:bottom w:val="nil"/>
            </w:tcBorders>
            <w:noWrap/>
            <w:hideMark/>
          </w:tcPr>
          <w:p w14:paraId="239A40E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4</w:t>
            </w:r>
          </w:p>
        </w:tc>
      </w:tr>
      <w:tr w:rsidR="008B32C3" w:rsidRPr="00D16AB0" w14:paraId="34377657" w14:textId="77777777" w:rsidTr="008176D9">
        <w:trPr>
          <w:trHeight w:val="227"/>
        </w:trPr>
        <w:tc>
          <w:tcPr>
            <w:tcW w:w="993" w:type="dxa"/>
            <w:tcBorders>
              <w:top w:val="nil"/>
              <w:bottom w:val="single" w:sz="4" w:space="0" w:color="auto"/>
            </w:tcBorders>
            <w:noWrap/>
            <w:hideMark/>
          </w:tcPr>
          <w:p w14:paraId="1C79DEA2"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India</w:t>
            </w:r>
          </w:p>
        </w:tc>
        <w:tc>
          <w:tcPr>
            <w:tcW w:w="2409" w:type="dxa"/>
            <w:gridSpan w:val="2"/>
            <w:tcBorders>
              <w:top w:val="nil"/>
              <w:bottom w:val="single" w:sz="4" w:space="0" w:color="auto"/>
            </w:tcBorders>
            <w:noWrap/>
            <w:hideMark/>
          </w:tcPr>
          <w:p w14:paraId="0A5EB5C3" w14:textId="77777777" w:rsidR="00E90695" w:rsidRPr="00D16AB0" w:rsidRDefault="00E90695" w:rsidP="008176D9">
            <w:pPr>
              <w:rPr>
                <w:rFonts w:ascii="Arial" w:eastAsia="DengXian" w:hAnsi="Arial" w:cs="Arial"/>
                <w:color w:val="000000"/>
                <w:sz w:val="20"/>
                <w:lang w:val="en-GB"/>
              </w:rPr>
            </w:pPr>
            <w:r w:rsidRPr="00D16AB0">
              <w:rPr>
                <w:rFonts w:ascii="Arial" w:hAnsi="Arial" w:cs="Arial"/>
                <w:color w:val="000000"/>
                <w:sz w:val="20"/>
                <w:lang w:val="en-GB"/>
              </w:rPr>
              <w:t>Wind</w:t>
            </w:r>
          </w:p>
        </w:tc>
        <w:tc>
          <w:tcPr>
            <w:tcW w:w="709" w:type="dxa"/>
            <w:tcBorders>
              <w:top w:val="nil"/>
              <w:bottom w:val="single" w:sz="4" w:space="0" w:color="auto"/>
            </w:tcBorders>
            <w:noWrap/>
            <w:hideMark/>
          </w:tcPr>
          <w:p w14:paraId="6E6FA33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1107</w:t>
            </w:r>
          </w:p>
        </w:tc>
        <w:tc>
          <w:tcPr>
            <w:tcW w:w="851" w:type="dxa"/>
            <w:tcBorders>
              <w:top w:val="nil"/>
              <w:bottom w:val="single" w:sz="4" w:space="0" w:color="auto"/>
            </w:tcBorders>
            <w:noWrap/>
            <w:hideMark/>
          </w:tcPr>
          <w:p w14:paraId="4BD4BF8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14.78</w:t>
            </w:r>
          </w:p>
        </w:tc>
        <w:tc>
          <w:tcPr>
            <w:tcW w:w="708" w:type="dxa"/>
            <w:tcBorders>
              <w:top w:val="nil"/>
              <w:bottom w:val="single" w:sz="4" w:space="0" w:color="auto"/>
            </w:tcBorders>
            <w:noWrap/>
            <w:hideMark/>
          </w:tcPr>
          <w:p w14:paraId="3BC5974F" w14:textId="77777777" w:rsidR="00E90695" w:rsidRPr="00D16AB0" w:rsidRDefault="00E90695" w:rsidP="008176D9">
            <w:pPr>
              <w:jc w:val="right"/>
              <w:rPr>
                <w:rFonts w:ascii="Arial" w:eastAsia="DengXian" w:hAnsi="Arial" w:cs="Arial"/>
                <w:sz w:val="20"/>
                <w:lang w:val="en-GB"/>
              </w:rPr>
            </w:pPr>
            <w:r w:rsidRPr="00D16AB0">
              <w:rPr>
                <w:rFonts w:ascii="Arial" w:hAnsi="Arial" w:cs="Arial"/>
                <w:color w:val="000000"/>
                <w:sz w:val="20"/>
                <w:lang w:val="en-GB"/>
              </w:rPr>
              <w:t>2.57</w:t>
            </w:r>
          </w:p>
        </w:tc>
        <w:tc>
          <w:tcPr>
            <w:tcW w:w="993" w:type="dxa"/>
            <w:tcBorders>
              <w:top w:val="nil"/>
              <w:bottom w:val="single" w:sz="4" w:space="0" w:color="auto"/>
            </w:tcBorders>
            <w:noWrap/>
            <w:hideMark/>
          </w:tcPr>
          <w:p w14:paraId="264A7AAE"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14.54</w:t>
            </w:r>
          </w:p>
        </w:tc>
        <w:tc>
          <w:tcPr>
            <w:tcW w:w="850" w:type="dxa"/>
            <w:tcBorders>
              <w:top w:val="nil"/>
              <w:bottom w:val="single" w:sz="4" w:space="0" w:color="auto"/>
            </w:tcBorders>
            <w:noWrap/>
            <w:hideMark/>
          </w:tcPr>
          <w:p w14:paraId="12513BE8"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8.77</w:t>
            </w:r>
          </w:p>
        </w:tc>
        <w:tc>
          <w:tcPr>
            <w:tcW w:w="851" w:type="dxa"/>
            <w:tcBorders>
              <w:top w:val="nil"/>
              <w:bottom w:val="single" w:sz="4" w:space="0" w:color="auto"/>
            </w:tcBorders>
            <w:noWrap/>
            <w:hideMark/>
          </w:tcPr>
          <w:p w14:paraId="5173ECD3"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22.85</w:t>
            </w:r>
          </w:p>
        </w:tc>
        <w:tc>
          <w:tcPr>
            <w:tcW w:w="992" w:type="dxa"/>
            <w:tcBorders>
              <w:top w:val="nil"/>
              <w:bottom w:val="single" w:sz="4" w:space="0" w:color="auto"/>
            </w:tcBorders>
            <w:noWrap/>
            <w:hideMark/>
          </w:tcPr>
          <w:p w14:paraId="675147AC" w14:textId="77777777" w:rsidR="00E90695" w:rsidRPr="00D16AB0" w:rsidRDefault="00E90695" w:rsidP="008176D9">
            <w:pPr>
              <w:jc w:val="right"/>
              <w:rPr>
                <w:rFonts w:ascii="Arial" w:eastAsia="DengXian" w:hAnsi="Arial" w:cs="Arial"/>
                <w:color w:val="000000"/>
                <w:sz w:val="20"/>
                <w:lang w:val="en-GB"/>
              </w:rPr>
            </w:pPr>
            <w:r w:rsidRPr="00D16AB0">
              <w:rPr>
                <w:rFonts w:ascii="Arial" w:hAnsi="Arial" w:cs="Arial"/>
                <w:color w:val="000000"/>
                <w:sz w:val="20"/>
                <w:lang w:val="en-GB"/>
              </w:rPr>
              <w:t>335</w:t>
            </w:r>
          </w:p>
        </w:tc>
      </w:tr>
    </w:tbl>
    <w:p w14:paraId="78E30CC4" w14:textId="77777777" w:rsidR="00D16AB0" w:rsidRDefault="00D16AB0" w:rsidP="00E038FA">
      <w:pPr>
        <w:pStyle w:val="SMSubheading"/>
        <w:spacing w:beforeLines="50" w:before="120" w:line="276" w:lineRule="auto"/>
        <w:rPr>
          <w:rFonts w:ascii="Arial" w:hAnsi="Arial" w:cs="Arial"/>
          <w:b/>
          <w:bCs/>
          <w:sz w:val="21"/>
          <w:szCs w:val="21"/>
          <w:u w:val="none"/>
          <w:lang w:val="en-GB"/>
        </w:rPr>
      </w:pPr>
      <w:bookmarkStart w:id="306" w:name="_Toc214982048"/>
      <w:bookmarkStart w:id="307" w:name="_Toc214984272"/>
      <w:bookmarkStart w:id="308" w:name="_Toc214984298"/>
      <w:bookmarkStart w:id="309" w:name="_Toc214984968"/>
      <w:bookmarkStart w:id="310" w:name="_Toc214985857"/>
      <w:bookmarkStart w:id="311" w:name="_Toc214986999"/>
    </w:p>
    <w:p w14:paraId="4295CCB3" w14:textId="77777777" w:rsidR="00D16AB0" w:rsidRDefault="00D16AB0">
      <w:pPr>
        <w:rPr>
          <w:rFonts w:ascii="Arial" w:hAnsi="Arial" w:cs="Arial"/>
          <w:b/>
          <w:bCs/>
          <w:sz w:val="21"/>
          <w:szCs w:val="21"/>
          <w:lang w:val="en-GB"/>
        </w:rPr>
      </w:pPr>
      <w:r>
        <w:rPr>
          <w:rFonts w:ascii="Arial" w:hAnsi="Arial" w:cs="Arial"/>
          <w:b/>
          <w:bCs/>
          <w:sz w:val="21"/>
          <w:szCs w:val="21"/>
          <w:lang w:val="en-GB"/>
        </w:rPr>
        <w:br w:type="page"/>
      </w:r>
    </w:p>
    <w:p w14:paraId="10A7C2BF" w14:textId="0C027673" w:rsidR="00C013EA" w:rsidRPr="00D16AB0" w:rsidRDefault="00C34588" w:rsidP="00E038FA">
      <w:pPr>
        <w:pStyle w:val="SMSubheading"/>
        <w:spacing w:beforeLines="50" w:before="120" w:line="276" w:lineRule="auto"/>
        <w:rPr>
          <w:rFonts w:ascii="Arial" w:hAnsi="Arial" w:cs="Arial"/>
          <w:b/>
          <w:bCs/>
          <w:sz w:val="21"/>
          <w:szCs w:val="21"/>
          <w:u w:val="none"/>
          <w:lang w:val="en-GB"/>
        </w:rPr>
      </w:pPr>
      <w:r w:rsidRPr="00D16AB0">
        <w:rPr>
          <w:rFonts w:ascii="Arial" w:hAnsi="Arial" w:cs="Arial"/>
          <w:b/>
          <w:bCs/>
          <w:sz w:val="21"/>
          <w:szCs w:val="21"/>
          <w:u w:val="none"/>
          <w:lang w:val="en-GB"/>
        </w:rPr>
        <w:lastRenderedPageBreak/>
        <w:t xml:space="preserve">Table </w:t>
      </w:r>
      <w:r w:rsidR="00F27CBB">
        <w:rPr>
          <w:rFonts w:ascii="Arial" w:hAnsi="Arial" w:cs="Arial"/>
          <w:b/>
          <w:bCs/>
          <w:sz w:val="21"/>
          <w:szCs w:val="21"/>
          <w:u w:val="none"/>
          <w:lang w:val="en-GB"/>
        </w:rPr>
        <w:t>7</w:t>
      </w:r>
      <w:r w:rsidRPr="00D16AB0">
        <w:rPr>
          <w:rFonts w:ascii="Arial" w:hAnsi="Arial" w:cs="Arial"/>
          <w:b/>
          <w:bCs/>
          <w:sz w:val="21"/>
          <w:szCs w:val="21"/>
          <w:u w:val="none"/>
          <w:lang w:val="en-GB"/>
        </w:rPr>
        <w:t xml:space="preserve">. </w:t>
      </w:r>
      <w:r w:rsidR="00014235" w:rsidRPr="00D16AB0">
        <w:rPr>
          <w:rFonts w:ascii="Arial" w:hAnsi="Arial" w:cs="Arial"/>
          <w:b/>
          <w:bCs/>
          <w:sz w:val="21"/>
          <w:szCs w:val="21"/>
          <w:u w:val="none"/>
          <w:lang w:val="en-GB"/>
        </w:rPr>
        <w:t>The number of CDM projects and registration rate by host country and project type</w:t>
      </w:r>
      <w:bookmarkEnd w:id="306"/>
      <w:bookmarkEnd w:id="307"/>
      <w:bookmarkEnd w:id="308"/>
      <w:bookmarkEnd w:id="309"/>
      <w:bookmarkEnd w:id="310"/>
      <w:bookmarkEnd w:id="311"/>
    </w:p>
    <w:tbl>
      <w:tblPr>
        <w:tblW w:w="4839" w:type="pct"/>
        <w:tblInd w:w="142" w:type="dxa"/>
        <w:tblLook w:val="04A0" w:firstRow="1" w:lastRow="0" w:firstColumn="1" w:lastColumn="0" w:noHBand="0" w:noVBand="1"/>
      </w:tblPr>
      <w:tblGrid>
        <w:gridCol w:w="1270"/>
        <w:gridCol w:w="1235"/>
        <w:gridCol w:w="1239"/>
        <w:gridCol w:w="996"/>
        <w:gridCol w:w="1054"/>
        <w:gridCol w:w="1236"/>
        <w:gridCol w:w="1017"/>
        <w:gridCol w:w="1012"/>
      </w:tblGrid>
      <w:tr w:rsidR="00F21E04" w:rsidRPr="00A5525F" w14:paraId="02AED90E" w14:textId="77777777" w:rsidTr="008B1304">
        <w:trPr>
          <w:trHeight w:val="20"/>
        </w:trPr>
        <w:tc>
          <w:tcPr>
            <w:tcW w:w="703" w:type="pct"/>
            <w:tcBorders>
              <w:top w:val="single" w:sz="4" w:space="0" w:color="auto"/>
              <w:left w:val="nil"/>
              <w:bottom w:val="single" w:sz="4" w:space="0" w:color="auto"/>
              <w:right w:val="nil"/>
            </w:tcBorders>
            <w:vAlign w:val="center"/>
            <w:hideMark/>
          </w:tcPr>
          <w:p w14:paraId="581FD9CC" w14:textId="77777777" w:rsidR="00F21E04" w:rsidRPr="00A5525F" w:rsidRDefault="00F21E04" w:rsidP="00DF5ACF">
            <w:pPr>
              <w:jc w:val="center"/>
              <w:rPr>
                <w:rFonts w:ascii="Arial" w:hAnsi="Arial" w:cs="Arial"/>
                <w:b/>
                <w:bCs/>
                <w:color w:val="000000"/>
                <w:sz w:val="20"/>
                <w:lang w:val="en-GB"/>
              </w:rPr>
            </w:pPr>
            <w:r w:rsidRPr="00A5525F">
              <w:rPr>
                <w:rFonts w:ascii="Arial" w:hAnsi="Arial" w:cs="Arial"/>
                <w:b/>
                <w:bCs/>
                <w:color w:val="000000"/>
                <w:sz w:val="20"/>
                <w:lang w:val="en-GB"/>
              </w:rPr>
              <w:t>Host country</w:t>
            </w:r>
          </w:p>
        </w:tc>
        <w:tc>
          <w:tcPr>
            <w:tcW w:w="684" w:type="pct"/>
            <w:tcBorders>
              <w:top w:val="single" w:sz="4" w:space="0" w:color="auto"/>
              <w:left w:val="nil"/>
              <w:bottom w:val="single" w:sz="4" w:space="0" w:color="auto"/>
              <w:right w:val="nil"/>
            </w:tcBorders>
            <w:vAlign w:val="center"/>
            <w:hideMark/>
          </w:tcPr>
          <w:p w14:paraId="58F3491D" w14:textId="77777777" w:rsidR="00F21E04" w:rsidRPr="00A5525F" w:rsidRDefault="00F21E04" w:rsidP="00DF5ACF">
            <w:pPr>
              <w:jc w:val="center"/>
              <w:rPr>
                <w:rFonts w:ascii="Arial" w:hAnsi="Arial" w:cs="Arial"/>
                <w:b/>
                <w:bCs/>
                <w:color w:val="000000"/>
                <w:sz w:val="20"/>
                <w:lang w:val="en-GB"/>
              </w:rPr>
            </w:pPr>
            <w:r w:rsidRPr="00A5525F">
              <w:rPr>
                <w:rFonts w:ascii="Arial" w:hAnsi="Arial" w:cs="Arial"/>
                <w:b/>
                <w:bCs/>
                <w:color w:val="000000"/>
                <w:sz w:val="20"/>
                <w:lang w:val="en-GB"/>
              </w:rPr>
              <w:t>Biomass energy</w:t>
            </w:r>
          </w:p>
        </w:tc>
        <w:tc>
          <w:tcPr>
            <w:tcW w:w="670" w:type="pct"/>
            <w:tcBorders>
              <w:top w:val="single" w:sz="4" w:space="0" w:color="auto"/>
              <w:left w:val="nil"/>
              <w:bottom w:val="single" w:sz="4" w:space="0" w:color="auto"/>
              <w:right w:val="nil"/>
            </w:tcBorders>
            <w:vAlign w:val="center"/>
            <w:hideMark/>
          </w:tcPr>
          <w:p w14:paraId="0848CDDB" w14:textId="77777777" w:rsidR="00F21E04" w:rsidRPr="00A5525F" w:rsidRDefault="00F21E04" w:rsidP="00DF5ACF">
            <w:pPr>
              <w:jc w:val="center"/>
              <w:rPr>
                <w:rFonts w:ascii="Arial" w:hAnsi="Arial" w:cs="Arial"/>
                <w:b/>
                <w:bCs/>
                <w:color w:val="000000"/>
                <w:sz w:val="20"/>
                <w:lang w:val="en-GB"/>
              </w:rPr>
            </w:pPr>
            <w:r w:rsidRPr="00A5525F">
              <w:rPr>
                <w:rFonts w:ascii="Arial" w:hAnsi="Arial" w:cs="Arial"/>
                <w:b/>
                <w:bCs/>
                <w:color w:val="000000"/>
                <w:sz w:val="20"/>
                <w:lang w:val="en-GB"/>
              </w:rPr>
              <w:t>EE own generation</w:t>
            </w:r>
          </w:p>
        </w:tc>
        <w:tc>
          <w:tcPr>
            <w:tcW w:w="552" w:type="pct"/>
            <w:tcBorders>
              <w:top w:val="single" w:sz="4" w:space="0" w:color="auto"/>
              <w:left w:val="nil"/>
              <w:bottom w:val="single" w:sz="4" w:space="0" w:color="auto"/>
              <w:right w:val="nil"/>
            </w:tcBorders>
            <w:vAlign w:val="center"/>
            <w:hideMark/>
          </w:tcPr>
          <w:p w14:paraId="6C0E08BF" w14:textId="77777777" w:rsidR="00F21E04" w:rsidRPr="00A5525F" w:rsidRDefault="00F21E04" w:rsidP="00DF5ACF">
            <w:pPr>
              <w:jc w:val="center"/>
              <w:rPr>
                <w:rFonts w:ascii="Arial" w:hAnsi="Arial" w:cs="Arial"/>
                <w:b/>
                <w:bCs/>
                <w:color w:val="000000"/>
                <w:sz w:val="20"/>
                <w:lang w:val="en-GB"/>
              </w:rPr>
            </w:pPr>
            <w:r w:rsidRPr="00A5525F">
              <w:rPr>
                <w:rFonts w:ascii="Arial" w:hAnsi="Arial" w:cs="Arial"/>
                <w:b/>
                <w:bCs/>
                <w:color w:val="000000"/>
                <w:sz w:val="20"/>
                <w:lang w:val="en-GB"/>
              </w:rPr>
              <w:t>Hydro</w:t>
            </w:r>
          </w:p>
        </w:tc>
        <w:tc>
          <w:tcPr>
            <w:tcW w:w="584" w:type="pct"/>
            <w:tcBorders>
              <w:top w:val="single" w:sz="4" w:space="0" w:color="auto"/>
              <w:left w:val="nil"/>
              <w:bottom w:val="single" w:sz="4" w:space="0" w:color="auto"/>
              <w:right w:val="nil"/>
            </w:tcBorders>
            <w:vAlign w:val="center"/>
            <w:hideMark/>
          </w:tcPr>
          <w:p w14:paraId="71727E72" w14:textId="77777777" w:rsidR="00F21E04" w:rsidRPr="00A5525F" w:rsidRDefault="00F21E04" w:rsidP="00DF5ACF">
            <w:pPr>
              <w:jc w:val="center"/>
              <w:rPr>
                <w:rFonts w:ascii="Arial" w:hAnsi="Arial" w:cs="Arial"/>
                <w:b/>
                <w:bCs/>
                <w:color w:val="000000"/>
                <w:sz w:val="20"/>
                <w:lang w:val="en-GB"/>
              </w:rPr>
            </w:pPr>
            <w:r w:rsidRPr="00A5525F">
              <w:rPr>
                <w:rFonts w:ascii="Arial" w:hAnsi="Arial" w:cs="Arial"/>
                <w:b/>
                <w:bCs/>
                <w:color w:val="000000"/>
                <w:sz w:val="20"/>
                <w:lang w:val="en-GB"/>
              </w:rPr>
              <w:t>Landfill gas</w:t>
            </w:r>
          </w:p>
        </w:tc>
        <w:tc>
          <w:tcPr>
            <w:tcW w:w="684" w:type="pct"/>
            <w:tcBorders>
              <w:top w:val="single" w:sz="4" w:space="0" w:color="auto"/>
              <w:left w:val="nil"/>
              <w:bottom w:val="single" w:sz="4" w:space="0" w:color="auto"/>
              <w:right w:val="nil"/>
            </w:tcBorders>
            <w:vAlign w:val="center"/>
            <w:hideMark/>
          </w:tcPr>
          <w:p w14:paraId="5069CD61" w14:textId="77777777" w:rsidR="00F21E04" w:rsidRPr="00A5525F" w:rsidRDefault="00F21E04" w:rsidP="00DF5ACF">
            <w:pPr>
              <w:jc w:val="center"/>
              <w:rPr>
                <w:rFonts w:ascii="Arial" w:hAnsi="Arial" w:cs="Arial"/>
                <w:b/>
                <w:bCs/>
                <w:color w:val="000000"/>
                <w:sz w:val="20"/>
                <w:lang w:val="en-GB"/>
              </w:rPr>
            </w:pPr>
            <w:r w:rsidRPr="00A5525F">
              <w:rPr>
                <w:rFonts w:ascii="Arial" w:hAnsi="Arial" w:cs="Arial"/>
                <w:b/>
                <w:bCs/>
                <w:color w:val="000000"/>
                <w:sz w:val="20"/>
                <w:lang w:val="en-GB"/>
              </w:rPr>
              <w:t>Methane avoidance</w:t>
            </w:r>
          </w:p>
        </w:tc>
        <w:tc>
          <w:tcPr>
            <w:tcW w:w="563" w:type="pct"/>
            <w:tcBorders>
              <w:top w:val="single" w:sz="4" w:space="0" w:color="auto"/>
              <w:left w:val="nil"/>
              <w:bottom w:val="single" w:sz="4" w:space="0" w:color="auto"/>
              <w:right w:val="nil"/>
            </w:tcBorders>
            <w:vAlign w:val="center"/>
            <w:hideMark/>
          </w:tcPr>
          <w:p w14:paraId="05F8E6B9" w14:textId="77777777" w:rsidR="00F21E04" w:rsidRPr="00A5525F" w:rsidRDefault="00F21E04" w:rsidP="00DF5ACF">
            <w:pPr>
              <w:jc w:val="center"/>
              <w:rPr>
                <w:rFonts w:ascii="Arial" w:hAnsi="Arial" w:cs="Arial"/>
                <w:b/>
                <w:bCs/>
                <w:color w:val="000000"/>
                <w:sz w:val="20"/>
                <w:lang w:val="en-GB"/>
              </w:rPr>
            </w:pPr>
            <w:r w:rsidRPr="00A5525F">
              <w:rPr>
                <w:rFonts w:ascii="Arial" w:hAnsi="Arial" w:cs="Arial"/>
                <w:b/>
                <w:bCs/>
                <w:color w:val="000000"/>
                <w:sz w:val="20"/>
                <w:lang w:val="en-GB"/>
              </w:rPr>
              <w:t>Solar</w:t>
            </w:r>
          </w:p>
        </w:tc>
        <w:tc>
          <w:tcPr>
            <w:tcW w:w="560" w:type="pct"/>
            <w:tcBorders>
              <w:top w:val="single" w:sz="4" w:space="0" w:color="auto"/>
              <w:left w:val="nil"/>
              <w:bottom w:val="single" w:sz="4" w:space="0" w:color="auto"/>
              <w:right w:val="nil"/>
            </w:tcBorders>
            <w:vAlign w:val="center"/>
            <w:hideMark/>
          </w:tcPr>
          <w:p w14:paraId="38B7EA93" w14:textId="77777777" w:rsidR="00F21E04" w:rsidRPr="00A5525F" w:rsidRDefault="00F21E04" w:rsidP="00DF5ACF">
            <w:pPr>
              <w:jc w:val="center"/>
              <w:rPr>
                <w:rFonts w:ascii="Arial" w:hAnsi="Arial" w:cs="Arial"/>
                <w:b/>
                <w:bCs/>
                <w:color w:val="000000"/>
                <w:sz w:val="20"/>
                <w:lang w:val="en-GB"/>
              </w:rPr>
            </w:pPr>
            <w:r w:rsidRPr="00A5525F">
              <w:rPr>
                <w:rFonts w:ascii="Arial" w:hAnsi="Arial" w:cs="Arial"/>
                <w:b/>
                <w:bCs/>
                <w:color w:val="000000"/>
                <w:sz w:val="20"/>
                <w:lang w:val="en-GB"/>
              </w:rPr>
              <w:t>Wind</w:t>
            </w:r>
          </w:p>
        </w:tc>
      </w:tr>
      <w:tr w:rsidR="00F21E04" w:rsidRPr="00A5525F" w14:paraId="559FF409" w14:textId="77777777" w:rsidTr="008B1304">
        <w:trPr>
          <w:trHeight w:val="20"/>
        </w:trPr>
        <w:tc>
          <w:tcPr>
            <w:tcW w:w="703" w:type="pct"/>
            <w:vMerge w:val="restart"/>
            <w:tcBorders>
              <w:top w:val="nil"/>
              <w:left w:val="nil"/>
              <w:bottom w:val="nil"/>
              <w:right w:val="nil"/>
            </w:tcBorders>
            <w:noWrap/>
            <w:vAlign w:val="center"/>
            <w:hideMark/>
          </w:tcPr>
          <w:p w14:paraId="08C9A4CA"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Brazil</w:t>
            </w:r>
          </w:p>
        </w:tc>
        <w:tc>
          <w:tcPr>
            <w:tcW w:w="684" w:type="pct"/>
            <w:tcBorders>
              <w:top w:val="nil"/>
              <w:left w:val="nil"/>
              <w:bottom w:val="nil"/>
              <w:right w:val="nil"/>
            </w:tcBorders>
            <w:noWrap/>
            <w:vAlign w:val="bottom"/>
            <w:hideMark/>
          </w:tcPr>
          <w:p w14:paraId="3AC37D6D"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184</w:t>
            </w:r>
          </w:p>
        </w:tc>
        <w:tc>
          <w:tcPr>
            <w:tcW w:w="670" w:type="pct"/>
            <w:tcBorders>
              <w:top w:val="nil"/>
              <w:left w:val="nil"/>
              <w:bottom w:val="nil"/>
              <w:right w:val="nil"/>
            </w:tcBorders>
            <w:noWrap/>
            <w:vAlign w:val="bottom"/>
            <w:hideMark/>
          </w:tcPr>
          <w:p w14:paraId="78AF973A"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14</w:t>
            </w:r>
          </w:p>
        </w:tc>
        <w:tc>
          <w:tcPr>
            <w:tcW w:w="552" w:type="pct"/>
            <w:tcBorders>
              <w:top w:val="nil"/>
              <w:left w:val="nil"/>
              <w:bottom w:val="nil"/>
              <w:right w:val="nil"/>
            </w:tcBorders>
            <w:noWrap/>
            <w:vAlign w:val="bottom"/>
            <w:hideMark/>
          </w:tcPr>
          <w:p w14:paraId="0349786C"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186</w:t>
            </w:r>
          </w:p>
        </w:tc>
        <w:tc>
          <w:tcPr>
            <w:tcW w:w="584" w:type="pct"/>
            <w:tcBorders>
              <w:top w:val="nil"/>
              <w:left w:val="nil"/>
              <w:bottom w:val="nil"/>
              <w:right w:val="nil"/>
            </w:tcBorders>
            <w:noWrap/>
            <w:vAlign w:val="bottom"/>
            <w:hideMark/>
          </w:tcPr>
          <w:p w14:paraId="349D6D60"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92</w:t>
            </w:r>
          </w:p>
        </w:tc>
        <w:tc>
          <w:tcPr>
            <w:tcW w:w="684" w:type="pct"/>
            <w:tcBorders>
              <w:top w:val="nil"/>
              <w:left w:val="nil"/>
              <w:bottom w:val="nil"/>
              <w:right w:val="nil"/>
            </w:tcBorders>
            <w:noWrap/>
            <w:vAlign w:val="bottom"/>
            <w:hideMark/>
          </w:tcPr>
          <w:p w14:paraId="1679C0D0"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101</w:t>
            </w:r>
          </w:p>
        </w:tc>
        <w:tc>
          <w:tcPr>
            <w:tcW w:w="563" w:type="pct"/>
            <w:tcBorders>
              <w:top w:val="nil"/>
              <w:left w:val="nil"/>
              <w:bottom w:val="nil"/>
              <w:right w:val="nil"/>
            </w:tcBorders>
            <w:noWrap/>
            <w:vAlign w:val="bottom"/>
            <w:hideMark/>
          </w:tcPr>
          <w:p w14:paraId="57E6BA3C"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1</w:t>
            </w:r>
          </w:p>
        </w:tc>
        <w:tc>
          <w:tcPr>
            <w:tcW w:w="560" w:type="pct"/>
            <w:tcBorders>
              <w:top w:val="nil"/>
              <w:left w:val="nil"/>
              <w:bottom w:val="nil"/>
              <w:right w:val="nil"/>
            </w:tcBorders>
            <w:noWrap/>
            <w:vAlign w:val="bottom"/>
            <w:hideMark/>
          </w:tcPr>
          <w:p w14:paraId="4983855C"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96</w:t>
            </w:r>
          </w:p>
        </w:tc>
      </w:tr>
      <w:tr w:rsidR="00F21E04" w:rsidRPr="00A5525F" w14:paraId="26CDFBF7" w14:textId="77777777" w:rsidTr="008B1304">
        <w:trPr>
          <w:trHeight w:val="20"/>
        </w:trPr>
        <w:tc>
          <w:tcPr>
            <w:tcW w:w="703" w:type="pct"/>
            <w:vMerge/>
            <w:tcBorders>
              <w:top w:val="nil"/>
              <w:left w:val="nil"/>
              <w:bottom w:val="nil"/>
              <w:right w:val="nil"/>
            </w:tcBorders>
            <w:vAlign w:val="center"/>
            <w:hideMark/>
          </w:tcPr>
          <w:p w14:paraId="7461E066" w14:textId="77777777" w:rsidR="00F21E04" w:rsidRPr="00A5525F" w:rsidRDefault="00F21E04" w:rsidP="00DF5ACF">
            <w:pPr>
              <w:rPr>
                <w:rFonts w:ascii="Arial" w:hAnsi="Arial" w:cs="Arial"/>
                <w:color w:val="000000"/>
                <w:sz w:val="20"/>
                <w:lang w:val="en-GB"/>
              </w:rPr>
            </w:pPr>
          </w:p>
        </w:tc>
        <w:tc>
          <w:tcPr>
            <w:tcW w:w="684" w:type="pct"/>
            <w:tcBorders>
              <w:top w:val="nil"/>
              <w:left w:val="nil"/>
              <w:bottom w:val="nil"/>
              <w:right w:val="nil"/>
            </w:tcBorders>
            <w:noWrap/>
            <w:hideMark/>
          </w:tcPr>
          <w:p w14:paraId="69EA8ECE"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26.09%</w:t>
            </w:r>
          </w:p>
        </w:tc>
        <w:tc>
          <w:tcPr>
            <w:tcW w:w="670" w:type="pct"/>
            <w:tcBorders>
              <w:top w:val="nil"/>
              <w:left w:val="nil"/>
              <w:bottom w:val="nil"/>
              <w:right w:val="nil"/>
            </w:tcBorders>
            <w:noWrap/>
            <w:hideMark/>
          </w:tcPr>
          <w:p w14:paraId="6675684C"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21.43%</w:t>
            </w:r>
          </w:p>
        </w:tc>
        <w:tc>
          <w:tcPr>
            <w:tcW w:w="552" w:type="pct"/>
            <w:tcBorders>
              <w:top w:val="nil"/>
              <w:left w:val="nil"/>
              <w:bottom w:val="nil"/>
              <w:right w:val="nil"/>
            </w:tcBorders>
            <w:noWrap/>
            <w:hideMark/>
          </w:tcPr>
          <w:p w14:paraId="412F284A"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52.69%</w:t>
            </w:r>
          </w:p>
        </w:tc>
        <w:tc>
          <w:tcPr>
            <w:tcW w:w="584" w:type="pct"/>
            <w:tcBorders>
              <w:top w:val="nil"/>
              <w:left w:val="nil"/>
              <w:bottom w:val="nil"/>
              <w:right w:val="nil"/>
            </w:tcBorders>
            <w:noWrap/>
            <w:hideMark/>
          </w:tcPr>
          <w:p w14:paraId="49298250"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58.70%</w:t>
            </w:r>
          </w:p>
        </w:tc>
        <w:tc>
          <w:tcPr>
            <w:tcW w:w="684" w:type="pct"/>
            <w:tcBorders>
              <w:top w:val="nil"/>
              <w:left w:val="nil"/>
              <w:bottom w:val="nil"/>
              <w:right w:val="nil"/>
            </w:tcBorders>
            <w:noWrap/>
            <w:hideMark/>
          </w:tcPr>
          <w:p w14:paraId="58791253"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66.34%</w:t>
            </w:r>
          </w:p>
        </w:tc>
        <w:tc>
          <w:tcPr>
            <w:tcW w:w="563" w:type="pct"/>
            <w:tcBorders>
              <w:top w:val="nil"/>
              <w:left w:val="nil"/>
              <w:bottom w:val="nil"/>
              <w:right w:val="nil"/>
            </w:tcBorders>
            <w:noWrap/>
            <w:hideMark/>
          </w:tcPr>
          <w:p w14:paraId="37C0DD22"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100.00%</w:t>
            </w:r>
          </w:p>
        </w:tc>
        <w:tc>
          <w:tcPr>
            <w:tcW w:w="560" w:type="pct"/>
            <w:tcBorders>
              <w:top w:val="nil"/>
              <w:left w:val="nil"/>
              <w:bottom w:val="nil"/>
              <w:right w:val="nil"/>
            </w:tcBorders>
            <w:noWrap/>
            <w:hideMark/>
          </w:tcPr>
          <w:p w14:paraId="7CF0392A"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63.54%</w:t>
            </w:r>
          </w:p>
        </w:tc>
      </w:tr>
      <w:tr w:rsidR="00F21E04" w:rsidRPr="00A5525F" w14:paraId="2B74DFAB" w14:textId="77777777" w:rsidTr="008B1304">
        <w:trPr>
          <w:trHeight w:val="20"/>
        </w:trPr>
        <w:tc>
          <w:tcPr>
            <w:tcW w:w="703" w:type="pct"/>
            <w:vMerge w:val="restart"/>
            <w:tcBorders>
              <w:top w:val="nil"/>
              <w:left w:val="nil"/>
              <w:bottom w:val="nil"/>
              <w:right w:val="nil"/>
            </w:tcBorders>
            <w:noWrap/>
            <w:vAlign w:val="center"/>
            <w:hideMark/>
          </w:tcPr>
          <w:p w14:paraId="47480860"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Chile</w:t>
            </w:r>
          </w:p>
        </w:tc>
        <w:tc>
          <w:tcPr>
            <w:tcW w:w="684" w:type="pct"/>
            <w:tcBorders>
              <w:top w:val="nil"/>
              <w:left w:val="nil"/>
              <w:bottom w:val="nil"/>
              <w:right w:val="nil"/>
            </w:tcBorders>
            <w:noWrap/>
            <w:vAlign w:val="bottom"/>
            <w:hideMark/>
          </w:tcPr>
          <w:p w14:paraId="317615F4"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20</w:t>
            </w:r>
          </w:p>
        </w:tc>
        <w:tc>
          <w:tcPr>
            <w:tcW w:w="670" w:type="pct"/>
            <w:tcBorders>
              <w:top w:val="nil"/>
              <w:left w:val="nil"/>
              <w:bottom w:val="nil"/>
              <w:right w:val="nil"/>
            </w:tcBorders>
            <w:noWrap/>
            <w:vAlign w:val="bottom"/>
            <w:hideMark/>
          </w:tcPr>
          <w:p w14:paraId="1A350BA2"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1</w:t>
            </w:r>
          </w:p>
        </w:tc>
        <w:tc>
          <w:tcPr>
            <w:tcW w:w="552" w:type="pct"/>
            <w:tcBorders>
              <w:top w:val="nil"/>
              <w:left w:val="nil"/>
              <w:bottom w:val="nil"/>
              <w:right w:val="nil"/>
            </w:tcBorders>
            <w:noWrap/>
            <w:vAlign w:val="bottom"/>
            <w:hideMark/>
          </w:tcPr>
          <w:p w14:paraId="000BFF1A"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57</w:t>
            </w:r>
          </w:p>
        </w:tc>
        <w:tc>
          <w:tcPr>
            <w:tcW w:w="584" w:type="pct"/>
            <w:tcBorders>
              <w:top w:val="nil"/>
              <w:left w:val="nil"/>
              <w:bottom w:val="nil"/>
              <w:right w:val="nil"/>
            </w:tcBorders>
            <w:noWrap/>
            <w:vAlign w:val="bottom"/>
            <w:hideMark/>
          </w:tcPr>
          <w:p w14:paraId="6746333A"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26</w:t>
            </w:r>
          </w:p>
        </w:tc>
        <w:tc>
          <w:tcPr>
            <w:tcW w:w="684" w:type="pct"/>
            <w:tcBorders>
              <w:top w:val="nil"/>
              <w:left w:val="nil"/>
              <w:bottom w:val="nil"/>
              <w:right w:val="nil"/>
            </w:tcBorders>
            <w:noWrap/>
            <w:vAlign w:val="bottom"/>
            <w:hideMark/>
          </w:tcPr>
          <w:p w14:paraId="0B282D6A"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18</w:t>
            </w:r>
          </w:p>
        </w:tc>
        <w:tc>
          <w:tcPr>
            <w:tcW w:w="563" w:type="pct"/>
            <w:tcBorders>
              <w:top w:val="nil"/>
              <w:left w:val="nil"/>
              <w:bottom w:val="nil"/>
              <w:right w:val="nil"/>
            </w:tcBorders>
            <w:noWrap/>
            <w:vAlign w:val="bottom"/>
            <w:hideMark/>
          </w:tcPr>
          <w:p w14:paraId="1F62E77E"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47</w:t>
            </w:r>
          </w:p>
        </w:tc>
        <w:tc>
          <w:tcPr>
            <w:tcW w:w="560" w:type="pct"/>
            <w:tcBorders>
              <w:top w:val="nil"/>
              <w:left w:val="nil"/>
              <w:bottom w:val="nil"/>
              <w:right w:val="nil"/>
            </w:tcBorders>
            <w:noWrap/>
            <w:vAlign w:val="bottom"/>
            <w:hideMark/>
          </w:tcPr>
          <w:p w14:paraId="30579827"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26</w:t>
            </w:r>
          </w:p>
        </w:tc>
      </w:tr>
      <w:tr w:rsidR="00F21E04" w:rsidRPr="00A5525F" w14:paraId="6C85F7EF" w14:textId="77777777" w:rsidTr="008B1304">
        <w:trPr>
          <w:trHeight w:val="20"/>
        </w:trPr>
        <w:tc>
          <w:tcPr>
            <w:tcW w:w="703" w:type="pct"/>
            <w:vMerge/>
            <w:tcBorders>
              <w:top w:val="nil"/>
              <w:left w:val="nil"/>
              <w:bottom w:val="nil"/>
              <w:right w:val="nil"/>
            </w:tcBorders>
            <w:vAlign w:val="center"/>
            <w:hideMark/>
          </w:tcPr>
          <w:p w14:paraId="3DB5723F" w14:textId="77777777" w:rsidR="00F21E04" w:rsidRPr="00A5525F" w:rsidRDefault="00F21E04" w:rsidP="00DF5ACF">
            <w:pPr>
              <w:rPr>
                <w:rFonts w:ascii="Arial" w:hAnsi="Arial" w:cs="Arial"/>
                <w:color w:val="000000"/>
                <w:sz w:val="20"/>
                <w:lang w:val="en-GB"/>
              </w:rPr>
            </w:pPr>
          </w:p>
        </w:tc>
        <w:tc>
          <w:tcPr>
            <w:tcW w:w="684" w:type="pct"/>
            <w:tcBorders>
              <w:top w:val="nil"/>
              <w:left w:val="nil"/>
              <w:bottom w:val="nil"/>
              <w:right w:val="nil"/>
            </w:tcBorders>
            <w:noWrap/>
            <w:hideMark/>
          </w:tcPr>
          <w:p w14:paraId="74ECAD88"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60.00%</w:t>
            </w:r>
          </w:p>
        </w:tc>
        <w:tc>
          <w:tcPr>
            <w:tcW w:w="670" w:type="pct"/>
            <w:tcBorders>
              <w:top w:val="nil"/>
              <w:left w:val="nil"/>
              <w:bottom w:val="nil"/>
              <w:right w:val="nil"/>
            </w:tcBorders>
            <w:noWrap/>
            <w:hideMark/>
          </w:tcPr>
          <w:p w14:paraId="36CA21A9"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100.00%</w:t>
            </w:r>
          </w:p>
        </w:tc>
        <w:tc>
          <w:tcPr>
            <w:tcW w:w="552" w:type="pct"/>
            <w:tcBorders>
              <w:top w:val="nil"/>
              <w:left w:val="nil"/>
              <w:bottom w:val="nil"/>
              <w:right w:val="nil"/>
            </w:tcBorders>
            <w:noWrap/>
            <w:hideMark/>
          </w:tcPr>
          <w:p w14:paraId="037A0F6A"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59.65%</w:t>
            </w:r>
          </w:p>
        </w:tc>
        <w:tc>
          <w:tcPr>
            <w:tcW w:w="584" w:type="pct"/>
            <w:tcBorders>
              <w:top w:val="nil"/>
              <w:left w:val="nil"/>
              <w:bottom w:val="nil"/>
              <w:right w:val="nil"/>
            </w:tcBorders>
            <w:noWrap/>
            <w:hideMark/>
          </w:tcPr>
          <w:p w14:paraId="7CADFFC4"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61.54%</w:t>
            </w:r>
          </w:p>
        </w:tc>
        <w:tc>
          <w:tcPr>
            <w:tcW w:w="684" w:type="pct"/>
            <w:tcBorders>
              <w:top w:val="nil"/>
              <w:left w:val="nil"/>
              <w:bottom w:val="nil"/>
              <w:right w:val="nil"/>
            </w:tcBorders>
            <w:noWrap/>
            <w:hideMark/>
          </w:tcPr>
          <w:p w14:paraId="3A39ED20"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38.89%</w:t>
            </w:r>
          </w:p>
        </w:tc>
        <w:tc>
          <w:tcPr>
            <w:tcW w:w="563" w:type="pct"/>
            <w:tcBorders>
              <w:top w:val="nil"/>
              <w:left w:val="nil"/>
              <w:bottom w:val="nil"/>
              <w:right w:val="nil"/>
            </w:tcBorders>
            <w:noWrap/>
            <w:hideMark/>
          </w:tcPr>
          <w:p w14:paraId="5B4AC641"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42.55%</w:t>
            </w:r>
          </w:p>
        </w:tc>
        <w:tc>
          <w:tcPr>
            <w:tcW w:w="560" w:type="pct"/>
            <w:tcBorders>
              <w:top w:val="nil"/>
              <w:left w:val="nil"/>
              <w:bottom w:val="nil"/>
              <w:right w:val="nil"/>
            </w:tcBorders>
            <w:noWrap/>
            <w:hideMark/>
          </w:tcPr>
          <w:p w14:paraId="5EA49F73"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84.62%</w:t>
            </w:r>
          </w:p>
        </w:tc>
      </w:tr>
      <w:tr w:rsidR="00F21E04" w:rsidRPr="00A5525F" w14:paraId="2444C88C" w14:textId="77777777" w:rsidTr="008B1304">
        <w:trPr>
          <w:trHeight w:val="20"/>
        </w:trPr>
        <w:tc>
          <w:tcPr>
            <w:tcW w:w="703" w:type="pct"/>
            <w:vMerge w:val="restart"/>
            <w:tcBorders>
              <w:top w:val="nil"/>
              <w:left w:val="nil"/>
              <w:bottom w:val="nil"/>
              <w:right w:val="nil"/>
            </w:tcBorders>
            <w:noWrap/>
            <w:vAlign w:val="center"/>
            <w:hideMark/>
          </w:tcPr>
          <w:p w14:paraId="6A858103"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China</w:t>
            </w:r>
          </w:p>
        </w:tc>
        <w:tc>
          <w:tcPr>
            <w:tcW w:w="684" w:type="pct"/>
            <w:tcBorders>
              <w:top w:val="nil"/>
              <w:left w:val="nil"/>
              <w:bottom w:val="nil"/>
              <w:right w:val="nil"/>
            </w:tcBorders>
            <w:noWrap/>
            <w:vAlign w:val="bottom"/>
            <w:hideMark/>
          </w:tcPr>
          <w:p w14:paraId="1EB32D3A"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220</w:t>
            </w:r>
          </w:p>
        </w:tc>
        <w:tc>
          <w:tcPr>
            <w:tcW w:w="670" w:type="pct"/>
            <w:tcBorders>
              <w:top w:val="nil"/>
              <w:left w:val="nil"/>
              <w:bottom w:val="nil"/>
              <w:right w:val="nil"/>
            </w:tcBorders>
            <w:noWrap/>
            <w:vAlign w:val="bottom"/>
            <w:hideMark/>
          </w:tcPr>
          <w:p w14:paraId="5ADADB71"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497</w:t>
            </w:r>
          </w:p>
        </w:tc>
        <w:tc>
          <w:tcPr>
            <w:tcW w:w="552" w:type="pct"/>
            <w:tcBorders>
              <w:top w:val="nil"/>
              <w:left w:val="nil"/>
              <w:bottom w:val="nil"/>
              <w:right w:val="nil"/>
            </w:tcBorders>
            <w:noWrap/>
            <w:vAlign w:val="bottom"/>
            <w:hideMark/>
          </w:tcPr>
          <w:p w14:paraId="192161EF" w14:textId="77777777" w:rsidR="00F21E04" w:rsidRPr="00A5525F" w:rsidRDefault="00F21E04" w:rsidP="00DF5ACF">
            <w:pPr>
              <w:jc w:val="center"/>
              <w:rPr>
                <w:rFonts w:ascii="Arial" w:hAnsi="Arial" w:cs="Arial"/>
                <w:b/>
                <w:bCs/>
                <w:color w:val="000000" w:themeColor="text1"/>
                <w:sz w:val="20"/>
                <w:lang w:val="en-GB"/>
              </w:rPr>
            </w:pPr>
            <w:r w:rsidRPr="00A5525F">
              <w:rPr>
                <w:rFonts w:ascii="Arial" w:hAnsi="Arial" w:cs="Arial"/>
                <w:b/>
                <w:bCs/>
                <w:color w:val="000000" w:themeColor="text1"/>
                <w:sz w:val="20"/>
                <w:lang w:val="en-GB"/>
              </w:rPr>
              <w:t>1738</w:t>
            </w:r>
          </w:p>
        </w:tc>
        <w:tc>
          <w:tcPr>
            <w:tcW w:w="584" w:type="pct"/>
            <w:tcBorders>
              <w:top w:val="nil"/>
              <w:left w:val="nil"/>
              <w:bottom w:val="nil"/>
              <w:right w:val="nil"/>
            </w:tcBorders>
            <w:noWrap/>
            <w:vAlign w:val="bottom"/>
            <w:hideMark/>
          </w:tcPr>
          <w:p w14:paraId="30B6C62C"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156</w:t>
            </w:r>
          </w:p>
        </w:tc>
        <w:tc>
          <w:tcPr>
            <w:tcW w:w="684" w:type="pct"/>
            <w:tcBorders>
              <w:top w:val="nil"/>
              <w:left w:val="nil"/>
              <w:bottom w:val="nil"/>
              <w:right w:val="nil"/>
            </w:tcBorders>
            <w:noWrap/>
            <w:vAlign w:val="bottom"/>
            <w:hideMark/>
          </w:tcPr>
          <w:p w14:paraId="6EDD503C"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149</w:t>
            </w:r>
          </w:p>
        </w:tc>
        <w:tc>
          <w:tcPr>
            <w:tcW w:w="563" w:type="pct"/>
            <w:tcBorders>
              <w:top w:val="nil"/>
              <w:left w:val="nil"/>
              <w:bottom w:val="nil"/>
              <w:right w:val="nil"/>
            </w:tcBorders>
            <w:noWrap/>
            <w:vAlign w:val="bottom"/>
            <w:hideMark/>
          </w:tcPr>
          <w:p w14:paraId="3B5C0E39"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175</w:t>
            </w:r>
          </w:p>
        </w:tc>
        <w:tc>
          <w:tcPr>
            <w:tcW w:w="560" w:type="pct"/>
            <w:tcBorders>
              <w:top w:val="nil"/>
              <w:left w:val="nil"/>
              <w:bottom w:val="nil"/>
              <w:right w:val="nil"/>
            </w:tcBorders>
            <w:noWrap/>
            <w:vAlign w:val="bottom"/>
            <w:hideMark/>
          </w:tcPr>
          <w:p w14:paraId="559A8748" w14:textId="77777777" w:rsidR="00F21E04" w:rsidRPr="00A5525F" w:rsidRDefault="00F21E04" w:rsidP="00DF5ACF">
            <w:pPr>
              <w:jc w:val="center"/>
              <w:rPr>
                <w:rFonts w:ascii="Arial" w:hAnsi="Arial" w:cs="Arial"/>
                <w:b/>
                <w:bCs/>
                <w:color w:val="000000" w:themeColor="text1"/>
                <w:sz w:val="20"/>
                <w:lang w:val="en-GB"/>
              </w:rPr>
            </w:pPr>
            <w:r w:rsidRPr="00A5525F">
              <w:rPr>
                <w:rFonts w:ascii="Arial" w:hAnsi="Arial" w:cs="Arial"/>
                <w:b/>
                <w:bCs/>
                <w:color w:val="000000" w:themeColor="text1"/>
                <w:sz w:val="20"/>
                <w:lang w:val="en-GB"/>
              </w:rPr>
              <w:t>1614</w:t>
            </w:r>
          </w:p>
        </w:tc>
      </w:tr>
      <w:tr w:rsidR="00F21E04" w:rsidRPr="00A5525F" w14:paraId="46641A80" w14:textId="77777777" w:rsidTr="008B1304">
        <w:trPr>
          <w:trHeight w:val="20"/>
        </w:trPr>
        <w:tc>
          <w:tcPr>
            <w:tcW w:w="703" w:type="pct"/>
            <w:vMerge/>
            <w:tcBorders>
              <w:top w:val="nil"/>
              <w:left w:val="nil"/>
              <w:bottom w:val="nil"/>
              <w:right w:val="nil"/>
            </w:tcBorders>
            <w:vAlign w:val="center"/>
            <w:hideMark/>
          </w:tcPr>
          <w:p w14:paraId="7DCE7234" w14:textId="77777777" w:rsidR="00F21E04" w:rsidRPr="00A5525F" w:rsidRDefault="00F21E04" w:rsidP="00DF5ACF">
            <w:pPr>
              <w:rPr>
                <w:rFonts w:ascii="Arial" w:hAnsi="Arial" w:cs="Arial"/>
                <w:color w:val="000000"/>
                <w:sz w:val="20"/>
                <w:lang w:val="en-GB"/>
              </w:rPr>
            </w:pPr>
          </w:p>
        </w:tc>
        <w:tc>
          <w:tcPr>
            <w:tcW w:w="684" w:type="pct"/>
            <w:tcBorders>
              <w:top w:val="nil"/>
              <w:left w:val="nil"/>
              <w:bottom w:val="nil"/>
              <w:right w:val="nil"/>
            </w:tcBorders>
            <w:noWrap/>
            <w:hideMark/>
          </w:tcPr>
          <w:p w14:paraId="740042CD"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63.18%</w:t>
            </w:r>
          </w:p>
        </w:tc>
        <w:tc>
          <w:tcPr>
            <w:tcW w:w="670" w:type="pct"/>
            <w:tcBorders>
              <w:top w:val="nil"/>
              <w:left w:val="nil"/>
              <w:bottom w:val="nil"/>
              <w:right w:val="nil"/>
            </w:tcBorders>
            <w:noWrap/>
            <w:hideMark/>
          </w:tcPr>
          <w:p w14:paraId="490FB3B9"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42.05%</w:t>
            </w:r>
          </w:p>
        </w:tc>
        <w:tc>
          <w:tcPr>
            <w:tcW w:w="552" w:type="pct"/>
            <w:tcBorders>
              <w:top w:val="nil"/>
              <w:left w:val="nil"/>
              <w:bottom w:val="nil"/>
              <w:right w:val="nil"/>
            </w:tcBorders>
            <w:noWrap/>
            <w:hideMark/>
          </w:tcPr>
          <w:p w14:paraId="7A6EA6C8" w14:textId="77777777" w:rsidR="00F21E04" w:rsidRPr="00A5525F" w:rsidRDefault="00F21E04" w:rsidP="00DF5ACF">
            <w:pPr>
              <w:jc w:val="center"/>
              <w:rPr>
                <w:rFonts w:ascii="Arial" w:hAnsi="Arial" w:cs="Arial"/>
                <w:b/>
                <w:bCs/>
                <w:color w:val="000000" w:themeColor="text1"/>
                <w:sz w:val="20"/>
                <w:lang w:val="en-GB"/>
              </w:rPr>
            </w:pPr>
            <w:r w:rsidRPr="00A5525F">
              <w:rPr>
                <w:rFonts w:ascii="Arial" w:hAnsi="Arial" w:cs="Arial"/>
                <w:b/>
                <w:bCs/>
                <w:color w:val="000000" w:themeColor="text1"/>
                <w:sz w:val="20"/>
                <w:lang w:val="en-GB"/>
              </w:rPr>
              <w:t>76.29%</w:t>
            </w:r>
          </w:p>
        </w:tc>
        <w:tc>
          <w:tcPr>
            <w:tcW w:w="584" w:type="pct"/>
            <w:tcBorders>
              <w:top w:val="nil"/>
              <w:left w:val="nil"/>
              <w:bottom w:val="nil"/>
              <w:right w:val="nil"/>
            </w:tcBorders>
            <w:noWrap/>
            <w:hideMark/>
          </w:tcPr>
          <w:p w14:paraId="02013A0D"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66.67%</w:t>
            </w:r>
          </w:p>
        </w:tc>
        <w:tc>
          <w:tcPr>
            <w:tcW w:w="684" w:type="pct"/>
            <w:tcBorders>
              <w:top w:val="nil"/>
              <w:left w:val="nil"/>
              <w:bottom w:val="nil"/>
              <w:right w:val="nil"/>
            </w:tcBorders>
            <w:noWrap/>
            <w:hideMark/>
          </w:tcPr>
          <w:p w14:paraId="041CADB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63.09%</w:t>
            </w:r>
          </w:p>
        </w:tc>
        <w:tc>
          <w:tcPr>
            <w:tcW w:w="563" w:type="pct"/>
            <w:tcBorders>
              <w:top w:val="nil"/>
              <w:left w:val="nil"/>
              <w:bottom w:val="nil"/>
              <w:right w:val="nil"/>
            </w:tcBorders>
            <w:noWrap/>
            <w:hideMark/>
          </w:tcPr>
          <w:p w14:paraId="5B40E04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93.71%</w:t>
            </w:r>
          </w:p>
        </w:tc>
        <w:tc>
          <w:tcPr>
            <w:tcW w:w="560" w:type="pct"/>
            <w:tcBorders>
              <w:top w:val="nil"/>
              <w:left w:val="nil"/>
              <w:bottom w:val="nil"/>
              <w:right w:val="nil"/>
            </w:tcBorders>
            <w:noWrap/>
            <w:hideMark/>
          </w:tcPr>
          <w:p w14:paraId="62EA0238" w14:textId="77777777" w:rsidR="00F21E04" w:rsidRPr="00A5525F" w:rsidRDefault="00F21E04" w:rsidP="00DF5ACF">
            <w:pPr>
              <w:jc w:val="center"/>
              <w:rPr>
                <w:rFonts w:ascii="Arial" w:hAnsi="Arial" w:cs="Arial"/>
                <w:b/>
                <w:bCs/>
                <w:color w:val="000000" w:themeColor="text1"/>
                <w:sz w:val="20"/>
                <w:lang w:val="en-GB"/>
              </w:rPr>
            </w:pPr>
            <w:r w:rsidRPr="00A5525F">
              <w:rPr>
                <w:rFonts w:ascii="Arial" w:hAnsi="Arial" w:cs="Arial"/>
                <w:b/>
                <w:bCs/>
                <w:color w:val="000000" w:themeColor="text1"/>
                <w:sz w:val="20"/>
                <w:lang w:val="en-GB"/>
              </w:rPr>
              <w:t>93.68%</w:t>
            </w:r>
          </w:p>
        </w:tc>
      </w:tr>
      <w:tr w:rsidR="00F21E04" w:rsidRPr="00A5525F" w14:paraId="5A6C14BB" w14:textId="77777777" w:rsidTr="008B1304">
        <w:trPr>
          <w:trHeight w:val="20"/>
        </w:trPr>
        <w:tc>
          <w:tcPr>
            <w:tcW w:w="703" w:type="pct"/>
            <w:vMerge w:val="restart"/>
            <w:tcBorders>
              <w:top w:val="nil"/>
              <w:left w:val="nil"/>
              <w:bottom w:val="nil"/>
              <w:right w:val="nil"/>
            </w:tcBorders>
            <w:noWrap/>
            <w:vAlign w:val="center"/>
            <w:hideMark/>
          </w:tcPr>
          <w:p w14:paraId="09597985"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India</w:t>
            </w:r>
          </w:p>
        </w:tc>
        <w:tc>
          <w:tcPr>
            <w:tcW w:w="684" w:type="pct"/>
            <w:tcBorders>
              <w:top w:val="nil"/>
              <w:left w:val="nil"/>
              <w:bottom w:val="nil"/>
              <w:right w:val="nil"/>
            </w:tcBorders>
            <w:noWrap/>
            <w:vAlign w:val="bottom"/>
            <w:hideMark/>
          </w:tcPr>
          <w:p w14:paraId="48978EB3"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659</w:t>
            </w:r>
          </w:p>
        </w:tc>
        <w:tc>
          <w:tcPr>
            <w:tcW w:w="670" w:type="pct"/>
            <w:tcBorders>
              <w:top w:val="nil"/>
              <w:left w:val="nil"/>
              <w:bottom w:val="nil"/>
              <w:right w:val="nil"/>
            </w:tcBorders>
            <w:noWrap/>
            <w:vAlign w:val="bottom"/>
            <w:hideMark/>
          </w:tcPr>
          <w:p w14:paraId="794A4962"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245</w:t>
            </w:r>
          </w:p>
        </w:tc>
        <w:tc>
          <w:tcPr>
            <w:tcW w:w="552" w:type="pct"/>
            <w:tcBorders>
              <w:top w:val="nil"/>
              <w:left w:val="nil"/>
              <w:bottom w:val="nil"/>
              <w:right w:val="nil"/>
            </w:tcBorders>
            <w:noWrap/>
            <w:vAlign w:val="bottom"/>
            <w:hideMark/>
          </w:tcPr>
          <w:p w14:paraId="31EE2512"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329</w:t>
            </w:r>
          </w:p>
        </w:tc>
        <w:tc>
          <w:tcPr>
            <w:tcW w:w="584" w:type="pct"/>
            <w:tcBorders>
              <w:top w:val="nil"/>
              <w:left w:val="nil"/>
              <w:bottom w:val="nil"/>
              <w:right w:val="nil"/>
            </w:tcBorders>
            <w:noWrap/>
            <w:vAlign w:val="bottom"/>
            <w:hideMark/>
          </w:tcPr>
          <w:p w14:paraId="1810EFB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61</w:t>
            </w:r>
          </w:p>
        </w:tc>
        <w:tc>
          <w:tcPr>
            <w:tcW w:w="684" w:type="pct"/>
            <w:tcBorders>
              <w:top w:val="nil"/>
              <w:left w:val="nil"/>
              <w:bottom w:val="nil"/>
              <w:right w:val="nil"/>
            </w:tcBorders>
            <w:noWrap/>
            <w:vAlign w:val="bottom"/>
            <w:hideMark/>
          </w:tcPr>
          <w:p w14:paraId="5CCA1B72"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102</w:t>
            </w:r>
          </w:p>
        </w:tc>
        <w:tc>
          <w:tcPr>
            <w:tcW w:w="563" w:type="pct"/>
            <w:tcBorders>
              <w:top w:val="nil"/>
              <w:left w:val="nil"/>
              <w:bottom w:val="nil"/>
              <w:right w:val="nil"/>
            </w:tcBorders>
            <w:noWrap/>
            <w:vAlign w:val="bottom"/>
            <w:hideMark/>
          </w:tcPr>
          <w:p w14:paraId="508BD2EF"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211</w:t>
            </w:r>
          </w:p>
        </w:tc>
        <w:tc>
          <w:tcPr>
            <w:tcW w:w="560" w:type="pct"/>
            <w:tcBorders>
              <w:top w:val="nil"/>
              <w:left w:val="nil"/>
              <w:bottom w:val="nil"/>
              <w:right w:val="nil"/>
            </w:tcBorders>
            <w:noWrap/>
            <w:vAlign w:val="bottom"/>
            <w:hideMark/>
          </w:tcPr>
          <w:p w14:paraId="1F27F198" w14:textId="77777777" w:rsidR="00F21E04" w:rsidRPr="00A5525F" w:rsidRDefault="00F21E04" w:rsidP="00DF5ACF">
            <w:pPr>
              <w:jc w:val="center"/>
              <w:rPr>
                <w:rFonts w:ascii="Arial" w:hAnsi="Arial" w:cs="Arial"/>
                <w:b/>
                <w:bCs/>
                <w:color w:val="000000" w:themeColor="text1"/>
                <w:sz w:val="20"/>
                <w:lang w:val="en-GB"/>
              </w:rPr>
            </w:pPr>
            <w:r w:rsidRPr="00A5525F">
              <w:rPr>
                <w:rFonts w:ascii="Arial" w:hAnsi="Arial" w:cs="Arial"/>
                <w:b/>
                <w:bCs/>
                <w:color w:val="000000" w:themeColor="text1"/>
                <w:sz w:val="20"/>
                <w:lang w:val="en-GB"/>
              </w:rPr>
              <w:t>1107</w:t>
            </w:r>
          </w:p>
        </w:tc>
      </w:tr>
      <w:tr w:rsidR="00F21E04" w:rsidRPr="00A5525F" w14:paraId="100F8178" w14:textId="77777777" w:rsidTr="008B1304">
        <w:trPr>
          <w:trHeight w:val="20"/>
        </w:trPr>
        <w:tc>
          <w:tcPr>
            <w:tcW w:w="703" w:type="pct"/>
            <w:vMerge/>
            <w:tcBorders>
              <w:top w:val="nil"/>
              <w:left w:val="nil"/>
              <w:bottom w:val="nil"/>
              <w:right w:val="nil"/>
            </w:tcBorders>
            <w:vAlign w:val="center"/>
            <w:hideMark/>
          </w:tcPr>
          <w:p w14:paraId="7F6432D4" w14:textId="77777777" w:rsidR="00F21E04" w:rsidRPr="00A5525F" w:rsidRDefault="00F21E04" w:rsidP="00DF5ACF">
            <w:pPr>
              <w:rPr>
                <w:rFonts w:ascii="Arial" w:hAnsi="Arial" w:cs="Arial"/>
                <w:color w:val="000000"/>
                <w:sz w:val="20"/>
                <w:lang w:val="en-GB"/>
              </w:rPr>
            </w:pPr>
          </w:p>
        </w:tc>
        <w:tc>
          <w:tcPr>
            <w:tcW w:w="684" w:type="pct"/>
            <w:tcBorders>
              <w:top w:val="nil"/>
              <w:left w:val="nil"/>
              <w:bottom w:val="nil"/>
              <w:right w:val="nil"/>
            </w:tcBorders>
            <w:noWrap/>
            <w:hideMark/>
          </w:tcPr>
          <w:p w14:paraId="41FEFA9B"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40.21%</w:t>
            </w:r>
          </w:p>
        </w:tc>
        <w:tc>
          <w:tcPr>
            <w:tcW w:w="670" w:type="pct"/>
            <w:tcBorders>
              <w:top w:val="nil"/>
              <w:left w:val="nil"/>
              <w:bottom w:val="nil"/>
              <w:right w:val="nil"/>
            </w:tcBorders>
            <w:noWrap/>
            <w:hideMark/>
          </w:tcPr>
          <w:p w14:paraId="6DE0F56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30.61%</w:t>
            </w:r>
          </w:p>
        </w:tc>
        <w:tc>
          <w:tcPr>
            <w:tcW w:w="552" w:type="pct"/>
            <w:tcBorders>
              <w:top w:val="nil"/>
              <w:left w:val="nil"/>
              <w:bottom w:val="nil"/>
              <w:right w:val="nil"/>
            </w:tcBorders>
            <w:noWrap/>
            <w:hideMark/>
          </w:tcPr>
          <w:p w14:paraId="6A347718"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50.76%</w:t>
            </w:r>
          </w:p>
        </w:tc>
        <w:tc>
          <w:tcPr>
            <w:tcW w:w="584" w:type="pct"/>
            <w:tcBorders>
              <w:top w:val="nil"/>
              <w:left w:val="nil"/>
              <w:bottom w:val="nil"/>
              <w:right w:val="nil"/>
            </w:tcBorders>
            <w:noWrap/>
            <w:hideMark/>
          </w:tcPr>
          <w:p w14:paraId="79C9B067"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31.15%</w:t>
            </w:r>
          </w:p>
        </w:tc>
        <w:tc>
          <w:tcPr>
            <w:tcW w:w="684" w:type="pct"/>
            <w:tcBorders>
              <w:top w:val="nil"/>
              <w:left w:val="nil"/>
              <w:bottom w:val="nil"/>
              <w:right w:val="nil"/>
            </w:tcBorders>
            <w:noWrap/>
            <w:hideMark/>
          </w:tcPr>
          <w:p w14:paraId="498153B5"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33.33%</w:t>
            </w:r>
          </w:p>
        </w:tc>
        <w:tc>
          <w:tcPr>
            <w:tcW w:w="563" w:type="pct"/>
            <w:tcBorders>
              <w:top w:val="nil"/>
              <w:left w:val="nil"/>
              <w:bottom w:val="nil"/>
              <w:right w:val="nil"/>
            </w:tcBorders>
            <w:noWrap/>
            <w:hideMark/>
          </w:tcPr>
          <w:p w14:paraId="01751D00"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72.04%</w:t>
            </w:r>
          </w:p>
        </w:tc>
        <w:tc>
          <w:tcPr>
            <w:tcW w:w="560" w:type="pct"/>
            <w:tcBorders>
              <w:top w:val="nil"/>
              <w:left w:val="nil"/>
              <w:bottom w:val="nil"/>
              <w:right w:val="nil"/>
            </w:tcBorders>
            <w:noWrap/>
            <w:hideMark/>
          </w:tcPr>
          <w:p w14:paraId="04E63F1A" w14:textId="77777777" w:rsidR="00F21E04" w:rsidRPr="00A5525F" w:rsidRDefault="00F21E04" w:rsidP="00DF5ACF">
            <w:pPr>
              <w:jc w:val="center"/>
              <w:rPr>
                <w:rFonts w:ascii="Arial" w:hAnsi="Arial" w:cs="Arial"/>
                <w:b/>
                <w:bCs/>
                <w:color w:val="000000" w:themeColor="text1"/>
                <w:sz w:val="20"/>
                <w:lang w:val="en-GB"/>
              </w:rPr>
            </w:pPr>
            <w:r w:rsidRPr="00A5525F">
              <w:rPr>
                <w:rFonts w:ascii="Arial" w:hAnsi="Arial" w:cs="Arial"/>
                <w:b/>
                <w:bCs/>
                <w:color w:val="000000" w:themeColor="text1"/>
                <w:sz w:val="20"/>
                <w:lang w:val="en-GB"/>
              </w:rPr>
              <w:t>65.40%</w:t>
            </w:r>
          </w:p>
        </w:tc>
      </w:tr>
      <w:tr w:rsidR="00F21E04" w:rsidRPr="00A5525F" w14:paraId="3E2D5323" w14:textId="77777777" w:rsidTr="008B1304">
        <w:trPr>
          <w:trHeight w:val="20"/>
        </w:trPr>
        <w:tc>
          <w:tcPr>
            <w:tcW w:w="703" w:type="pct"/>
            <w:vMerge w:val="restart"/>
            <w:tcBorders>
              <w:top w:val="nil"/>
              <w:left w:val="nil"/>
              <w:bottom w:val="nil"/>
              <w:right w:val="nil"/>
            </w:tcBorders>
            <w:noWrap/>
            <w:vAlign w:val="center"/>
            <w:hideMark/>
          </w:tcPr>
          <w:p w14:paraId="3DE6A057"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Indonesia</w:t>
            </w:r>
          </w:p>
        </w:tc>
        <w:tc>
          <w:tcPr>
            <w:tcW w:w="684" w:type="pct"/>
            <w:tcBorders>
              <w:top w:val="nil"/>
              <w:left w:val="nil"/>
              <w:bottom w:val="nil"/>
              <w:right w:val="nil"/>
            </w:tcBorders>
            <w:noWrap/>
            <w:vAlign w:val="bottom"/>
            <w:hideMark/>
          </w:tcPr>
          <w:p w14:paraId="53A1ED3A"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38</w:t>
            </w:r>
          </w:p>
        </w:tc>
        <w:tc>
          <w:tcPr>
            <w:tcW w:w="670" w:type="pct"/>
            <w:tcBorders>
              <w:top w:val="nil"/>
              <w:left w:val="nil"/>
              <w:bottom w:val="nil"/>
              <w:right w:val="nil"/>
            </w:tcBorders>
            <w:noWrap/>
            <w:vAlign w:val="bottom"/>
            <w:hideMark/>
          </w:tcPr>
          <w:p w14:paraId="0616B479"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7</w:t>
            </w:r>
          </w:p>
        </w:tc>
        <w:tc>
          <w:tcPr>
            <w:tcW w:w="552" w:type="pct"/>
            <w:tcBorders>
              <w:top w:val="nil"/>
              <w:left w:val="nil"/>
              <w:bottom w:val="nil"/>
              <w:right w:val="nil"/>
            </w:tcBorders>
            <w:noWrap/>
            <w:vAlign w:val="bottom"/>
            <w:hideMark/>
          </w:tcPr>
          <w:p w14:paraId="301636BD"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33</w:t>
            </w:r>
          </w:p>
        </w:tc>
        <w:tc>
          <w:tcPr>
            <w:tcW w:w="584" w:type="pct"/>
            <w:tcBorders>
              <w:top w:val="nil"/>
              <w:left w:val="nil"/>
              <w:bottom w:val="nil"/>
              <w:right w:val="nil"/>
            </w:tcBorders>
            <w:noWrap/>
            <w:vAlign w:val="bottom"/>
            <w:hideMark/>
          </w:tcPr>
          <w:p w14:paraId="5F3EADA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13</w:t>
            </w:r>
          </w:p>
        </w:tc>
        <w:tc>
          <w:tcPr>
            <w:tcW w:w="684" w:type="pct"/>
            <w:tcBorders>
              <w:top w:val="nil"/>
              <w:left w:val="nil"/>
              <w:bottom w:val="nil"/>
              <w:right w:val="nil"/>
            </w:tcBorders>
            <w:noWrap/>
            <w:vAlign w:val="bottom"/>
            <w:hideMark/>
          </w:tcPr>
          <w:p w14:paraId="0298B3F7"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111</w:t>
            </w:r>
          </w:p>
        </w:tc>
        <w:tc>
          <w:tcPr>
            <w:tcW w:w="563" w:type="pct"/>
            <w:tcBorders>
              <w:top w:val="nil"/>
              <w:left w:val="nil"/>
              <w:bottom w:val="nil"/>
              <w:right w:val="nil"/>
            </w:tcBorders>
            <w:noWrap/>
            <w:vAlign w:val="bottom"/>
            <w:hideMark/>
          </w:tcPr>
          <w:p w14:paraId="373CCB78"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w:t>
            </w:r>
          </w:p>
        </w:tc>
        <w:tc>
          <w:tcPr>
            <w:tcW w:w="560" w:type="pct"/>
            <w:tcBorders>
              <w:top w:val="nil"/>
              <w:left w:val="nil"/>
              <w:bottom w:val="nil"/>
              <w:right w:val="nil"/>
            </w:tcBorders>
            <w:noWrap/>
            <w:vAlign w:val="bottom"/>
            <w:hideMark/>
          </w:tcPr>
          <w:p w14:paraId="3256920A"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0</w:t>
            </w:r>
          </w:p>
        </w:tc>
      </w:tr>
      <w:tr w:rsidR="00F21E04" w:rsidRPr="00A5525F" w14:paraId="41363F25" w14:textId="77777777" w:rsidTr="008B1304">
        <w:trPr>
          <w:trHeight w:val="20"/>
        </w:trPr>
        <w:tc>
          <w:tcPr>
            <w:tcW w:w="703" w:type="pct"/>
            <w:vMerge/>
            <w:tcBorders>
              <w:top w:val="nil"/>
              <w:left w:val="nil"/>
              <w:bottom w:val="nil"/>
              <w:right w:val="nil"/>
            </w:tcBorders>
            <w:vAlign w:val="center"/>
            <w:hideMark/>
          </w:tcPr>
          <w:p w14:paraId="6BDB46D2" w14:textId="77777777" w:rsidR="00F21E04" w:rsidRPr="00A5525F" w:rsidRDefault="00F21E04" w:rsidP="00DF5ACF">
            <w:pPr>
              <w:rPr>
                <w:rFonts w:ascii="Arial" w:hAnsi="Arial" w:cs="Arial"/>
                <w:color w:val="000000"/>
                <w:sz w:val="20"/>
                <w:lang w:val="en-GB"/>
              </w:rPr>
            </w:pPr>
          </w:p>
        </w:tc>
        <w:tc>
          <w:tcPr>
            <w:tcW w:w="684" w:type="pct"/>
            <w:tcBorders>
              <w:top w:val="nil"/>
              <w:left w:val="nil"/>
              <w:bottom w:val="nil"/>
              <w:right w:val="nil"/>
            </w:tcBorders>
            <w:noWrap/>
            <w:hideMark/>
          </w:tcPr>
          <w:p w14:paraId="5638CFB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36.84%</w:t>
            </w:r>
          </w:p>
        </w:tc>
        <w:tc>
          <w:tcPr>
            <w:tcW w:w="670" w:type="pct"/>
            <w:tcBorders>
              <w:top w:val="nil"/>
              <w:left w:val="nil"/>
              <w:bottom w:val="nil"/>
              <w:right w:val="nil"/>
            </w:tcBorders>
            <w:noWrap/>
            <w:hideMark/>
          </w:tcPr>
          <w:p w14:paraId="5C8568D5"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14.29%</w:t>
            </w:r>
          </w:p>
        </w:tc>
        <w:tc>
          <w:tcPr>
            <w:tcW w:w="552" w:type="pct"/>
            <w:tcBorders>
              <w:top w:val="nil"/>
              <w:left w:val="nil"/>
              <w:bottom w:val="nil"/>
              <w:right w:val="nil"/>
            </w:tcBorders>
            <w:noWrap/>
            <w:hideMark/>
          </w:tcPr>
          <w:p w14:paraId="0513ACEB"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63.64%</w:t>
            </w:r>
          </w:p>
        </w:tc>
        <w:tc>
          <w:tcPr>
            <w:tcW w:w="584" w:type="pct"/>
            <w:tcBorders>
              <w:top w:val="nil"/>
              <w:left w:val="nil"/>
              <w:bottom w:val="nil"/>
              <w:right w:val="nil"/>
            </w:tcBorders>
            <w:noWrap/>
            <w:hideMark/>
          </w:tcPr>
          <w:p w14:paraId="5EDD584F"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84.62%</w:t>
            </w:r>
          </w:p>
        </w:tc>
        <w:tc>
          <w:tcPr>
            <w:tcW w:w="684" w:type="pct"/>
            <w:tcBorders>
              <w:top w:val="nil"/>
              <w:left w:val="nil"/>
              <w:bottom w:val="nil"/>
              <w:right w:val="nil"/>
            </w:tcBorders>
            <w:noWrap/>
            <w:hideMark/>
          </w:tcPr>
          <w:p w14:paraId="6C91BD97"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66.67%</w:t>
            </w:r>
          </w:p>
        </w:tc>
        <w:tc>
          <w:tcPr>
            <w:tcW w:w="563" w:type="pct"/>
            <w:tcBorders>
              <w:top w:val="nil"/>
              <w:left w:val="nil"/>
              <w:bottom w:val="nil"/>
              <w:right w:val="nil"/>
            </w:tcBorders>
            <w:noWrap/>
            <w:hideMark/>
          </w:tcPr>
          <w:p w14:paraId="2E234377"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50.00%</w:t>
            </w:r>
          </w:p>
        </w:tc>
        <w:tc>
          <w:tcPr>
            <w:tcW w:w="560" w:type="pct"/>
            <w:tcBorders>
              <w:top w:val="nil"/>
              <w:left w:val="nil"/>
              <w:bottom w:val="nil"/>
              <w:right w:val="nil"/>
            </w:tcBorders>
            <w:noWrap/>
            <w:hideMark/>
          </w:tcPr>
          <w:p w14:paraId="19DFFE94"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NA</w:t>
            </w:r>
          </w:p>
        </w:tc>
      </w:tr>
      <w:tr w:rsidR="00F21E04" w:rsidRPr="00A5525F" w14:paraId="10505C84" w14:textId="77777777" w:rsidTr="008B1304">
        <w:trPr>
          <w:trHeight w:val="20"/>
        </w:trPr>
        <w:tc>
          <w:tcPr>
            <w:tcW w:w="703" w:type="pct"/>
            <w:vMerge w:val="restart"/>
            <w:tcBorders>
              <w:top w:val="nil"/>
              <w:left w:val="nil"/>
              <w:bottom w:val="nil"/>
              <w:right w:val="nil"/>
            </w:tcBorders>
            <w:noWrap/>
            <w:vAlign w:val="center"/>
            <w:hideMark/>
          </w:tcPr>
          <w:p w14:paraId="59213DF0"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Malaysia</w:t>
            </w:r>
          </w:p>
        </w:tc>
        <w:tc>
          <w:tcPr>
            <w:tcW w:w="684" w:type="pct"/>
            <w:tcBorders>
              <w:top w:val="nil"/>
              <w:left w:val="nil"/>
              <w:bottom w:val="nil"/>
              <w:right w:val="nil"/>
            </w:tcBorders>
            <w:noWrap/>
            <w:vAlign w:val="bottom"/>
            <w:hideMark/>
          </w:tcPr>
          <w:p w14:paraId="6B5215AC"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73</w:t>
            </w:r>
          </w:p>
        </w:tc>
        <w:tc>
          <w:tcPr>
            <w:tcW w:w="670" w:type="pct"/>
            <w:tcBorders>
              <w:top w:val="nil"/>
              <w:left w:val="nil"/>
              <w:bottom w:val="nil"/>
              <w:right w:val="nil"/>
            </w:tcBorders>
            <w:noWrap/>
            <w:vAlign w:val="bottom"/>
            <w:hideMark/>
          </w:tcPr>
          <w:p w14:paraId="4716607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NA</w:t>
            </w:r>
          </w:p>
        </w:tc>
        <w:tc>
          <w:tcPr>
            <w:tcW w:w="552" w:type="pct"/>
            <w:tcBorders>
              <w:top w:val="nil"/>
              <w:left w:val="nil"/>
              <w:bottom w:val="nil"/>
              <w:right w:val="nil"/>
            </w:tcBorders>
            <w:noWrap/>
            <w:vAlign w:val="bottom"/>
            <w:hideMark/>
          </w:tcPr>
          <w:p w14:paraId="4080A91A"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w:t>
            </w:r>
          </w:p>
        </w:tc>
        <w:tc>
          <w:tcPr>
            <w:tcW w:w="584" w:type="pct"/>
            <w:tcBorders>
              <w:top w:val="nil"/>
              <w:left w:val="nil"/>
              <w:bottom w:val="nil"/>
              <w:right w:val="nil"/>
            </w:tcBorders>
            <w:noWrap/>
            <w:vAlign w:val="bottom"/>
            <w:hideMark/>
          </w:tcPr>
          <w:p w14:paraId="22E4106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22</w:t>
            </w:r>
          </w:p>
        </w:tc>
        <w:tc>
          <w:tcPr>
            <w:tcW w:w="684" w:type="pct"/>
            <w:tcBorders>
              <w:top w:val="nil"/>
              <w:left w:val="nil"/>
              <w:bottom w:val="nil"/>
              <w:right w:val="nil"/>
            </w:tcBorders>
            <w:noWrap/>
            <w:vAlign w:val="bottom"/>
            <w:hideMark/>
          </w:tcPr>
          <w:p w14:paraId="22571877"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148</w:t>
            </w:r>
          </w:p>
        </w:tc>
        <w:tc>
          <w:tcPr>
            <w:tcW w:w="563" w:type="pct"/>
            <w:tcBorders>
              <w:top w:val="nil"/>
              <w:left w:val="nil"/>
              <w:bottom w:val="nil"/>
              <w:right w:val="nil"/>
            </w:tcBorders>
            <w:noWrap/>
            <w:vAlign w:val="bottom"/>
            <w:hideMark/>
          </w:tcPr>
          <w:p w14:paraId="0252522B"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0</w:t>
            </w:r>
          </w:p>
        </w:tc>
        <w:tc>
          <w:tcPr>
            <w:tcW w:w="560" w:type="pct"/>
            <w:tcBorders>
              <w:top w:val="nil"/>
              <w:left w:val="nil"/>
              <w:bottom w:val="nil"/>
              <w:right w:val="nil"/>
            </w:tcBorders>
            <w:noWrap/>
            <w:vAlign w:val="bottom"/>
            <w:hideMark/>
          </w:tcPr>
          <w:p w14:paraId="2B26F34B"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0</w:t>
            </w:r>
          </w:p>
        </w:tc>
      </w:tr>
      <w:tr w:rsidR="00F21E04" w:rsidRPr="00A5525F" w14:paraId="201FE386" w14:textId="77777777" w:rsidTr="008B1304">
        <w:trPr>
          <w:trHeight w:val="20"/>
        </w:trPr>
        <w:tc>
          <w:tcPr>
            <w:tcW w:w="703" w:type="pct"/>
            <w:vMerge/>
            <w:tcBorders>
              <w:top w:val="nil"/>
              <w:left w:val="nil"/>
              <w:bottom w:val="nil"/>
              <w:right w:val="nil"/>
            </w:tcBorders>
            <w:vAlign w:val="center"/>
            <w:hideMark/>
          </w:tcPr>
          <w:p w14:paraId="75F9FD61" w14:textId="77777777" w:rsidR="00F21E04" w:rsidRPr="00A5525F" w:rsidRDefault="00F21E04" w:rsidP="00DF5ACF">
            <w:pPr>
              <w:rPr>
                <w:rFonts w:ascii="Arial" w:hAnsi="Arial" w:cs="Arial"/>
                <w:color w:val="000000"/>
                <w:sz w:val="20"/>
                <w:lang w:val="en-GB"/>
              </w:rPr>
            </w:pPr>
          </w:p>
        </w:tc>
        <w:tc>
          <w:tcPr>
            <w:tcW w:w="684" w:type="pct"/>
            <w:tcBorders>
              <w:top w:val="nil"/>
              <w:left w:val="nil"/>
              <w:bottom w:val="nil"/>
              <w:right w:val="nil"/>
            </w:tcBorders>
            <w:noWrap/>
            <w:hideMark/>
          </w:tcPr>
          <w:p w14:paraId="127A72B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57.53%</w:t>
            </w:r>
          </w:p>
        </w:tc>
        <w:tc>
          <w:tcPr>
            <w:tcW w:w="670" w:type="pct"/>
            <w:tcBorders>
              <w:top w:val="nil"/>
              <w:left w:val="nil"/>
              <w:bottom w:val="nil"/>
              <w:right w:val="nil"/>
            </w:tcBorders>
            <w:noWrap/>
            <w:hideMark/>
          </w:tcPr>
          <w:p w14:paraId="7E90AA47"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NA</w:t>
            </w:r>
          </w:p>
        </w:tc>
        <w:tc>
          <w:tcPr>
            <w:tcW w:w="552" w:type="pct"/>
            <w:tcBorders>
              <w:top w:val="nil"/>
              <w:left w:val="nil"/>
              <w:bottom w:val="nil"/>
              <w:right w:val="nil"/>
            </w:tcBorders>
            <w:noWrap/>
            <w:hideMark/>
          </w:tcPr>
          <w:p w14:paraId="0EE15C08"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83.33%</w:t>
            </w:r>
          </w:p>
        </w:tc>
        <w:tc>
          <w:tcPr>
            <w:tcW w:w="584" w:type="pct"/>
            <w:tcBorders>
              <w:top w:val="nil"/>
              <w:left w:val="nil"/>
              <w:bottom w:val="nil"/>
              <w:right w:val="nil"/>
            </w:tcBorders>
            <w:noWrap/>
            <w:hideMark/>
          </w:tcPr>
          <w:p w14:paraId="76946A82"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40.91%</w:t>
            </w:r>
          </w:p>
        </w:tc>
        <w:tc>
          <w:tcPr>
            <w:tcW w:w="684" w:type="pct"/>
            <w:tcBorders>
              <w:top w:val="nil"/>
              <w:left w:val="nil"/>
              <w:bottom w:val="nil"/>
              <w:right w:val="nil"/>
            </w:tcBorders>
            <w:noWrap/>
            <w:hideMark/>
          </w:tcPr>
          <w:p w14:paraId="36C6E1A2"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56.76%</w:t>
            </w:r>
          </w:p>
        </w:tc>
        <w:tc>
          <w:tcPr>
            <w:tcW w:w="563" w:type="pct"/>
            <w:tcBorders>
              <w:top w:val="nil"/>
              <w:left w:val="nil"/>
              <w:bottom w:val="nil"/>
              <w:right w:val="nil"/>
            </w:tcBorders>
            <w:noWrap/>
            <w:hideMark/>
          </w:tcPr>
          <w:p w14:paraId="06CAC69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NA</w:t>
            </w:r>
          </w:p>
        </w:tc>
        <w:tc>
          <w:tcPr>
            <w:tcW w:w="560" w:type="pct"/>
            <w:tcBorders>
              <w:top w:val="nil"/>
              <w:left w:val="nil"/>
              <w:bottom w:val="nil"/>
              <w:right w:val="nil"/>
            </w:tcBorders>
            <w:noWrap/>
            <w:hideMark/>
          </w:tcPr>
          <w:p w14:paraId="2C3248C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NA</w:t>
            </w:r>
          </w:p>
        </w:tc>
      </w:tr>
      <w:tr w:rsidR="00F21E04" w:rsidRPr="00A5525F" w14:paraId="562114A9" w14:textId="77777777" w:rsidTr="008B1304">
        <w:trPr>
          <w:trHeight w:val="20"/>
        </w:trPr>
        <w:tc>
          <w:tcPr>
            <w:tcW w:w="703" w:type="pct"/>
            <w:vMerge w:val="restart"/>
            <w:tcBorders>
              <w:top w:val="nil"/>
              <w:left w:val="nil"/>
              <w:bottom w:val="nil"/>
              <w:right w:val="nil"/>
            </w:tcBorders>
            <w:noWrap/>
            <w:vAlign w:val="center"/>
            <w:hideMark/>
          </w:tcPr>
          <w:p w14:paraId="0268599C"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Mexico</w:t>
            </w:r>
          </w:p>
        </w:tc>
        <w:tc>
          <w:tcPr>
            <w:tcW w:w="684" w:type="pct"/>
            <w:tcBorders>
              <w:top w:val="nil"/>
              <w:left w:val="nil"/>
              <w:bottom w:val="nil"/>
              <w:right w:val="nil"/>
            </w:tcBorders>
            <w:noWrap/>
            <w:vAlign w:val="bottom"/>
            <w:hideMark/>
          </w:tcPr>
          <w:p w14:paraId="7842658C"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20</w:t>
            </w:r>
          </w:p>
        </w:tc>
        <w:tc>
          <w:tcPr>
            <w:tcW w:w="670" w:type="pct"/>
            <w:tcBorders>
              <w:top w:val="nil"/>
              <w:left w:val="nil"/>
              <w:bottom w:val="nil"/>
              <w:right w:val="nil"/>
            </w:tcBorders>
            <w:noWrap/>
            <w:vAlign w:val="bottom"/>
            <w:hideMark/>
          </w:tcPr>
          <w:p w14:paraId="263EAEB0"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w:t>
            </w:r>
          </w:p>
        </w:tc>
        <w:tc>
          <w:tcPr>
            <w:tcW w:w="552" w:type="pct"/>
            <w:tcBorders>
              <w:top w:val="nil"/>
              <w:left w:val="nil"/>
              <w:bottom w:val="nil"/>
              <w:right w:val="nil"/>
            </w:tcBorders>
            <w:noWrap/>
            <w:vAlign w:val="bottom"/>
            <w:hideMark/>
          </w:tcPr>
          <w:p w14:paraId="4DC065E3"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15</w:t>
            </w:r>
          </w:p>
        </w:tc>
        <w:tc>
          <w:tcPr>
            <w:tcW w:w="584" w:type="pct"/>
            <w:tcBorders>
              <w:top w:val="nil"/>
              <w:left w:val="nil"/>
              <w:bottom w:val="nil"/>
              <w:right w:val="nil"/>
            </w:tcBorders>
            <w:noWrap/>
            <w:vAlign w:val="bottom"/>
            <w:hideMark/>
          </w:tcPr>
          <w:p w14:paraId="69118809"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45</w:t>
            </w:r>
          </w:p>
        </w:tc>
        <w:tc>
          <w:tcPr>
            <w:tcW w:w="684" w:type="pct"/>
            <w:tcBorders>
              <w:top w:val="nil"/>
              <w:left w:val="nil"/>
              <w:bottom w:val="nil"/>
              <w:right w:val="nil"/>
            </w:tcBorders>
            <w:noWrap/>
            <w:vAlign w:val="bottom"/>
            <w:hideMark/>
          </w:tcPr>
          <w:p w14:paraId="609CA18D"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164</w:t>
            </w:r>
          </w:p>
        </w:tc>
        <w:tc>
          <w:tcPr>
            <w:tcW w:w="563" w:type="pct"/>
            <w:tcBorders>
              <w:top w:val="nil"/>
              <w:left w:val="nil"/>
              <w:bottom w:val="nil"/>
              <w:right w:val="nil"/>
            </w:tcBorders>
            <w:noWrap/>
            <w:vAlign w:val="bottom"/>
            <w:hideMark/>
          </w:tcPr>
          <w:p w14:paraId="73EE87B8"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w:t>
            </w:r>
          </w:p>
        </w:tc>
        <w:tc>
          <w:tcPr>
            <w:tcW w:w="560" w:type="pct"/>
            <w:tcBorders>
              <w:top w:val="nil"/>
              <w:left w:val="nil"/>
              <w:bottom w:val="nil"/>
              <w:right w:val="nil"/>
            </w:tcBorders>
            <w:noWrap/>
            <w:vAlign w:val="bottom"/>
            <w:hideMark/>
          </w:tcPr>
          <w:p w14:paraId="20D99475"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38</w:t>
            </w:r>
          </w:p>
        </w:tc>
      </w:tr>
      <w:tr w:rsidR="00F21E04" w:rsidRPr="00A5525F" w14:paraId="5C39CD72" w14:textId="77777777" w:rsidTr="008B1304">
        <w:trPr>
          <w:trHeight w:val="20"/>
        </w:trPr>
        <w:tc>
          <w:tcPr>
            <w:tcW w:w="703" w:type="pct"/>
            <w:vMerge/>
            <w:tcBorders>
              <w:top w:val="nil"/>
              <w:left w:val="nil"/>
              <w:bottom w:val="nil"/>
              <w:right w:val="nil"/>
            </w:tcBorders>
            <w:vAlign w:val="center"/>
            <w:hideMark/>
          </w:tcPr>
          <w:p w14:paraId="4E226E29" w14:textId="77777777" w:rsidR="00F21E04" w:rsidRPr="00A5525F" w:rsidRDefault="00F21E04" w:rsidP="00DF5ACF">
            <w:pPr>
              <w:rPr>
                <w:rFonts w:ascii="Arial" w:hAnsi="Arial" w:cs="Arial"/>
                <w:color w:val="000000"/>
                <w:sz w:val="20"/>
                <w:lang w:val="en-GB"/>
              </w:rPr>
            </w:pPr>
          </w:p>
        </w:tc>
        <w:tc>
          <w:tcPr>
            <w:tcW w:w="684" w:type="pct"/>
            <w:tcBorders>
              <w:top w:val="nil"/>
              <w:left w:val="nil"/>
              <w:bottom w:val="nil"/>
              <w:right w:val="nil"/>
            </w:tcBorders>
            <w:noWrap/>
            <w:hideMark/>
          </w:tcPr>
          <w:p w14:paraId="19E901C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55.00%</w:t>
            </w:r>
          </w:p>
        </w:tc>
        <w:tc>
          <w:tcPr>
            <w:tcW w:w="670" w:type="pct"/>
            <w:tcBorders>
              <w:top w:val="nil"/>
              <w:left w:val="nil"/>
              <w:bottom w:val="nil"/>
              <w:right w:val="nil"/>
            </w:tcBorders>
            <w:noWrap/>
            <w:hideMark/>
          </w:tcPr>
          <w:p w14:paraId="1AF5CB78"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100.00%</w:t>
            </w:r>
          </w:p>
        </w:tc>
        <w:tc>
          <w:tcPr>
            <w:tcW w:w="552" w:type="pct"/>
            <w:tcBorders>
              <w:top w:val="nil"/>
              <w:left w:val="nil"/>
              <w:bottom w:val="nil"/>
              <w:right w:val="nil"/>
            </w:tcBorders>
            <w:noWrap/>
            <w:hideMark/>
          </w:tcPr>
          <w:p w14:paraId="628B7975"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53.33%</w:t>
            </w:r>
          </w:p>
        </w:tc>
        <w:tc>
          <w:tcPr>
            <w:tcW w:w="584" w:type="pct"/>
            <w:tcBorders>
              <w:top w:val="nil"/>
              <w:left w:val="nil"/>
              <w:bottom w:val="nil"/>
              <w:right w:val="nil"/>
            </w:tcBorders>
            <w:noWrap/>
            <w:hideMark/>
          </w:tcPr>
          <w:p w14:paraId="1BBF668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62.22%</w:t>
            </w:r>
          </w:p>
        </w:tc>
        <w:tc>
          <w:tcPr>
            <w:tcW w:w="684" w:type="pct"/>
            <w:tcBorders>
              <w:top w:val="nil"/>
              <w:left w:val="nil"/>
              <w:bottom w:val="nil"/>
              <w:right w:val="nil"/>
            </w:tcBorders>
            <w:noWrap/>
            <w:hideMark/>
          </w:tcPr>
          <w:p w14:paraId="18CE2264"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62.20%</w:t>
            </w:r>
          </w:p>
        </w:tc>
        <w:tc>
          <w:tcPr>
            <w:tcW w:w="563" w:type="pct"/>
            <w:tcBorders>
              <w:top w:val="nil"/>
              <w:left w:val="nil"/>
              <w:bottom w:val="nil"/>
              <w:right w:val="nil"/>
            </w:tcBorders>
            <w:noWrap/>
            <w:hideMark/>
          </w:tcPr>
          <w:p w14:paraId="370A10C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0.00%</w:t>
            </w:r>
          </w:p>
        </w:tc>
        <w:tc>
          <w:tcPr>
            <w:tcW w:w="560" w:type="pct"/>
            <w:tcBorders>
              <w:top w:val="nil"/>
              <w:left w:val="nil"/>
              <w:bottom w:val="nil"/>
              <w:right w:val="nil"/>
            </w:tcBorders>
            <w:noWrap/>
            <w:hideMark/>
          </w:tcPr>
          <w:p w14:paraId="1832497C"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76.32%</w:t>
            </w:r>
          </w:p>
        </w:tc>
      </w:tr>
      <w:tr w:rsidR="00F21E04" w:rsidRPr="00A5525F" w14:paraId="02CC8CE9" w14:textId="77777777" w:rsidTr="008B1304">
        <w:trPr>
          <w:trHeight w:val="20"/>
        </w:trPr>
        <w:tc>
          <w:tcPr>
            <w:tcW w:w="703" w:type="pct"/>
            <w:vMerge w:val="restart"/>
            <w:tcBorders>
              <w:top w:val="nil"/>
              <w:left w:val="nil"/>
              <w:bottom w:val="nil"/>
              <w:right w:val="nil"/>
            </w:tcBorders>
            <w:noWrap/>
            <w:vAlign w:val="center"/>
            <w:hideMark/>
          </w:tcPr>
          <w:p w14:paraId="308B7F7B"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Philippines</w:t>
            </w:r>
          </w:p>
        </w:tc>
        <w:tc>
          <w:tcPr>
            <w:tcW w:w="684" w:type="pct"/>
            <w:tcBorders>
              <w:top w:val="nil"/>
              <w:left w:val="nil"/>
              <w:bottom w:val="nil"/>
              <w:right w:val="nil"/>
            </w:tcBorders>
            <w:noWrap/>
            <w:vAlign w:val="bottom"/>
            <w:hideMark/>
          </w:tcPr>
          <w:p w14:paraId="72A66F31"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20</w:t>
            </w:r>
          </w:p>
        </w:tc>
        <w:tc>
          <w:tcPr>
            <w:tcW w:w="670" w:type="pct"/>
            <w:tcBorders>
              <w:top w:val="nil"/>
              <w:left w:val="nil"/>
              <w:bottom w:val="nil"/>
              <w:right w:val="nil"/>
            </w:tcBorders>
            <w:noWrap/>
            <w:vAlign w:val="bottom"/>
            <w:hideMark/>
          </w:tcPr>
          <w:p w14:paraId="76049F03"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w:t>
            </w:r>
          </w:p>
        </w:tc>
        <w:tc>
          <w:tcPr>
            <w:tcW w:w="552" w:type="pct"/>
            <w:tcBorders>
              <w:top w:val="nil"/>
              <w:left w:val="nil"/>
              <w:bottom w:val="nil"/>
              <w:right w:val="nil"/>
            </w:tcBorders>
            <w:noWrap/>
            <w:vAlign w:val="bottom"/>
            <w:hideMark/>
          </w:tcPr>
          <w:p w14:paraId="2A552BC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14</w:t>
            </w:r>
          </w:p>
        </w:tc>
        <w:tc>
          <w:tcPr>
            <w:tcW w:w="584" w:type="pct"/>
            <w:tcBorders>
              <w:top w:val="nil"/>
              <w:left w:val="nil"/>
              <w:bottom w:val="nil"/>
              <w:right w:val="nil"/>
            </w:tcBorders>
            <w:noWrap/>
            <w:vAlign w:val="bottom"/>
            <w:hideMark/>
          </w:tcPr>
          <w:p w14:paraId="207E3F1A"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11</w:t>
            </w:r>
          </w:p>
        </w:tc>
        <w:tc>
          <w:tcPr>
            <w:tcW w:w="684" w:type="pct"/>
            <w:tcBorders>
              <w:top w:val="nil"/>
              <w:left w:val="nil"/>
              <w:bottom w:val="nil"/>
              <w:right w:val="nil"/>
            </w:tcBorders>
            <w:noWrap/>
            <w:vAlign w:val="bottom"/>
            <w:hideMark/>
          </w:tcPr>
          <w:p w14:paraId="264783F1"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72</w:t>
            </w:r>
          </w:p>
        </w:tc>
        <w:tc>
          <w:tcPr>
            <w:tcW w:w="563" w:type="pct"/>
            <w:tcBorders>
              <w:top w:val="nil"/>
              <w:left w:val="nil"/>
              <w:bottom w:val="nil"/>
              <w:right w:val="nil"/>
            </w:tcBorders>
            <w:noWrap/>
            <w:vAlign w:val="bottom"/>
            <w:hideMark/>
          </w:tcPr>
          <w:p w14:paraId="209D7092"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w:t>
            </w:r>
          </w:p>
        </w:tc>
        <w:tc>
          <w:tcPr>
            <w:tcW w:w="560" w:type="pct"/>
            <w:tcBorders>
              <w:top w:val="nil"/>
              <w:left w:val="nil"/>
              <w:bottom w:val="nil"/>
              <w:right w:val="nil"/>
            </w:tcBorders>
            <w:noWrap/>
            <w:vAlign w:val="bottom"/>
            <w:hideMark/>
          </w:tcPr>
          <w:p w14:paraId="52F45779"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7</w:t>
            </w:r>
          </w:p>
        </w:tc>
      </w:tr>
      <w:tr w:rsidR="00F21E04" w:rsidRPr="00A5525F" w14:paraId="21DE16F4" w14:textId="77777777" w:rsidTr="008B1304">
        <w:trPr>
          <w:trHeight w:val="20"/>
        </w:trPr>
        <w:tc>
          <w:tcPr>
            <w:tcW w:w="703" w:type="pct"/>
            <w:vMerge/>
            <w:tcBorders>
              <w:top w:val="nil"/>
              <w:left w:val="nil"/>
              <w:bottom w:val="nil"/>
              <w:right w:val="nil"/>
            </w:tcBorders>
            <w:vAlign w:val="center"/>
            <w:hideMark/>
          </w:tcPr>
          <w:p w14:paraId="7C4672D9" w14:textId="77777777" w:rsidR="00F21E04" w:rsidRPr="00A5525F" w:rsidRDefault="00F21E04" w:rsidP="00DF5ACF">
            <w:pPr>
              <w:rPr>
                <w:rFonts w:ascii="Arial" w:hAnsi="Arial" w:cs="Arial"/>
                <w:color w:val="000000"/>
                <w:sz w:val="20"/>
                <w:lang w:val="en-GB"/>
              </w:rPr>
            </w:pPr>
          </w:p>
        </w:tc>
        <w:tc>
          <w:tcPr>
            <w:tcW w:w="684" w:type="pct"/>
            <w:tcBorders>
              <w:top w:val="nil"/>
              <w:left w:val="nil"/>
              <w:bottom w:val="nil"/>
              <w:right w:val="nil"/>
            </w:tcBorders>
            <w:noWrap/>
            <w:hideMark/>
          </w:tcPr>
          <w:p w14:paraId="35B0F57B"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25.00%</w:t>
            </w:r>
          </w:p>
        </w:tc>
        <w:tc>
          <w:tcPr>
            <w:tcW w:w="670" w:type="pct"/>
            <w:tcBorders>
              <w:top w:val="nil"/>
              <w:left w:val="nil"/>
              <w:bottom w:val="nil"/>
              <w:right w:val="nil"/>
            </w:tcBorders>
            <w:noWrap/>
            <w:hideMark/>
          </w:tcPr>
          <w:p w14:paraId="60C649D2"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100.00%</w:t>
            </w:r>
          </w:p>
        </w:tc>
        <w:tc>
          <w:tcPr>
            <w:tcW w:w="552" w:type="pct"/>
            <w:tcBorders>
              <w:top w:val="nil"/>
              <w:left w:val="nil"/>
              <w:bottom w:val="nil"/>
              <w:right w:val="nil"/>
            </w:tcBorders>
            <w:noWrap/>
            <w:hideMark/>
          </w:tcPr>
          <w:p w14:paraId="320AEAD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78.57%</w:t>
            </w:r>
          </w:p>
        </w:tc>
        <w:tc>
          <w:tcPr>
            <w:tcW w:w="584" w:type="pct"/>
            <w:tcBorders>
              <w:top w:val="nil"/>
              <w:left w:val="nil"/>
              <w:bottom w:val="nil"/>
              <w:right w:val="nil"/>
            </w:tcBorders>
            <w:noWrap/>
            <w:hideMark/>
          </w:tcPr>
          <w:p w14:paraId="67DFDCA5"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54.55%</w:t>
            </w:r>
          </w:p>
        </w:tc>
        <w:tc>
          <w:tcPr>
            <w:tcW w:w="684" w:type="pct"/>
            <w:tcBorders>
              <w:top w:val="nil"/>
              <w:left w:val="nil"/>
              <w:bottom w:val="nil"/>
              <w:right w:val="nil"/>
            </w:tcBorders>
            <w:noWrap/>
            <w:hideMark/>
          </w:tcPr>
          <w:p w14:paraId="12209C08"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58.33%</w:t>
            </w:r>
          </w:p>
        </w:tc>
        <w:tc>
          <w:tcPr>
            <w:tcW w:w="563" w:type="pct"/>
            <w:tcBorders>
              <w:top w:val="nil"/>
              <w:left w:val="nil"/>
              <w:bottom w:val="nil"/>
              <w:right w:val="nil"/>
            </w:tcBorders>
            <w:noWrap/>
            <w:hideMark/>
          </w:tcPr>
          <w:p w14:paraId="080E9C93"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100.00%</w:t>
            </w:r>
          </w:p>
        </w:tc>
        <w:tc>
          <w:tcPr>
            <w:tcW w:w="560" w:type="pct"/>
            <w:tcBorders>
              <w:top w:val="nil"/>
              <w:left w:val="nil"/>
              <w:bottom w:val="nil"/>
              <w:right w:val="nil"/>
            </w:tcBorders>
            <w:noWrap/>
            <w:hideMark/>
          </w:tcPr>
          <w:p w14:paraId="339979B0"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42.86%</w:t>
            </w:r>
          </w:p>
        </w:tc>
      </w:tr>
      <w:tr w:rsidR="00F21E04" w:rsidRPr="00A5525F" w14:paraId="7F2654A9" w14:textId="77777777" w:rsidTr="008B1304">
        <w:trPr>
          <w:trHeight w:val="20"/>
        </w:trPr>
        <w:tc>
          <w:tcPr>
            <w:tcW w:w="703" w:type="pct"/>
            <w:vMerge w:val="restart"/>
            <w:tcBorders>
              <w:top w:val="nil"/>
              <w:left w:val="nil"/>
              <w:bottom w:val="nil"/>
              <w:right w:val="nil"/>
            </w:tcBorders>
            <w:noWrap/>
            <w:vAlign w:val="center"/>
            <w:hideMark/>
          </w:tcPr>
          <w:p w14:paraId="60234317"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Thailand</w:t>
            </w:r>
          </w:p>
        </w:tc>
        <w:tc>
          <w:tcPr>
            <w:tcW w:w="684" w:type="pct"/>
            <w:tcBorders>
              <w:top w:val="nil"/>
              <w:left w:val="nil"/>
              <w:bottom w:val="nil"/>
              <w:right w:val="nil"/>
            </w:tcBorders>
            <w:noWrap/>
            <w:vAlign w:val="bottom"/>
            <w:hideMark/>
          </w:tcPr>
          <w:p w14:paraId="43D1A8E4"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57</w:t>
            </w:r>
          </w:p>
        </w:tc>
        <w:tc>
          <w:tcPr>
            <w:tcW w:w="670" w:type="pct"/>
            <w:tcBorders>
              <w:top w:val="nil"/>
              <w:left w:val="nil"/>
              <w:bottom w:val="nil"/>
              <w:right w:val="nil"/>
            </w:tcBorders>
            <w:noWrap/>
            <w:vAlign w:val="bottom"/>
            <w:hideMark/>
          </w:tcPr>
          <w:p w14:paraId="5D48FD01"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15</w:t>
            </w:r>
          </w:p>
        </w:tc>
        <w:tc>
          <w:tcPr>
            <w:tcW w:w="552" w:type="pct"/>
            <w:tcBorders>
              <w:top w:val="nil"/>
              <w:left w:val="nil"/>
              <w:bottom w:val="nil"/>
              <w:right w:val="nil"/>
            </w:tcBorders>
            <w:noWrap/>
            <w:vAlign w:val="bottom"/>
            <w:hideMark/>
          </w:tcPr>
          <w:p w14:paraId="541F08D2"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w:t>
            </w:r>
          </w:p>
        </w:tc>
        <w:tc>
          <w:tcPr>
            <w:tcW w:w="584" w:type="pct"/>
            <w:tcBorders>
              <w:top w:val="nil"/>
              <w:left w:val="nil"/>
              <w:bottom w:val="nil"/>
              <w:right w:val="nil"/>
            </w:tcBorders>
            <w:noWrap/>
            <w:vAlign w:val="bottom"/>
            <w:hideMark/>
          </w:tcPr>
          <w:p w14:paraId="45A24AFD"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10</w:t>
            </w:r>
          </w:p>
        </w:tc>
        <w:tc>
          <w:tcPr>
            <w:tcW w:w="684" w:type="pct"/>
            <w:tcBorders>
              <w:top w:val="nil"/>
              <w:left w:val="nil"/>
              <w:bottom w:val="nil"/>
              <w:right w:val="nil"/>
            </w:tcBorders>
            <w:noWrap/>
            <w:vAlign w:val="bottom"/>
            <w:hideMark/>
          </w:tcPr>
          <w:p w14:paraId="7E23988F"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149</w:t>
            </w:r>
          </w:p>
        </w:tc>
        <w:tc>
          <w:tcPr>
            <w:tcW w:w="563" w:type="pct"/>
            <w:tcBorders>
              <w:top w:val="nil"/>
              <w:left w:val="nil"/>
              <w:bottom w:val="nil"/>
              <w:right w:val="nil"/>
            </w:tcBorders>
            <w:noWrap/>
            <w:vAlign w:val="bottom"/>
            <w:hideMark/>
          </w:tcPr>
          <w:p w14:paraId="36A09F2F"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28</w:t>
            </w:r>
          </w:p>
        </w:tc>
        <w:tc>
          <w:tcPr>
            <w:tcW w:w="560" w:type="pct"/>
            <w:tcBorders>
              <w:top w:val="nil"/>
              <w:left w:val="nil"/>
              <w:bottom w:val="nil"/>
              <w:right w:val="nil"/>
            </w:tcBorders>
            <w:noWrap/>
            <w:vAlign w:val="bottom"/>
            <w:hideMark/>
          </w:tcPr>
          <w:p w14:paraId="4B07A3D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w:t>
            </w:r>
          </w:p>
        </w:tc>
      </w:tr>
      <w:tr w:rsidR="00F21E04" w:rsidRPr="00A5525F" w14:paraId="3073E8B5" w14:textId="77777777" w:rsidTr="008B1304">
        <w:trPr>
          <w:trHeight w:val="20"/>
        </w:trPr>
        <w:tc>
          <w:tcPr>
            <w:tcW w:w="703" w:type="pct"/>
            <w:vMerge/>
            <w:tcBorders>
              <w:top w:val="nil"/>
              <w:left w:val="nil"/>
              <w:bottom w:val="nil"/>
              <w:right w:val="nil"/>
            </w:tcBorders>
            <w:vAlign w:val="center"/>
            <w:hideMark/>
          </w:tcPr>
          <w:p w14:paraId="7C8ACF80" w14:textId="77777777" w:rsidR="00F21E04" w:rsidRPr="00A5525F" w:rsidRDefault="00F21E04" w:rsidP="00DF5ACF">
            <w:pPr>
              <w:rPr>
                <w:rFonts w:ascii="Arial" w:hAnsi="Arial" w:cs="Arial"/>
                <w:color w:val="000000"/>
                <w:sz w:val="20"/>
                <w:lang w:val="en-GB"/>
              </w:rPr>
            </w:pPr>
          </w:p>
        </w:tc>
        <w:tc>
          <w:tcPr>
            <w:tcW w:w="684" w:type="pct"/>
            <w:tcBorders>
              <w:top w:val="nil"/>
              <w:left w:val="nil"/>
              <w:bottom w:val="nil"/>
              <w:right w:val="nil"/>
            </w:tcBorders>
            <w:noWrap/>
            <w:hideMark/>
          </w:tcPr>
          <w:p w14:paraId="7447684B"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47.37%</w:t>
            </w:r>
          </w:p>
        </w:tc>
        <w:tc>
          <w:tcPr>
            <w:tcW w:w="670" w:type="pct"/>
            <w:tcBorders>
              <w:top w:val="nil"/>
              <w:left w:val="nil"/>
              <w:bottom w:val="nil"/>
              <w:right w:val="nil"/>
            </w:tcBorders>
            <w:noWrap/>
            <w:hideMark/>
          </w:tcPr>
          <w:p w14:paraId="7278FCC1"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26.67%</w:t>
            </w:r>
          </w:p>
        </w:tc>
        <w:tc>
          <w:tcPr>
            <w:tcW w:w="552" w:type="pct"/>
            <w:tcBorders>
              <w:top w:val="nil"/>
              <w:left w:val="nil"/>
              <w:bottom w:val="nil"/>
              <w:right w:val="nil"/>
            </w:tcBorders>
            <w:noWrap/>
            <w:hideMark/>
          </w:tcPr>
          <w:p w14:paraId="26856D87"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50.00%</w:t>
            </w:r>
          </w:p>
        </w:tc>
        <w:tc>
          <w:tcPr>
            <w:tcW w:w="584" w:type="pct"/>
            <w:tcBorders>
              <w:top w:val="nil"/>
              <w:left w:val="nil"/>
              <w:bottom w:val="nil"/>
              <w:right w:val="nil"/>
            </w:tcBorders>
            <w:noWrap/>
            <w:hideMark/>
          </w:tcPr>
          <w:p w14:paraId="67C79FCB"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60.00%</w:t>
            </w:r>
          </w:p>
        </w:tc>
        <w:tc>
          <w:tcPr>
            <w:tcW w:w="684" w:type="pct"/>
            <w:tcBorders>
              <w:top w:val="nil"/>
              <w:left w:val="nil"/>
              <w:bottom w:val="nil"/>
              <w:right w:val="nil"/>
            </w:tcBorders>
            <w:noWrap/>
            <w:hideMark/>
          </w:tcPr>
          <w:p w14:paraId="704A211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50.34%</w:t>
            </w:r>
          </w:p>
        </w:tc>
        <w:tc>
          <w:tcPr>
            <w:tcW w:w="563" w:type="pct"/>
            <w:tcBorders>
              <w:top w:val="nil"/>
              <w:left w:val="nil"/>
              <w:bottom w:val="nil"/>
              <w:right w:val="nil"/>
            </w:tcBorders>
            <w:noWrap/>
            <w:hideMark/>
          </w:tcPr>
          <w:p w14:paraId="66E429DF"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100.00%</w:t>
            </w:r>
          </w:p>
        </w:tc>
        <w:tc>
          <w:tcPr>
            <w:tcW w:w="560" w:type="pct"/>
            <w:tcBorders>
              <w:top w:val="nil"/>
              <w:left w:val="nil"/>
              <w:bottom w:val="nil"/>
              <w:right w:val="nil"/>
            </w:tcBorders>
            <w:noWrap/>
            <w:hideMark/>
          </w:tcPr>
          <w:p w14:paraId="5A274AF8"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60.00%</w:t>
            </w:r>
          </w:p>
        </w:tc>
      </w:tr>
      <w:tr w:rsidR="00F21E04" w:rsidRPr="00A5525F" w14:paraId="61850FF7" w14:textId="77777777" w:rsidTr="008B1304">
        <w:trPr>
          <w:trHeight w:val="20"/>
        </w:trPr>
        <w:tc>
          <w:tcPr>
            <w:tcW w:w="703" w:type="pct"/>
            <w:vMerge w:val="restart"/>
            <w:tcBorders>
              <w:top w:val="nil"/>
              <w:left w:val="nil"/>
              <w:bottom w:val="single" w:sz="4" w:space="0" w:color="000000"/>
              <w:right w:val="nil"/>
            </w:tcBorders>
            <w:noWrap/>
            <w:vAlign w:val="center"/>
            <w:hideMark/>
          </w:tcPr>
          <w:p w14:paraId="69B32EB5" w14:textId="77777777" w:rsidR="00F21E04" w:rsidRPr="00A5525F" w:rsidRDefault="00F21E04" w:rsidP="00DF5ACF">
            <w:pPr>
              <w:jc w:val="center"/>
              <w:rPr>
                <w:rFonts w:ascii="Arial" w:hAnsi="Arial" w:cs="Arial"/>
                <w:color w:val="000000"/>
                <w:sz w:val="20"/>
                <w:lang w:val="en-GB"/>
              </w:rPr>
            </w:pPr>
            <w:r w:rsidRPr="00A5525F">
              <w:rPr>
                <w:rFonts w:ascii="Arial" w:hAnsi="Arial" w:cs="Arial"/>
                <w:color w:val="000000"/>
                <w:sz w:val="20"/>
                <w:lang w:val="en-GB"/>
              </w:rPr>
              <w:t>Vietnam</w:t>
            </w:r>
          </w:p>
        </w:tc>
        <w:tc>
          <w:tcPr>
            <w:tcW w:w="684" w:type="pct"/>
            <w:tcBorders>
              <w:top w:val="nil"/>
              <w:left w:val="nil"/>
              <w:bottom w:val="nil"/>
              <w:right w:val="nil"/>
            </w:tcBorders>
            <w:noWrap/>
            <w:vAlign w:val="bottom"/>
            <w:hideMark/>
          </w:tcPr>
          <w:p w14:paraId="1A13D67C"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25</w:t>
            </w:r>
          </w:p>
        </w:tc>
        <w:tc>
          <w:tcPr>
            <w:tcW w:w="670" w:type="pct"/>
            <w:tcBorders>
              <w:top w:val="nil"/>
              <w:left w:val="nil"/>
              <w:bottom w:val="nil"/>
              <w:right w:val="nil"/>
            </w:tcBorders>
            <w:noWrap/>
            <w:vAlign w:val="bottom"/>
            <w:hideMark/>
          </w:tcPr>
          <w:p w14:paraId="061808C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5</w:t>
            </w:r>
          </w:p>
        </w:tc>
        <w:tc>
          <w:tcPr>
            <w:tcW w:w="552" w:type="pct"/>
            <w:tcBorders>
              <w:top w:val="nil"/>
              <w:left w:val="nil"/>
              <w:bottom w:val="nil"/>
              <w:right w:val="nil"/>
            </w:tcBorders>
            <w:noWrap/>
            <w:vAlign w:val="bottom"/>
            <w:hideMark/>
          </w:tcPr>
          <w:p w14:paraId="63155078"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227</w:t>
            </w:r>
          </w:p>
        </w:tc>
        <w:tc>
          <w:tcPr>
            <w:tcW w:w="584" w:type="pct"/>
            <w:tcBorders>
              <w:top w:val="nil"/>
              <w:left w:val="nil"/>
              <w:bottom w:val="nil"/>
              <w:right w:val="nil"/>
            </w:tcBorders>
            <w:noWrap/>
            <w:vAlign w:val="bottom"/>
            <w:hideMark/>
          </w:tcPr>
          <w:p w14:paraId="43BD02CE"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8</w:t>
            </w:r>
          </w:p>
        </w:tc>
        <w:tc>
          <w:tcPr>
            <w:tcW w:w="684" w:type="pct"/>
            <w:tcBorders>
              <w:top w:val="nil"/>
              <w:left w:val="nil"/>
              <w:bottom w:val="nil"/>
              <w:right w:val="nil"/>
            </w:tcBorders>
            <w:noWrap/>
            <w:vAlign w:val="bottom"/>
            <w:hideMark/>
          </w:tcPr>
          <w:p w14:paraId="4521724D"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33</w:t>
            </w:r>
          </w:p>
        </w:tc>
        <w:tc>
          <w:tcPr>
            <w:tcW w:w="563" w:type="pct"/>
            <w:tcBorders>
              <w:top w:val="nil"/>
              <w:left w:val="nil"/>
              <w:bottom w:val="nil"/>
              <w:right w:val="nil"/>
            </w:tcBorders>
            <w:noWrap/>
            <w:vAlign w:val="bottom"/>
            <w:hideMark/>
          </w:tcPr>
          <w:p w14:paraId="2F2AC92B"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9</w:t>
            </w:r>
          </w:p>
        </w:tc>
        <w:tc>
          <w:tcPr>
            <w:tcW w:w="560" w:type="pct"/>
            <w:tcBorders>
              <w:top w:val="nil"/>
              <w:left w:val="nil"/>
              <w:bottom w:val="nil"/>
              <w:right w:val="nil"/>
            </w:tcBorders>
            <w:noWrap/>
            <w:vAlign w:val="bottom"/>
            <w:hideMark/>
          </w:tcPr>
          <w:p w14:paraId="17743E41"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7</w:t>
            </w:r>
          </w:p>
        </w:tc>
      </w:tr>
      <w:tr w:rsidR="00F21E04" w:rsidRPr="00A5525F" w14:paraId="3C513AA2" w14:textId="77777777" w:rsidTr="008B1304">
        <w:trPr>
          <w:trHeight w:val="20"/>
        </w:trPr>
        <w:tc>
          <w:tcPr>
            <w:tcW w:w="703" w:type="pct"/>
            <w:vMerge/>
            <w:tcBorders>
              <w:top w:val="nil"/>
              <w:left w:val="nil"/>
              <w:bottom w:val="single" w:sz="4" w:space="0" w:color="000000"/>
              <w:right w:val="nil"/>
            </w:tcBorders>
            <w:vAlign w:val="center"/>
            <w:hideMark/>
          </w:tcPr>
          <w:p w14:paraId="48C25417" w14:textId="77777777" w:rsidR="00F21E04" w:rsidRPr="00A5525F" w:rsidRDefault="00F21E04" w:rsidP="00DF5ACF">
            <w:pPr>
              <w:rPr>
                <w:rFonts w:ascii="Arial" w:hAnsi="Arial" w:cs="Arial"/>
                <w:b/>
                <w:bCs/>
                <w:color w:val="000000"/>
                <w:sz w:val="20"/>
                <w:lang w:val="en-GB"/>
              </w:rPr>
            </w:pPr>
          </w:p>
        </w:tc>
        <w:tc>
          <w:tcPr>
            <w:tcW w:w="684" w:type="pct"/>
            <w:tcBorders>
              <w:top w:val="nil"/>
              <w:left w:val="nil"/>
              <w:bottom w:val="single" w:sz="4" w:space="0" w:color="auto"/>
              <w:right w:val="nil"/>
            </w:tcBorders>
            <w:noWrap/>
            <w:hideMark/>
          </w:tcPr>
          <w:p w14:paraId="6220DCA1"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72.00%</w:t>
            </w:r>
          </w:p>
        </w:tc>
        <w:tc>
          <w:tcPr>
            <w:tcW w:w="670" w:type="pct"/>
            <w:tcBorders>
              <w:top w:val="nil"/>
              <w:left w:val="nil"/>
              <w:bottom w:val="single" w:sz="4" w:space="0" w:color="auto"/>
              <w:right w:val="nil"/>
            </w:tcBorders>
            <w:noWrap/>
            <w:hideMark/>
          </w:tcPr>
          <w:p w14:paraId="21BD0A5F"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40.00%</w:t>
            </w:r>
          </w:p>
        </w:tc>
        <w:tc>
          <w:tcPr>
            <w:tcW w:w="552" w:type="pct"/>
            <w:tcBorders>
              <w:top w:val="nil"/>
              <w:left w:val="nil"/>
              <w:bottom w:val="single" w:sz="4" w:space="0" w:color="auto"/>
              <w:right w:val="nil"/>
            </w:tcBorders>
            <w:noWrap/>
            <w:hideMark/>
          </w:tcPr>
          <w:p w14:paraId="6C4397FB"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89.43%</w:t>
            </w:r>
          </w:p>
        </w:tc>
        <w:tc>
          <w:tcPr>
            <w:tcW w:w="584" w:type="pct"/>
            <w:tcBorders>
              <w:top w:val="nil"/>
              <w:left w:val="nil"/>
              <w:bottom w:val="single" w:sz="4" w:space="0" w:color="auto"/>
              <w:right w:val="nil"/>
            </w:tcBorders>
            <w:noWrap/>
            <w:hideMark/>
          </w:tcPr>
          <w:p w14:paraId="782A5E3C"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87.50%</w:t>
            </w:r>
          </w:p>
        </w:tc>
        <w:tc>
          <w:tcPr>
            <w:tcW w:w="684" w:type="pct"/>
            <w:tcBorders>
              <w:top w:val="nil"/>
              <w:left w:val="nil"/>
              <w:bottom w:val="single" w:sz="4" w:space="0" w:color="auto"/>
              <w:right w:val="nil"/>
            </w:tcBorders>
            <w:noWrap/>
            <w:hideMark/>
          </w:tcPr>
          <w:p w14:paraId="0C6E0CC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69.70%</w:t>
            </w:r>
          </w:p>
        </w:tc>
        <w:tc>
          <w:tcPr>
            <w:tcW w:w="563" w:type="pct"/>
            <w:tcBorders>
              <w:top w:val="nil"/>
              <w:left w:val="nil"/>
              <w:bottom w:val="single" w:sz="4" w:space="0" w:color="auto"/>
              <w:right w:val="nil"/>
            </w:tcBorders>
            <w:noWrap/>
            <w:hideMark/>
          </w:tcPr>
          <w:p w14:paraId="74ECCDD6"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44.44%</w:t>
            </w:r>
          </w:p>
        </w:tc>
        <w:tc>
          <w:tcPr>
            <w:tcW w:w="560" w:type="pct"/>
            <w:tcBorders>
              <w:top w:val="nil"/>
              <w:left w:val="nil"/>
              <w:bottom w:val="single" w:sz="4" w:space="0" w:color="auto"/>
              <w:right w:val="nil"/>
            </w:tcBorders>
            <w:noWrap/>
            <w:hideMark/>
          </w:tcPr>
          <w:p w14:paraId="3BA176A4" w14:textId="77777777" w:rsidR="00F21E04" w:rsidRPr="00A5525F" w:rsidRDefault="00F21E04" w:rsidP="00DF5ACF">
            <w:pPr>
              <w:jc w:val="center"/>
              <w:rPr>
                <w:rFonts w:ascii="Arial" w:hAnsi="Arial" w:cs="Arial"/>
                <w:color w:val="000000" w:themeColor="text1"/>
                <w:sz w:val="20"/>
                <w:lang w:val="en-GB"/>
              </w:rPr>
            </w:pPr>
            <w:r w:rsidRPr="00A5525F">
              <w:rPr>
                <w:rFonts w:ascii="Arial" w:hAnsi="Arial" w:cs="Arial"/>
                <w:color w:val="000000" w:themeColor="text1"/>
                <w:sz w:val="20"/>
                <w:lang w:val="en-GB"/>
              </w:rPr>
              <w:t>85.71%</w:t>
            </w:r>
          </w:p>
        </w:tc>
      </w:tr>
    </w:tbl>
    <w:p w14:paraId="341D5E3D" w14:textId="02E88B90" w:rsidR="00C82A97" w:rsidRPr="00FD5114" w:rsidRDefault="00C82A97" w:rsidP="004D1CF7">
      <w:pPr>
        <w:pStyle w:val="SMcaption"/>
        <w:rPr>
          <w:rFonts w:ascii="Arial" w:hAnsi="Arial" w:cs="Arial"/>
          <w:sz w:val="20"/>
          <w:lang w:val="en-GB"/>
        </w:rPr>
      </w:pPr>
      <w:bookmarkStart w:id="312" w:name="OLE_LINK1"/>
      <w:r w:rsidRPr="00FD5114">
        <w:rPr>
          <w:rFonts w:ascii="Arial" w:hAnsi="Arial" w:cs="Arial"/>
          <w:sz w:val="20"/>
          <w:lang w:val="en-GB"/>
        </w:rPr>
        <w:t xml:space="preserve">Notes: The table only shows </w:t>
      </w:r>
      <w:r w:rsidR="00A06CA4" w:rsidRPr="00FD5114">
        <w:rPr>
          <w:rFonts w:ascii="Arial" w:hAnsi="Arial" w:cs="Arial"/>
          <w:sz w:val="20"/>
          <w:lang w:val="en-GB"/>
        </w:rPr>
        <w:t xml:space="preserve">host </w:t>
      </w:r>
      <w:r w:rsidRPr="00FD5114">
        <w:rPr>
          <w:rFonts w:ascii="Arial" w:hAnsi="Arial" w:cs="Arial"/>
          <w:sz w:val="20"/>
          <w:lang w:val="en-GB"/>
        </w:rPr>
        <w:t>countries with more than 200 projects. To ensure data representation and sample size, we use the bold font here for the categories whose observations are over 1000, which can be used for our model construction and parameter calibration later.</w:t>
      </w:r>
    </w:p>
    <w:bookmarkEnd w:id="312"/>
    <w:p w14:paraId="6D0F3239" w14:textId="5CBF5046" w:rsidR="008E1C17" w:rsidRPr="00FD5114" w:rsidRDefault="008E1C17" w:rsidP="00256C79">
      <w:pPr>
        <w:spacing w:line="276" w:lineRule="auto"/>
        <w:rPr>
          <w:rFonts w:ascii="Arial" w:hAnsi="Arial" w:cs="Arial"/>
          <w:sz w:val="21"/>
          <w:szCs w:val="21"/>
          <w:lang w:val="en-GB" w:eastAsia="zh-CN"/>
        </w:rPr>
      </w:pPr>
      <w:r w:rsidRPr="00FD5114">
        <w:rPr>
          <w:rFonts w:ascii="Arial" w:hAnsi="Arial" w:cs="Arial"/>
          <w:sz w:val="21"/>
          <w:szCs w:val="21"/>
          <w:lang w:val="en-GB" w:eastAsia="zh-CN"/>
        </w:rPr>
        <w:br w:type="page"/>
      </w:r>
    </w:p>
    <w:p w14:paraId="35D28455" w14:textId="10E9810D" w:rsidR="00BE6A51" w:rsidRPr="00D16AB0" w:rsidRDefault="00BE6A51" w:rsidP="00E038FA">
      <w:pPr>
        <w:pStyle w:val="SMSubheading"/>
        <w:spacing w:beforeLines="50" w:before="120" w:line="276" w:lineRule="auto"/>
        <w:rPr>
          <w:rFonts w:ascii="Arial" w:hAnsi="Arial" w:cs="Arial"/>
          <w:b/>
          <w:bCs/>
          <w:sz w:val="21"/>
          <w:szCs w:val="21"/>
          <w:u w:val="none"/>
          <w:lang w:val="en-GB"/>
        </w:rPr>
      </w:pPr>
      <w:bookmarkStart w:id="313" w:name="_Toc214982049"/>
      <w:bookmarkStart w:id="314" w:name="_Toc214984273"/>
      <w:bookmarkStart w:id="315" w:name="_Toc214984299"/>
      <w:bookmarkStart w:id="316" w:name="_Toc214984969"/>
      <w:bookmarkStart w:id="317" w:name="_Toc214985858"/>
      <w:bookmarkStart w:id="318" w:name="_Toc214987000"/>
      <w:r w:rsidRPr="00D16AB0">
        <w:rPr>
          <w:rFonts w:ascii="Arial" w:hAnsi="Arial" w:cs="Arial"/>
          <w:b/>
          <w:bCs/>
          <w:sz w:val="21"/>
          <w:szCs w:val="21"/>
          <w:u w:val="none"/>
          <w:lang w:val="en-GB"/>
        </w:rPr>
        <w:lastRenderedPageBreak/>
        <w:t xml:space="preserve">Table </w:t>
      </w:r>
      <w:r w:rsidR="00F27CBB">
        <w:rPr>
          <w:rFonts w:ascii="Arial" w:hAnsi="Arial" w:cs="Arial"/>
          <w:b/>
          <w:bCs/>
          <w:sz w:val="21"/>
          <w:szCs w:val="21"/>
          <w:u w:val="none"/>
          <w:lang w:val="en-GB"/>
        </w:rPr>
        <w:t>8</w:t>
      </w:r>
      <w:r w:rsidRPr="00D16AB0">
        <w:rPr>
          <w:rFonts w:ascii="Arial" w:hAnsi="Arial" w:cs="Arial"/>
          <w:b/>
          <w:bCs/>
          <w:sz w:val="21"/>
          <w:szCs w:val="21"/>
          <w:u w:val="none"/>
          <w:lang w:val="en-GB"/>
        </w:rPr>
        <w:t>. The number of VCM projects and registration rate</w:t>
      </w:r>
      <w:r w:rsidR="00165641" w:rsidRPr="00D16AB0">
        <w:rPr>
          <w:rFonts w:ascii="Arial" w:hAnsi="Arial" w:cs="Arial"/>
          <w:b/>
          <w:bCs/>
          <w:sz w:val="21"/>
          <w:szCs w:val="21"/>
          <w:u w:val="none"/>
          <w:lang w:val="en-GB"/>
        </w:rPr>
        <w:t>s</w:t>
      </w:r>
      <w:r w:rsidRPr="00D16AB0">
        <w:rPr>
          <w:rFonts w:ascii="Arial" w:hAnsi="Arial" w:cs="Arial"/>
          <w:b/>
          <w:bCs/>
          <w:sz w:val="21"/>
          <w:szCs w:val="21"/>
          <w:u w:val="none"/>
          <w:lang w:val="en-GB"/>
        </w:rPr>
        <w:t xml:space="preserve"> by host country and project type</w:t>
      </w:r>
      <w:bookmarkEnd w:id="313"/>
      <w:bookmarkEnd w:id="314"/>
      <w:bookmarkEnd w:id="315"/>
      <w:bookmarkEnd w:id="316"/>
      <w:bookmarkEnd w:id="317"/>
      <w:bookmarkEnd w:id="318"/>
    </w:p>
    <w:tbl>
      <w:tblPr>
        <w:tblW w:w="9482" w:type="dxa"/>
        <w:tblInd w:w="-142" w:type="dxa"/>
        <w:tblLayout w:type="fixed"/>
        <w:tblLook w:val="04A0" w:firstRow="1" w:lastRow="0" w:firstColumn="1" w:lastColumn="0" w:noHBand="0" w:noVBand="1"/>
      </w:tblPr>
      <w:tblGrid>
        <w:gridCol w:w="1276"/>
        <w:gridCol w:w="1640"/>
        <w:gridCol w:w="584"/>
        <w:gridCol w:w="1022"/>
        <w:gridCol w:w="1459"/>
        <w:gridCol w:w="1752"/>
        <w:gridCol w:w="730"/>
        <w:gridCol w:w="1019"/>
      </w:tblGrid>
      <w:tr w:rsidR="007318B1" w:rsidRPr="00F96FB7" w14:paraId="0B0B4B96" w14:textId="77777777" w:rsidTr="008955E4">
        <w:trPr>
          <w:trHeight w:val="227"/>
        </w:trPr>
        <w:tc>
          <w:tcPr>
            <w:tcW w:w="1276" w:type="dxa"/>
            <w:tcBorders>
              <w:top w:val="single" w:sz="4" w:space="0" w:color="auto"/>
              <w:left w:val="nil"/>
              <w:bottom w:val="single" w:sz="4" w:space="0" w:color="auto"/>
              <w:right w:val="nil"/>
            </w:tcBorders>
            <w:noWrap/>
            <w:vAlign w:val="center"/>
            <w:hideMark/>
          </w:tcPr>
          <w:p w14:paraId="29306E83" w14:textId="77777777" w:rsidR="007318B1" w:rsidRPr="00F96FB7" w:rsidRDefault="007318B1" w:rsidP="00F86EA8">
            <w:pPr>
              <w:jc w:val="center"/>
              <w:rPr>
                <w:rFonts w:ascii="Arial" w:hAnsi="Arial" w:cs="Arial"/>
                <w:b/>
                <w:bCs/>
                <w:color w:val="000000"/>
                <w:sz w:val="20"/>
                <w:lang w:val="en-GB"/>
              </w:rPr>
            </w:pPr>
            <w:r w:rsidRPr="00F96FB7">
              <w:rPr>
                <w:rFonts w:ascii="Arial" w:hAnsi="Arial" w:cs="Arial"/>
                <w:b/>
                <w:bCs/>
                <w:color w:val="000000"/>
                <w:sz w:val="20"/>
                <w:lang w:val="en-GB"/>
              </w:rPr>
              <w:t>Host Country</w:t>
            </w:r>
          </w:p>
        </w:tc>
        <w:tc>
          <w:tcPr>
            <w:tcW w:w="1640" w:type="dxa"/>
            <w:tcBorders>
              <w:top w:val="single" w:sz="4" w:space="0" w:color="auto"/>
              <w:left w:val="nil"/>
              <w:bottom w:val="single" w:sz="4" w:space="0" w:color="auto"/>
              <w:right w:val="nil"/>
            </w:tcBorders>
            <w:noWrap/>
            <w:vAlign w:val="center"/>
            <w:hideMark/>
          </w:tcPr>
          <w:p w14:paraId="420C704E" w14:textId="77777777" w:rsidR="007318B1" w:rsidRPr="00F96FB7" w:rsidRDefault="007318B1" w:rsidP="00F86EA8">
            <w:pPr>
              <w:jc w:val="center"/>
              <w:rPr>
                <w:rFonts w:ascii="Arial" w:hAnsi="Arial" w:cs="Arial"/>
                <w:b/>
                <w:bCs/>
                <w:color w:val="000000"/>
                <w:sz w:val="20"/>
                <w:lang w:val="en-GB"/>
              </w:rPr>
            </w:pPr>
            <w:r w:rsidRPr="00F96FB7">
              <w:rPr>
                <w:rFonts w:ascii="Arial" w:hAnsi="Arial" w:cs="Arial"/>
                <w:b/>
                <w:bCs/>
                <w:color w:val="000000"/>
                <w:sz w:val="20"/>
                <w:lang w:val="en-GB"/>
              </w:rPr>
              <w:t>Project Type</w:t>
            </w:r>
          </w:p>
        </w:tc>
        <w:tc>
          <w:tcPr>
            <w:tcW w:w="584" w:type="dxa"/>
            <w:tcBorders>
              <w:top w:val="single" w:sz="4" w:space="0" w:color="auto"/>
              <w:left w:val="nil"/>
              <w:bottom w:val="single" w:sz="4" w:space="0" w:color="auto"/>
              <w:right w:val="nil"/>
            </w:tcBorders>
            <w:noWrap/>
            <w:vAlign w:val="center"/>
            <w:hideMark/>
          </w:tcPr>
          <w:p w14:paraId="723D3C92" w14:textId="77777777" w:rsidR="007318B1" w:rsidRPr="00F96FB7" w:rsidRDefault="007318B1" w:rsidP="00F86EA8">
            <w:pPr>
              <w:jc w:val="center"/>
              <w:rPr>
                <w:rFonts w:ascii="Arial" w:hAnsi="Arial" w:cs="Arial"/>
                <w:b/>
                <w:bCs/>
                <w:color w:val="000000"/>
                <w:sz w:val="20"/>
                <w:lang w:val="en-GB"/>
              </w:rPr>
            </w:pPr>
            <w:r w:rsidRPr="00F96FB7">
              <w:rPr>
                <w:rFonts w:ascii="Arial" w:hAnsi="Arial" w:cs="Arial"/>
                <w:b/>
                <w:bCs/>
                <w:color w:val="000000"/>
                <w:sz w:val="20"/>
                <w:lang w:val="en-GB"/>
              </w:rPr>
              <w:t>N</w:t>
            </w:r>
          </w:p>
        </w:tc>
        <w:tc>
          <w:tcPr>
            <w:tcW w:w="1022" w:type="dxa"/>
            <w:tcBorders>
              <w:top w:val="single" w:sz="4" w:space="0" w:color="auto"/>
              <w:left w:val="nil"/>
              <w:bottom w:val="single" w:sz="4" w:space="0" w:color="auto"/>
              <w:right w:val="nil"/>
            </w:tcBorders>
            <w:noWrap/>
            <w:vAlign w:val="center"/>
            <w:hideMark/>
          </w:tcPr>
          <w:p w14:paraId="32499DE2" w14:textId="77777777" w:rsidR="007318B1" w:rsidRPr="00F96FB7" w:rsidRDefault="007318B1" w:rsidP="00F86EA8">
            <w:pPr>
              <w:jc w:val="center"/>
              <w:rPr>
                <w:rFonts w:ascii="Arial" w:hAnsi="Arial" w:cs="Arial"/>
                <w:b/>
                <w:bCs/>
                <w:color w:val="000000"/>
                <w:sz w:val="20"/>
                <w:lang w:val="en-GB"/>
              </w:rPr>
            </w:pPr>
            <w:proofErr w:type="spellStart"/>
            <w:r w:rsidRPr="00F96FB7">
              <w:rPr>
                <w:rFonts w:ascii="Arial" w:hAnsi="Arial" w:cs="Arial"/>
                <w:b/>
                <w:bCs/>
                <w:color w:val="000000"/>
                <w:sz w:val="20"/>
                <w:lang w:val="en-GB"/>
              </w:rPr>
              <w:t>RRate</w:t>
            </w:r>
            <w:proofErr w:type="spellEnd"/>
          </w:p>
        </w:tc>
        <w:tc>
          <w:tcPr>
            <w:tcW w:w="1459" w:type="dxa"/>
            <w:tcBorders>
              <w:top w:val="single" w:sz="4" w:space="0" w:color="auto"/>
              <w:left w:val="nil"/>
              <w:bottom w:val="single" w:sz="4" w:space="0" w:color="auto"/>
              <w:right w:val="nil"/>
            </w:tcBorders>
            <w:noWrap/>
            <w:vAlign w:val="center"/>
            <w:hideMark/>
          </w:tcPr>
          <w:p w14:paraId="4D3AAFB5" w14:textId="77777777" w:rsidR="007318B1" w:rsidRPr="00F96FB7" w:rsidRDefault="007318B1" w:rsidP="00F86EA8">
            <w:pPr>
              <w:jc w:val="center"/>
              <w:rPr>
                <w:rFonts w:ascii="Arial" w:hAnsi="Arial" w:cs="Arial"/>
                <w:b/>
                <w:bCs/>
                <w:color w:val="000000"/>
                <w:sz w:val="20"/>
                <w:lang w:val="en-GB"/>
              </w:rPr>
            </w:pPr>
            <w:r w:rsidRPr="00F96FB7">
              <w:rPr>
                <w:rFonts w:ascii="Arial" w:hAnsi="Arial" w:cs="Arial"/>
                <w:b/>
                <w:bCs/>
                <w:color w:val="000000"/>
                <w:sz w:val="20"/>
                <w:lang w:val="en-GB"/>
              </w:rPr>
              <w:t>Host Country</w:t>
            </w:r>
          </w:p>
        </w:tc>
        <w:tc>
          <w:tcPr>
            <w:tcW w:w="1752" w:type="dxa"/>
            <w:tcBorders>
              <w:top w:val="single" w:sz="4" w:space="0" w:color="auto"/>
              <w:left w:val="nil"/>
              <w:bottom w:val="single" w:sz="4" w:space="0" w:color="auto"/>
              <w:right w:val="nil"/>
            </w:tcBorders>
            <w:noWrap/>
            <w:vAlign w:val="center"/>
            <w:hideMark/>
          </w:tcPr>
          <w:p w14:paraId="5F738CF7" w14:textId="77777777" w:rsidR="007318B1" w:rsidRPr="00F96FB7" w:rsidRDefault="007318B1" w:rsidP="00F86EA8">
            <w:pPr>
              <w:jc w:val="center"/>
              <w:rPr>
                <w:rFonts w:ascii="Arial" w:hAnsi="Arial" w:cs="Arial"/>
                <w:b/>
                <w:bCs/>
                <w:color w:val="000000"/>
                <w:sz w:val="20"/>
                <w:lang w:val="en-GB"/>
              </w:rPr>
            </w:pPr>
            <w:r w:rsidRPr="00F96FB7">
              <w:rPr>
                <w:rFonts w:ascii="Arial" w:hAnsi="Arial" w:cs="Arial"/>
                <w:b/>
                <w:bCs/>
                <w:color w:val="000000"/>
                <w:sz w:val="20"/>
                <w:lang w:val="en-GB"/>
              </w:rPr>
              <w:t>Project Type</w:t>
            </w:r>
          </w:p>
        </w:tc>
        <w:tc>
          <w:tcPr>
            <w:tcW w:w="730" w:type="dxa"/>
            <w:tcBorders>
              <w:top w:val="single" w:sz="4" w:space="0" w:color="auto"/>
              <w:left w:val="nil"/>
              <w:bottom w:val="single" w:sz="4" w:space="0" w:color="auto"/>
              <w:right w:val="nil"/>
            </w:tcBorders>
            <w:noWrap/>
            <w:vAlign w:val="center"/>
            <w:hideMark/>
          </w:tcPr>
          <w:p w14:paraId="6EF3D43E" w14:textId="77777777" w:rsidR="007318B1" w:rsidRPr="00F96FB7" w:rsidRDefault="007318B1" w:rsidP="00F86EA8">
            <w:pPr>
              <w:jc w:val="center"/>
              <w:rPr>
                <w:rFonts w:ascii="Arial" w:hAnsi="Arial" w:cs="Arial"/>
                <w:b/>
                <w:bCs/>
                <w:color w:val="000000"/>
                <w:sz w:val="20"/>
                <w:lang w:val="en-GB"/>
              </w:rPr>
            </w:pPr>
            <w:r w:rsidRPr="00F96FB7">
              <w:rPr>
                <w:rFonts w:ascii="Arial" w:hAnsi="Arial" w:cs="Arial"/>
                <w:b/>
                <w:bCs/>
                <w:color w:val="000000"/>
                <w:sz w:val="20"/>
                <w:lang w:val="en-GB"/>
              </w:rPr>
              <w:t>N</w:t>
            </w:r>
          </w:p>
        </w:tc>
        <w:tc>
          <w:tcPr>
            <w:tcW w:w="1019" w:type="dxa"/>
            <w:tcBorders>
              <w:top w:val="single" w:sz="4" w:space="0" w:color="auto"/>
              <w:left w:val="nil"/>
              <w:bottom w:val="single" w:sz="4" w:space="0" w:color="auto"/>
              <w:right w:val="nil"/>
            </w:tcBorders>
            <w:noWrap/>
            <w:vAlign w:val="center"/>
            <w:hideMark/>
          </w:tcPr>
          <w:p w14:paraId="1B2239AC" w14:textId="77777777" w:rsidR="007318B1" w:rsidRPr="00F96FB7" w:rsidRDefault="007318B1" w:rsidP="00F86EA8">
            <w:pPr>
              <w:jc w:val="center"/>
              <w:rPr>
                <w:rFonts w:ascii="Arial" w:hAnsi="Arial" w:cs="Arial"/>
                <w:b/>
                <w:bCs/>
                <w:color w:val="000000"/>
                <w:sz w:val="20"/>
                <w:lang w:val="en-GB"/>
              </w:rPr>
            </w:pPr>
            <w:proofErr w:type="spellStart"/>
            <w:r w:rsidRPr="00F96FB7">
              <w:rPr>
                <w:rFonts w:ascii="Arial" w:hAnsi="Arial" w:cs="Arial"/>
                <w:b/>
                <w:bCs/>
                <w:color w:val="000000"/>
                <w:sz w:val="20"/>
                <w:lang w:val="en-GB"/>
              </w:rPr>
              <w:t>RRate</w:t>
            </w:r>
            <w:proofErr w:type="spellEnd"/>
          </w:p>
        </w:tc>
      </w:tr>
      <w:tr w:rsidR="007318B1" w:rsidRPr="00F96FB7" w14:paraId="457097F9" w14:textId="77777777" w:rsidTr="008955E4">
        <w:trPr>
          <w:trHeight w:val="227"/>
        </w:trPr>
        <w:tc>
          <w:tcPr>
            <w:tcW w:w="1276" w:type="dxa"/>
            <w:tcBorders>
              <w:top w:val="single" w:sz="4" w:space="0" w:color="auto"/>
              <w:left w:val="nil"/>
              <w:bottom w:val="nil"/>
              <w:right w:val="nil"/>
            </w:tcBorders>
            <w:noWrap/>
            <w:vAlign w:val="center"/>
            <w:hideMark/>
          </w:tcPr>
          <w:p w14:paraId="4B5F73A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Bangladesh</w:t>
            </w:r>
          </w:p>
        </w:tc>
        <w:tc>
          <w:tcPr>
            <w:tcW w:w="1640" w:type="dxa"/>
            <w:tcBorders>
              <w:top w:val="single" w:sz="4" w:space="0" w:color="auto"/>
              <w:left w:val="nil"/>
              <w:bottom w:val="nil"/>
              <w:right w:val="nil"/>
            </w:tcBorders>
            <w:noWrap/>
            <w:vAlign w:val="center"/>
            <w:hideMark/>
          </w:tcPr>
          <w:p w14:paraId="27E40C4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584" w:type="dxa"/>
            <w:tcBorders>
              <w:top w:val="single" w:sz="4" w:space="0" w:color="auto"/>
              <w:left w:val="nil"/>
              <w:bottom w:val="nil"/>
              <w:right w:val="nil"/>
            </w:tcBorders>
            <w:noWrap/>
            <w:vAlign w:val="center"/>
            <w:hideMark/>
          </w:tcPr>
          <w:p w14:paraId="72B703DC"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118</w:t>
            </w:r>
          </w:p>
        </w:tc>
        <w:tc>
          <w:tcPr>
            <w:tcW w:w="1022" w:type="dxa"/>
            <w:tcBorders>
              <w:top w:val="single" w:sz="4" w:space="0" w:color="auto"/>
              <w:left w:val="nil"/>
              <w:bottom w:val="nil"/>
              <w:right w:val="nil"/>
            </w:tcBorders>
            <w:noWrap/>
            <w:vAlign w:val="center"/>
            <w:hideMark/>
          </w:tcPr>
          <w:p w14:paraId="721BFE7D"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96.61%</w:t>
            </w:r>
          </w:p>
        </w:tc>
        <w:tc>
          <w:tcPr>
            <w:tcW w:w="1459" w:type="dxa"/>
            <w:tcBorders>
              <w:top w:val="single" w:sz="4" w:space="0" w:color="auto"/>
              <w:left w:val="nil"/>
              <w:bottom w:val="nil"/>
              <w:right w:val="nil"/>
            </w:tcBorders>
            <w:noWrap/>
            <w:vAlign w:val="center"/>
            <w:hideMark/>
          </w:tcPr>
          <w:p w14:paraId="36FEED15"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India</w:t>
            </w:r>
          </w:p>
        </w:tc>
        <w:tc>
          <w:tcPr>
            <w:tcW w:w="1752" w:type="dxa"/>
            <w:tcBorders>
              <w:top w:val="single" w:sz="4" w:space="0" w:color="auto"/>
              <w:left w:val="nil"/>
              <w:bottom w:val="nil"/>
              <w:right w:val="nil"/>
            </w:tcBorders>
            <w:noWrap/>
            <w:vAlign w:val="center"/>
            <w:hideMark/>
          </w:tcPr>
          <w:p w14:paraId="6CDA193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730" w:type="dxa"/>
            <w:tcBorders>
              <w:top w:val="single" w:sz="4" w:space="0" w:color="auto"/>
              <w:left w:val="nil"/>
              <w:bottom w:val="nil"/>
              <w:right w:val="nil"/>
            </w:tcBorders>
            <w:noWrap/>
            <w:vAlign w:val="center"/>
            <w:hideMark/>
          </w:tcPr>
          <w:p w14:paraId="060643F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289</w:t>
            </w:r>
          </w:p>
        </w:tc>
        <w:tc>
          <w:tcPr>
            <w:tcW w:w="1019" w:type="dxa"/>
            <w:tcBorders>
              <w:top w:val="single" w:sz="4" w:space="0" w:color="auto"/>
              <w:left w:val="nil"/>
              <w:bottom w:val="nil"/>
              <w:right w:val="nil"/>
            </w:tcBorders>
            <w:noWrap/>
            <w:vAlign w:val="center"/>
            <w:hideMark/>
          </w:tcPr>
          <w:p w14:paraId="396A7E0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86.85%</w:t>
            </w:r>
          </w:p>
        </w:tc>
      </w:tr>
      <w:tr w:rsidR="007318B1" w:rsidRPr="00F96FB7" w14:paraId="61A67AF0" w14:textId="77777777" w:rsidTr="008955E4">
        <w:trPr>
          <w:trHeight w:val="227"/>
        </w:trPr>
        <w:tc>
          <w:tcPr>
            <w:tcW w:w="1276" w:type="dxa"/>
            <w:tcBorders>
              <w:top w:val="nil"/>
              <w:left w:val="nil"/>
              <w:bottom w:val="nil"/>
              <w:right w:val="nil"/>
            </w:tcBorders>
            <w:noWrap/>
            <w:vAlign w:val="center"/>
            <w:hideMark/>
          </w:tcPr>
          <w:p w14:paraId="0B82FA5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Brazil</w:t>
            </w:r>
          </w:p>
        </w:tc>
        <w:tc>
          <w:tcPr>
            <w:tcW w:w="1640" w:type="dxa"/>
            <w:tcBorders>
              <w:top w:val="nil"/>
              <w:left w:val="nil"/>
              <w:bottom w:val="nil"/>
              <w:right w:val="nil"/>
            </w:tcBorders>
            <w:noWrap/>
            <w:vAlign w:val="center"/>
            <w:hideMark/>
          </w:tcPr>
          <w:p w14:paraId="3ACB592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Hydropower</w:t>
            </w:r>
          </w:p>
        </w:tc>
        <w:tc>
          <w:tcPr>
            <w:tcW w:w="584" w:type="dxa"/>
            <w:tcBorders>
              <w:top w:val="nil"/>
              <w:left w:val="nil"/>
              <w:bottom w:val="nil"/>
              <w:right w:val="nil"/>
            </w:tcBorders>
            <w:noWrap/>
            <w:vAlign w:val="center"/>
            <w:hideMark/>
          </w:tcPr>
          <w:p w14:paraId="26286D8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16</w:t>
            </w:r>
          </w:p>
        </w:tc>
        <w:tc>
          <w:tcPr>
            <w:tcW w:w="1022" w:type="dxa"/>
            <w:tcBorders>
              <w:top w:val="nil"/>
              <w:left w:val="nil"/>
              <w:bottom w:val="nil"/>
              <w:right w:val="nil"/>
            </w:tcBorders>
            <w:noWrap/>
            <w:vAlign w:val="center"/>
            <w:hideMark/>
          </w:tcPr>
          <w:p w14:paraId="77FDF87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81.25%</w:t>
            </w:r>
          </w:p>
        </w:tc>
        <w:tc>
          <w:tcPr>
            <w:tcW w:w="1459" w:type="dxa"/>
            <w:tcBorders>
              <w:top w:val="nil"/>
              <w:left w:val="nil"/>
              <w:bottom w:val="nil"/>
              <w:right w:val="nil"/>
            </w:tcBorders>
            <w:noWrap/>
            <w:vAlign w:val="center"/>
            <w:hideMark/>
          </w:tcPr>
          <w:p w14:paraId="653261D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India</w:t>
            </w:r>
          </w:p>
        </w:tc>
        <w:tc>
          <w:tcPr>
            <w:tcW w:w="1752" w:type="dxa"/>
            <w:tcBorders>
              <w:top w:val="nil"/>
              <w:left w:val="nil"/>
              <w:bottom w:val="nil"/>
              <w:right w:val="nil"/>
            </w:tcBorders>
            <w:noWrap/>
            <w:vAlign w:val="center"/>
            <w:hideMark/>
          </w:tcPr>
          <w:p w14:paraId="58E1841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Wind</w:t>
            </w:r>
          </w:p>
        </w:tc>
        <w:tc>
          <w:tcPr>
            <w:tcW w:w="730" w:type="dxa"/>
            <w:tcBorders>
              <w:top w:val="nil"/>
              <w:left w:val="nil"/>
              <w:bottom w:val="nil"/>
              <w:right w:val="nil"/>
            </w:tcBorders>
            <w:noWrap/>
            <w:vAlign w:val="center"/>
            <w:hideMark/>
          </w:tcPr>
          <w:p w14:paraId="5E9595F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477</w:t>
            </w:r>
          </w:p>
        </w:tc>
        <w:tc>
          <w:tcPr>
            <w:tcW w:w="1019" w:type="dxa"/>
            <w:tcBorders>
              <w:top w:val="nil"/>
              <w:left w:val="nil"/>
              <w:bottom w:val="nil"/>
              <w:right w:val="nil"/>
            </w:tcBorders>
            <w:noWrap/>
            <w:vAlign w:val="center"/>
            <w:hideMark/>
          </w:tcPr>
          <w:p w14:paraId="2BA7DBC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73.38%</w:t>
            </w:r>
          </w:p>
        </w:tc>
      </w:tr>
      <w:tr w:rsidR="007318B1" w:rsidRPr="00F96FB7" w14:paraId="4C110507" w14:textId="77777777" w:rsidTr="008955E4">
        <w:trPr>
          <w:trHeight w:val="227"/>
        </w:trPr>
        <w:tc>
          <w:tcPr>
            <w:tcW w:w="1276" w:type="dxa"/>
            <w:tcBorders>
              <w:top w:val="nil"/>
              <w:left w:val="nil"/>
              <w:bottom w:val="nil"/>
              <w:right w:val="nil"/>
            </w:tcBorders>
            <w:noWrap/>
            <w:vAlign w:val="center"/>
            <w:hideMark/>
          </w:tcPr>
          <w:p w14:paraId="4AC744B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Brazil</w:t>
            </w:r>
          </w:p>
        </w:tc>
        <w:tc>
          <w:tcPr>
            <w:tcW w:w="1640" w:type="dxa"/>
            <w:tcBorders>
              <w:top w:val="nil"/>
              <w:left w:val="nil"/>
              <w:bottom w:val="nil"/>
              <w:right w:val="nil"/>
            </w:tcBorders>
            <w:noWrap/>
            <w:vAlign w:val="center"/>
            <w:hideMark/>
          </w:tcPr>
          <w:p w14:paraId="59A51B0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Landfill Methane</w:t>
            </w:r>
          </w:p>
        </w:tc>
        <w:tc>
          <w:tcPr>
            <w:tcW w:w="584" w:type="dxa"/>
            <w:tcBorders>
              <w:top w:val="nil"/>
              <w:left w:val="nil"/>
              <w:bottom w:val="nil"/>
              <w:right w:val="nil"/>
            </w:tcBorders>
            <w:noWrap/>
            <w:vAlign w:val="center"/>
            <w:hideMark/>
          </w:tcPr>
          <w:p w14:paraId="2E0A5B2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37</w:t>
            </w:r>
          </w:p>
        </w:tc>
        <w:tc>
          <w:tcPr>
            <w:tcW w:w="1022" w:type="dxa"/>
            <w:tcBorders>
              <w:top w:val="nil"/>
              <w:left w:val="nil"/>
              <w:bottom w:val="nil"/>
              <w:right w:val="nil"/>
            </w:tcBorders>
            <w:noWrap/>
            <w:vAlign w:val="center"/>
            <w:hideMark/>
          </w:tcPr>
          <w:p w14:paraId="5E585DF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48.65%</w:t>
            </w:r>
          </w:p>
        </w:tc>
        <w:tc>
          <w:tcPr>
            <w:tcW w:w="1459" w:type="dxa"/>
            <w:tcBorders>
              <w:top w:val="nil"/>
              <w:left w:val="nil"/>
              <w:bottom w:val="nil"/>
              <w:right w:val="nil"/>
            </w:tcBorders>
            <w:noWrap/>
            <w:vAlign w:val="center"/>
            <w:hideMark/>
          </w:tcPr>
          <w:p w14:paraId="7F1A4C75"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Kenya</w:t>
            </w:r>
          </w:p>
        </w:tc>
        <w:tc>
          <w:tcPr>
            <w:tcW w:w="1752" w:type="dxa"/>
            <w:tcBorders>
              <w:top w:val="nil"/>
              <w:left w:val="nil"/>
              <w:bottom w:val="nil"/>
              <w:right w:val="nil"/>
            </w:tcBorders>
            <w:noWrap/>
            <w:vAlign w:val="center"/>
            <w:hideMark/>
          </w:tcPr>
          <w:p w14:paraId="2EF4226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Afforestation/</w:t>
            </w:r>
          </w:p>
          <w:p w14:paraId="66D7E96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Reforestation</w:t>
            </w:r>
          </w:p>
        </w:tc>
        <w:tc>
          <w:tcPr>
            <w:tcW w:w="730" w:type="dxa"/>
            <w:tcBorders>
              <w:top w:val="nil"/>
              <w:left w:val="nil"/>
              <w:bottom w:val="nil"/>
              <w:right w:val="nil"/>
            </w:tcBorders>
            <w:noWrap/>
            <w:vAlign w:val="center"/>
            <w:hideMark/>
          </w:tcPr>
          <w:p w14:paraId="04232D61"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15</w:t>
            </w:r>
          </w:p>
        </w:tc>
        <w:tc>
          <w:tcPr>
            <w:tcW w:w="1019" w:type="dxa"/>
            <w:tcBorders>
              <w:top w:val="nil"/>
              <w:left w:val="nil"/>
              <w:bottom w:val="nil"/>
              <w:right w:val="nil"/>
            </w:tcBorders>
            <w:noWrap/>
            <w:vAlign w:val="center"/>
            <w:hideMark/>
          </w:tcPr>
          <w:p w14:paraId="5490A4D9"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93.33%</w:t>
            </w:r>
          </w:p>
        </w:tc>
      </w:tr>
      <w:tr w:rsidR="007318B1" w:rsidRPr="00F96FB7" w14:paraId="343445E4" w14:textId="77777777" w:rsidTr="008955E4">
        <w:trPr>
          <w:trHeight w:val="227"/>
        </w:trPr>
        <w:tc>
          <w:tcPr>
            <w:tcW w:w="1276" w:type="dxa"/>
            <w:tcBorders>
              <w:top w:val="nil"/>
              <w:left w:val="nil"/>
              <w:bottom w:val="nil"/>
              <w:right w:val="nil"/>
            </w:tcBorders>
            <w:noWrap/>
            <w:vAlign w:val="center"/>
            <w:hideMark/>
          </w:tcPr>
          <w:p w14:paraId="43FAC27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Brazil</w:t>
            </w:r>
          </w:p>
        </w:tc>
        <w:tc>
          <w:tcPr>
            <w:tcW w:w="1640" w:type="dxa"/>
            <w:tcBorders>
              <w:top w:val="nil"/>
              <w:left w:val="nil"/>
              <w:bottom w:val="nil"/>
              <w:right w:val="nil"/>
            </w:tcBorders>
            <w:noWrap/>
            <w:vAlign w:val="center"/>
            <w:hideMark/>
          </w:tcPr>
          <w:p w14:paraId="0603692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Afforestation/</w:t>
            </w:r>
          </w:p>
          <w:p w14:paraId="4BE51AA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Reforestation</w:t>
            </w:r>
          </w:p>
        </w:tc>
        <w:tc>
          <w:tcPr>
            <w:tcW w:w="584" w:type="dxa"/>
            <w:tcBorders>
              <w:top w:val="nil"/>
              <w:left w:val="nil"/>
              <w:bottom w:val="nil"/>
              <w:right w:val="nil"/>
            </w:tcBorders>
            <w:noWrap/>
            <w:vAlign w:val="center"/>
            <w:hideMark/>
          </w:tcPr>
          <w:p w14:paraId="2F3BBE86"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39</w:t>
            </w:r>
          </w:p>
        </w:tc>
        <w:tc>
          <w:tcPr>
            <w:tcW w:w="1022" w:type="dxa"/>
            <w:tcBorders>
              <w:top w:val="nil"/>
              <w:left w:val="nil"/>
              <w:bottom w:val="nil"/>
              <w:right w:val="nil"/>
            </w:tcBorders>
            <w:noWrap/>
            <w:vAlign w:val="center"/>
            <w:hideMark/>
          </w:tcPr>
          <w:p w14:paraId="2208F65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71.79%</w:t>
            </w:r>
          </w:p>
        </w:tc>
        <w:tc>
          <w:tcPr>
            <w:tcW w:w="1459" w:type="dxa"/>
            <w:tcBorders>
              <w:top w:val="nil"/>
              <w:left w:val="nil"/>
              <w:bottom w:val="nil"/>
              <w:right w:val="nil"/>
            </w:tcBorders>
            <w:noWrap/>
            <w:vAlign w:val="center"/>
            <w:hideMark/>
          </w:tcPr>
          <w:p w14:paraId="4CDE60E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Kenya</w:t>
            </w:r>
          </w:p>
        </w:tc>
        <w:tc>
          <w:tcPr>
            <w:tcW w:w="1752" w:type="dxa"/>
            <w:tcBorders>
              <w:top w:val="nil"/>
              <w:left w:val="nil"/>
              <w:bottom w:val="nil"/>
              <w:right w:val="nil"/>
            </w:tcBorders>
            <w:noWrap/>
            <w:vAlign w:val="center"/>
            <w:hideMark/>
          </w:tcPr>
          <w:p w14:paraId="0A37A7A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Clean water</w:t>
            </w:r>
          </w:p>
        </w:tc>
        <w:tc>
          <w:tcPr>
            <w:tcW w:w="730" w:type="dxa"/>
            <w:tcBorders>
              <w:top w:val="nil"/>
              <w:left w:val="nil"/>
              <w:bottom w:val="nil"/>
              <w:right w:val="nil"/>
            </w:tcBorders>
            <w:noWrap/>
            <w:vAlign w:val="center"/>
            <w:hideMark/>
          </w:tcPr>
          <w:p w14:paraId="14286F1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56</w:t>
            </w:r>
          </w:p>
        </w:tc>
        <w:tc>
          <w:tcPr>
            <w:tcW w:w="1019" w:type="dxa"/>
            <w:tcBorders>
              <w:top w:val="nil"/>
              <w:left w:val="nil"/>
              <w:bottom w:val="nil"/>
              <w:right w:val="nil"/>
            </w:tcBorders>
            <w:noWrap/>
            <w:vAlign w:val="center"/>
            <w:hideMark/>
          </w:tcPr>
          <w:p w14:paraId="6E39A32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87.50%</w:t>
            </w:r>
          </w:p>
        </w:tc>
      </w:tr>
      <w:tr w:rsidR="007318B1" w:rsidRPr="00F96FB7" w14:paraId="52DE2B24" w14:textId="77777777" w:rsidTr="008955E4">
        <w:trPr>
          <w:trHeight w:val="227"/>
        </w:trPr>
        <w:tc>
          <w:tcPr>
            <w:tcW w:w="1276" w:type="dxa"/>
            <w:tcBorders>
              <w:top w:val="nil"/>
              <w:left w:val="nil"/>
              <w:bottom w:val="nil"/>
              <w:right w:val="nil"/>
            </w:tcBorders>
            <w:noWrap/>
            <w:vAlign w:val="center"/>
            <w:hideMark/>
          </w:tcPr>
          <w:p w14:paraId="5469FCF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Brazil</w:t>
            </w:r>
          </w:p>
        </w:tc>
        <w:tc>
          <w:tcPr>
            <w:tcW w:w="1640" w:type="dxa"/>
            <w:tcBorders>
              <w:top w:val="nil"/>
              <w:left w:val="nil"/>
              <w:bottom w:val="nil"/>
              <w:right w:val="nil"/>
            </w:tcBorders>
            <w:noWrap/>
            <w:vAlign w:val="center"/>
            <w:hideMark/>
          </w:tcPr>
          <w:p w14:paraId="01197D7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Biomass</w:t>
            </w:r>
          </w:p>
        </w:tc>
        <w:tc>
          <w:tcPr>
            <w:tcW w:w="584" w:type="dxa"/>
            <w:tcBorders>
              <w:top w:val="nil"/>
              <w:left w:val="nil"/>
              <w:bottom w:val="nil"/>
              <w:right w:val="nil"/>
            </w:tcBorders>
            <w:noWrap/>
            <w:vAlign w:val="center"/>
            <w:hideMark/>
          </w:tcPr>
          <w:p w14:paraId="49EF4F37"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50</w:t>
            </w:r>
          </w:p>
        </w:tc>
        <w:tc>
          <w:tcPr>
            <w:tcW w:w="1022" w:type="dxa"/>
            <w:tcBorders>
              <w:top w:val="nil"/>
              <w:left w:val="nil"/>
              <w:bottom w:val="nil"/>
              <w:right w:val="nil"/>
            </w:tcBorders>
            <w:noWrap/>
            <w:vAlign w:val="center"/>
            <w:hideMark/>
          </w:tcPr>
          <w:p w14:paraId="7CBEDD06"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90.00%</w:t>
            </w:r>
          </w:p>
        </w:tc>
        <w:tc>
          <w:tcPr>
            <w:tcW w:w="1459" w:type="dxa"/>
            <w:tcBorders>
              <w:top w:val="nil"/>
              <w:left w:val="nil"/>
              <w:bottom w:val="nil"/>
              <w:right w:val="nil"/>
            </w:tcBorders>
            <w:noWrap/>
            <w:vAlign w:val="center"/>
            <w:hideMark/>
          </w:tcPr>
          <w:p w14:paraId="4132380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Kenya</w:t>
            </w:r>
          </w:p>
        </w:tc>
        <w:tc>
          <w:tcPr>
            <w:tcW w:w="1752" w:type="dxa"/>
            <w:tcBorders>
              <w:top w:val="nil"/>
              <w:left w:val="nil"/>
              <w:bottom w:val="nil"/>
              <w:right w:val="nil"/>
            </w:tcBorders>
            <w:noWrap/>
            <w:vAlign w:val="center"/>
            <w:hideMark/>
          </w:tcPr>
          <w:p w14:paraId="3E9B256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730" w:type="dxa"/>
            <w:tcBorders>
              <w:top w:val="nil"/>
              <w:left w:val="nil"/>
              <w:bottom w:val="nil"/>
              <w:right w:val="nil"/>
            </w:tcBorders>
            <w:noWrap/>
            <w:vAlign w:val="center"/>
            <w:hideMark/>
          </w:tcPr>
          <w:p w14:paraId="60F6AC3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115</w:t>
            </w:r>
          </w:p>
        </w:tc>
        <w:tc>
          <w:tcPr>
            <w:tcW w:w="1019" w:type="dxa"/>
            <w:tcBorders>
              <w:top w:val="nil"/>
              <w:left w:val="nil"/>
              <w:bottom w:val="nil"/>
              <w:right w:val="nil"/>
            </w:tcBorders>
            <w:noWrap/>
            <w:vAlign w:val="center"/>
            <w:hideMark/>
          </w:tcPr>
          <w:p w14:paraId="723ABFD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76.52%</w:t>
            </w:r>
          </w:p>
        </w:tc>
      </w:tr>
      <w:tr w:rsidR="007318B1" w:rsidRPr="00F96FB7" w14:paraId="5F5D5E8F" w14:textId="77777777" w:rsidTr="008955E4">
        <w:trPr>
          <w:trHeight w:val="227"/>
        </w:trPr>
        <w:tc>
          <w:tcPr>
            <w:tcW w:w="1276" w:type="dxa"/>
            <w:tcBorders>
              <w:top w:val="nil"/>
              <w:left w:val="nil"/>
              <w:bottom w:val="nil"/>
              <w:right w:val="nil"/>
            </w:tcBorders>
            <w:noWrap/>
            <w:vAlign w:val="center"/>
            <w:hideMark/>
          </w:tcPr>
          <w:p w14:paraId="3029D8F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Brazil</w:t>
            </w:r>
          </w:p>
        </w:tc>
        <w:tc>
          <w:tcPr>
            <w:tcW w:w="1640" w:type="dxa"/>
            <w:tcBorders>
              <w:top w:val="nil"/>
              <w:left w:val="nil"/>
              <w:bottom w:val="nil"/>
              <w:right w:val="nil"/>
            </w:tcBorders>
            <w:noWrap/>
            <w:vAlign w:val="center"/>
            <w:hideMark/>
          </w:tcPr>
          <w:p w14:paraId="50759A9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REDD+</w:t>
            </w:r>
          </w:p>
        </w:tc>
        <w:tc>
          <w:tcPr>
            <w:tcW w:w="584" w:type="dxa"/>
            <w:tcBorders>
              <w:top w:val="nil"/>
              <w:left w:val="nil"/>
              <w:bottom w:val="nil"/>
              <w:right w:val="nil"/>
            </w:tcBorders>
            <w:noWrap/>
            <w:vAlign w:val="center"/>
            <w:hideMark/>
          </w:tcPr>
          <w:p w14:paraId="4AB7FC9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109</w:t>
            </w:r>
          </w:p>
        </w:tc>
        <w:tc>
          <w:tcPr>
            <w:tcW w:w="1022" w:type="dxa"/>
            <w:tcBorders>
              <w:top w:val="nil"/>
              <w:left w:val="nil"/>
              <w:bottom w:val="nil"/>
              <w:right w:val="nil"/>
            </w:tcBorders>
            <w:noWrap/>
            <w:vAlign w:val="center"/>
            <w:hideMark/>
          </w:tcPr>
          <w:p w14:paraId="0F627BD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73.39%</w:t>
            </w:r>
          </w:p>
        </w:tc>
        <w:tc>
          <w:tcPr>
            <w:tcW w:w="1459" w:type="dxa"/>
            <w:tcBorders>
              <w:top w:val="nil"/>
              <w:left w:val="nil"/>
              <w:bottom w:val="nil"/>
              <w:right w:val="nil"/>
            </w:tcBorders>
            <w:noWrap/>
            <w:vAlign w:val="center"/>
            <w:hideMark/>
          </w:tcPr>
          <w:p w14:paraId="5034823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Madagascar</w:t>
            </w:r>
          </w:p>
        </w:tc>
        <w:tc>
          <w:tcPr>
            <w:tcW w:w="1752" w:type="dxa"/>
            <w:tcBorders>
              <w:top w:val="nil"/>
              <w:left w:val="nil"/>
              <w:bottom w:val="nil"/>
              <w:right w:val="nil"/>
            </w:tcBorders>
            <w:noWrap/>
            <w:vAlign w:val="center"/>
            <w:hideMark/>
          </w:tcPr>
          <w:p w14:paraId="0973BBB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730" w:type="dxa"/>
            <w:tcBorders>
              <w:top w:val="nil"/>
              <w:left w:val="nil"/>
              <w:bottom w:val="nil"/>
              <w:right w:val="nil"/>
            </w:tcBorders>
            <w:noWrap/>
            <w:vAlign w:val="center"/>
            <w:hideMark/>
          </w:tcPr>
          <w:p w14:paraId="37F61A0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80</w:t>
            </w:r>
          </w:p>
        </w:tc>
        <w:tc>
          <w:tcPr>
            <w:tcW w:w="1019" w:type="dxa"/>
            <w:tcBorders>
              <w:top w:val="nil"/>
              <w:left w:val="nil"/>
              <w:bottom w:val="nil"/>
              <w:right w:val="nil"/>
            </w:tcBorders>
            <w:noWrap/>
            <w:vAlign w:val="center"/>
            <w:hideMark/>
          </w:tcPr>
          <w:p w14:paraId="775051C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83.75%</w:t>
            </w:r>
          </w:p>
        </w:tc>
      </w:tr>
      <w:tr w:rsidR="007318B1" w:rsidRPr="00F96FB7" w14:paraId="648D8FC2" w14:textId="77777777" w:rsidTr="008955E4">
        <w:trPr>
          <w:trHeight w:val="227"/>
        </w:trPr>
        <w:tc>
          <w:tcPr>
            <w:tcW w:w="1276" w:type="dxa"/>
            <w:tcBorders>
              <w:top w:val="nil"/>
              <w:left w:val="nil"/>
              <w:bottom w:val="nil"/>
              <w:right w:val="nil"/>
            </w:tcBorders>
            <w:noWrap/>
            <w:vAlign w:val="center"/>
            <w:hideMark/>
          </w:tcPr>
          <w:p w14:paraId="1C01811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Burkina Faso</w:t>
            </w:r>
          </w:p>
        </w:tc>
        <w:tc>
          <w:tcPr>
            <w:tcW w:w="1640" w:type="dxa"/>
            <w:tcBorders>
              <w:top w:val="nil"/>
              <w:left w:val="nil"/>
              <w:bottom w:val="nil"/>
              <w:right w:val="nil"/>
            </w:tcBorders>
            <w:noWrap/>
            <w:vAlign w:val="center"/>
            <w:hideMark/>
          </w:tcPr>
          <w:p w14:paraId="00C34EB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Clean Water</w:t>
            </w:r>
          </w:p>
        </w:tc>
        <w:tc>
          <w:tcPr>
            <w:tcW w:w="584" w:type="dxa"/>
            <w:tcBorders>
              <w:top w:val="nil"/>
              <w:left w:val="nil"/>
              <w:bottom w:val="nil"/>
              <w:right w:val="nil"/>
            </w:tcBorders>
            <w:noWrap/>
            <w:vAlign w:val="center"/>
            <w:hideMark/>
          </w:tcPr>
          <w:p w14:paraId="5FAE9A44"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22</w:t>
            </w:r>
          </w:p>
        </w:tc>
        <w:tc>
          <w:tcPr>
            <w:tcW w:w="1022" w:type="dxa"/>
            <w:tcBorders>
              <w:top w:val="nil"/>
              <w:left w:val="nil"/>
              <w:bottom w:val="nil"/>
              <w:right w:val="nil"/>
            </w:tcBorders>
            <w:noWrap/>
            <w:vAlign w:val="center"/>
            <w:hideMark/>
          </w:tcPr>
          <w:p w14:paraId="486104DC"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100.00%</w:t>
            </w:r>
          </w:p>
        </w:tc>
        <w:tc>
          <w:tcPr>
            <w:tcW w:w="1459" w:type="dxa"/>
            <w:tcBorders>
              <w:top w:val="nil"/>
              <w:left w:val="nil"/>
              <w:bottom w:val="nil"/>
              <w:right w:val="nil"/>
            </w:tcBorders>
            <w:noWrap/>
            <w:vAlign w:val="center"/>
            <w:hideMark/>
          </w:tcPr>
          <w:p w14:paraId="4D044F4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Malawi</w:t>
            </w:r>
          </w:p>
        </w:tc>
        <w:tc>
          <w:tcPr>
            <w:tcW w:w="1752" w:type="dxa"/>
            <w:tcBorders>
              <w:top w:val="nil"/>
              <w:left w:val="nil"/>
              <w:bottom w:val="nil"/>
              <w:right w:val="nil"/>
            </w:tcBorders>
            <w:noWrap/>
            <w:vAlign w:val="center"/>
            <w:hideMark/>
          </w:tcPr>
          <w:p w14:paraId="39622B1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730" w:type="dxa"/>
            <w:tcBorders>
              <w:top w:val="nil"/>
              <w:left w:val="nil"/>
              <w:bottom w:val="nil"/>
              <w:right w:val="nil"/>
            </w:tcBorders>
            <w:noWrap/>
            <w:vAlign w:val="center"/>
            <w:hideMark/>
          </w:tcPr>
          <w:p w14:paraId="061BD21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67</w:t>
            </w:r>
          </w:p>
        </w:tc>
        <w:tc>
          <w:tcPr>
            <w:tcW w:w="1019" w:type="dxa"/>
            <w:tcBorders>
              <w:top w:val="nil"/>
              <w:left w:val="nil"/>
              <w:bottom w:val="nil"/>
              <w:right w:val="nil"/>
            </w:tcBorders>
            <w:noWrap/>
            <w:vAlign w:val="center"/>
            <w:hideMark/>
          </w:tcPr>
          <w:p w14:paraId="7457BA2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77.61%</w:t>
            </w:r>
          </w:p>
        </w:tc>
      </w:tr>
      <w:tr w:rsidR="007318B1" w:rsidRPr="00F96FB7" w14:paraId="27648E92" w14:textId="77777777" w:rsidTr="008955E4">
        <w:trPr>
          <w:trHeight w:val="227"/>
        </w:trPr>
        <w:tc>
          <w:tcPr>
            <w:tcW w:w="1276" w:type="dxa"/>
            <w:tcBorders>
              <w:top w:val="nil"/>
              <w:left w:val="nil"/>
              <w:bottom w:val="nil"/>
              <w:right w:val="nil"/>
            </w:tcBorders>
            <w:noWrap/>
            <w:vAlign w:val="center"/>
            <w:hideMark/>
          </w:tcPr>
          <w:p w14:paraId="25D0EFA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Burkina Faso</w:t>
            </w:r>
          </w:p>
        </w:tc>
        <w:tc>
          <w:tcPr>
            <w:tcW w:w="1640" w:type="dxa"/>
            <w:tcBorders>
              <w:top w:val="nil"/>
              <w:left w:val="nil"/>
              <w:bottom w:val="nil"/>
              <w:right w:val="nil"/>
            </w:tcBorders>
            <w:noWrap/>
            <w:vAlign w:val="center"/>
            <w:hideMark/>
          </w:tcPr>
          <w:p w14:paraId="5B869BE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584" w:type="dxa"/>
            <w:tcBorders>
              <w:top w:val="nil"/>
              <w:left w:val="nil"/>
              <w:bottom w:val="nil"/>
              <w:right w:val="nil"/>
            </w:tcBorders>
            <w:noWrap/>
            <w:vAlign w:val="center"/>
            <w:hideMark/>
          </w:tcPr>
          <w:p w14:paraId="5617DCA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73</w:t>
            </w:r>
          </w:p>
        </w:tc>
        <w:tc>
          <w:tcPr>
            <w:tcW w:w="1022" w:type="dxa"/>
            <w:tcBorders>
              <w:top w:val="nil"/>
              <w:left w:val="nil"/>
              <w:bottom w:val="nil"/>
              <w:right w:val="nil"/>
            </w:tcBorders>
            <w:noWrap/>
            <w:vAlign w:val="center"/>
            <w:hideMark/>
          </w:tcPr>
          <w:p w14:paraId="6C782C6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67.12%</w:t>
            </w:r>
          </w:p>
        </w:tc>
        <w:tc>
          <w:tcPr>
            <w:tcW w:w="1459" w:type="dxa"/>
            <w:tcBorders>
              <w:top w:val="nil"/>
              <w:left w:val="nil"/>
              <w:bottom w:val="nil"/>
              <w:right w:val="nil"/>
            </w:tcBorders>
            <w:noWrap/>
            <w:vAlign w:val="center"/>
            <w:hideMark/>
          </w:tcPr>
          <w:p w14:paraId="594B9D4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Mexico</w:t>
            </w:r>
          </w:p>
        </w:tc>
        <w:tc>
          <w:tcPr>
            <w:tcW w:w="1752" w:type="dxa"/>
            <w:tcBorders>
              <w:top w:val="nil"/>
              <w:left w:val="nil"/>
              <w:bottom w:val="nil"/>
              <w:right w:val="nil"/>
            </w:tcBorders>
            <w:noWrap/>
            <w:vAlign w:val="center"/>
            <w:hideMark/>
          </w:tcPr>
          <w:p w14:paraId="44DD28A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Improved forest management</w:t>
            </w:r>
          </w:p>
        </w:tc>
        <w:tc>
          <w:tcPr>
            <w:tcW w:w="730" w:type="dxa"/>
            <w:tcBorders>
              <w:top w:val="nil"/>
              <w:left w:val="nil"/>
              <w:bottom w:val="nil"/>
              <w:right w:val="nil"/>
            </w:tcBorders>
            <w:noWrap/>
            <w:vAlign w:val="center"/>
            <w:hideMark/>
          </w:tcPr>
          <w:p w14:paraId="736E28B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281</w:t>
            </w:r>
          </w:p>
        </w:tc>
        <w:tc>
          <w:tcPr>
            <w:tcW w:w="1019" w:type="dxa"/>
            <w:tcBorders>
              <w:top w:val="nil"/>
              <w:left w:val="nil"/>
              <w:bottom w:val="nil"/>
              <w:right w:val="nil"/>
            </w:tcBorders>
            <w:noWrap/>
            <w:vAlign w:val="center"/>
            <w:hideMark/>
          </w:tcPr>
          <w:p w14:paraId="641C292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58.36%</w:t>
            </w:r>
          </w:p>
        </w:tc>
      </w:tr>
      <w:tr w:rsidR="007318B1" w:rsidRPr="00F96FB7" w14:paraId="08C5436A" w14:textId="77777777" w:rsidTr="008955E4">
        <w:trPr>
          <w:trHeight w:val="227"/>
        </w:trPr>
        <w:tc>
          <w:tcPr>
            <w:tcW w:w="1276" w:type="dxa"/>
            <w:tcBorders>
              <w:top w:val="nil"/>
              <w:left w:val="nil"/>
              <w:bottom w:val="nil"/>
              <w:right w:val="nil"/>
            </w:tcBorders>
            <w:noWrap/>
            <w:vAlign w:val="center"/>
            <w:hideMark/>
          </w:tcPr>
          <w:p w14:paraId="57BE4E1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3AC73E3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Biomass</w:t>
            </w:r>
          </w:p>
        </w:tc>
        <w:tc>
          <w:tcPr>
            <w:tcW w:w="584" w:type="dxa"/>
            <w:tcBorders>
              <w:top w:val="nil"/>
              <w:left w:val="nil"/>
              <w:bottom w:val="nil"/>
              <w:right w:val="nil"/>
            </w:tcBorders>
            <w:noWrap/>
            <w:vAlign w:val="center"/>
            <w:hideMark/>
          </w:tcPr>
          <w:p w14:paraId="08A9DC95"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32</w:t>
            </w:r>
          </w:p>
        </w:tc>
        <w:tc>
          <w:tcPr>
            <w:tcW w:w="1022" w:type="dxa"/>
            <w:tcBorders>
              <w:top w:val="nil"/>
              <w:left w:val="nil"/>
              <w:bottom w:val="nil"/>
              <w:right w:val="nil"/>
            </w:tcBorders>
            <w:noWrap/>
            <w:vAlign w:val="center"/>
            <w:hideMark/>
          </w:tcPr>
          <w:p w14:paraId="7780007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59.38%</w:t>
            </w:r>
          </w:p>
        </w:tc>
        <w:tc>
          <w:tcPr>
            <w:tcW w:w="1459" w:type="dxa"/>
            <w:tcBorders>
              <w:top w:val="nil"/>
              <w:left w:val="nil"/>
              <w:bottom w:val="nil"/>
              <w:right w:val="nil"/>
            </w:tcBorders>
            <w:noWrap/>
            <w:vAlign w:val="center"/>
            <w:hideMark/>
          </w:tcPr>
          <w:p w14:paraId="049FBCB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Mozambique</w:t>
            </w:r>
          </w:p>
        </w:tc>
        <w:tc>
          <w:tcPr>
            <w:tcW w:w="1752" w:type="dxa"/>
            <w:tcBorders>
              <w:top w:val="nil"/>
              <w:left w:val="nil"/>
              <w:bottom w:val="nil"/>
              <w:right w:val="nil"/>
            </w:tcBorders>
            <w:noWrap/>
            <w:vAlign w:val="center"/>
            <w:hideMark/>
          </w:tcPr>
          <w:p w14:paraId="7F1865C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Clean water</w:t>
            </w:r>
          </w:p>
        </w:tc>
        <w:tc>
          <w:tcPr>
            <w:tcW w:w="730" w:type="dxa"/>
            <w:tcBorders>
              <w:top w:val="nil"/>
              <w:left w:val="nil"/>
              <w:bottom w:val="nil"/>
              <w:right w:val="nil"/>
            </w:tcBorders>
            <w:noWrap/>
            <w:vAlign w:val="center"/>
            <w:hideMark/>
          </w:tcPr>
          <w:p w14:paraId="6604F88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18</w:t>
            </w:r>
          </w:p>
        </w:tc>
        <w:tc>
          <w:tcPr>
            <w:tcW w:w="1019" w:type="dxa"/>
            <w:tcBorders>
              <w:top w:val="nil"/>
              <w:left w:val="nil"/>
              <w:bottom w:val="nil"/>
              <w:right w:val="nil"/>
            </w:tcBorders>
            <w:noWrap/>
            <w:vAlign w:val="center"/>
            <w:hideMark/>
          </w:tcPr>
          <w:p w14:paraId="67BE40B5"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88.89%</w:t>
            </w:r>
          </w:p>
        </w:tc>
      </w:tr>
      <w:tr w:rsidR="007318B1" w:rsidRPr="00F96FB7" w14:paraId="6D9F562C" w14:textId="77777777" w:rsidTr="008955E4">
        <w:trPr>
          <w:trHeight w:val="227"/>
        </w:trPr>
        <w:tc>
          <w:tcPr>
            <w:tcW w:w="1276" w:type="dxa"/>
            <w:tcBorders>
              <w:top w:val="nil"/>
              <w:left w:val="nil"/>
              <w:bottom w:val="nil"/>
              <w:right w:val="nil"/>
            </w:tcBorders>
            <w:noWrap/>
            <w:vAlign w:val="center"/>
            <w:hideMark/>
          </w:tcPr>
          <w:p w14:paraId="12B7DCF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32A42CE5"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584" w:type="dxa"/>
            <w:tcBorders>
              <w:top w:val="nil"/>
              <w:left w:val="nil"/>
              <w:bottom w:val="nil"/>
              <w:right w:val="nil"/>
            </w:tcBorders>
            <w:noWrap/>
            <w:vAlign w:val="center"/>
            <w:hideMark/>
          </w:tcPr>
          <w:p w14:paraId="5F5B2621"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25</w:t>
            </w:r>
          </w:p>
        </w:tc>
        <w:tc>
          <w:tcPr>
            <w:tcW w:w="1022" w:type="dxa"/>
            <w:tcBorders>
              <w:top w:val="nil"/>
              <w:left w:val="nil"/>
              <w:bottom w:val="nil"/>
              <w:right w:val="nil"/>
            </w:tcBorders>
            <w:noWrap/>
            <w:vAlign w:val="center"/>
            <w:hideMark/>
          </w:tcPr>
          <w:p w14:paraId="46D2B121"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92.00%</w:t>
            </w:r>
          </w:p>
        </w:tc>
        <w:tc>
          <w:tcPr>
            <w:tcW w:w="1459" w:type="dxa"/>
            <w:tcBorders>
              <w:top w:val="nil"/>
              <w:left w:val="nil"/>
              <w:bottom w:val="nil"/>
              <w:right w:val="nil"/>
            </w:tcBorders>
            <w:noWrap/>
            <w:vAlign w:val="center"/>
            <w:hideMark/>
          </w:tcPr>
          <w:p w14:paraId="1BE2237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Mozambique</w:t>
            </w:r>
          </w:p>
        </w:tc>
        <w:tc>
          <w:tcPr>
            <w:tcW w:w="1752" w:type="dxa"/>
            <w:tcBorders>
              <w:top w:val="nil"/>
              <w:left w:val="nil"/>
              <w:bottom w:val="nil"/>
              <w:right w:val="nil"/>
            </w:tcBorders>
            <w:noWrap/>
            <w:vAlign w:val="center"/>
            <w:hideMark/>
          </w:tcPr>
          <w:p w14:paraId="4D777C5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730" w:type="dxa"/>
            <w:tcBorders>
              <w:top w:val="nil"/>
              <w:left w:val="nil"/>
              <w:bottom w:val="nil"/>
              <w:right w:val="nil"/>
            </w:tcBorders>
            <w:noWrap/>
            <w:vAlign w:val="center"/>
            <w:hideMark/>
          </w:tcPr>
          <w:p w14:paraId="7BE94BC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50</w:t>
            </w:r>
          </w:p>
        </w:tc>
        <w:tc>
          <w:tcPr>
            <w:tcW w:w="1019" w:type="dxa"/>
            <w:tcBorders>
              <w:top w:val="nil"/>
              <w:left w:val="nil"/>
              <w:bottom w:val="nil"/>
              <w:right w:val="nil"/>
            </w:tcBorders>
            <w:noWrap/>
            <w:vAlign w:val="center"/>
            <w:hideMark/>
          </w:tcPr>
          <w:p w14:paraId="400DD48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40.00%</w:t>
            </w:r>
          </w:p>
        </w:tc>
      </w:tr>
      <w:tr w:rsidR="007318B1" w:rsidRPr="00F96FB7" w14:paraId="4D1D07FD" w14:textId="77777777" w:rsidTr="008955E4">
        <w:trPr>
          <w:trHeight w:val="227"/>
        </w:trPr>
        <w:tc>
          <w:tcPr>
            <w:tcW w:w="1276" w:type="dxa"/>
            <w:tcBorders>
              <w:top w:val="nil"/>
              <w:left w:val="nil"/>
              <w:bottom w:val="nil"/>
              <w:right w:val="nil"/>
            </w:tcBorders>
            <w:noWrap/>
            <w:vAlign w:val="center"/>
            <w:hideMark/>
          </w:tcPr>
          <w:p w14:paraId="14B9BDF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34BA4AE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Mine methane capture</w:t>
            </w:r>
          </w:p>
        </w:tc>
        <w:tc>
          <w:tcPr>
            <w:tcW w:w="584" w:type="dxa"/>
            <w:tcBorders>
              <w:top w:val="nil"/>
              <w:left w:val="nil"/>
              <w:bottom w:val="nil"/>
              <w:right w:val="nil"/>
            </w:tcBorders>
            <w:noWrap/>
            <w:vAlign w:val="center"/>
            <w:hideMark/>
          </w:tcPr>
          <w:p w14:paraId="69D78DE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32</w:t>
            </w:r>
          </w:p>
        </w:tc>
        <w:tc>
          <w:tcPr>
            <w:tcW w:w="1022" w:type="dxa"/>
            <w:tcBorders>
              <w:top w:val="nil"/>
              <w:left w:val="nil"/>
              <w:bottom w:val="nil"/>
              <w:right w:val="nil"/>
            </w:tcBorders>
            <w:noWrap/>
            <w:vAlign w:val="center"/>
            <w:hideMark/>
          </w:tcPr>
          <w:p w14:paraId="0D6AB90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87.50%</w:t>
            </w:r>
          </w:p>
        </w:tc>
        <w:tc>
          <w:tcPr>
            <w:tcW w:w="1459" w:type="dxa"/>
            <w:tcBorders>
              <w:top w:val="nil"/>
              <w:left w:val="nil"/>
              <w:bottom w:val="nil"/>
              <w:right w:val="nil"/>
            </w:tcBorders>
            <w:noWrap/>
            <w:vAlign w:val="center"/>
            <w:hideMark/>
          </w:tcPr>
          <w:p w14:paraId="5249BFB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Nigeria</w:t>
            </w:r>
          </w:p>
        </w:tc>
        <w:tc>
          <w:tcPr>
            <w:tcW w:w="1752" w:type="dxa"/>
            <w:tcBorders>
              <w:top w:val="nil"/>
              <w:left w:val="nil"/>
              <w:bottom w:val="nil"/>
              <w:right w:val="nil"/>
            </w:tcBorders>
            <w:noWrap/>
            <w:vAlign w:val="center"/>
            <w:hideMark/>
          </w:tcPr>
          <w:p w14:paraId="724C14A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730" w:type="dxa"/>
            <w:tcBorders>
              <w:top w:val="nil"/>
              <w:left w:val="nil"/>
              <w:bottom w:val="nil"/>
              <w:right w:val="nil"/>
            </w:tcBorders>
            <w:noWrap/>
            <w:vAlign w:val="center"/>
            <w:hideMark/>
          </w:tcPr>
          <w:p w14:paraId="6BC1810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31</w:t>
            </w:r>
          </w:p>
        </w:tc>
        <w:tc>
          <w:tcPr>
            <w:tcW w:w="1019" w:type="dxa"/>
            <w:tcBorders>
              <w:top w:val="nil"/>
              <w:left w:val="nil"/>
              <w:bottom w:val="nil"/>
              <w:right w:val="nil"/>
            </w:tcBorders>
            <w:noWrap/>
            <w:vAlign w:val="center"/>
            <w:hideMark/>
          </w:tcPr>
          <w:p w14:paraId="7980612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51.61%</w:t>
            </w:r>
          </w:p>
        </w:tc>
      </w:tr>
      <w:tr w:rsidR="007318B1" w:rsidRPr="00F96FB7" w14:paraId="449FAD71" w14:textId="77777777" w:rsidTr="008955E4">
        <w:trPr>
          <w:trHeight w:val="227"/>
        </w:trPr>
        <w:tc>
          <w:tcPr>
            <w:tcW w:w="1276" w:type="dxa"/>
            <w:tcBorders>
              <w:top w:val="nil"/>
              <w:left w:val="nil"/>
              <w:bottom w:val="nil"/>
              <w:right w:val="nil"/>
            </w:tcBorders>
            <w:noWrap/>
            <w:vAlign w:val="center"/>
            <w:hideMark/>
          </w:tcPr>
          <w:p w14:paraId="6DC84C8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382BB14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Rice emission reductions</w:t>
            </w:r>
          </w:p>
        </w:tc>
        <w:tc>
          <w:tcPr>
            <w:tcW w:w="584" w:type="dxa"/>
            <w:tcBorders>
              <w:top w:val="nil"/>
              <w:left w:val="nil"/>
              <w:bottom w:val="nil"/>
              <w:right w:val="nil"/>
            </w:tcBorders>
            <w:noWrap/>
            <w:vAlign w:val="center"/>
            <w:hideMark/>
          </w:tcPr>
          <w:p w14:paraId="7F3DB8E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266</w:t>
            </w:r>
          </w:p>
        </w:tc>
        <w:tc>
          <w:tcPr>
            <w:tcW w:w="1022" w:type="dxa"/>
            <w:tcBorders>
              <w:top w:val="nil"/>
              <w:left w:val="nil"/>
              <w:bottom w:val="nil"/>
              <w:right w:val="nil"/>
            </w:tcBorders>
            <w:noWrap/>
            <w:vAlign w:val="center"/>
            <w:hideMark/>
          </w:tcPr>
          <w:p w14:paraId="7DEB5F4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10.90%</w:t>
            </w:r>
          </w:p>
        </w:tc>
        <w:tc>
          <w:tcPr>
            <w:tcW w:w="1459" w:type="dxa"/>
            <w:tcBorders>
              <w:top w:val="nil"/>
              <w:left w:val="nil"/>
              <w:bottom w:val="nil"/>
              <w:right w:val="nil"/>
            </w:tcBorders>
            <w:noWrap/>
            <w:vAlign w:val="center"/>
            <w:hideMark/>
          </w:tcPr>
          <w:p w14:paraId="49B29C6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Nigeria</w:t>
            </w:r>
          </w:p>
        </w:tc>
        <w:tc>
          <w:tcPr>
            <w:tcW w:w="1752" w:type="dxa"/>
            <w:tcBorders>
              <w:top w:val="nil"/>
              <w:left w:val="nil"/>
              <w:bottom w:val="nil"/>
              <w:right w:val="nil"/>
            </w:tcBorders>
            <w:noWrap/>
            <w:vAlign w:val="center"/>
            <w:hideMark/>
          </w:tcPr>
          <w:p w14:paraId="642605A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Clean water</w:t>
            </w:r>
          </w:p>
        </w:tc>
        <w:tc>
          <w:tcPr>
            <w:tcW w:w="730" w:type="dxa"/>
            <w:tcBorders>
              <w:top w:val="nil"/>
              <w:left w:val="nil"/>
              <w:bottom w:val="nil"/>
              <w:right w:val="nil"/>
            </w:tcBorders>
            <w:noWrap/>
            <w:vAlign w:val="center"/>
            <w:hideMark/>
          </w:tcPr>
          <w:p w14:paraId="21B3143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67</w:t>
            </w:r>
          </w:p>
        </w:tc>
        <w:tc>
          <w:tcPr>
            <w:tcW w:w="1019" w:type="dxa"/>
            <w:tcBorders>
              <w:top w:val="nil"/>
              <w:left w:val="nil"/>
              <w:bottom w:val="nil"/>
              <w:right w:val="nil"/>
            </w:tcBorders>
            <w:noWrap/>
            <w:vAlign w:val="center"/>
            <w:hideMark/>
          </w:tcPr>
          <w:p w14:paraId="6E1C095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92.54%</w:t>
            </w:r>
          </w:p>
        </w:tc>
      </w:tr>
      <w:tr w:rsidR="007318B1" w:rsidRPr="00F96FB7" w14:paraId="45406410" w14:textId="77777777" w:rsidTr="008955E4">
        <w:trPr>
          <w:trHeight w:val="227"/>
        </w:trPr>
        <w:tc>
          <w:tcPr>
            <w:tcW w:w="1276" w:type="dxa"/>
            <w:tcBorders>
              <w:top w:val="nil"/>
              <w:left w:val="nil"/>
              <w:bottom w:val="nil"/>
              <w:right w:val="nil"/>
            </w:tcBorders>
            <w:noWrap/>
            <w:vAlign w:val="center"/>
            <w:hideMark/>
          </w:tcPr>
          <w:p w14:paraId="3CCDA98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38EDAC4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Improved forest management</w:t>
            </w:r>
          </w:p>
        </w:tc>
        <w:tc>
          <w:tcPr>
            <w:tcW w:w="584" w:type="dxa"/>
            <w:tcBorders>
              <w:top w:val="nil"/>
              <w:left w:val="nil"/>
              <w:bottom w:val="nil"/>
              <w:right w:val="nil"/>
            </w:tcBorders>
            <w:noWrap/>
            <w:vAlign w:val="center"/>
            <w:hideMark/>
          </w:tcPr>
          <w:p w14:paraId="10F82DB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72</w:t>
            </w:r>
          </w:p>
        </w:tc>
        <w:tc>
          <w:tcPr>
            <w:tcW w:w="1022" w:type="dxa"/>
            <w:tcBorders>
              <w:top w:val="nil"/>
              <w:left w:val="nil"/>
              <w:bottom w:val="nil"/>
              <w:right w:val="nil"/>
            </w:tcBorders>
            <w:noWrap/>
            <w:vAlign w:val="center"/>
            <w:hideMark/>
          </w:tcPr>
          <w:p w14:paraId="1BFF79B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41.67%</w:t>
            </w:r>
          </w:p>
        </w:tc>
        <w:tc>
          <w:tcPr>
            <w:tcW w:w="1459" w:type="dxa"/>
            <w:tcBorders>
              <w:top w:val="nil"/>
              <w:left w:val="nil"/>
              <w:bottom w:val="nil"/>
              <w:right w:val="nil"/>
            </w:tcBorders>
            <w:noWrap/>
            <w:vAlign w:val="center"/>
            <w:hideMark/>
          </w:tcPr>
          <w:p w14:paraId="32EE057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Rwanda</w:t>
            </w:r>
          </w:p>
        </w:tc>
        <w:tc>
          <w:tcPr>
            <w:tcW w:w="1752" w:type="dxa"/>
            <w:tcBorders>
              <w:top w:val="nil"/>
              <w:left w:val="nil"/>
              <w:bottom w:val="nil"/>
              <w:right w:val="nil"/>
            </w:tcBorders>
            <w:noWrap/>
            <w:vAlign w:val="center"/>
            <w:hideMark/>
          </w:tcPr>
          <w:p w14:paraId="7054ED8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Clean water</w:t>
            </w:r>
          </w:p>
        </w:tc>
        <w:tc>
          <w:tcPr>
            <w:tcW w:w="730" w:type="dxa"/>
            <w:tcBorders>
              <w:top w:val="nil"/>
              <w:left w:val="nil"/>
              <w:bottom w:val="nil"/>
              <w:right w:val="nil"/>
            </w:tcBorders>
            <w:noWrap/>
            <w:vAlign w:val="center"/>
            <w:hideMark/>
          </w:tcPr>
          <w:p w14:paraId="0529A745"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19</w:t>
            </w:r>
          </w:p>
        </w:tc>
        <w:tc>
          <w:tcPr>
            <w:tcW w:w="1019" w:type="dxa"/>
            <w:tcBorders>
              <w:top w:val="nil"/>
              <w:left w:val="nil"/>
              <w:bottom w:val="nil"/>
              <w:right w:val="nil"/>
            </w:tcBorders>
            <w:noWrap/>
            <w:vAlign w:val="center"/>
            <w:hideMark/>
          </w:tcPr>
          <w:p w14:paraId="2A02B75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63.16%</w:t>
            </w:r>
          </w:p>
        </w:tc>
      </w:tr>
      <w:tr w:rsidR="007318B1" w:rsidRPr="00F96FB7" w14:paraId="7E6B09FE" w14:textId="77777777" w:rsidTr="008955E4">
        <w:trPr>
          <w:trHeight w:val="227"/>
        </w:trPr>
        <w:tc>
          <w:tcPr>
            <w:tcW w:w="1276" w:type="dxa"/>
            <w:tcBorders>
              <w:top w:val="nil"/>
              <w:left w:val="nil"/>
              <w:bottom w:val="nil"/>
              <w:right w:val="nil"/>
            </w:tcBorders>
            <w:noWrap/>
            <w:vAlign w:val="center"/>
            <w:hideMark/>
          </w:tcPr>
          <w:p w14:paraId="524BA36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3AC7E42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Solar</w:t>
            </w:r>
          </w:p>
        </w:tc>
        <w:tc>
          <w:tcPr>
            <w:tcW w:w="584" w:type="dxa"/>
            <w:tcBorders>
              <w:top w:val="nil"/>
              <w:left w:val="nil"/>
              <w:bottom w:val="nil"/>
              <w:right w:val="nil"/>
            </w:tcBorders>
            <w:noWrap/>
            <w:vAlign w:val="center"/>
            <w:hideMark/>
          </w:tcPr>
          <w:p w14:paraId="2189A309"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34</w:t>
            </w:r>
          </w:p>
        </w:tc>
        <w:tc>
          <w:tcPr>
            <w:tcW w:w="1022" w:type="dxa"/>
            <w:tcBorders>
              <w:top w:val="nil"/>
              <w:left w:val="nil"/>
              <w:bottom w:val="nil"/>
              <w:right w:val="nil"/>
            </w:tcBorders>
            <w:noWrap/>
            <w:vAlign w:val="center"/>
            <w:hideMark/>
          </w:tcPr>
          <w:p w14:paraId="38406072"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91.18%</w:t>
            </w:r>
          </w:p>
        </w:tc>
        <w:tc>
          <w:tcPr>
            <w:tcW w:w="1459" w:type="dxa"/>
            <w:tcBorders>
              <w:top w:val="nil"/>
              <w:left w:val="nil"/>
              <w:bottom w:val="nil"/>
              <w:right w:val="nil"/>
            </w:tcBorders>
            <w:noWrap/>
            <w:vAlign w:val="center"/>
            <w:hideMark/>
          </w:tcPr>
          <w:p w14:paraId="18C0B68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Rwanda</w:t>
            </w:r>
          </w:p>
        </w:tc>
        <w:tc>
          <w:tcPr>
            <w:tcW w:w="1752" w:type="dxa"/>
            <w:tcBorders>
              <w:top w:val="nil"/>
              <w:left w:val="nil"/>
              <w:bottom w:val="nil"/>
              <w:right w:val="nil"/>
            </w:tcBorders>
            <w:noWrap/>
            <w:vAlign w:val="center"/>
            <w:hideMark/>
          </w:tcPr>
          <w:p w14:paraId="34272CF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730" w:type="dxa"/>
            <w:tcBorders>
              <w:top w:val="nil"/>
              <w:left w:val="nil"/>
              <w:bottom w:val="nil"/>
              <w:right w:val="nil"/>
            </w:tcBorders>
            <w:noWrap/>
            <w:vAlign w:val="center"/>
            <w:hideMark/>
          </w:tcPr>
          <w:p w14:paraId="5DF4C3F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90</w:t>
            </w:r>
          </w:p>
        </w:tc>
        <w:tc>
          <w:tcPr>
            <w:tcW w:w="1019" w:type="dxa"/>
            <w:tcBorders>
              <w:top w:val="nil"/>
              <w:left w:val="nil"/>
              <w:bottom w:val="nil"/>
              <w:right w:val="nil"/>
            </w:tcBorders>
            <w:noWrap/>
            <w:vAlign w:val="center"/>
            <w:hideMark/>
          </w:tcPr>
          <w:p w14:paraId="120FACF6"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81.11%</w:t>
            </w:r>
          </w:p>
        </w:tc>
      </w:tr>
      <w:tr w:rsidR="007318B1" w:rsidRPr="00F96FB7" w14:paraId="556D0E1E" w14:textId="77777777" w:rsidTr="008955E4">
        <w:trPr>
          <w:trHeight w:val="227"/>
        </w:trPr>
        <w:tc>
          <w:tcPr>
            <w:tcW w:w="1276" w:type="dxa"/>
            <w:tcBorders>
              <w:top w:val="nil"/>
              <w:left w:val="nil"/>
              <w:bottom w:val="nil"/>
              <w:right w:val="nil"/>
            </w:tcBorders>
            <w:noWrap/>
            <w:vAlign w:val="center"/>
            <w:hideMark/>
          </w:tcPr>
          <w:p w14:paraId="6B6B510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0F1162A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Afforestation/</w:t>
            </w:r>
          </w:p>
          <w:p w14:paraId="2901543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Reforestation</w:t>
            </w:r>
          </w:p>
        </w:tc>
        <w:tc>
          <w:tcPr>
            <w:tcW w:w="584" w:type="dxa"/>
            <w:tcBorders>
              <w:top w:val="nil"/>
              <w:left w:val="nil"/>
              <w:bottom w:val="nil"/>
              <w:right w:val="nil"/>
            </w:tcBorders>
            <w:noWrap/>
            <w:vAlign w:val="center"/>
            <w:hideMark/>
          </w:tcPr>
          <w:p w14:paraId="33079AE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79</w:t>
            </w:r>
          </w:p>
        </w:tc>
        <w:tc>
          <w:tcPr>
            <w:tcW w:w="1022" w:type="dxa"/>
            <w:tcBorders>
              <w:top w:val="nil"/>
              <w:left w:val="nil"/>
              <w:bottom w:val="nil"/>
              <w:right w:val="nil"/>
            </w:tcBorders>
            <w:noWrap/>
            <w:vAlign w:val="center"/>
            <w:hideMark/>
          </w:tcPr>
          <w:p w14:paraId="45CDF46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55.70%</w:t>
            </w:r>
          </w:p>
        </w:tc>
        <w:tc>
          <w:tcPr>
            <w:tcW w:w="1459" w:type="dxa"/>
            <w:tcBorders>
              <w:top w:val="nil"/>
              <w:left w:val="nil"/>
              <w:bottom w:val="nil"/>
              <w:right w:val="nil"/>
            </w:tcBorders>
            <w:noWrap/>
            <w:vAlign w:val="center"/>
            <w:hideMark/>
          </w:tcPr>
          <w:p w14:paraId="092693A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Turkey</w:t>
            </w:r>
          </w:p>
        </w:tc>
        <w:tc>
          <w:tcPr>
            <w:tcW w:w="1752" w:type="dxa"/>
            <w:tcBorders>
              <w:top w:val="nil"/>
              <w:left w:val="nil"/>
              <w:bottom w:val="nil"/>
              <w:right w:val="nil"/>
            </w:tcBorders>
            <w:noWrap/>
            <w:vAlign w:val="center"/>
            <w:hideMark/>
          </w:tcPr>
          <w:p w14:paraId="27FC0F6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 xml:space="preserve">Solar </w:t>
            </w:r>
          </w:p>
        </w:tc>
        <w:tc>
          <w:tcPr>
            <w:tcW w:w="730" w:type="dxa"/>
            <w:tcBorders>
              <w:top w:val="nil"/>
              <w:left w:val="nil"/>
              <w:bottom w:val="nil"/>
              <w:right w:val="nil"/>
            </w:tcBorders>
            <w:noWrap/>
            <w:vAlign w:val="center"/>
            <w:hideMark/>
          </w:tcPr>
          <w:p w14:paraId="0BE83ED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20</w:t>
            </w:r>
          </w:p>
        </w:tc>
        <w:tc>
          <w:tcPr>
            <w:tcW w:w="1019" w:type="dxa"/>
            <w:tcBorders>
              <w:top w:val="nil"/>
              <w:left w:val="nil"/>
              <w:bottom w:val="nil"/>
              <w:right w:val="nil"/>
            </w:tcBorders>
            <w:noWrap/>
            <w:vAlign w:val="center"/>
            <w:hideMark/>
          </w:tcPr>
          <w:p w14:paraId="67C0403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80.00%</w:t>
            </w:r>
          </w:p>
        </w:tc>
      </w:tr>
      <w:tr w:rsidR="007318B1" w:rsidRPr="00F96FB7" w14:paraId="69A236E3" w14:textId="77777777" w:rsidTr="008955E4">
        <w:trPr>
          <w:trHeight w:val="227"/>
        </w:trPr>
        <w:tc>
          <w:tcPr>
            <w:tcW w:w="1276" w:type="dxa"/>
            <w:tcBorders>
              <w:top w:val="nil"/>
              <w:left w:val="nil"/>
              <w:bottom w:val="nil"/>
              <w:right w:val="nil"/>
            </w:tcBorders>
            <w:noWrap/>
            <w:vAlign w:val="center"/>
            <w:hideMark/>
          </w:tcPr>
          <w:p w14:paraId="53C38A4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0F9DEAB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Sustainable agriculture</w:t>
            </w:r>
          </w:p>
        </w:tc>
        <w:tc>
          <w:tcPr>
            <w:tcW w:w="584" w:type="dxa"/>
            <w:tcBorders>
              <w:top w:val="nil"/>
              <w:left w:val="nil"/>
              <w:bottom w:val="nil"/>
              <w:right w:val="nil"/>
            </w:tcBorders>
            <w:noWrap/>
            <w:vAlign w:val="center"/>
            <w:hideMark/>
          </w:tcPr>
          <w:p w14:paraId="3843400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60</w:t>
            </w:r>
          </w:p>
        </w:tc>
        <w:tc>
          <w:tcPr>
            <w:tcW w:w="1022" w:type="dxa"/>
            <w:tcBorders>
              <w:top w:val="nil"/>
              <w:left w:val="nil"/>
              <w:bottom w:val="nil"/>
              <w:right w:val="nil"/>
            </w:tcBorders>
            <w:noWrap/>
            <w:vAlign w:val="center"/>
            <w:hideMark/>
          </w:tcPr>
          <w:p w14:paraId="06FC57E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83.33%</w:t>
            </w:r>
          </w:p>
        </w:tc>
        <w:tc>
          <w:tcPr>
            <w:tcW w:w="1459" w:type="dxa"/>
            <w:tcBorders>
              <w:top w:val="nil"/>
              <w:left w:val="nil"/>
              <w:bottom w:val="nil"/>
              <w:right w:val="nil"/>
            </w:tcBorders>
            <w:noWrap/>
            <w:vAlign w:val="center"/>
            <w:hideMark/>
          </w:tcPr>
          <w:p w14:paraId="19C559C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Turkey</w:t>
            </w:r>
          </w:p>
        </w:tc>
        <w:tc>
          <w:tcPr>
            <w:tcW w:w="1752" w:type="dxa"/>
            <w:tcBorders>
              <w:top w:val="nil"/>
              <w:left w:val="nil"/>
              <w:bottom w:val="nil"/>
              <w:right w:val="nil"/>
            </w:tcBorders>
            <w:noWrap/>
            <w:vAlign w:val="center"/>
            <w:hideMark/>
          </w:tcPr>
          <w:p w14:paraId="4312738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Manure methane digester</w:t>
            </w:r>
          </w:p>
        </w:tc>
        <w:tc>
          <w:tcPr>
            <w:tcW w:w="730" w:type="dxa"/>
            <w:tcBorders>
              <w:top w:val="nil"/>
              <w:left w:val="nil"/>
              <w:bottom w:val="nil"/>
              <w:right w:val="nil"/>
            </w:tcBorders>
            <w:noWrap/>
            <w:vAlign w:val="center"/>
            <w:hideMark/>
          </w:tcPr>
          <w:p w14:paraId="35E7A18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66</w:t>
            </w:r>
          </w:p>
        </w:tc>
        <w:tc>
          <w:tcPr>
            <w:tcW w:w="1019" w:type="dxa"/>
            <w:tcBorders>
              <w:top w:val="nil"/>
              <w:left w:val="nil"/>
              <w:bottom w:val="nil"/>
              <w:right w:val="nil"/>
            </w:tcBorders>
            <w:noWrap/>
            <w:vAlign w:val="center"/>
            <w:hideMark/>
          </w:tcPr>
          <w:p w14:paraId="122D299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48.48%</w:t>
            </w:r>
          </w:p>
        </w:tc>
      </w:tr>
      <w:tr w:rsidR="007318B1" w:rsidRPr="00F96FB7" w14:paraId="60BFB3F8" w14:textId="77777777" w:rsidTr="008955E4">
        <w:trPr>
          <w:trHeight w:val="227"/>
        </w:trPr>
        <w:tc>
          <w:tcPr>
            <w:tcW w:w="1276" w:type="dxa"/>
            <w:tcBorders>
              <w:top w:val="nil"/>
              <w:left w:val="nil"/>
              <w:bottom w:val="nil"/>
              <w:right w:val="nil"/>
            </w:tcBorders>
            <w:noWrap/>
            <w:vAlign w:val="center"/>
            <w:hideMark/>
          </w:tcPr>
          <w:p w14:paraId="0F208DE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6EF10F9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Landfill methane</w:t>
            </w:r>
          </w:p>
        </w:tc>
        <w:tc>
          <w:tcPr>
            <w:tcW w:w="584" w:type="dxa"/>
            <w:tcBorders>
              <w:top w:val="nil"/>
              <w:left w:val="nil"/>
              <w:bottom w:val="nil"/>
              <w:right w:val="nil"/>
            </w:tcBorders>
            <w:noWrap/>
            <w:vAlign w:val="center"/>
            <w:hideMark/>
          </w:tcPr>
          <w:p w14:paraId="30F0F06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87</w:t>
            </w:r>
          </w:p>
        </w:tc>
        <w:tc>
          <w:tcPr>
            <w:tcW w:w="1022" w:type="dxa"/>
            <w:tcBorders>
              <w:top w:val="nil"/>
              <w:left w:val="nil"/>
              <w:bottom w:val="nil"/>
              <w:right w:val="nil"/>
            </w:tcBorders>
            <w:noWrap/>
            <w:vAlign w:val="center"/>
            <w:hideMark/>
          </w:tcPr>
          <w:p w14:paraId="264438C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81.61%</w:t>
            </w:r>
          </w:p>
        </w:tc>
        <w:tc>
          <w:tcPr>
            <w:tcW w:w="1459" w:type="dxa"/>
            <w:tcBorders>
              <w:top w:val="nil"/>
              <w:left w:val="nil"/>
              <w:bottom w:val="nil"/>
              <w:right w:val="nil"/>
            </w:tcBorders>
            <w:noWrap/>
            <w:vAlign w:val="center"/>
            <w:hideMark/>
          </w:tcPr>
          <w:p w14:paraId="2242E01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Turkey</w:t>
            </w:r>
          </w:p>
        </w:tc>
        <w:tc>
          <w:tcPr>
            <w:tcW w:w="1752" w:type="dxa"/>
            <w:tcBorders>
              <w:top w:val="nil"/>
              <w:left w:val="nil"/>
              <w:bottom w:val="nil"/>
              <w:right w:val="nil"/>
            </w:tcBorders>
            <w:noWrap/>
            <w:vAlign w:val="center"/>
            <w:hideMark/>
          </w:tcPr>
          <w:p w14:paraId="7A9BBC3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Landfill methane</w:t>
            </w:r>
          </w:p>
        </w:tc>
        <w:tc>
          <w:tcPr>
            <w:tcW w:w="730" w:type="dxa"/>
            <w:tcBorders>
              <w:top w:val="nil"/>
              <w:left w:val="nil"/>
              <w:bottom w:val="nil"/>
              <w:right w:val="nil"/>
            </w:tcBorders>
            <w:noWrap/>
            <w:vAlign w:val="center"/>
            <w:hideMark/>
          </w:tcPr>
          <w:p w14:paraId="4390F02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58</w:t>
            </w:r>
          </w:p>
        </w:tc>
        <w:tc>
          <w:tcPr>
            <w:tcW w:w="1019" w:type="dxa"/>
            <w:tcBorders>
              <w:top w:val="nil"/>
              <w:left w:val="nil"/>
              <w:bottom w:val="nil"/>
              <w:right w:val="nil"/>
            </w:tcBorders>
            <w:noWrap/>
            <w:vAlign w:val="center"/>
            <w:hideMark/>
          </w:tcPr>
          <w:p w14:paraId="2A5A2EB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58.62%</w:t>
            </w:r>
          </w:p>
        </w:tc>
      </w:tr>
      <w:tr w:rsidR="007318B1" w:rsidRPr="00F96FB7" w14:paraId="42032CDA" w14:textId="77777777" w:rsidTr="008955E4">
        <w:trPr>
          <w:trHeight w:val="227"/>
        </w:trPr>
        <w:tc>
          <w:tcPr>
            <w:tcW w:w="1276" w:type="dxa"/>
            <w:tcBorders>
              <w:top w:val="nil"/>
              <w:left w:val="nil"/>
              <w:bottom w:val="nil"/>
              <w:right w:val="nil"/>
            </w:tcBorders>
            <w:noWrap/>
            <w:vAlign w:val="center"/>
            <w:hideMark/>
          </w:tcPr>
          <w:p w14:paraId="35680A7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73670545"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Hydropower</w:t>
            </w:r>
          </w:p>
        </w:tc>
        <w:tc>
          <w:tcPr>
            <w:tcW w:w="584" w:type="dxa"/>
            <w:tcBorders>
              <w:top w:val="nil"/>
              <w:left w:val="nil"/>
              <w:bottom w:val="nil"/>
              <w:right w:val="nil"/>
            </w:tcBorders>
            <w:noWrap/>
            <w:vAlign w:val="center"/>
            <w:hideMark/>
          </w:tcPr>
          <w:p w14:paraId="52421A2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116</w:t>
            </w:r>
          </w:p>
        </w:tc>
        <w:tc>
          <w:tcPr>
            <w:tcW w:w="1022" w:type="dxa"/>
            <w:tcBorders>
              <w:top w:val="nil"/>
              <w:left w:val="nil"/>
              <w:bottom w:val="nil"/>
              <w:right w:val="nil"/>
            </w:tcBorders>
            <w:noWrap/>
            <w:vAlign w:val="center"/>
            <w:hideMark/>
          </w:tcPr>
          <w:p w14:paraId="4CF3492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73.28%</w:t>
            </w:r>
          </w:p>
        </w:tc>
        <w:tc>
          <w:tcPr>
            <w:tcW w:w="1459" w:type="dxa"/>
            <w:tcBorders>
              <w:top w:val="nil"/>
              <w:left w:val="nil"/>
              <w:bottom w:val="nil"/>
              <w:right w:val="nil"/>
            </w:tcBorders>
            <w:noWrap/>
            <w:vAlign w:val="center"/>
            <w:hideMark/>
          </w:tcPr>
          <w:p w14:paraId="2C49387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Turkey</w:t>
            </w:r>
          </w:p>
        </w:tc>
        <w:tc>
          <w:tcPr>
            <w:tcW w:w="1752" w:type="dxa"/>
            <w:tcBorders>
              <w:top w:val="nil"/>
              <w:left w:val="nil"/>
              <w:bottom w:val="nil"/>
              <w:right w:val="nil"/>
            </w:tcBorders>
            <w:noWrap/>
            <w:vAlign w:val="center"/>
            <w:hideMark/>
          </w:tcPr>
          <w:p w14:paraId="100870B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Hydropower</w:t>
            </w:r>
          </w:p>
        </w:tc>
        <w:tc>
          <w:tcPr>
            <w:tcW w:w="730" w:type="dxa"/>
            <w:tcBorders>
              <w:top w:val="nil"/>
              <w:left w:val="nil"/>
              <w:bottom w:val="nil"/>
              <w:right w:val="nil"/>
            </w:tcBorders>
            <w:noWrap/>
            <w:vAlign w:val="center"/>
            <w:hideMark/>
          </w:tcPr>
          <w:p w14:paraId="2ED918D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186</w:t>
            </w:r>
          </w:p>
        </w:tc>
        <w:tc>
          <w:tcPr>
            <w:tcW w:w="1019" w:type="dxa"/>
            <w:tcBorders>
              <w:top w:val="nil"/>
              <w:left w:val="nil"/>
              <w:bottom w:val="nil"/>
              <w:right w:val="nil"/>
            </w:tcBorders>
            <w:noWrap/>
            <w:vAlign w:val="center"/>
            <w:hideMark/>
          </w:tcPr>
          <w:p w14:paraId="599B9DD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77.42%</w:t>
            </w:r>
          </w:p>
        </w:tc>
      </w:tr>
      <w:tr w:rsidR="007318B1" w:rsidRPr="00F96FB7" w14:paraId="7F0862AA" w14:textId="77777777" w:rsidTr="008955E4">
        <w:trPr>
          <w:trHeight w:val="227"/>
        </w:trPr>
        <w:tc>
          <w:tcPr>
            <w:tcW w:w="1276" w:type="dxa"/>
            <w:tcBorders>
              <w:top w:val="nil"/>
              <w:left w:val="nil"/>
              <w:bottom w:val="nil"/>
              <w:right w:val="nil"/>
            </w:tcBorders>
            <w:noWrap/>
            <w:vAlign w:val="center"/>
            <w:hideMark/>
          </w:tcPr>
          <w:p w14:paraId="0EDC88A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3D743AC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Manure methane digester</w:t>
            </w:r>
          </w:p>
        </w:tc>
        <w:tc>
          <w:tcPr>
            <w:tcW w:w="584" w:type="dxa"/>
            <w:tcBorders>
              <w:top w:val="nil"/>
              <w:left w:val="nil"/>
              <w:bottom w:val="nil"/>
              <w:right w:val="nil"/>
            </w:tcBorders>
            <w:noWrap/>
            <w:vAlign w:val="center"/>
            <w:hideMark/>
          </w:tcPr>
          <w:p w14:paraId="2EFEB2C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144</w:t>
            </w:r>
          </w:p>
        </w:tc>
        <w:tc>
          <w:tcPr>
            <w:tcW w:w="1022" w:type="dxa"/>
            <w:tcBorders>
              <w:top w:val="nil"/>
              <w:left w:val="nil"/>
              <w:bottom w:val="nil"/>
              <w:right w:val="nil"/>
            </w:tcBorders>
            <w:noWrap/>
            <w:vAlign w:val="center"/>
            <w:hideMark/>
          </w:tcPr>
          <w:p w14:paraId="7C1DBD7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68.06%</w:t>
            </w:r>
          </w:p>
        </w:tc>
        <w:tc>
          <w:tcPr>
            <w:tcW w:w="1459" w:type="dxa"/>
            <w:tcBorders>
              <w:top w:val="nil"/>
              <w:left w:val="nil"/>
              <w:bottom w:val="nil"/>
              <w:right w:val="nil"/>
            </w:tcBorders>
            <w:noWrap/>
            <w:vAlign w:val="center"/>
            <w:hideMark/>
          </w:tcPr>
          <w:p w14:paraId="1BFA15B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Turkey</w:t>
            </w:r>
          </w:p>
        </w:tc>
        <w:tc>
          <w:tcPr>
            <w:tcW w:w="1752" w:type="dxa"/>
            <w:tcBorders>
              <w:top w:val="nil"/>
              <w:left w:val="nil"/>
              <w:bottom w:val="nil"/>
              <w:right w:val="nil"/>
            </w:tcBorders>
            <w:noWrap/>
            <w:vAlign w:val="center"/>
            <w:hideMark/>
          </w:tcPr>
          <w:p w14:paraId="641EAED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Wind</w:t>
            </w:r>
          </w:p>
        </w:tc>
        <w:tc>
          <w:tcPr>
            <w:tcW w:w="730" w:type="dxa"/>
            <w:tcBorders>
              <w:top w:val="nil"/>
              <w:left w:val="nil"/>
              <w:bottom w:val="nil"/>
              <w:right w:val="nil"/>
            </w:tcBorders>
            <w:noWrap/>
            <w:vAlign w:val="center"/>
            <w:hideMark/>
          </w:tcPr>
          <w:p w14:paraId="082761C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177</w:t>
            </w:r>
          </w:p>
        </w:tc>
        <w:tc>
          <w:tcPr>
            <w:tcW w:w="1019" w:type="dxa"/>
            <w:tcBorders>
              <w:top w:val="nil"/>
              <w:left w:val="nil"/>
              <w:bottom w:val="nil"/>
              <w:right w:val="nil"/>
            </w:tcBorders>
            <w:noWrap/>
            <w:vAlign w:val="center"/>
            <w:hideMark/>
          </w:tcPr>
          <w:p w14:paraId="69DDDA3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83.62%</w:t>
            </w:r>
          </w:p>
        </w:tc>
      </w:tr>
      <w:tr w:rsidR="007318B1" w:rsidRPr="00F96FB7" w14:paraId="3F7D99FC" w14:textId="77777777" w:rsidTr="008955E4">
        <w:trPr>
          <w:trHeight w:val="227"/>
        </w:trPr>
        <w:tc>
          <w:tcPr>
            <w:tcW w:w="1276" w:type="dxa"/>
            <w:tcBorders>
              <w:top w:val="nil"/>
              <w:left w:val="nil"/>
              <w:bottom w:val="nil"/>
              <w:right w:val="nil"/>
            </w:tcBorders>
            <w:noWrap/>
            <w:vAlign w:val="center"/>
            <w:hideMark/>
          </w:tcPr>
          <w:p w14:paraId="7FBDFDE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36C37C2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Biodigesters</w:t>
            </w:r>
          </w:p>
        </w:tc>
        <w:tc>
          <w:tcPr>
            <w:tcW w:w="584" w:type="dxa"/>
            <w:tcBorders>
              <w:top w:val="nil"/>
              <w:left w:val="nil"/>
              <w:bottom w:val="nil"/>
              <w:right w:val="nil"/>
            </w:tcBorders>
            <w:noWrap/>
            <w:vAlign w:val="center"/>
            <w:hideMark/>
          </w:tcPr>
          <w:p w14:paraId="047E1B1E"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125</w:t>
            </w:r>
          </w:p>
        </w:tc>
        <w:tc>
          <w:tcPr>
            <w:tcW w:w="1022" w:type="dxa"/>
            <w:tcBorders>
              <w:top w:val="nil"/>
              <w:left w:val="nil"/>
              <w:bottom w:val="nil"/>
              <w:right w:val="nil"/>
            </w:tcBorders>
            <w:noWrap/>
            <w:vAlign w:val="center"/>
            <w:hideMark/>
          </w:tcPr>
          <w:p w14:paraId="74E2FD8D"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92.00%</w:t>
            </w:r>
          </w:p>
        </w:tc>
        <w:tc>
          <w:tcPr>
            <w:tcW w:w="1459" w:type="dxa"/>
            <w:tcBorders>
              <w:top w:val="nil"/>
              <w:left w:val="nil"/>
              <w:bottom w:val="nil"/>
              <w:right w:val="nil"/>
            </w:tcBorders>
            <w:noWrap/>
            <w:vAlign w:val="center"/>
            <w:hideMark/>
          </w:tcPr>
          <w:p w14:paraId="4325F825"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Uganda</w:t>
            </w:r>
          </w:p>
        </w:tc>
        <w:tc>
          <w:tcPr>
            <w:tcW w:w="1752" w:type="dxa"/>
            <w:tcBorders>
              <w:top w:val="nil"/>
              <w:left w:val="nil"/>
              <w:bottom w:val="nil"/>
              <w:right w:val="nil"/>
            </w:tcBorders>
            <w:noWrap/>
            <w:vAlign w:val="center"/>
            <w:hideMark/>
          </w:tcPr>
          <w:p w14:paraId="22AD68E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Afforestation/</w:t>
            </w:r>
          </w:p>
          <w:p w14:paraId="719E280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Reforestation</w:t>
            </w:r>
          </w:p>
        </w:tc>
        <w:tc>
          <w:tcPr>
            <w:tcW w:w="730" w:type="dxa"/>
            <w:tcBorders>
              <w:top w:val="nil"/>
              <w:left w:val="nil"/>
              <w:bottom w:val="nil"/>
              <w:right w:val="nil"/>
            </w:tcBorders>
            <w:noWrap/>
            <w:vAlign w:val="center"/>
            <w:hideMark/>
          </w:tcPr>
          <w:p w14:paraId="5B719025"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21</w:t>
            </w:r>
          </w:p>
        </w:tc>
        <w:tc>
          <w:tcPr>
            <w:tcW w:w="1019" w:type="dxa"/>
            <w:tcBorders>
              <w:top w:val="nil"/>
              <w:left w:val="nil"/>
              <w:bottom w:val="nil"/>
              <w:right w:val="nil"/>
            </w:tcBorders>
            <w:noWrap/>
            <w:vAlign w:val="center"/>
            <w:hideMark/>
          </w:tcPr>
          <w:p w14:paraId="2EB3B6EE"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95.24%</w:t>
            </w:r>
          </w:p>
        </w:tc>
      </w:tr>
      <w:tr w:rsidR="007318B1" w:rsidRPr="00F96FB7" w14:paraId="1295A382" w14:textId="77777777" w:rsidTr="008955E4">
        <w:trPr>
          <w:trHeight w:val="227"/>
        </w:trPr>
        <w:tc>
          <w:tcPr>
            <w:tcW w:w="1276" w:type="dxa"/>
            <w:tcBorders>
              <w:top w:val="nil"/>
              <w:left w:val="nil"/>
              <w:bottom w:val="nil"/>
              <w:right w:val="nil"/>
            </w:tcBorders>
            <w:noWrap/>
            <w:vAlign w:val="center"/>
            <w:hideMark/>
          </w:tcPr>
          <w:p w14:paraId="5089240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China</w:t>
            </w:r>
          </w:p>
        </w:tc>
        <w:tc>
          <w:tcPr>
            <w:tcW w:w="1640" w:type="dxa"/>
            <w:tcBorders>
              <w:top w:val="nil"/>
              <w:left w:val="nil"/>
              <w:bottom w:val="nil"/>
              <w:right w:val="nil"/>
            </w:tcBorders>
            <w:noWrap/>
            <w:vAlign w:val="center"/>
            <w:hideMark/>
          </w:tcPr>
          <w:p w14:paraId="3836EA7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Wind</w:t>
            </w:r>
          </w:p>
        </w:tc>
        <w:tc>
          <w:tcPr>
            <w:tcW w:w="584" w:type="dxa"/>
            <w:tcBorders>
              <w:top w:val="nil"/>
              <w:left w:val="nil"/>
              <w:bottom w:val="nil"/>
              <w:right w:val="nil"/>
            </w:tcBorders>
            <w:noWrap/>
            <w:vAlign w:val="center"/>
            <w:hideMark/>
          </w:tcPr>
          <w:p w14:paraId="2DCDC89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211</w:t>
            </w:r>
          </w:p>
        </w:tc>
        <w:tc>
          <w:tcPr>
            <w:tcW w:w="1022" w:type="dxa"/>
            <w:tcBorders>
              <w:top w:val="nil"/>
              <w:left w:val="nil"/>
              <w:bottom w:val="nil"/>
              <w:right w:val="nil"/>
            </w:tcBorders>
            <w:noWrap/>
            <w:vAlign w:val="center"/>
            <w:hideMark/>
          </w:tcPr>
          <w:p w14:paraId="4A95689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78.20%</w:t>
            </w:r>
          </w:p>
        </w:tc>
        <w:tc>
          <w:tcPr>
            <w:tcW w:w="1459" w:type="dxa"/>
            <w:tcBorders>
              <w:top w:val="nil"/>
              <w:left w:val="nil"/>
              <w:bottom w:val="nil"/>
              <w:right w:val="nil"/>
            </w:tcBorders>
            <w:noWrap/>
            <w:vAlign w:val="center"/>
            <w:hideMark/>
          </w:tcPr>
          <w:p w14:paraId="60DABFA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Uganda</w:t>
            </w:r>
          </w:p>
        </w:tc>
        <w:tc>
          <w:tcPr>
            <w:tcW w:w="1752" w:type="dxa"/>
            <w:tcBorders>
              <w:top w:val="nil"/>
              <w:left w:val="nil"/>
              <w:bottom w:val="nil"/>
              <w:right w:val="nil"/>
            </w:tcBorders>
            <w:noWrap/>
            <w:vAlign w:val="center"/>
            <w:hideMark/>
          </w:tcPr>
          <w:p w14:paraId="42F8209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Clean water</w:t>
            </w:r>
          </w:p>
        </w:tc>
        <w:tc>
          <w:tcPr>
            <w:tcW w:w="730" w:type="dxa"/>
            <w:tcBorders>
              <w:top w:val="nil"/>
              <w:left w:val="nil"/>
              <w:bottom w:val="nil"/>
              <w:right w:val="nil"/>
            </w:tcBorders>
            <w:noWrap/>
            <w:vAlign w:val="center"/>
            <w:hideMark/>
          </w:tcPr>
          <w:p w14:paraId="4408464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54</w:t>
            </w:r>
          </w:p>
        </w:tc>
        <w:tc>
          <w:tcPr>
            <w:tcW w:w="1019" w:type="dxa"/>
            <w:tcBorders>
              <w:top w:val="nil"/>
              <w:left w:val="nil"/>
              <w:bottom w:val="nil"/>
              <w:right w:val="nil"/>
            </w:tcBorders>
            <w:noWrap/>
            <w:vAlign w:val="center"/>
            <w:hideMark/>
          </w:tcPr>
          <w:p w14:paraId="0C7C2B4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75.93%</w:t>
            </w:r>
          </w:p>
        </w:tc>
      </w:tr>
      <w:tr w:rsidR="007318B1" w:rsidRPr="00F96FB7" w14:paraId="31D93798" w14:textId="77777777" w:rsidTr="008955E4">
        <w:trPr>
          <w:trHeight w:val="227"/>
        </w:trPr>
        <w:tc>
          <w:tcPr>
            <w:tcW w:w="1276" w:type="dxa"/>
            <w:tcBorders>
              <w:top w:val="nil"/>
              <w:left w:val="nil"/>
              <w:bottom w:val="nil"/>
              <w:right w:val="nil"/>
            </w:tcBorders>
            <w:noWrap/>
            <w:vAlign w:val="center"/>
            <w:hideMark/>
          </w:tcPr>
          <w:p w14:paraId="11AE5BB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India</w:t>
            </w:r>
          </w:p>
        </w:tc>
        <w:tc>
          <w:tcPr>
            <w:tcW w:w="1640" w:type="dxa"/>
            <w:tcBorders>
              <w:top w:val="nil"/>
              <w:left w:val="nil"/>
              <w:bottom w:val="nil"/>
              <w:right w:val="nil"/>
            </w:tcBorders>
            <w:noWrap/>
            <w:vAlign w:val="center"/>
            <w:hideMark/>
          </w:tcPr>
          <w:p w14:paraId="69022D4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Clean water</w:t>
            </w:r>
          </w:p>
        </w:tc>
        <w:tc>
          <w:tcPr>
            <w:tcW w:w="584" w:type="dxa"/>
            <w:tcBorders>
              <w:top w:val="nil"/>
              <w:left w:val="nil"/>
              <w:bottom w:val="nil"/>
              <w:right w:val="nil"/>
            </w:tcBorders>
            <w:noWrap/>
            <w:vAlign w:val="center"/>
            <w:hideMark/>
          </w:tcPr>
          <w:p w14:paraId="138F47B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24</w:t>
            </w:r>
          </w:p>
        </w:tc>
        <w:tc>
          <w:tcPr>
            <w:tcW w:w="1022" w:type="dxa"/>
            <w:tcBorders>
              <w:top w:val="nil"/>
              <w:left w:val="nil"/>
              <w:bottom w:val="nil"/>
              <w:right w:val="nil"/>
            </w:tcBorders>
            <w:noWrap/>
            <w:vAlign w:val="center"/>
            <w:hideMark/>
          </w:tcPr>
          <w:p w14:paraId="7AC02D25"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54.17%</w:t>
            </w:r>
          </w:p>
        </w:tc>
        <w:tc>
          <w:tcPr>
            <w:tcW w:w="1459" w:type="dxa"/>
            <w:tcBorders>
              <w:top w:val="nil"/>
              <w:left w:val="nil"/>
              <w:bottom w:val="nil"/>
              <w:right w:val="nil"/>
            </w:tcBorders>
            <w:noWrap/>
            <w:vAlign w:val="center"/>
            <w:hideMark/>
          </w:tcPr>
          <w:p w14:paraId="3990DE9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Uganda</w:t>
            </w:r>
          </w:p>
        </w:tc>
        <w:tc>
          <w:tcPr>
            <w:tcW w:w="1752" w:type="dxa"/>
            <w:tcBorders>
              <w:top w:val="nil"/>
              <w:left w:val="nil"/>
              <w:bottom w:val="nil"/>
              <w:right w:val="nil"/>
            </w:tcBorders>
            <w:noWrap/>
            <w:vAlign w:val="center"/>
            <w:hideMark/>
          </w:tcPr>
          <w:p w14:paraId="05B78A1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Cookstoves</w:t>
            </w:r>
          </w:p>
        </w:tc>
        <w:tc>
          <w:tcPr>
            <w:tcW w:w="730" w:type="dxa"/>
            <w:tcBorders>
              <w:top w:val="nil"/>
              <w:left w:val="nil"/>
              <w:bottom w:val="nil"/>
              <w:right w:val="nil"/>
            </w:tcBorders>
            <w:noWrap/>
            <w:vAlign w:val="center"/>
            <w:hideMark/>
          </w:tcPr>
          <w:p w14:paraId="6D39624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116</w:t>
            </w:r>
          </w:p>
        </w:tc>
        <w:tc>
          <w:tcPr>
            <w:tcW w:w="1019" w:type="dxa"/>
            <w:tcBorders>
              <w:top w:val="nil"/>
              <w:left w:val="nil"/>
              <w:bottom w:val="nil"/>
              <w:right w:val="nil"/>
            </w:tcBorders>
            <w:noWrap/>
            <w:vAlign w:val="center"/>
            <w:hideMark/>
          </w:tcPr>
          <w:p w14:paraId="4D7C3A66"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81.90%</w:t>
            </w:r>
          </w:p>
        </w:tc>
      </w:tr>
      <w:tr w:rsidR="007318B1" w:rsidRPr="00F96FB7" w14:paraId="7129A1C2" w14:textId="77777777" w:rsidTr="008955E4">
        <w:trPr>
          <w:trHeight w:val="227"/>
        </w:trPr>
        <w:tc>
          <w:tcPr>
            <w:tcW w:w="1276" w:type="dxa"/>
            <w:tcBorders>
              <w:top w:val="nil"/>
              <w:left w:val="nil"/>
              <w:bottom w:val="nil"/>
              <w:right w:val="nil"/>
            </w:tcBorders>
            <w:noWrap/>
            <w:vAlign w:val="center"/>
            <w:hideMark/>
          </w:tcPr>
          <w:p w14:paraId="7536823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India</w:t>
            </w:r>
          </w:p>
        </w:tc>
        <w:tc>
          <w:tcPr>
            <w:tcW w:w="1640" w:type="dxa"/>
            <w:tcBorders>
              <w:top w:val="nil"/>
              <w:left w:val="nil"/>
              <w:bottom w:val="nil"/>
              <w:right w:val="nil"/>
            </w:tcBorders>
            <w:noWrap/>
            <w:vAlign w:val="center"/>
            <w:hideMark/>
          </w:tcPr>
          <w:p w14:paraId="472E09B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Sustainable agriculture</w:t>
            </w:r>
          </w:p>
        </w:tc>
        <w:tc>
          <w:tcPr>
            <w:tcW w:w="584" w:type="dxa"/>
            <w:tcBorders>
              <w:top w:val="nil"/>
              <w:left w:val="nil"/>
              <w:bottom w:val="nil"/>
              <w:right w:val="nil"/>
            </w:tcBorders>
            <w:noWrap/>
            <w:vAlign w:val="center"/>
            <w:hideMark/>
          </w:tcPr>
          <w:p w14:paraId="4C38737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41</w:t>
            </w:r>
          </w:p>
        </w:tc>
        <w:tc>
          <w:tcPr>
            <w:tcW w:w="1022" w:type="dxa"/>
            <w:tcBorders>
              <w:top w:val="nil"/>
              <w:left w:val="nil"/>
              <w:bottom w:val="nil"/>
              <w:right w:val="nil"/>
            </w:tcBorders>
            <w:noWrap/>
            <w:vAlign w:val="center"/>
            <w:hideMark/>
          </w:tcPr>
          <w:p w14:paraId="2CB1C9D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68.29%</w:t>
            </w:r>
          </w:p>
        </w:tc>
        <w:tc>
          <w:tcPr>
            <w:tcW w:w="1459" w:type="dxa"/>
            <w:tcBorders>
              <w:top w:val="nil"/>
              <w:left w:val="nil"/>
              <w:bottom w:val="nil"/>
              <w:right w:val="nil"/>
            </w:tcBorders>
            <w:noWrap/>
            <w:vAlign w:val="center"/>
            <w:hideMark/>
          </w:tcPr>
          <w:p w14:paraId="3B97EB8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United States</w:t>
            </w:r>
          </w:p>
        </w:tc>
        <w:tc>
          <w:tcPr>
            <w:tcW w:w="1752" w:type="dxa"/>
            <w:tcBorders>
              <w:top w:val="nil"/>
              <w:left w:val="nil"/>
              <w:bottom w:val="nil"/>
              <w:right w:val="nil"/>
            </w:tcBorders>
            <w:noWrap/>
            <w:vAlign w:val="center"/>
            <w:hideMark/>
          </w:tcPr>
          <w:p w14:paraId="4E33985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Sustainable agriculture</w:t>
            </w:r>
          </w:p>
        </w:tc>
        <w:tc>
          <w:tcPr>
            <w:tcW w:w="730" w:type="dxa"/>
            <w:tcBorders>
              <w:top w:val="nil"/>
              <w:left w:val="nil"/>
              <w:bottom w:val="nil"/>
              <w:right w:val="nil"/>
            </w:tcBorders>
            <w:noWrap/>
            <w:vAlign w:val="center"/>
            <w:hideMark/>
          </w:tcPr>
          <w:p w14:paraId="2C6957C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16</w:t>
            </w:r>
          </w:p>
        </w:tc>
        <w:tc>
          <w:tcPr>
            <w:tcW w:w="1019" w:type="dxa"/>
            <w:tcBorders>
              <w:top w:val="nil"/>
              <w:left w:val="nil"/>
              <w:bottom w:val="nil"/>
              <w:right w:val="nil"/>
            </w:tcBorders>
            <w:noWrap/>
            <w:vAlign w:val="center"/>
            <w:hideMark/>
          </w:tcPr>
          <w:p w14:paraId="6059D41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68.75%</w:t>
            </w:r>
          </w:p>
        </w:tc>
      </w:tr>
      <w:tr w:rsidR="007318B1" w:rsidRPr="00F96FB7" w14:paraId="323FBA56" w14:textId="77777777" w:rsidTr="008955E4">
        <w:trPr>
          <w:trHeight w:val="227"/>
        </w:trPr>
        <w:tc>
          <w:tcPr>
            <w:tcW w:w="1276" w:type="dxa"/>
            <w:tcBorders>
              <w:top w:val="nil"/>
              <w:left w:val="nil"/>
              <w:bottom w:val="nil"/>
              <w:right w:val="nil"/>
            </w:tcBorders>
            <w:noWrap/>
            <w:vAlign w:val="center"/>
            <w:hideMark/>
          </w:tcPr>
          <w:p w14:paraId="652F8CE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India</w:t>
            </w:r>
          </w:p>
        </w:tc>
        <w:tc>
          <w:tcPr>
            <w:tcW w:w="1640" w:type="dxa"/>
            <w:tcBorders>
              <w:top w:val="nil"/>
              <w:left w:val="nil"/>
              <w:bottom w:val="nil"/>
              <w:right w:val="nil"/>
            </w:tcBorders>
            <w:noWrap/>
            <w:vAlign w:val="center"/>
            <w:hideMark/>
          </w:tcPr>
          <w:p w14:paraId="6C3D7CA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Hydropower</w:t>
            </w:r>
          </w:p>
        </w:tc>
        <w:tc>
          <w:tcPr>
            <w:tcW w:w="584" w:type="dxa"/>
            <w:tcBorders>
              <w:top w:val="nil"/>
              <w:left w:val="nil"/>
              <w:bottom w:val="nil"/>
              <w:right w:val="nil"/>
            </w:tcBorders>
            <w:noWrap/>
            <w:vAlign w:val="center"/>
            <w:hideMark/>
          </w:tcPr>
          <w:p w14:paraId="0DE4848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62</w:t>
            </w:r>
          </w:p>
        </w:tc>
        <w:tc>
          <w:tcPr>
            <w:tcW w:w="1022" w:type="dxa"/>
            <w:tcBorders>
              <w:top w:val="nil"/>
              <w:left w:val="nil"/>
              <w:bottom w:val="nil"/>
              <w:right w:val="nil"/>
            </w:tcBorders>
            <w:noWrap/>
            <w:vAlign w:val="center"/>
            <w:hideMark/>
          </w:tcPr>
          <w:p w14:paraId="12BD628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80.65%</w:t>
            </w:r>
          </w:p>
        </w:tc>
        <w:tc>
          <w:tcPr>
            <w:tcW w:w="1459" w:type="dxa"/>
            <w:tcBorders>
              <w:top w:val="nil"/>
              <w:left w:val="nil"/>
              <w:bottom w:val="nil"/>
              <w:right w:val="nil"/>
            </w:tcBorders>
            <w:noWrap/>
            <w:vAlign w:val="center"/>
            <w:hideMark/>
          </w:tcPr>
          <w:p w14:paraId="06787D1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United States</w:t>
            </w:r>
          </w:p>
        </w:tc>
        <w:tc>
          <w:tcPr>
            <w:tcW w:w="1752" w:type="dxa"/>
            <w:tcBorders>
              <w:top w:val="nil"/>
              <w:left w:val="nil"/>
              <w:bottom w:val="nil"/>
              <w:right w:val="nil"/>
            </w:tcBorders>
            <w:noWrap/>
            <w:vAlign w:val="center"/>
            <w:hideMark/>
          </w:tcPr>
          <w:p w14:paraId="5764158D"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Wind</w:t>
            </w:r>
          </w:p>
        </w:tc>
        <w:tc>
          <w:tcPr>
            <w:tcW w:w="730" w:type="dxa"/>
            <w:tcBorders>
              <w:top w:val="nil"/>
              <w:left w:val="nil"/>
              <w:bottom w:val="nil"/>
              <w:right w:val="nil"/>
            </w:tcBorders>
            <w:noWrap/>
            <w:vAlign w:val="center"/>
            <w:hideMark/>
          </w:tcPr>
          <w:p w14:paraId="359BAA86"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12</w:t>
            </w:r>
          </w:p>
        </w:tc>
        <w:tc>
          <w:tcPr>
            <w:tcW w:w="1019" w:type="dxa"/>
            <w:tcBorders>
              <w:top w:val="nil"/>
              <w:left w:val="nil"/>
              <w:bottom w:val="nil"/>
              <w:right w:val="nil"/>
            </w:tcBorders>
            <w:noWrap/>
            <w:vAlign w:val="center"/>
            <w:hideMark/>
          </w:tcPr>
          <w:p w14:paraId="2FE9AA87"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100.00%</w:t>
            </w:r>
          </w:p>
        </w:tc>
      </w:tr>
      <w:tr w:rsidR="007318B1" w:rsidRPr="00F96FB7" w14:paraId="6AA3D2FB" w14:textId="77777777" w:rsidTr="008955E4">
        <w:trPr>
          <w:trHeight w:val="227"/>
        </w:trPr>
        <w:tc>
          <w:tcPr>
            <w:tcW w:w="1276" w:type="dxa"/>
            <w:tcBorders>
              <w:top w:val="nil"/>
              <w:left w:val="nil"/>
              <w:bottom w:val="nil"/>
              <w:right w:val="nil"/>
            </w:tcBorders>
            <w:noWrap/>
            <w:vAlign w:val="center"/>
            <w:hideMark/>
          </w:tcPr>
          <w:p w14:paraId="51DC3F0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India</w:t>
            </w:r>
          </w:p>
        </w:tc>
        <w:tc>
          <w:tcPr>
            <w:tcW w:w="1640" w:type="dxa"/>
            <w:tcBorders>
              <w:top w:val="nil"/>
              <w:left w:val="nil"/>
              <w:bottom w:val="nil"/>
              <w:right w:val="nil"/>
            </w:tcBorders>
            <w:noWrap/>
            <w:vAlign w:val="center"/>
            <w:hideMark/>
          </w:tcPr>
          <w:p w14:paraId="096B85F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Biodigesters</w:t>
            </w:r>
          </w:p>
        </w:tc>
        <w:tc>
          <w:tcPr>
            <w:tcW w:w="584" w:type="dxa"/>
            <w:tcBorders>
              <w:top w:val="nil"/>
              <w:left w:val="nil"/>
              <w:bottom w:val="nil"/>
              <w:right w:val="nil"/>
            </w:tcBorders>
            <w:noWrap/>
            <w:vAlign w:val="center"/>
            <w:hideMark/>
          </w:tcPr>
          <w:p w14:paraId="7CFFA0C2"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68</w:t>
            </w:r>
          </w:p>
        </w:tc>
        <w:tc>
          <w:tcPr>
            <w:tcW w:w="1022" w:type="dxa"/>
            <w:tcBorders>
              <w:top w:val="nil"/>
              <w:left w:val="nil"/>
              <w:bottom w:val="nil"/>
              <w:right w:val="nil"/>
            </w:tcBorders>
            <w:noWrap/>
            <w:vAlign w:val="center"/>
            <w:hideMark/>
          </w:tcPr>
          <w:p w14:paraId="75C7239E"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91.18%</w:t>
            </w:r>
          </w:p>
        </w:tc>
        <w:tc>
          <w:tcPr>
            <w:tcW w:w="1459" w:type="dxa"/>
            <w:tcBorders>
              <w:top w:val="nil"/>
              <w:left w:val="nil"/>
              <w:bottom w:val="nil"/>
              <w:right w:val="nil"/>
            </w:tcBorders>
            <w:noWrap/>
            <w:vAlign w:val="center"/>
            <w:hideMark/>
          </w:tcPr>
          <w:p w14:paraId="73AE48E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United States</w:t>
            </w:r>
          </w:p>
        </w:tc>
        <w:tc>
          <w:tcPr>
            <w:tcW w:w="1752" w:type="dxa"/>
            <w:tcBorders>
              <w:top w:val="nil"/>
              <w:left w:val="nil"/>
              <w:bottom w:val="nil"/>
              <w:right w:val="nil"/>
            </w:tcBorders>
            <w:noWrap/>
            <w:vAlign w:val="center"/>
            <w:hideMark/>
          </w:tcPr>
          <w:p w14:paraId="002EA98C"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Afforestation/</w:t>
            </w:r>
          </w:p>
          <w:p w14:paraId="192B103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Reforestation</w:t>
            </w:r>
          </w:p>
        </w:tc>
        <w:tc>
          <w:tcPr>
            <w:tcW w:w="730" w:type="dxa"/>
            <w:tcBorders>
              <w:top w:val="nil"/>
              <w:left w:val="nil"/>
              <w:bottom w:val="nil"/>
              <w:right w:val="nil"/>
            </w:tcBorders>
            <w:noWrap/>
            <w:vAlign w:val="center"/>
            <w:hideMark/>
          </w:tcPr>
          <w:p w14:paraId="2418E159"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31</w:t>
            </w:r>
          </w:p>
        </w:tc>
        <w:tc>
          <w:tcPr>
            <w:tcW w:w="1019" w:type="dxa"/>
            <w:tcBorders>
              <w:top w:val="nil"/>
              <w:left w:val="nil"/>
              <w:bottom w:val="nil"/>
              <w:right w:val="nil"/>
            </w:tcBorders>
            <w:noWrap/>
            <w:vAlign w:val="center"/>
            <w:hideMark/>
          </w:tcPr>
          <w:p w14:paraId="6989E85B"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58.06%</w:t>
            </w:r>
          </w:p>
        </w:tc>
      </w:tr>
      <w:tr w:rsidR="007318B1" w:rsidRPr="00F96FB7" w14:paraId="2ACA325C" w14:textId="77777777" w:rsidTr="008955E4">
        <w:trPr>
          <w:trHeight w:val="227"/>
        </w:trPr>
        <w:tc>
          <w:tcPr>
            <w:tcW w:w="1276" w:type="dxa"/>
            <w:tcBorders>
              <w:top w:val="nil"/>
              <w:left w:val="nil"/>
              <w:bottom w:val="nil"/>
              <w:right w:val="nil"/>
            </w:tcBorders>
            <w:noWrap/>
            <w:vAlign w:val="center"/>
            <w:hideMark/>
          </w:tcPr>
          <w:p w14:paraId="29E1E4E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India</w:t>
            </w:r>
          </w:p>
        </w:tc>
        <w:tc>
          <w:tcPr>
            <w:tcW w:w="1640" w:type="dxa"/>
            <w:tcBorders>
              <w:top w:val="nil"/>
              <w:left w:val="nil"/>
              <w:bottom w:val="nil"/>
              <w:right w:val="nil"/>
            </w:tcBorders>
            <w:noWrap/>
            <w:vAlign w:val="center"/>
            <w:hideMark/>
          </w:tcPr>
          <w:p w14:paraId="5A17B6E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Biomass</w:t>
            </w:r>
          </w:p>
        </w:tc>
        <w:tc>
          <w:tcPr>
            <w:tcW w:w="584" w:type="dxa"/>
            <w:tcBorders>
              <w:top w:val="nil"/>
              <w:left w:val="nil"/>
              <w:bottom w:val="nil"/>
              <w:right w:val="nil"/>
            </w:tcBorders>
            <w:noWrap/>
            <w:vAlign w:val="center"/>
            <w:hideMark/>
          </w:tcPr>
          <w:p w14:paraId="5AD0AA36"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118</w:t>
            </w:r>
          </w:p>
        </w:tc>
        <w:tc>
          <w:tcPr>
            <w:tcW w:w="1022" w:type="dxa"/>
            <w:tcBorders>
              <w:top w:val="nil"/>
              <w:left w:val="nil"/>
              <w:bottom w:val="nil"/>
              <w:right w:val="nil"/>
            </w:tcBorders>
            <w:noWrap/>
            <w:vAlign w:val="center"/>
            <w:hideMark/>
          </w:tcPr>
          <w:p w14:paraId="121EC1D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61.02%</w:t>
            </w:r>
          </w:p>
        </w:tc>
        <w:tc>
          <w:tcPr>
            <w:tcW w:w="1459" w:type="dxa"/>
            <w:tcBorders>
              <w:top w:val="nil"/>
              <w:left w:val="nil"/>
              <w:bottom w:val="nil"/>
              <w:right w:val="nil"/>
            </w:tcBorders>
            <w:noWrap/>
            <w:vAlign w:val="center"/>
            <w:hideMark/>
          </w:tcPr>
          <w:p w14:paraId="40FF4858"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United States</w:t>
            </w:r>
          </w:p>
        </w:tc>
        <w:tc>
          <w:tcPr>
            <w:tcW w:w="1752" w:type="dxa"/>
            <w:tcBorders>
              <w:top w:val="nil"/>
              <w:left w:val="nil"/>
              <w:bottom w:val="nil"/>
              <w:right w:val="nil"/>
            </w:tcBorders>
            <w:noWrap/>
            <w:vAlign w:val="center"/>
            <w:hideMark/>
          </w:tcPr>
          <w:p w14:paraId="1C873FBF"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Manure methane digester</w:t>
            </w:r>
          </w:p>
        </w:tc>
        <w:tc>
          <w:tcPr>
            <w:tcW w:w="730" w:type="dxa"/>
            <w:tcBorders>
              <w:top w:val="nil"/>
              <w:left w:val="nil"/>
              <w:bottom w:val="nil"/>
              <w:right w:val="nil"/>
            </w:tcBorders>
            <w:noWrap/>
            <w:vAlign w:val="center"/>
            <w:hideMark/>
          </w:tcPr>
          <w:p w14:paraId="0BA54BD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32</w:t>
            </w:r>
          </w:p>
        </w:tc>
        <w:tc>
          <w:tcPr>
            <w:tcW w:w="1019" w:type="dxa"/>
            <w:tcBorders>
              <w:top w:val="nil"/>
              <w:left w:val="nil"/>
              <w:bottom w:val="nil"/>
              <w:right w:val="nil"/>
            </w:tcBorders>
            <w:noWrap/>
            <w:vAlign w:val="center"/>
            <w:hideMark/>
          </w:tcPr>
          <w:p w14:paraId="5F5A6B10"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81.25%</w:t>
            </w:r>
          </w:p>
        </w:tc>
      </w:tr>
      <w:tr w:rsidR="007318B1" w:rsidRPr="00F96FB7" w14:paraId="58CE5A02" w14:textId="77777777" w:rsidTr="008955E4">
        <w:trPr>
          <w:trHeight w:val="227"/>
        </w:trPr>
        <w:tc>
          <w:tcPr>
            <w:tcW w:w="1276" w:type="dxa"/>
            <w:tcBorders>
              <w:top w:val="nil"/>
              <w:left w:val="nil"/>
              <w:right w:val="nil"/>
            </w:tcBorders>
            <w:noWrap/>
            <w:vAlign w:val="center"/>
            <w:hideMark/>
          </w:tcPr>
          <w:p w14:paraId="29FABC54"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India</w:t>
            </w:r>
          </w:p>
        </w:tc>
        <w:tc>
          <w:tcPr>
            <w:tcW w:w="1640" w:type="dxa"/>
            <w:tcBorders>
              <w:top w:val="nil"/>
              <w:left w:val="nil"/>
              <w:right w:val="nil"/>
            </w:tcBorders>
            <w:noWrap/>
            <w:vAlign w:val="center"/>
            <w:hideMark/>
          </w:tcPr>
          <w:p w14:paraId="1317B23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Afforestation/</w:t>
            </w:r>
          </w:p>
          <w:p w14:paraId="0F1DB23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Reforestation</w:t>
            </w:r>
          </w:p>
        </w:tc>
        <w:tc>
          <w:tcPr>
            <w:tcW w:w="584" w:type="dxa"/>
            <w:tcBorders>
              <w:top w:val="nil"/>
              <w:left w:val="nil"/>
              <w:right w:val="nil"/>
            </w:tcBorders>
            <w:noWrap/>
            <w:vAlign w:val="center"/>
            <w:hideMark/>
          </w:tcPr>
          <w:p w14:paraId="0149C816"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100</w:t>
            </w:r>
          </w:p>
        </w:tc>
        <w:tc>
          <w:tcPr>
            <w:tcW w:w="1022" w:type="dxa"/>
            <w:tcBorders>
              <w:top w:val="nil"/>
              <w:left w:val="nil"/>
              <w:right w:val="nil"/>
            </w:tcBorders>
            <w:noWrap/>
            <w:vAlign w:val="center"/>
            <w:hideMark/>
          </w:tcPr>
          <w:p w14:paraId="068DB60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76.00%</w:t>
            </w:r>
          </w:p>
        </w:tc>
        <w:tc>
          <w:tcPr>
            <w:tcW w:w="1459" w:type="dxa"/>
            <w:tcBorders>
              <w:top w:val="nil"/>
              <w:left w:val="nil"/>
              <w:right w:val="nil"/>
            </w:tcBorders>
            <w:noWrap/>
            <w:vAlign w:val="center"/>
            <w:hideMark/>
          </w:tcPr>
          <w:p w14:paraId="058C1F2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United States</w:t>
            </w:r>
          </w:p>
        </w:tc>
        <w:tc>
          <w:tcPr>
            <w:tcW w:w="1752" w:type="dxa"/>
            <w:tcBorders>
              <w:top w:val="nil"/>
              <w:left w:val="nil"/>
              <w:right w:val="nil"/>
            </w:tcBorders>
            <w:noWrap/>
            <w:vAlign w:val="center"/>
            <w:hideMark/>
          </w:tcPr>
          <w:p w14:paraId="6B94EC6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Improved forest management</w:t>
            </w:r>
          </w:p>
        </w:tc>
        <w:tc>
          <w:tcPr>
            <w:tcW w:w="730" w:type="dxa"/>
            <w:tcBorders>
              <w:top w:val="nil"/>
              <w:left w:val="nil"/>
              <w:right w:val="nil"/>
            </w:tcBorders>
            <w:noWrap/>
            <w:vAlign w:val="center"/>
            <w:hideMark/>
          </w:tcPr>
          <w:p w14:paraId="4B3D446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228</w:t>
            </w:r>
          </w:p>
        </w:tc>
        <w:tc>
          <w:tcPr>
            <w:tcW w:w="1019" w:type="dxa"/>
            <w:tcBorders>
              <w:top w:val="nil"/>
              <w:left w:val="nil"/>
              <w:right w:val="nil"/>
            </w:tcBorders>
            <w:noWrap/>
            <w:vAlign w:val="center"/>
            <w:hideMark/>
          </w:tcPr>
          <w:p w14:paraId="08770382"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64.91%</w:t>
            </w:r>
          </w:p>
        </w:tc>
      </w:tr>
      <w:tr w:rsidR="007318B1" w:rsidRPr="00F96FB7" w14:paraId="53A2B267" w14:textId="77777777" w:rsidTr="008955E4">
        <w:trPr>
          <w:trHeight w:val="227"/>
        </w:trPr>
        <w:tc>
          <w:tcPr>
            <w:tcW w:w="1276" w:type="dxa"/>
            <w:tcBorders>
              <w:top w:val="nil"/>
              <w:left w:val="nil"/>
              <w:bottom w:val="single" w:sz="4" w:space="0" w:color="auto"/>
              <w:right w:val="nil"/>
            </w:tcBorders>
            <w:noWrap/>
            <w:vAlign w:val="center"/>
            <w:hideMark/>
          </w:tcPr>
          <w:p w14:paraId="7F5FD90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India</w:t>
            </w:r>
          </w:p>
        </w:tc>
        <w:tc>
          <w:tcPr>
            <w:tcW w:w="1640" w:type="dxa"/>
            <w:tcBorders>
              <w:top w:val="nil"/>
              <w:left w:val="nil"/>
              <w:bottom w:val="single" w:sz="4" w:space="0" w:color="auto"/>
              <w:right w:val="nil"/>
            </w:tcBorders>
            <w:noWrap/>
            <w:vAlign w:val="center"/>
            <w:hideMark/>
          </w:tcPr>
          <w:p w14:paraId="1B154393"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Solar</w:t>
            </w:r>
          </w:p>
        </w:tc>
        <w:tc>
          <w:tcPr>
            <w:tcW w:w="584" w:type="dxa"/>
            <w:tcBorders>
              <w:top w:val="nil"/>
              <w:left w:val="nil"/>
              <w:bottom w:val="single" w:sz="4" w:space="0" w:color="auto"/>
              <w:right w:val="nil"/>
            </w:tcBorders>
            <w:noWrap/>
            <w:vAlign w:val="center"/>
            <w:hideMark/>
          </w:tcPr>
          <w:p w14:paraId="19CE1F11"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154</w:t>
            </w:r>
          </w:p>
        </w:tc>
        <w:tc>
          <w:tcPr>
            <w:tcW w:w="1022" w:type="dxa"/>
            <w:tcBorders>
              <w:top w:val="nil"/>
              <w:left w:val="nil"/>
              <w:bottom w:val="single" w:sz="4" w:space="0" w:color="auto"/>
              <w:right w:val="nil"/>
            </w:tcBorders>
            <w:noWrap/>
            <w:vAlign w:val="center"/>
            <w:hideMark/>
          </w:tcPr>
          <w:p w14:paraId="138A9FA7"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76.62%</w:t>
            </w:r>
          </w:p>
        </w:tc>
        <w:tc>
          <w:tcPr>
            <w:tcW w:w="1459" w:type="dxa"/>
            <w:tcBorders>
              <w:top w:val="nil"/>
              <w:left w:val="nil"/>
              <w:bottom w:val="single" w:sz="4" w:space="0" w:color="auto"/>
              <w:right w:val="nil"/>
            </w:tcBorders>
            <w:noWrap/>
            <w:vAlign w:val="center"/>
            <w:hideMark/>
          </w:tcPr>
          <w:p w14:paraId="481B804A"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United States</w:t>
            </w:r>
          </w:p>
        </w:tc>
        <w:tc>
          <w:tcPr>
            <w:tcW w:w="1752" w:type="dxa"/>
            <w:tcBorders>
              <w:top w:val="nil"/>
              <w:left w:val="nil"/>
              <w:bottom w:val="single" w:sz="4" w:space="0" w:color="auto"/>
              <w:right w:val="nil"/>
            </w:tcBorders>
            <w:noWrap/>
            <w:vAlign w:val="center"/>
            <w:hideMark/>
          </w:tcPr>
          <w:p w14:paraId="621580AE" w14:textId="77777777" w:rsidR="007318B1" w:rsidRPr="00F96FB7" w:rsidRDefault="007318B1" w:rsidP="00F86EA8">
            <w:pPr>
              <w:jc w:val="both"/>
              <w:rPr>
                <w:rFonts w:ascii="Arial" w:hAnsi="Arial" w:cs="Arial"/>
                <w:color w:val="000000"/>
                <w:sz w:val="20"/>
                <w:lang w:val="en-GB"/>
              </w:rPr>
            </w:pPr>
            <w:r w:rsidRPr="00F96FB7">
              <w:rPr>
                <w:rFonts w:ascii="Arial" w:hAnsi="Arial" w:cs="Arial"/>
                <w:color w:val="000000"/>
                <w:sz w:val="20"/>
                <w:lang w:val="en-GB"/>
              </w:rPr>
              <w:t>Landfill methane</w:t>
            </w:r>
          </w:p>
        </w:tc>
        <w:tc>
          <w:tcPr>
            <w:tcW w:w="730" w:type="dxa"/>
            <w:tcBorders>
              <w:top w:val="nil"/>
              <w:left w:val="nil"/>
              <w:bottom w:val="single" w:sz="4" w:space="0" w:color="auto"/>
              <w:right w:val="nil"/>
            </w:tcBorders>
            <w:noWrap/>
            <w:vAlign w:val="center"/>
            <w:hideMark/>
          </w:tcPr>
          <w:p w14:paraId="6DF67F54"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173</w:t>
            </w:r>
          </w:p>
        </w:tc>
        <w:tc>
          <w:tcPr>
            <w:tcW w:w="1019" w:type="dxa"/>
            <w:tcBorders>
              <w:top w:val="nil"/>
              <w:left w:val="nil"/>
              <w:bottom w:val="single" w:sz="4" w:space="0" w:color="auto"/>
              <w:right w:val="nil"/>
            </w:tcBorders>
            <w:noWrap/>
            <w:vAlign w:val="center"/>
            <w:hideMark/>
          </w:tcPr>
          <w:p w14:paraId="247FBDD7" w14:textId="77777777" w:rsidR="007318B1" w:rsidRPr="00F96FB7" w:rsidRDefault="007318B1" w:rsidP="00F86EA8">
            <w:pPr>
              <w:jc w:val="both"/>
              <w:rPr>
                <w:rFonts w:ascii="Arial" w:hAnsi="Arial" w:cs="Arial"/>
                <w:b/>
                <w:bCs/>
                <w:color w:val="000000"/>
                <w:sz w:val="20"/>
                <w:lang w:val="en-GB"/>
              </w:rPr>
            </w:pPr>
            <w:r w:rsidRPr="00F96FB7">
              <w:rPr>
                <w:rFonts w:ascii="Arial" w:hAnsi="Arial" w:cs="Arial"/>
                <w:b/>
                <w:bCs/>
                <w:color w:val="000000"/>
                <w:sz w:val="20"/>
                <w:lang w:val="en-GB"/>
              </w:rPr>
              <w:t>90.75%</w:t>
            </w:r>
          </w:p>
        </w:tc>
      </w:tr>
    </w:tbl>
    <w:p w14:paraId="46A10CEA" w14:textId="7BB2D1FD" w:rsidR="00516E7C" w:rsidRPr="00FD5114" w:rsidRDefault="000F5C11" w:rsidP="00A20FD0">
      <w:pPr>
        <w:pStyle w:val="SMcaption"/>
        <w:rPr>
          <w:rFonts w:ascii="Arial" w:hAnsi="Arial" w:cs="Arial"/>
          <w:sz w:val="20"/>
          <w:lang w:val="en-GB"/>
        </w:rPr>
      </w:pPr>
      <w:r w:rsidRPr="00FD5114">
        <w:rPr>
          <w:rFonts w:ascii="Arial" w:hAnsi="Arial" w:cs="Arial"/>
          <w:sz w:val="20"/>
          <w:lang w:val="en-GB"/>
        </w:rPr>
        <w:t>Notes: The table only shows the country-project-type category with more than 10 observations. To highlight contexts with low perceived non-additionality risks, we use the bold font here for the categories whose registration rates are over 90%.</w:t>
      </w:r>
    </w:p>
    <w:p w14:paraId="0AA738C7" w14:textId="55D7CD51" w:rsidR="00030840" w:rsidRPr="00D16AB0" w:rsidRDefault="00516E7C" w:rsidP="00256C79">
      <w:pPr>
        <w:spacing w:line="276" w:lineRule="auto"/>
        <w:rPr>
          <w:rFonts w:ascii="Arial" w:hAnsi="Arial" w:cs="Arial"/>
          <w:sz w:val="20"/>
          <w:lang w:val="en-GB"/>
        </w:rPr>
      </w:pPr>
      <w:r w:rsidRPr="00D16AB0">
        <w:rPr>
          <w:rFonts w:ascii="Arial" w:hAnsi="Arial" w:cs="Arial"/>
          <w:sz w:val="20"/>
          <w:lang w:val="en-GB"/>
        </w:rPr>
        <w:br w:type="page"/>
      </w:r>
    </w:p>
    <w:p w14:paraId="6C96BED5" w14:textId="236AC365" w:rsidR="00820484" w:rsidRPr="00D16AB0" w:rsidRDefault="00820484" w:rsidP="00256C79">
      <w:pPr>
        <w:pStyle w:val="SMcaption"/>
        <w:spacing w:line="276" w:lineRule="auto"/>
        <w:jc w:val="center"/>
        <w:rPr>
          <w:rFonts w:ascii="Arial" w:hAnsi="Arial" w:cs="Arial"/>
          <w:b/>
          <w:sz w:val="21"/>
          <w:szCs w:val="21"/>
          <w:lang w:val="en-GB"/>
        </w:rPr>
      </w:pPr>
      <w:r w:rsidRPr="00D16AB0">
        <w:rPr>
          <w:rFonts w:ascii="Arial" w:hAnsi="Arial" w:cs="Arial"/>
          <w:b/>
          <w:sz w:val="21"/>
          <w:szCs w:val="21"/>
          <w:lang w:val="en-GB"/>
        </w:rPr>
        <w:lastRenderedPageBreak/>
        <w:t>References</w:t>
      </w:r>
    </w:p>
    <w:p w14:paraId="447E811A" w14:textId="77777777" w:rsidR="001A6C96" w:rsidRPr="00D16AB0" w:rsidRDefault="00C32C0F" w:rsidP="00256C79">
      <w:pPr>
        <w:pStyle w:val="a8"/>
        <w:spacing w:line="276" w:lineRule="auto"/>
        <w:rPr>
          <w:rFonts w:ascii="Arial" w:hAnsi="Arial" w:cs="Arial"/>
          <w:sz w:val="21"/>
          <w:szCs w:val="21"/>
        </w:rPr>
      </w:pPr>
      <w:r w:rsidRPr="00D16AB0">
        <w:rPr>
          <w:rFonts w:ascii="Arial" w:hAnsi="Arial" w:cs="Arial"/>
          <w:b/>
          <w:sz w:val="21"/>
          <w:szCs w:val="21"/>
          <w:lang w:val="en-GB"/>
        </w:rPr>
        <w:fldChar w:fldCharType="begin"/>
      </w:r>
      <w:r w:rsidR="001A6C96" w:rsidRPr="00D16AB0">
        <w:rPr>
          <w:rFonts w:ascii="Arial" w:hAnsi="Arial" w:cs="Arial"/>
          <w:b/>
          <w:sz w:val="21"/>
          <w:szCs w:val="21"/>
          <w:lang w:val="en-GB"/>
        </w:rPr>
        <w:instrText xml:space="preserve"> ADDIN ZOTERO_BIBL {"uncited":[],"omitted":[],"custom":[]} CSL_BIBLIOGRAPHY </w:instrText>
      </w:r>
      <w:r w:rsidRPr="00D16AB0">
        <w:rPr>
          <w:rFonts w:ascii="Arial" w:hAnsi="Arial" w:cs="Arial"/>
          <w:b/>
          <w:sz w:val="21"/>
          <w:szCs w:val="21"/>
          <w:lang w:val="en-GB"/>
        </w:rPr>
        <w:fldChar w:fldCharType="separate"/>
      </w:r>
      <w:r w:rsidR="001A6C96" w:rsidRPr="00D16AB0">
        <w:rPr>
          <w:rFonts w:ascii="Arial" w:hAnsi="Arial" w:cs="Arial"/>
          <w:sz w:val="21"/>
          <w:szCs w:val="21"/>
        </w:rPr>
        <w:t>1.</w:t>
      </w:r>
      <w:r w:rsidR="001A6C96" w:rsidRPr="00D16AB0">
        <w:rPr>
          <w:rFonts w:ascii="Arial" w:hAnsi="Arial" w:cs="Arial"/>
          <w:sz w:val="21"/>
          <w:szCs w:val="21"/>
        </w:rPr>
        <w:tab/>
        <w:t xml:space="preserve">Victor, D. G. &amp; Cullenward, D. Making Carbon Markets Work. </w:t>
      </w:r>
      <w:r w:rsidR="001A6C96" w:rsidRPr="00D16AB0">
        <w:rPr>
          <w:rFonts w:ascii="Arial" w:hAnsi="Arial" w:cs="Arial"/>
          <w:i/>
          <w:iCs/>
          <w:sz w:val="21"/>
          <w:szCs w:val="21"/>
        </w:rPr>
        <w:t>Scientific American</w:t>
      </w:r>
      <w:r w:rsidR="001A6C96" w:rsidRPr="00D16AB0">
        <w:rPr>
          <w:rFonts w:ascii="Arial" w:hAnsi="Arial" w:cs="Arial"/>
          <w:sz w:val="21"/>
          <w:szCs w:val="21"/>
        </w:rPr>
        <w:t xml:space="preserve"> </w:t>
      </w:r>
      <w:r w:rsidR="001A6C96" w:rsidRPr="00D16AB0">
        <w:rPr>
          <w:rFonts w:ascii="Arial" w:hAnsi="Arial" w:cs="Arial"/>
          <w:b/>
          <w:bCs/>
          <w:sz w:val="21"/>
          <w:szCs w:val="21"/>
        </w:rPr>
        <w:t>297</w:t>
      </w:r>
      <w:r w:rsidR="001A6C96" w:rsidRPr="00D16AB0">
        <w:rPr>
          <w:rFonts w:ascii="Arial" w:hAnsi="Arial" w:cs="Arial"/>
          <w:sz w:val="21"/>
          <w:szCs w:val="21"/>
        </w:rPr>
        <w:t>, 70–77 (2007).</w:t>
      </w:r>
    </w:p>
    <w:p w14:paraId="442BAA85"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w:t>
      </w:r>
      <w:r w:rsidRPr="00D16AB0">
        <w:rPr>
          <w:rFonts w:ascii="Arial" w:hAnsi="Arial" w:cs="Arial"/>
          <w:sz w:val="21"/>
          <w:szCs w:val="21"/>
        </w:rPr>
        <w:tab/>
        <w:t xml:space="preserve">Ahonen, H.-M., Kessler, J., Michaelowa, A., Espelage, A. &amp; Hoch, S. Governance of fragmented compliance and voluntary carbon markets under the Paris Agreement. </w:t>
      </w:r>
      <w:r w:rsidRPr="00D16AB0">
        <w:rPr>
          <w:rFonts w:ascii="Arial" w:hAnsi="Arial" w:cs="Arial"/>
          <w:i/>
          <w:iCs/>
          <w:sz w:val="21"/>
          <w:szCs w:val="21"/>
        </w:rPr>
        <w:t>Politics and Governance</w:t>
      </w:r>
      <w:r w:rsidRPr="00D16AB0">
        <w:rPr>
          <w:rFonts w:ascii="Arial" w:hAnsi="Arial" w:cs="Arial"/>
          <w:sz w:val="21"/>
          <w:szCs w:val="21"/>
        </w:rPr>
        <w:t xml:space="preserve"> </w:t>
      </w:r>
      <w:r w:rsidRPr="00D16AB0">
        <w:rPr>
          <w:rFonts w:ascii="Arial" w:hAnsi="Arial" w:cs="Arial"/>
          <w:b/>
          <w:bCs/>
          <w:sz w:val="21"/>
          <w:szCs w:val="21"/>
        </w:rPr>
        <w:t>10</w:t>
      </w:r>
      <w:r w:rsidRPr="00D16AB0">
        <w:rPr>
          <w:rFonts w:ascii="Arial" w:hAnsi="Arial" w:cs="Arial"/>
          <w:sz w:val="21"/>
          <w:szCs w:val="21"/>
        </w:rPr>
        <w:t>, 4759 (2022).</w:t>
      </w:r>
    </w:p>
    <w:p w14:paraId="5A39959E"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w:t>
      </w:r>
      <w:r w:rsidRPr="00D16AB0">
        <w:rPr>
          <w:rFonts w:ascii="Arial" w:hAnsi="Arial" w:cs="Arial"/>
          <w:sz w:val="21"/>
          <w:szCs w:val="21"/>
        </w:rPr>
        <w:tab/>
        <w:t>Broekhof, D., Gillenwater, M., Colbert-Sangree, T. &amp; Cage, P. Securing climate benefit: A guide to using carbon offsets. (2019).</w:t>
      </w:r>
    </w:p>
    <w:p w14:paraId="6E2DBE6A"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w:t>
      </w:r>
      <w:r w:rsidRPr="00D16AB0">
        <w:rPr>
          <w:rFonts w:ascii="Arial" w:hAnsi="Arial" w:cs="Arial"/>
          <w:sz w:val="21"/>
          <w:szCs w:val="21"/>
        </w:rPr>
        <w:tab/>
        <w:t xml:space="preserve">Bumpus, A. G. &amp; Liverman, D. M. Accumulation by Decarbonization and the Governance of Carbon Offsets. </w:t>
      </w:r>
      <w:r w:rsidRPr="00D16AB0">
        <w:rPr>
          <w:rFonts w:ascii="Arial" w:hAnsi="Arial" w:cs="Arial"/>
          <w:i/>
          <w:iCs/>
          <w:sz w:val="21"/>
          <w:szCs w:val="21"/>
        </w:rPr>
        <w:t>Economic Geography</w:t>
      </w:r>
      <w:r w:rsidRPr="00D16AB0">
        <w:rPr>
          <w:rFonts w:ascii="Arial" w:hAnsi="Arial" w:cs="Arial"/>
          <w:sz w:val="21"/>
          <w:szCs w:val="21"/>
        </w:rPr>
        <w:t xml:space="preserve"> </w:t>
      </w:r>
      <w:r w:rsidRPr="00D16AB0">
        <w:rPr>
          <w:rFonts w:ascii="Arial" w:hAnsi="Arial" w:cs="Arial"/>
          <w:b/>
          <w:bCs/>
          <w:sz w:val="21"/>
          <w:szCs w:val="21"/>
        </w:rPr>
        <w:t>84</w:t>
      </w:r>
      <w:r w:rsidRPr="00D16AB0">
        <w:rPr>
          <w:rFonts w:ascii="Arial" w:hAnsi="Arial" w:cs="Arial"/>
          <w:sz w:val="21"/>
          <w:szCs w:val="21"/>
        </w:rPr>
        <w:t>, 127–155 (2008).</w:t>
      </w:r>
    </w:p>
    <w:p w14:paraId="6BEED78D"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w:t>
      </w:r>
      <w:r w:rsidRPr="00D16AB0">
        <w:rPr>
          <w:rFonts w:ascii="Arial" w:hAnsi="Arial" w:cs="Arial"/>
          <w:sz w:val="21"/>
          <w:szCs w:val="21"/>
        </w:rPr>
        <w:tab/>
        <w:t xml:space="preserve">Lovell, H. C. Governing the carbon offset market. </w:t>
      </w:r>
      <w:r w:rsidRPr="00D16AB0">
        <w:rPr>
          <w:rFonts w:ascii="Arial" w:hAnsi="Arial" w:cs="Arial"/>
          <w:i/>
          <w:iCs/>
          <w:sz w:val="21"/>
          <w:szCs w:val="21"/>
        </w:rPr>
        <w:t>WIREs Climate Change</w:t>
      </w:r>
      <w:r w:rsidRPr="00D16AB0">
        <w:rPr>
          <w:rFonts w:ascii="Arial" w:hAnsi="Arial" w:cs="Arial"/>
          <w:sz w:val="21"/>
          <w:szCs w:val="21"/>
        </w:rPr>
        <w:t xml:space="preserve"> </w:t>
      </w:r>
      <w:r w:rsidRPr="00D16AB0">
        <w:rPr>
          <w:rFonts w:ascii="Arial" w:hAnsi="Arial" w:cs="Arial"/>
          <w:b/>
          <w:bCs/>
          <w:sz w:val="21"/>
          <w:szCs w:val="21"/>
        </w:rPr>
        <w:t>1</w:t>
      </w:r>
      <w:r w:rsidRPr="00D16AB0">
        <w:rPr>
          <w:rFonts w:ascii="Arial" w:hAnsi="Arial" w:cs="Arial"/>
          <w:sz w:val="21"/>
          <w:szCs w:val="21"/>
        </w:rPr>
        <w:t>, 353–362 (2010).</w:t>
      </w:r>
    </w:p>
    <w:p w14:paraId="44D01D68"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6.</w:t>
      </w:r>
      <w:r w:rsidRPr="00D16AB0">
        <w:rPr>
          <w:rFonts w:ascii="Arial" w:hAnsi="Arial" w:cs="Arial"/>
          <w:sz w:val="21"/>
          <w:szCs w:val="21"/>
        </w:rPr>
        <w:tab/>
        <w:t xml:space="preserve">Certification Process Step-by-Step. </w:t>
      </w:r>
      <w:r w:rsidRPr="00D16AB0">
        <w:rPr>
          <w:rFonts w:ascii="Arial" w:hAnsi="Arial" w:cs="Arial"/>
          <w:i/>
          <w:iCs/>
          <w:sz w:val="21"/>
          <w:szCs w:val="21"/>
        </w:rPr>
        <w:t>Gold Standard</w:t>
      </w:r>
      <w:r w:rsidRPr="00D16AB0">
        <w:rPr>
          <w:rFonts w:ascii="Arial" w:hAnsi="Arial" w:cs="Arial"/>
          <w:sz w:val="21"/>
          <w:szCs w:val="21"/>
        </w:rPr>
        <w:t xml:space="preserve"> https://www.goldstandard.org/publications/certification-process-stepbystep.</w:t>
      </w:r>
    </w:p>
    <w:p w14:paraId="7F04E8E2"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7.</w:t>
      </w:r>
      <w:r w:rsidRPr="00D16AB0">
        <w:rPr>
          <w:rFonts w:ascii="Arial" w:hAnsi="Arial" w:cs="Arial"/>
          <w:sz w:val="21"/>
          <w:szCs w:val="21"/>
        </w:rPr>
        <w:tab/>
        <w:t xml:space="preserve">Projects. </w:t>
      </w:r>
      <w:r w:rsidRPr="00D16AB0">
        <w:rPr>
          <w:rFonts w:ascii="Arial" w:hAnsi="Arial" w:cs="Arial"/>
          <w:i/>
          <w:iCs/>
          <w:sz w:val="21"/>
          <w:szCs w:val="21"/>
        </w:rPr>
        <w:t>Gold Standard Marketplace</w:t>
      </w:r>
      <w:r w:rsidRPr="00D16AB0">
        <w:rPr>
          <w:rFonts w:ascii="Arial" w:hAnsi="Arial" w:cs="Arial"/>
          <w:sz w:val="21"/>
          <w:szCs w:val="21"/>
        </w:rPr>
        <w:t xml:space="preserve"> https://marketplace.goldstandard.org/collections/projects.</w:t>
      </w:r>
    </w:p>
    <w:p w14:paraId="7A671897"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8.</w:t>
      </w:r>
      <w:r w:rsidRPr="00D16AB0">
        <w:rPr>
          <w:rFonts w:ascii="Arial" w:hAnsi="Arial" w:cs="Arial"/>
          <w:sz w:val="21"/>
          <w:szCs w:val="21"/>
        </w:rPr>
        <w:tab/>
        <w:t xml:space="preserve">Develop a Verified Carbon Standard (VCS) Project. </w:t>
      </w:r>
      <w:r w:rsidRPr="00D16AB0">
        <w:rPr>
          <w:rFonts w:ascii="Arial" w:hAnsi="Arial" w:cs="Arial"/>
          <w:i/>
          <w:iCs/>
          <w:sz w:val="21"/>
          <w:szCs w:val="21"/>
        </w:rPr>
        <w:t>Verra</w:t>
      </w:r>
      <w:r w:rsidRPr="00D16AB0">
        <w:rPr>
          <w:rFonts w:ascii="Arial" w:hAnsi="Arial" w:cs="Arial"/>
          <w:sz w:val="21"/>
          <w:szCs w:val="21"/>
        </w:rPr>
        <w:t xml:space="preserve"> https://verra.org/programs/verified-carbon-standard/develop-a-vcs-project/.</w:t>
      </w:r>
    </w:p>
    <w:p w14:paraId="602747AC"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9.</w:t>
      </w:r>
      <w:r w:rsidRPr="00D16AB0">
        <w:rPr>
          <w:rFonts w:ascii="Arial" w:hAnsi="Arial" w:cs="Arial"/>
          <w:sz w:val="21"/>
          <w:szCs w:val="21"/>
        </w:rPr>
        <w:tab/>
        <w:t xml:space="preserve">Setting the Bar for Carbon Credit Quality. </w:t>
      </w:r>
      <w:r w:rsidRPr="00D16AB0">
        <w:rPr>
          <w:rFonts w:ascii="Arial" w:hAnsi="Arial" w:cs="Arial"/>
          <w:i/>
          <w:iCs/>
          <w:sz w:val="21"/>
          <w:szCs w:val="21"/>
        </w:rPr>
        <w:t>ACR</w:t>
      </w:r>
      <w:r w:rsidRPr="00D16AB0">
        <w:rPr>
          <w:rFonts w:ascii="Arial" w:hAnsi="Arial" w:cs="Arial"/>
          <w:sz w:val="21"/>
          <w:szCs w:val="21"/>
        </w:rPr>
        <w:t xml:space="preserve"> https://acrcarbon.org/acr-program/.</w:t>
      </w:r>
    </w:p>
    <w:p w14:paraId="5DF58433"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10.</w:t>
      </w:r>
      <w:r w:rsidRPr="00D16AB0">
        <w:rPr>
          <w:rFonts w:ascii="Arial" w:hAnsi="Arial" w:cs="Arial"/>
          <w:sz w:val="21"/>
          <w:szCs w:val="21"/>
        </w:rPr>
        <w:tab/>
        <w:t>Offset Project Registries | California Air Resources Board. https://ww2.arb.ca.gov/our-work/programs/compliance-offset-program/offset-project-registries.</w:t>
      </w:r>
    </w:p>
    <w:p w14:paraId="2EDD75E4"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11.</w:t>
      </w:r>
      <w:r w:rsidRPr="00D16AB0">
        <w:rPr>
          <w:rFonts w:ascii="Arial" w:hAnsi="Arial" w:cs="Arial"/>
          <w:sz w:val="21"/>
          <w:szCs w:val="21"/>
        </w:rPr>
        <w:tab/>
        <w:t xml:space="preserve">California Here We Come! </w:t>
      </w:r>
      <w:r w:rsidRPr="00D16AB0">
        <w:rPr>
          <w:rFonts w:ascii="Arial" w:hAnsi="Arial" w:cs="Arial"/>
          <w:i/>
          <w:iCs/>
          <w:sz w:val="21"/>
          <w:szCs w:val="21"/>
        </w:rPr>
        <w:t>Verra</w:t>
      </w:r>
      <w:r w:rsidRPr="00D16AB0">
        <w:rPr>
          <w:rFonts w:ascii="Arial" w:hAnsi="Arial" w:cs="Arial"/>
          <w:sz w:val="21"/>
          <w:szCs w:val="21"/>
        </w:rPr>
        <w:t xml:space="preserve"> https://verra.org/vcs-approved-as-offset-project-registry-in-california/ (2014).</w:t>
      </w:r>
    </w:p>
    <w:p w14:paraId="01006BBF"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12.</w:t>
      </w:r>
      <w:r w:rsidRPr="00D16AB0">
        <w:rPr>
          <w:rFonts w:ascii="Arial" w:hAnsi="Arial" w:cs="Arial"/>
          <w:sz w:val="21"/>
          <w:szCs w:val="21"/>
        </w:rPr>
        <w:tab/>
        <w:t xml:space="preserve">Axelsson, K. </w:t>
      </w:r>
      <w:r w:rsidRPr="00D16AB0">
        <w:rPr>
          <w:rFonts w:ascii="Arial" w:hAnsi="Arial" w:cs="Arial"/>
          <w:i/>
          <w:iCs/>
          <w:sz w:val="21"/>
          <w:szCs w:val="21"/>
        </w:rPr>
        <w:t>et al.</w:t>
      </w:r>
      <w:r w:rsidRPr="00D16AB0">
        <w:rPr>
          <w:rFonts w:ascii="Arial" w:hAnsi="Arial" w:cs="Arial"/>
          <w:sz w:val="21"/>
          <w:szCs w:val="21"/>
        </w:rPr>
        <w:t xml:space="preserve"> </w:t>
      </w:r>
      <w:r w:rsidRPr="00D16AB0">
        <w:rPr>
          <w:rFonts w:ascii="Arial" w:hAnsi="Arial" w:cs="Arial"/>
          <w:i/>
          <w:iCs/>
          <w:sz w:val="21"/>
          <w:szCs w:val="21"/>
        </w:rPr>
        <w:t>Oxford Principles for Net Zero Aligned Carbon Offsetting (Revised 2024)</w:t>
      </w:r>
      <w:r w:rsidRPr="00D16AB0">
        <w:rPr>
          <w:rFonts w:ascii="Arial" w:hAnsi="Arial" w:cs="Arial"/>
          <w:sz w:val="21"/>
          <w:szCs w:val="21"/>
        </w:rPr>
        <w:t>. 1–28 https://www.smithschool.ox.ac.uk/sites/default/files/2024-02/Oxford-Principles-for-Net-Zero-Aligned-Carbon-Offsetting-revised-2024.pdf (2024).</w:t>
      </w:r>
    </w:p>
    <w:p w14:paraId="08322F8B"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13.</w:t>
      </w:r>
      <w:r w:rsidRPr="00D16AB0">
        <w:rPr>
          <w:rFonts w:ascii="Arial" w:hAnsi="Arial" w:cs="Arial"/>
          <w:sz w:val="21"/>
          <w:szCs w:val="21"/>
        </w:rPr>
        <w:tab/>
        <w:t>Watt, R. The moral economy of carbon offsetting: ethics, power and the search for legitimacy in a new market. (University of Manchester, 2017).</w:t>
      </w:r>
    </w:p>
    <w:p w14:paraId="0856A0F9"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14.</w:t>
      </w:r>
      <w:r w:rsidRPr="00D16AB0">
        <w:rPr>
          <w:rFonts w:ascii="Arial" w:hAnsi="Arial" w:cs="Arial"/>
          <w:sz w:val="21"/>
          <w:szCs w:val="21"/>
        </w:rPr>
        <w:tab/>
        <w:t xml:space="preserve">Calel, R., Colmer, J., Dechezleprêtre, A. &amp; Glachant, M. Do carbon offsets offset carbon? </w:t>
      </w:r>
      <w:r w:rsidRPr="00D16AB0">
        <w:rPr>
          <w:rFonts w:ascii="Arial" w:hAnsi="Arial" w:cs="Arial"/>
          <w:i/>
          <w:iCs/>
          <w:sz w:val="21"/>
          <w:szCs w:val="21"/>
        </w:rPr>
        <w:t>American Economic Journal: Applied Economics</w:t>
      </w:r>
      <w:r w:rsidRPr="00D16AB0">
        <w:rPr>
          <w:rFonts w:ascii="Arial" w:hAnsi="Arial" w:cs="Arial"/>
          <w:sz w:val="21"/>
          <w:szCs w:val="21"/>
        </w:rPr>
        <w:t xml:space="preserve"> </w:t>
      </w:r>
      <w:r w:rsidRPr="00D16AB0">
        <w:rPr>
          <w:rFonts w:ascii="Arial" w:hAnsi="Arial" w:cs="Arial"/>
          <w:b/>
          <w:bCs/>
          <w:sz w:val="21"/>
          <w:szCs w:val="21"/>
        </w:rPr>
        <w:t>17</w:t>
      </w:r>
      <w:r w:rsidRPr="00D16AB0">
        <w:rPr>
          <w:rFonts w:ascii="Arial" w:hAnsi="Arial" w:cs="Arial"/>
          <w:sz w:val="21"/>
          <w:szCs w:val="21"/>
        </w:rPr>
        <w:t>, 1–40 (2025).</w:t>
      </w:r>
    </w:p>
    <w:p w14:paraId="7E6A1548"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15.</w:t>
      </w:r>
      <w:r w:rsidRPr="00D16AB0">
        <w:rPr>
          <w:rFonts w:ascii="Arial" w:hAnsi="Arial" w:cs="Arial"/>
          <w:sz w:val="21"/>
          <w:szCs w:val="21"/>
        </w:rPr>
        <w:tab/>
        <w:t xml:space="preserve">Mason, C. F. &amp; Plantinga, A. J. The additionality problem with offsets: Optimal contracts for carbon sequestration in forests. </w:t>
      </w:r>
      <w:r w:rsidRPr="00D16AB0">
        <w:rPr>
          <w:rFonts w:ascii="Arial" w:hAnsi="Arial" w:cs="Arial"/>
          <w:i/>
          <w:iCs/>
          <w:sz w:val="21"/>
          <w:szCs w:val="21"/>
        </w:rPr>
        <w:t>Journal of Environmental Economics and Management</w:t>
      </w:r>
      <w:r w:rsidRPr="00D16AB0">
        <w:rPr>
          <w:rFonts w:ascii="Arial" w:hAnsi="Arial" w:cs="Arial"/>
          <w:sz w:val="21"/>
          <w:szCs w:val="21"/>
        </w:rPr>
        <w:t xml:space="preserve"> </w:t>
      </w:r>
      <w:r w:rsidRPr="00D16AB0">
        <w:rPr>
          <w:rFonts w:ascii="Arial" w:hAnsi="Arial" w:cs="Arial"/>
          <w:b/>
          <w:bCs/>
          <w:sz w:val="21"/>
          <w:szCs w:val="21"/>
        </w:rPr>
        <w:t>66</w:t>
      </w:r>
      <w:r w:rsidRPr="00D16AB0">
        <w:rPr>
          <w:rFonts w:ascii="Arial" w:hAnsi="Arial" w:cs="Arial"/>
          <w:sz w:val="21"/>
          <w:szCs w:val="21"/>
        </w:rPr>
        <w:t>, 1–14 (2013).</w:t>
      </w:r>
    </w:p>
    <w:p w14:paraId="46BF62C7"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16.</w:t>
      </w:r>
      <w:r w:rsidRPr="00D16AB0">
        <w:rPr>
          <w:rFonts w:ascii="Arial" w:hAnsi="Arial" w:cs="Arial"/>
          <w:sz w:val="21"/>
          <w:szCs w:val="21"/>
        </w:rPr>
        <w:tab/>
        <w:t xml:space="preserve">Zhang, J. &amp; Wang, C. Co-benefits and additionality of the Clean Development Mechanism: An empirical analysis. </w:t>
      </w:r>
      <w:r w:rsidRPr="00D16AB0">
        <w:rPr>
          <w:rFonts w:ascii="Arial" w:hAnsi="Arial" w:cs="Arial"/>
          <w:i/>
          <w:iCs/>
          <w:sz w:val="21"/>
          <w:szCs w:val="21"/>
        </w:rPr>
        <w:t>Journal of Environmental Economics and Management</w:t>
      </w:r>
      <w:r w:rsidRPr="00D16AB0">
        <w:rPr>
          <w:rFonts w:ascii="Arial" w:hAnsi="Arial" w:cs="Arial"/>
          <w:sz w:val="21"/>
          <w:szCs w:val="21"/>
        </w:rPr>
        <w:t xml:space="preserve"> </w:t>
      </w:r>
      <w:r w:rsidRPr="00D16AB0">
        <w:rPr>
          <w:rFonts w:ascii="Arial" w:hAnsi="Arial" w:cs="Arial"/>
          <w:b/>
          <w:bCs/>
          <w:sz w:val="21"/>
          <w:szCs w:val="21"/>
        </w:rPr>
        <w:t>62</w:t>
      </w:r>
      <w:r w:rsidRPr="00D16AB0">
        <w:rPr>
          <w:rFonts w:ascii="Arial" w:hAnsi="Arial" w:cs="Arial"/>
          <w:sz w:val="21"/>
          <w:szCs w:val="21"/>
        </w:rPr>
        <w:t>, 140–154 (2011).</w:t>
      </w:r>
    </w:p>
    <w:p w14:paraId="373D58DD"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17.</w:t>
      </w:r>
      <w:r w:rsidRPr="00D16AB0">
        <w:rPr>
          <w:rFonts w:ascii="Arial" w:hAnsi="Arial" w:cs="Arial"/>
          <w:sz w:val="21"/>
          <w:szCs w:val="21"/>
        </w:rPr>
        <w:tab/>
        <w:t>CDM: CDM Registry. https://cdm.unfccc.int/Registry/index.html.</w:t>
      </w:r>
    </w:p>
    <w:p w14:paraId="4786F7B1"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18.</w:t>
      </w:r>
      <w:r w:rsidRPr="00D16AB0">
        <w:rPr>
          <w:rFonts w:ascii="Arial" w:hAnsi="Arial" w:cs="Arial"/>
          <w:sz w:val="21"/>
          <w:szCs w:val="21"/>
        </w:rPr>
        <w:tab/>
        <w:t xml:space="preserve">Balmford, A. </w:t>
      </w:r>
      <w:r w:rsidRPr="00D16AB0">
        <w:rPr>
          <w:rFonts w:ascii="Arial" w:hAnsi="Arial" w:cs="Arial"/>
          <w:i/>
          <w:iCs/>
          <w:sz w:val="21"/>
          <w:szCs w:val="21"/>
        </w:rPr>
        <w:t>et al.</w:t>
      </w:r>
      <w:r w:rsidRPr="00D16AB0">
        <w:rPr>
          <w:rFonts w:ascii="Arial" w:hAnsi="Arial" w:cs="Arial"/>
          <w:sz w:val="21"/>
          <w:szCs w:val="21"/>
        </w:rPr>
        <w:t xml:space="preserve"> Realizing the social value of impermanent carbon credits. </w:t>
      </w:r>
      <w:r w:rsidRPr="00D16AB0">
        <w:rPr>
          <w:rFonts w:ascii="Arial" w:hAnsi="Arial" w:cs="Arial"/>
          <w:i/>
          <w:iCs/>
          <w:sz w:val="21"/>
          <w:szCs w:val="21"/>
        </w:rPr>
        <w:t>Nature Climate Change</w:t>
      </w:r>
      <w:r w:rsidRPr="00D16AB0">
        <w:rPr>
          <w:rFonts w:ascii="Arial" w:hAnsi="Arial" w:cs="Arial"/>
          <w:sz w:val="21"/>
          <w:szCs w:val="21"/>
        </w:rPr>
        <w:t xml:space="preserve"> </w:t>
      </w:r>
      <w:r w:rsidRPr="00D16AB0">
        <w:rPr>
          <w:rFonts w:ascii="Arial" w:hAnsi="Arial" w:cs="Arial"/>
          <w:b/>
          <w:bCs/>
          <w:sz w:val="21"/>
          <w:szCs w:val="21"/>
        </w:rPr>
        <w:t>13</w:t>
      </w:r>
      <w:r w:rsidRPr="00D16AB0">
        <w:rPr>
          <w:rFonts w:ascii="Arial" w:hAnsi="Arial" w:cs="Arial"/>
          <w:sz w:val="21"/>
          <w:szCs w:val="21"/>
        </w:rPr>
        <w:t>, 1172–1178 (2023).</w:t>
      </w:r>
    </w:p>
    <w:p w14:paraId="1FD9203D"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19.</w:t>
      </w:r>
      <w:r w:rsidRPr="00D16AB0">
        <w:rPr>
          <w:rFonts w:ascii="Arial" w:hAnsi="Arial" w:cs="Arial"/>
          <w:sz w:val="21"/>
          <w:szCs w:val="21"/>
        </w:rPr>
        <w:tab/>
        <w:t xml:space="preserve">The interplay between voluntary and compliance carbon markets. </w:t>
      </w:r>
      <w:r w:rsidRPr="00D16AB0">
        <w:rPr>
          <w:rFonts w:ascii="Arial" w:hAnsi="Arial" w:cs="Arial"/>
          <w:i/>
          <w:iCs/>
          <w:sz w:val="21"/>
          <w:szCs w:val="21"/>
        </w:rPr>
        <w:t>OECD</w:t>
      </w:r>
      <w:r w:rsidRPr="00D16AB0">
        <w:rPr>
          <w:rFonts w:ascii="Arial" w:hAnsi="Arial" w:cs="Arial"/>
          <w:sz w:val="21"/>
          <w:szCs w:val="21"/>
        </w:rPr>
        <w:t xml:space="preserve"> https://www.oecd.org/en/publications/the-interplay-between-voluntary-and-compliance-carbon-markets_500198e1-en.html (2024).</w:t>
      </w:r>
    </w:p>
    <w:p w14:paraId="67B67CF4"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20.</w:t>
      </w:r>
      <w:r w:rsidRPr="00D16AB0">
        <w:rPr>
          <w:rFonts w:ascii="Arial" w:hAnsi="Arial" w:cs="Arial"/>
          <w:sz w:val="21"/>
          <w:szCs w:val="21"/>
        </w:rPr>
        <w:tab/>
        <w:t xml:space="preserve">Haya, B. </w:t>
      </w:r>
      <w:r w:rsidRPr="00D16AB0">
        <w:rPr>
          <w:rFonts w:ascii="Arial" w:hAnsi="Arial" w:cs="Arial"/>
          <w:i/>
          <w:iCs/>
          <w:sz w:val="21"/>
          <w:szCs w:val="21"/>
        </w:rPr>
        <w:t>et al.</w:t>
      </w:r>
      <w:r w:rsidRPr="00D16AB0">
        <w:rPr>
          <w:rFonts w:ascii="Arial" w:hAnsi="Arial" w:cs="Arial"/>
          <w:sz w:val="21"/>
          <w:szCs w:val="21"/>
        </w:rPr>
        <w:t xml:space="preserve"> Managing uncertainty in carbon offsets: insights from California’s standardized approach. </w:t>
      </w:r>
      <w:r w:rsidRPr="00D16AB0">
        <w:rPr>
          <w:rFonts w:ascii="Arial" w:hAnsi="Arial" w:cs="Arial"/>
          <w:i/>
          <w:iCs/>
          <w:sz w:val="21"/>
          <w:szCs w:val="21"/>
        </w:rPr>
        <w:t>Climate Policy</w:t>
      </w:r>
      <w:r w:rsidRPr="00D16AB0">
        <w:rPr>
          <w:rFonts w:ascii="Arial" w:hAnsi="Arial" w:cs="Arial"/>
          <w:sz w:val="21"/>
          <w:szCs w:val="21"/>
        </w:rPr>
        <w:t xml:space="preserve"> </w:t>
      </w:r>
      <w:r w:rsidRPr="00D16AB0">
        <w:rPr>
          <w:rFonts w:ascii="Arial" w:hAnsi="Arial" w:cs="Arial"/>
          <w:b/>
          <w:bCs/>
          <w:sz w:val="21"/>
          <w:szCs w:val="21"/>
        </w:rPr>
        <w:t>20</w:t>
      </w:r>
      <w:r w:rsidRPr="00D16AB0">
        <w:rPr>
          <w:rFonts w:ascii="Arial" w:hAnsi="Arial" w:cs="Arial"/>
          <w:sz w:val="21"/>
          <w:szCs w:val="21"/>
        </w:rPr>
        <w:t>, 1112–1126 (2020).</w:t>
      </w:r>
    </w:p>
    <w:p w14:paraId="5EE490B4"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21.</w:t>
      </w:r>
      <w:r w:rsidRPr="00D16AB0">
        <w:rPr>
          <w:rFonts w:ascii="Arial" w:hAnsi="Arial" w:cs="Arial"/>
          <w:sz w:val="21"/>
          <w:szCs w:val="21"/>
        </w:rPr>
        <w:tab/>
        <w:t xml:space="preserve">Schwartzman, S. </w:t>
      </w:r>
      <w:r w:rsidRPr="00D16AB0">
        <w:rPr>
          <w:rFonts w:ascii="Arial" w:hAnsi="Arial" w:cs="Arial"/>
          <w:i/>
          <w:iCs/>
          <w:sz w:val="21"/>
          <w:szCs w:val="21"/>
        </w:rPr>
        <w:t>et al.</w:t>
      </w:r>
      <w:r w:rsidRPr="00D16AB0">
        <w:rPr>
          <w:rFonts w:ascii="Arial" w:hAnsi="Arial" w:cs="Arial"/>
          <w:sz w:val="21"/>
          <w:szCs w:val="21"/>
        </w:rPr>
        <w:t xml:space="preserve"> Environmental integrity of emissions reductions depends on scale and systemic changes, not sector of origin. </w:t>
      </w:r>
      <w:r w:rsidRPr="00D16AB0">
        <w:rPr>
          <w:rFonts w:ascii="Arial" w:hAnsi="Arial" w:cs="Arial"/>
          <w:i/>
          <w:iCs/>
          <w:sz w:val="21"/>
          <w:szCs w:val="21"/>
        </w:rPr>
        <w:t>Environ. Res. Lett.</w:t>
      </w:r>
      <w:r w:rsidRPr="00D16AB0">
        <w:rPr>
          <w:rFonts w:ascii="Arial" w:hAnsi="Arial" w:cs="Arial"/>
          <w:sz w:val="21"/>
          <w:szCs w:val="21"/>
        </w:rPr>
        <w:t xml:space="preserve"> </w:t>
      </w:r>
      <w:r w:rsidRPr="00D16AB0">
        <w:rPr>
          <w:rFonts w:ascii="Arial" w:hAnsi="Arial" w:cs="Arial"/>
          <w:b/>
          <w:bCs/>
          <w:sz w:val="21"/>
          <w:szCs w:val="21"/>
        </w:rPr>
        <w:t>16</w:t>
      </w:r>
      <w:r w:rsidRPr="00D16AB0">
        <w:rPr>
          <w:rFonts w:ascii="Arial" w:hAnsi="Arial" w:cs="Arial"/>
          <w:sz w:val="21"/>
          <w:szCs w:val="21"/>
        </w:rPr>
        <w:t>, 091001 (2021).</w:t>
      </w:r>
    </w:p>
    <w:p w14:paraId="01903118"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22.</w:t>
      </w:r>
      <w:r w:rsidRPr="00D16AB0">
        <w:rPr>
          <w:rFonts w:ascii="Arial" w:hAnsi="Arial" w:cs="Arial"/>
          <w:sz w:val="21"/>
          <w:szCs w:val="21"/>
        </w:rPr>
        <w:tab/>
        <w:t xml:space="preserve">Badgley, G. </w:t>
      </w:r>
      <w:r w:rsidRPr="00D16AB0">
        <w:rPr>
          <w:rFonts w:ascii="Arial" w:hAnsi="Arial" w:cs="Arial"/>
          <w:i/>
          <w:iCs/>
          <w:sz w:val="21"/>
          <w:szCs w:val="21"/>
        </w:rPr>
        <w:t>et al.</w:t>
      </w:r>
      <w:r w:rsidRPr="00D16AB0">
        <w:rPr>
          <w:rFonts w:ascii="Arial" w:hAnsi="Arial" w:cs="Arial"/>
          <w:sz w:val="21"/>
          <w:szCs w:val="21"/>
        </w:rPr>
        <w:t xml:space="preserve"> Systematic over</w:t>
      </w:r>
      <w:r w:rsidRPr="00D16AB0">
        <w:rPr>
          <w:rFonts w:ascii="Cambria Math" w:hAnsi="Cambria Math" w:cs="Cambria Math"/>
          <w:sz w:val="21"/>
          <w:szCs w:val="21"/>
        </w:rPr>
        <w:t>‐</w:t>
      </w:r>
      <w:r w:rsidRPr="00D16AB0">
        <w:rPr>
          <w:rFonts w:ascii="Arial" w:hAnsi="Arial" w:cs="Arial"/>
          <w:sz w:val="21"/>
          <w:szCs w:val="21"/>
        </w:rPr>
        <w:t xml:space="preserve">crediting in California’s forest carbon offsets program. </w:t>
      </w:r>
      <w:r w:rsidRPr="00D16AB0">
        <w:rPr>
          <w:rFonts w:ascii="Arial" w:hAnsi="Arial" w:cs="Arial"/>
          <w:i/>
          <w:iCs/>
          <w:sz w:val="21"/>
          <w:szCs w:val="21"/>
        </w:rPr>
        <w:t>Global Change Biology</w:t>
      </w:r>
      <w:r w:rsidRPr="00D16AB0">
        <w:rPr>
          <w:rFonts w:ascii="Arial" w:hAnsi="Arial" w:cs="Arial"/>
          <w:sz w:val="21"/>
          <w:szCs w:val="21"/>
        </w:rPr>
        <w:t xml:space="preserve"> </w:t>
      </w:r>
      <w:r w:rsidRPr="00D16AB0">
        <w:rPr>
          <w:rFonts w:ascii="Arial" w:hAnsi="Arial" w:cs="Arial"/>
          <w:b/>
          <w:bCs/>
          <w:sz w:val="21"/>
          <w:szCs w:val="21"/>
        </w:rPr>
        <w:t>28</w:t>
      </w:r>
      <w:r w:rsidRPr="00D16AB0">
        <w:rPr>
          <w:rFonts w:ascii="Arial" w:hAnsi="Arial" w:cs="Arial"/>
          <w:sz w:val="21"/>
          <w:szCs w:val="21"/>
        </w:rPr>
        <w:t>, 1433–1445 (2022).</w:t>
      </w:r>
    </w:p>
    <w:p w14:paraId="13B8282F"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lastRenderedPageBreak/>
        <w:t>23.</w:t>
      </w:r>
      <w:r w:rsidRPr="00D16AB0">
        <w:rPr>
          <w:rFonts w:ascii="Arial" w:hAnsi="Arial" w:cs="Arial"/>
          <w:sz w:val="21"/>
          <w:szCs w:val="21"/>
        </w:rPr>
        <w:tab/>
        <w:t xml:space="preserve">West, T. A. P., Börner, J., Sills, E. O. &amp; Kontoleon, A. Overstated carbon emission reductions from voluntary REDD+ projects in the Brazilian Amazon. </w:t>
      </w:r>
      <w:r w:rsidRPr="00D16AB0">
        <w:rPr>
          <w:rFonts w:ascii="Arial" w:hAnsi="Arial" w:cs="Arial"/>
          <w:i/>
          <w:iCs/>
          <w:sz w:val="21"/>
          <w:szCs w:val="21"/>
        </w:rPr>
        <w:t>Proceedings of the National Academy of Sciences</w:t>
      </w:r>
      <w:r w:rsidRPr="00D16AB0">
        <w:rPr>
          <w:rFonts w:ascii="Arial" w:hAnsi="Arial" w:cs="Arial"/>
          <w:sz w:val="21"/>
          <w:szCs w:val="21"/>
        </w:rPr>
        <w:t xml:space="preserve"> </w:t>
      </w:r>
      <w:r w:rsidRPr="00D16AB0">
        <w:rPr>
          <w:rFonts w:ascii="Arial" w:hAnsi="Arial" w:cs="Arial"/>
          <w:b/>
          <w:bCs/>
          <w:sz w:val="21"/>
          <w:szCs w:val="21"/>
        </w:rPr>
        <w:t>117</w:t>
      </w:r>
      <w:r w:rsidRPr="00D16AB0">
        <w:rPr>
          <w:rFonts w:ascii="Arial" w:hAnsi="Arial" w:cs="Arial"/>
          <w:sz w:val="21"/>
          <w:szCs w:val="21"/>
        </w:rPr>
        <w:t>, 24188–24194 (2020).</w:t>
      </w:r>
    </w:p>
    <w:p w14:paraId="1AEA4AF9"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24.</w:t>
      </w:r>
      <w:r w:rsidRPr="00D16AB0">
        <w:rPr>
          <w:rFonts w:ascii="Arial" w:hAnsi="Arial" w:cs="Arial"/>
          <w:sz w:val="21"/>
          <w:szCs w:val="21"/>
        </w:rPr>
        <w:tab/>
        <w:t xml:space="preserve">West, T. A. P. </w:t>
      </w:r>
      <w:r w:rsidRPr="00D16AB0">
        <w:rPr>
          <w:rFonts w:ascii="Arial" w:hAnsi="Arial" w:cs="Arial"/>
          <w:i/>
          <w:iCs/>
          <w:sz w:val="21"/>
          <w:szCs w:val="21"/>
        </w:rPr>
        <w:t>et al.</w:t>
      </w:r>
      <w:r w:rsidRPr="00D16AB0">
        <w:rPr>
          <w:rFonts w:ascii="Arial" w:hAnsi="Arial" w:cs="Arial"/>
          <w:sz w:val="21"/>
          <w:szCs w:val="21"/>
        </w:rPr>
        <w:t xml:space="preserve"> Action needed to make carbon offsets from forest conservation work for climate change mitigation. </w:t>
      </w:r>
      <w:r w:rsidRPr="00D16AB0">
        <w:rPr>
          <w:rFonts w:ascii="Arial" w:hAnsi="Arial" w:cs="Arial"/>
          <w:i/>
          <w:iCs/>
          <w:sz w:val="21"/>
          <w:szCs w:val="21"/>
        </w:rPr>
        <w:t>Science</w:t>
      </w:r>
      <w:r w:rsidRPr="00D16AB0">
        <w:rPr>
          <w:rFonts w:ascii="Arial" w:hAnsi="Arial" w:cs="Arial"/>
          <w:sz w:val="21"/>
          <w:szCs w:val="21"/>
        </w:rPr>
        <w:t xml:space="preserve"> </w:t>
      </w:r>
      <w:r w:rsidRPr="00D16AB0">
        <w:rPr>
          <w:rFonts w:ascii="Arial" w:hAnsi="Arial" w:cs="Arial"/>
          <w:b/>
          <w:bCs/>
          <w:sz w:val="21"/>
          <w:szCs w:val="21"/>
        </w:rPr>
        <w:t>381</w:t>
      </w:r>
      <w:r w:rsidRPr="00D16AB0">
        <w:rPr>
          <w:rFonts w:ascii="Arial" w:hAnsi="Arial" w:cs="Arial"/>
          <w:sz w:val="21"/>
          <w:szCs w:val="21"/>
        </w:rPr>
        <w:t>, 873–877 (2023).</w:t>
      </w:r>
    </w:p>
    <w:p w14:paraId="294B04C4"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25.</w:t>
      </w:r>
      <w:r w:rsidRPr="00D16AB0">
        <w:rPr>
          <w:rFonts w:ascii="Arial" w:hAnsi="Arial" w:cs="Arial"/>
          <w:sz w:val="21"/>
          <w:szCs w:val="21"/>
        </w:rPr>
        <w:tab/>
        <w:t xml:space="preserve">Trencher, G., Nick, S., Carlson, J. &amp; Johnson, M. Demand for low-quality offsets by major companies undermines climate integrity of the voluntary carbon market. </w:t>
      </w:r>
      <w:r w:rsidRPr="00D16AB0">
        <w:rPr>
          <w:rFonts w:ascii="Arial" w:hAnsi="Arial" w:cs="Arial"/>
          <w:i/>
          <w:iCs/>
          <w:sz w:val="21"/>
          <w:szCs w:val="21"/>
        </w:rPr>
        <w:t>Nature Communications</w:t>
      </w:r>
      <w:r w:rsidRPr="00D16AB0">
        <w:rPr>
          <w:rFonts w:ascii="Arial" w:hAnsi="Arial" w:cs="Arial"/>
          <w:sz w:val="21"/>
          <w:szCs w:val="21"/>
        </w:rPr>
        <w:t xml:space="preserve"> </w:t>
      </w:r>
      <w:r w:rsidRPr="00D16AB0">
        <w:rPr>
          <w:rFonts w:ascii="Arial" w:hAnsi="Arial" w:cs="Arial"/>
          <w:b/>
          <w:bCs/>
          <w:sz w:val="21"/>
          <w:szCs w:val="21"/>
        </w:rPr>
        <w:t>15</w:t>
      </w:r>
      <w:r w:rsidRPr="00D16AB0">
        <w:rPr>
          <w:rFonts w:ascii="Arial" w:hAnsi="Arial" w:cs="Arial"/>
          <w:sz w:val="21"/>
          <w:szCs w:val="21"/>
        </w:rPr>
        <w:t>, 6863 (2024).</w:t>
      </w:r>
    </w:p>
    <w:p w14:paraId="3E02AE47"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26.</w:t>
      </w:r>
      <w:r w:rsidRPr="00D16AB0">
        <w:rPr>
          <w:rFonts w:ascii="Arial" w:hAnsi="Arial" w:cs="Arial"/>
          <w:sz w:val="21"/>
          <w:szCs w:val="21"/>
        </w:rPr>
        <w:tab/>
        <w:t xml:space="preserve">Michaelowa, A., Espelage, A., Kessler, J. &amp; Singh, A. </w:t>
      </w:r>
      <w:r w:rsidRPr="00D16AB0">
        <w:rPr>
          <w:rFonts w:ascii="Arial" w:hAnsi="Arial" w:cs="Arial"/>
          <w:i/>
          <w:iCs/>
          <w:sz w:val="21"/>
          <w:szCs w:val="21"/>
        </w:rPr>
        <w:t>Developing an Article 6 Tool to Assess the Additionality of Mitigation Activities</w:t>
      </w:r>
      <w:r w:rsidRPr="00D16AB0">
        <w:rPr>
          <w:rFonts w:ascii="Arial" w:hAnsi="Arial" w:cs="Arial"/>
          <w:sz w:val="21"/>
          <w:szCs w:val="21"/>
        </w:rPr>
        <w:t>. https://www.carbon-mechanisms.de/fileadmin/media/dokumente/Publikationen/CMM-WG_discussion_paper_Art6_tool_additionality_final_24.05.2022.pdf (2022).</w:t>
      </w:r>
    </w:p>
    <w:p w14:paraId="07E4BE8A"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27.</w:t>
      </w:r>
      <w:r w:rsidRPr="00D16AB0">
        <w:rPr>
          <w:rFonts w:ascii="Arial" w:hAnsi="Arial" w:cs="Arial"/>
          <w:sz w:val="21"/>
          <w:szCs w:val="21"/>
        </w:rPr>
        <w:tab/>
        <w:t xml:space="preserve">Lang, S., Blum, M. &amp; Leipold, S. What future for the voluntary carbon offset market after Paris? An explorative study based on the Discursive Agency Approach. </w:t>
      </w:r>
      <w:r w:rsidRPr="00D16AB0">
        <w:rPr>
          <w:rFonts w:ascii="Arial" w:hAnsi="Arial" w:cs="Arial"/>
          <w:i/>
          <w:iCs/>
          <w:sz w:val="21"/>
          <w:szCs w:val="21"/>
        </w:rPr>
        <w:t>Climate Policy</w:t>
      </w:r>
      <w:r w:rsidRPr="00D16AB0">
        <w:rPr>
          <w:rFonts w:ascii="Arial" w:hAnsi="Arial" w:cs="Arial"/>
          <w:sz w:val="21"/>
          <w:szCs w:val="21"/>
        </w:rPr>
        <w:t xml:space="preserve"> </w:t>
      </w:r>
      <w:r w:rsidRPr="00D16AB0">
        <w:rPr>
          <w:rFonts w:ascii="Arial" w:hAnsi="Arial" w:cs="Arial"/>
          <w:b/>
          <w:bCs/>
          <w:sz w:val="21"/>
          <w:szCs w:val="21"/>
        </w:rPr>
        <w:t>19</w:t>
      </w:r>
      <w:r w:rsidRPr="00D16AB0">
        <w:rPr>
          <w:rFonts w:ascii="Arial" w:hAnsi="Arial" w:cs="Arial"/>
          <w:sz w:val="21"/>
          <w:szCs w:val="21"/>
        </w:rPr>
        <w:t>, 414–426 (2019).</w:t>
      </w:r>
    </w:p>
    <w:p w14:paraId="6D6E5CBE"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28.</w:t>
      </w:r>
      <w:r w:rsidRPr="00D16AB0">
        <w:rPr>
          <w:rFonts w:ascii="Arial" w:hAnsi="Arial" w:cs="Arial"/>
          <w:sz w:val="21"/>
          <w:szCs w:val="21"/>
        </w:rPr>
        <w:tab/>
      </w:r>
      <w:r w:rsidRPr="00D16AB0">
        <w:rPr>
          <w:rFonts w:ascii="Arial" w:hAnsi="Arial" w:cs="Arial"/>
          <w:i/>
          <w:iCs/>
          <w:sz w:val="21"/>
          <w:szCs w:val="21"/>
        </w:rPr>
        <w:t>The Clean Development Mechanism (CDM): A User’s Guide</w:t>
      </w:r>
      <w:r w:rsidRPr="00D16AB0">
        <w:rPr>
          <w:rFonts w:ascii="Arial" w:hAnsi="Arial" w:cs="Arial"/>
          <w:sz w:val="21"/>
          <w:szCs w:val="21"/>
        </w:rPr>
        <w:t>. 20–29 https://www.undp.org/sites/g/files/zskgke326/files/publications/cdmchapter2.pdf (2015).</w:t>
      </w:r>
    </w:p>
    <w:p w14:paraId="3DE8D019"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29.</w:t>
      </w:r>
      <w:r w:rsidRPr="00D16AB0">
        <w:rPr>
          <w:rFonts w:ascii="Arial" w:hAnsi="Arial" w:cs="Arial"/>
          <w:sz w:val="21"/>
          <w:szCs w:val="21"/>
        </w:rPr>
        <w:tab/>
        <w:t>CDM: Register a project activity. https://cdm.unfccc.int/Projects/pac/howto/CDMProjectActivity/Register/index.html.</w:t>
      </w:r>
    </w:p>
    <w:p w14:paraId="2784184A"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30.</w:t>
      </w:r>
      <w:r w:rsidRPr="00D16AB0">
        <w:rPr>
          <w:rFonts w:ascii="Arial" w:hAnsi="Arial" w:cs="Arial"/>
          <w:sz w:val="21"/>
          <w:szCs w:val="21"/>
        </w:rPr>
        <w:tab/>
        <w:t xml:space="preserve">New AFOLU buffer pool compensation agreement. </w:t>
      </w:r>
      <w:r w:rsidRPr="00D16AB0">
        <w:rPr>
          <w:rFonts w:ascii="Arial" w:hAnsi="Arial" w:cs="Arial"/>
          <w:i/>
          <w:iCs/>
          <w:sz w:val="21"/>
          <w:szCs w:val="21"/>
        </w:rPr>
        <w:t>Verra</w:t>
      </w:r>
      <w:r w:rsidRPr="00D16AB0">
        <w:rPr>
          <w:rFonts w:ascii="Arial" w:hAnsi="Arial" w:cs="Arial"/>
          <w:sz w:val="21"/>
          <w:szCs w:val="21"/>
        </w:rPr>
        <w:t xml:space="preserve"> https://verra.org/program-notice/new-afolu-buffer-pool-compensation-agreement/ (2024).</w:t>
      </w:r>
    </w:p>
    <w:p w14:paraId="11A4941F"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31.</w:t>
      </w:r>
      <w:r w:rsidRPr="00D16AB0">
        <w:rPr>
          <w:rFonts w:ascii="Arial" w:hAnsi="Arial" w:cs="Arial"/>
          <w:sz w:val="21"/>
          <w:szCs w:val="21"/>
        </w:rPr>
        <w:tab/>
        <w:t xml:space="preserve">Understanding verra’s new risk-based approach (RBA) to project reviews – FAQs. </w:t>
      </w:r>
      <w:r w:rsidRPr="00D16AB0">
        <w:rPr>
          <w:rFonts w:ascii="Arial" w:hAnsi="Arial" w:cs="Arial"/>
          <w:i/>
          <w:iCs/>
          <w:sz w:val="21"/>
          <w:szCs w:val="21"/>
        </w:rPr>
        <w:t>Verra</w:t>
      </w:r>
      <w:r w:rsidRPr="00D16AB0">
        <w:rPr>
          <w:rFonts w:ascii="Arial" w:hAnsi="Arial" w:cs="Arial"/>
          <w:sz w:val="21"/>
          <w:szCs w:val="21"/>
        </w:rPr>
        <w:t xml:space="preserve"> https://verra.org/understanding-verras-new-risk-based-approach-rba-to-project-reviews-faqs/.</w:t>
      </w:r>
    </w:p>
    <w:p w14:paraId="71D31671"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32.</w:t>
      </w:r>
      <w:r w:rsidRPr="00D16AB0">
        <w:rPr>
          <w:rFonts w:ascii="Arial" w:hAnsi="Arial" w:cs="Arial"/>
          <w:sz w:val="21"/>
          <w:szCs w:val="21"/>
        </w:rPr>
        <w:tab/>
        <w:t xml:space="preserve">Groom, B. &amp; Venmans, F. The social value of offsets. </w:t>
      </w:r>
      <w:r w:rsidRPr="00D16AB0">
        <w:rPr>
          <w:rFonts w:ascii="Arial" w:hAnsi="Arial" w:cs="Arial"/>
          <w:i/>
          <w:iCs/>
          <w:sz w:val="21"/>
          <w:szCs w:val="21"/>
        </w:rPr>
        <w:t>Nature</w:t>
      </w:r>
      <w:r w:rsidRPr="00D16AB0">
        <w:rPr>
          <w:rFonts w:ascii="Arial" w:hAnsi="Arial" w:cs="Arial"/>
          <w:sz w:val="21"/>
          <w:szCs w:val="21"/>
        </w:rPr>
        <w:t xml:space="preserve"> </w:t>
      </w:r>
      <w:r w:rsidRPr="00D16AB0">
        <w:rPr>
          <w:rFonts w:ascii="Arial" w:hAnsi="Arial" w:cs="Arial"/>
          <w:b/>
          <w:bCs/>
          <w:sz w:val="21"/>
          <w:szCs w:val="21"/>
        </w:rPr>
        <w:t>619</w:t>
      </w:r>
      <w:r w:rsidRPr="00D16AB0">
        <w:rPr>
          <w:rFonts w:ascii="Arial" w:hAnsi="Arial" w:cs="Arial"/>
          <w:sz w:val="21"/>
          <w:szCs w:val="21"/>
        </w:rPr>
        <w:t>, 768–773 (2023).</w:t>
      </w:r>
    </w:p>
    <w:p w14:paraId="4A10DB32"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33.</w:t>
      </w:r>
      <w:r w:rsidRPr="00D16AB0">
        <w:rPr>
          <w:rFonts w:ascii="Arial" w:hAnsi="Arial" w:cs="Arial"/>
          <w:sz w:val="21"/>
          <w:szCs w:val="21"/>
        </w:rPr>
        <w:tab/>
        <w:t xml:space="preserve">Schneider, L. Assessing the additionality of CDM projects: practical experiences and lessons learned. </w:t>
      </w:r>
      <w:r w:rsidRPr="00D16AB0">
        <w:rPr>
          <w:rFonts w:ascii="Arial" w:hAnsi="Arial" w:cs="Arial"/>
          <w:i/>
          <w:iCs/>
          <w:sz w:val="21"/>
          <w:szCs w:val="21"/>
        </w:rPr>
        <w:t>Climate Policy</w:t>
      </w:r>
      <w:r w:rsidRPr="00D16AB0">
        <w:rPr>
          <w:rFonts w:ascii="Arial" w:hAnsi="Arial" w:cs="Arial"/>
          <w:sz w:val="21"/>
          <w:szCs w:val="21"/>
        </w:rPr>
        <w:t xml:space="preserve"> </w:t>
      </w:r>
      <w:r w:rsidRPr="00D16AB0">
        <w:rPr>
          <w:rFonts w:ascii="Arial" w:hAnsi="Arial" w:cs="Arial"/>
          <w:b/>
          <w:bCs/>
          <w:sz w:val="21"/>
          <w:szCs w:val="21"/>
        </w:rPr>
        <w:t>9</w:t>
      </w:r>
      <w:r w:rsidRPr="00D16AB0">
        <w:rPr>
          <w:rFonts w:ascii="Arial" w:hAnsi="Arial" w:cs="Arial"/>
          <w:sz w:val="21"/>
          <w:szCs w:val="21"/>
        </w:rPr>
        <w:t>, 242–254 (2009).</w:t>
      </w:r>
    </w:p>
    <w:p w14:paraId="03B5E775"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34.</w:t>
      </w:r>
      <w:r w:rsidRPr="00D16AB0">
        <w:rPr>
          <w:rFonts w:ascii="Arial" w:hAnsi="Arial" w:cs="Arial"/>
          <w:sz w:val="21"/>
          <w:szCs w:val="21"/>
        </w:rPr>
        <w:tab/>
        <w:t xml:space="preserve">Michaelowa, A. Interpreting the Additionality of CDM Projects: Changes in Additionality Definitions and Regulatory Practices over Time. in </w:t>
      </w:r>
      <w:r w:rsidRPr="00D16AB0">
        <w:rPr>
          <w:rFonts w:ascii="Arial" w:hAnsi="Arial" w:cs="Arial"/>
          <w:i/>
          <w:iCs/>
          <w:sz w:val="21"/>
          <w:szCs w:val="21"/>
        </w:rPr>
        <w:t>Legal Aspects of Carbon Trading: Kyoto, Copenhagen, and beyond</w:t>
      </w:r>
      <w:r w:rsidRPr="00D16AB0">
        <w:rPr>
          <w:rFonts w:ascii="Arial" w:hAnsi="Arial" w:cs="Arial"/>
          <w:sz w:val="21"/>
          <w:szCs w:val="21"/>
        </w:rPr>
        <w:t xml:space="preserve"> (eds Freestone, D. &amp; Streck, C.) 0 (Oxford University Press, 2009). doi:10.1093/acprof:oso/9780199565931.003.0012.</w:t>
      </w:r>
    </w:p>
    <w:p w14:paraId="747D2242"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35.</w:t>
      </w:r>
      <w:r w:rsidRPr="00D16AB0">
        <w:rPr>
          <w:rFonts w:ascii="Arial" w:hAnsi="Arial" w:cs="Arial"/>
          <w:sz w:val="21"/>
          <w:szCs w:val="21"/>
        </w:rPr>
        <w:tab/>
        <w:t xml:space="preserve">Michaelowa, A., Hermwille, L., Obergassel, W. &amp; Butzengeiger, S. Additionality revisited: guarding the integrity of market mechanisms under the Paris Agreement. </w:t>
      </w:r>
      <w:r w:rsidRPr="00D16AB0">
        <w:rPr>
          <w:rFonts w:ascii="Arial" w:hAnsi="Arial" w:cs="Arial"/>
          <w:i/>
          <w:iCs/>
          <w:sz w:val="21"/>
          <w:szCs w:val="21"/>
        </w:rPr>
        <w:t>Climate Policy</w:t>
      </w:r>
      <w:r w:rsidRPr="00D16AB0">
        <w:rPr>
          <w:rFonts w:ascii="Arial" w:hAnsi="Arial" w:cs="Arial"/>
          <w:sz w:val="21"/>
          <w:szCs w:val="21"/>
        </w:rPr>
        <w:t xml:space="preserve"> </w:t>
      </w:r>
      <w:r w:rsidRPr="00D16AB0">
        <w:rPr>
          <w:rFonts w:ascii="Arial" w:hAnsi="Arial" w:cs="Arial"/>
          <w:b/>
          <w:bCs/>
          <w:sz w:val="21"/>
          <w:szCs w:val="21"/>
        </w:rPr>
        <w:t>19</w:t>
      </w:r>
      <w:r w:rsidRPr="00D16AB0">
        <w:rPr>
          <w:rFonts w:ascii="Arial" w:hAnsi="Arial" w:cs="Arial"/>
          <w:sz w:val="21"/>
          <w:szCs w:val="21"/>
        </w:rPr>
        <w:t>, 1211–1224 (2019).</w:t>
      </w:r>
    </w:p>
    <w:p w14:paraId="7F982500"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36.</w:t>
      </w:r>
      <w:r w:rsidRPr="00D16AB0">
        <w:rPr>
          <w:rFonts w:ascii="Arial" w:hAnsi="Arial" w:cs="Arial"/>
          <w:sz w:val="21"/>
          <w:szCs w:val="21"/>
        </w:rPr>
        <w:tab/>
        <w:t xml:space="preserve">Schneider, L. </w:t>
      </w:r>
      <w:r w:rsidRPr="00D16AB0">
        <w:rPr>
          <w:rFonts w:ascii="Arial" w:hAnsi="Arial" w:cs="Arial"/>
          <w:i/>
          <w:iCs/>
          <w:sz w:val="21"/>
          <w:szCs w:val="21"/>
        </w:rPr>
        <w:t>Is the CDM Fulfilling Its Environmental and Sustainable Development Objectives? An Evaluation of the CDM and Options for Improvement</w:t>
      </w:r>
      <w:r w:rsidRPr="00D16AB0">
        <w:rPr>
          <w:rFonts w:ascii="Arial" w:hAnsi="Arial" w:cs="Arial"/>
          <w:sz w:val="21"/>
          <w:szCs w:val="21"/>
        </w:rPr>
        <w:t>. https://www.semanticscholar.org/paper/Is-the-CDM-fulfilling-its-environmental-and-objec-Herold-Carlino/e456e07c98dd9b8c1bf13a2ead996bf0661440af (2007).</w:t>
      </w:r>
    </w:p>
    <w:p w14:paraId="0AD067EA"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37.</w:t>
      </w:r>
      <w:r w:rsidRPr="00D16AB0">
        <w:rPr>
          <w:rFonts w:ascii="Arial" w:hAnsi="Arial" w:cs="Arial"/>
          <w:sz w:val="21"/>
          <w:szCs w:val="21"/>
        </w:rPr>
        <w:tab/>
        <w:t xml:space="preserve">Ahonen, H.-M. </w:t>
      </w:r>
      <w:r w:rsidRPr="00D16AB0">
        <w:rPr>
          <w:rFonts w:ascii="Arial" w:hAnsi="Arial" w:cs="Arial"/>
          <w:i/>
          <w:iCs/>
          <w:sz w:val="21"/>
          <w:szCs w:val="21"/>
        </w:rPr>
        <w:t>et al.</w:t>
      </w:r>
      <w:r w:rsidRPr="00D16AB0">
        <w:rPr>
          <w:rFonts w:ascii="Arial" w:hAnsi="Arial" w:cs="Arial"/>
          <w:sz w:val="21"/>
          <w:szCs w:val="21"/>
        </w:rPr>
        <w:t xml:space="preserve"> Safeguarding integrity of market-based cooperation under Article 6: additionality determination and baseline setting. </w:t>
      </w:r>
      <w:r w:rsidRPr="00D16AB0">
        <w:rPr>
          <w:rFonts w:ascii="Arial" w:hAnsi="Arial" w:cs="Arial"/>
          <w:i/>
          <w:iCs/>
          <w:sz w:val="21"/>
          <w:szCs w:val="21"/>
        </w:rPr>
        <w:t>Background Paper</w:t>
      </w:r>
      <w:r w:rsidRPr="00D16AB0">
        <w:rPr>
          <w:rFonts w:ascii="Arial" w:hAnsi="Arial" w:cs="Arial"/>
          <w:sz w:val="21"/>
          <w:szCs w:val="21"/>
        </w:rPr>
        <w:t xml:space="preserve"> https://doi.org/10.5167/uzh-208160 (2021) doi:10.5167/uzh-208160.</w:t>
      </w:r>
    </w:p>
    <w:p w14:paraId="782F39AC"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38.</w:t>
      </w:r>
      <w:r w:rsidRPr="00D16AB0">
        <w:rPr>
          <w:rFonts w:ascii="Arial" w:hAnsi="Arial" w:cs="Arial"/>
          <w:sz w:val="21"/>
          <w:szCs w:val="21"/>
        </w:rPr>
        <w:tab/>
        <w:t>Shishlov, I. &amp; Bellassen, V. 10 lessons from 10 years of the CDM. 39 p. (auto-saisine, 2012).</w:t>
      </w:r>
    </w:p>
    <w:p w14:paraId="46C46821"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39.</w:t>
      </w:r>
      <w:r w:rsidRPr="00D16AB0">
        <w:rPr>
          <w:rFonts w:ascii="Arial" w:hAnsi="Arial" w:cs="Arial"/>
          <w:sz w:val="21"/>
          <w:szCs w:val="21"/>
        </w:rPr>
        <w:tab/>
        <w:t xml:space="preserve">Gold Standard. </w:t>
      </w:r>
      <w:r w:rsidRPr="00D16AB0">
        <w:rPr>
          <w:rFonts w:ascii="Arial" w:hAnsi="Arial" w:cs="Arial"/>
          <w:i/>
          <w:iCs/>
          <w:sz w:val="21"/>
          <w:szCs w:val="21"/>
        </w:rPr>
        <w:t>Aligning Gold Standard Projects with the Paris Agreement. Summary of Consultation Feedback and next Steps</w:t>
      </w:r>
      <w:r w:rsidRPr="00D16AB0">
        <w:rPr>
          <w:rFonts w:ascii="Arial" w:hAnsi="Arial" w:cs="Arial"/>
          <w:sz w:val="21"/>
          <w:szCs w:val="21"/>
        </w:rPr>
        <w:t>. https://www.goldstandard.org/sites/default/files/documents/aligning_gold_standard_projects_with_the_paris_agreement_summary_of_consultation_feedback_and_next_steps.pdf (2021).</w:t>
      </w:r>
    </w:p>
    <w:p w14:paraId="77DBA25C"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lastRenderedPageBreak/>
        <w:t>40.</w:t>
      </w:r>
      <w:r w:rsidRPr="00D16AB0">
        <w:rPr>
          <w:rFonts w:ascii="Arial" w:hAnsi="Arial" w:cs="Arial"/>
          <w:sz w:val="21"/>
          <w:szCs w:val="21"/>
        </w:rPr>
        <w:tab/>
        <w:t xml:space="preserve">Gold Standard. </w:t>
      </w:r>
      <w:r w:rsidRPr="00D16AB0">
        <w:rPr>
          <w:rFonts w:ascii="Arial" w:hAnsi="Arial" w:cs="Arial"/>
          <w:i/>
          <w:iCs/>
          <w:sz w:val="21"/>
          <w:szCs w:val="21"/>
        </w:rPr>
        <w:t>Gold Standard Launches Program to Support Higher Ambition in Paris Era Carbon Markets</w:t>
      </w:r>
      <w:r w:rsidRPr="00D16AB0">
        <w:rPr>
          <w:rFonts w:ascii="Arial" w:hAnsi="Arial" w:cs="Arial"/>
          <w:sz w:val="21"/>
          <w:szCs w:val="21"/>
        </w:rPr>
        <w:t>. https://www.goldstandard.org/blog-item/gold-standard-launches-program-supporthigher-ambition-paris-era-carbon-markets (2021).</w:t>
      </w:r>
    </w:p>
    <w:p w14:paraId="3FF0A499"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41.</w:t>
      </w:r>
      <w:r w:rsidRPr="00D16AB0">
        <w:rPr>
          <w:rFonts w:ascii="Arial" w:hAnsi="Arial" w:cs="Arial"/>
          <w:sz w:val="21"/>
          <w:szCs w:val="21"/>
        </w:rPr>
        <w:tab/>
        <w:t xml:space="preserve">Gold Standard. </w:t>
      </w:r>
      <w:r w:rsidRPr="00D16AB0">
        <w:rPr>
          <w:rFonts w:ascii="Arial" w:hAnsi="Arial" w:cs="Arial"/>
          <w:i/>
          <w:iCs/>
          <w:sz w:val="21"/>
          <w:szCs w:val="21"/>
        </w:rPr>
        <w:t>Renewable Energy Activity Requirements, Version 1.4</w:t>
      </w:r>
      <w:r w:rsidRPr="00D16AB0">
        <w:rPr>
          <w:rFonts w:ascii="Arial" w:hAnsi="Arial" w:cs="Arial"/>
          <w:sz w:val="21"/>
          <w:szCs w:val="21"/>
        </w:rPr>
        <w:t>. https://globalgoals.goldstandard.org/202-ar-renewable-energy-activity-requirements/ (2021).</w:t>
      </w:r>
    </w:p>
    <w:p w14:paraId="0DE7611E"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42.</w:t>
      </w:r>
      <w:r w:rsidRPr="00D16AB0">
        <w:rPr>
          <w:rFonts w:ascii="Arial" w:hAnsi="Arial" w:cs="Arial"/>
          <w:sz w:val="21"/>
          <w:szCs w:val="21"/>
        </w:rPr>
        <w:tab/>
        <w:t xml:space="preserve">Verra. </w:t>
      </w:r>
      <w:r w:rsidRPr="00D16AB0">
        <w:rPr>
          <w:rFonts w:ascii="Arial" w:hAnsi="Arial" w:cs="Arial"/>
          <w:i/>
          <w:iCs/>
          <w:sz w:val="21"/>
          <w:szCs w:val="21"/>
        </w:rPr>
        <w:t>Revision to Scope of VCS Program, Proposal for Public Consultation</w:t>
      </w:r>
      <w:r w:rsidRPr="00D16AB0">
        <w:rPr>
          <w:rFonts w:ascii="Arial" w:hAnsi="Arial" w:cs="Arial"/>
          <w:sz w:val="21"/>
          <w:szCs w:val="21"/>
        </w:rPr>
        <w:t>. https://verra.org/wp-content/uploads/2019/04/VCS-v4-Revision-to-Scope-of-VCS-Program.pdf (2019).</w:t>
      </w:r>
    </w:p>
    <w:p w14:paraId="00858615"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43.</w:t>
      </w:r>
      <w:r w:rsidRPr="00D16AB0">
        <w:rPr>
          <w:rFonts w:ascii="Arial" w:hAnsi="Arial" w:cs="Arial"/>
          <w:sz w:val="21"/>
          <w:szCs w:val="21"/>
        </w:rPr>
        <w:tab/>
        <w:t>Polonsky, M., Grau, S. &amp; Garma, R. The new greenwash? Potential marketing problems with carbon offsets. (2010).</w:t>
      </w:r>
    </w:p>
    <w:p w14:paraId="1D75805D"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44.</w:t>
      </w:r>
      <w:r w:rsidRPr="00D16AB0">
        <w:rPr>
          <w:rFonts w:ascii="Arial" w:hAnsi="Arial" w:cs="Arial"/>
          <w:sz w:val="21"/>
          <w:szCs w:val="21"/>
        </w:rPr>
        <w:tab/>
        <w:t xml:space="preserve">Badgley, G. </w:t>
      </w:r>
      <w:r w:rsidRPr="00D16AB0">
        <w:rPr>
          <w:rFonts w:ascii="Arial" w:hAnsi="Arial" w:cs="Arial"/>
          <w:i/>
          <w:iCs/>
          <w:sz w:val="21"/>
          <w:szCs w:val="21"/>
        </w:rPr>
        <w:t>et al.</w:t>
      </w:r>
      <w:r w:rsidRPr="00D16AB0">
        <w:rPr>
          <w:rFonts w:ascii="Arial" w:hAnsi="Arial" w:cs="Arial"/>
          <w:sz w:val="21"/>
          <w:szCs w:val="21"/>
        </w:rPr>
        <w:t xml:space="preserve"> California’s forest carbon offsets buffer pool is severely undercapitalized. </w:t>
      </w:r>
      <w:r w:rsidRPr="00D16AB0">
        <w:rPr>
          <w:rFonts w:ascii="Arial" w:hAnsi="Arial" w:cs="Arial"/>
          <w:i/>
          <w:iCs/>
          <w:sz w:val="21"/>
          <w:szCs w:val="21"/>
        </w:rPr>
        <w:t>Frontiers in Forests and Global Change</w:t>
      </w:r>
      <w:r w:rsidRPr="00D16AB0">
        <w:rPr>
          <w:rFonts w:ascii="Arial" w:hAnsi="Arial" w:cs="Arial"/>
          <w:sz w:val="21"/>
          <w:szCs w:val="21"/>
        </w:rPr>
        <w:t xml:space="preserve"> </w:t>
      </w:r>
      <w:r w:rsidRPr="00D16AB0">
        <w:rPr>
          <w:rFonts w:ascii="Arial" w:hAnsi="Arial" w:cs="Arial"/>
          <w:b/>
          <w:bCs/>
          <w:sz w:val="21"/>
          <w:szCs w:val="21"/>
        </w:rPr>
        <w:t>5</w:t>
      </w:r>
      <w:r w:rsidRPr="00D16AB0">
        <w:rPr>
          <w:rFonts w:ascii="Arial" w:hAnsi="Arial" w:cs="Arial"/>
          <w:sz w:val="21"/>
          <w:szCs w:val="21"/>
        </w:rPr>
        <w:t>, 930426 (2022).</w:t>
      </w:r>
    </w:p>
    <w:p w14:paraId="3FCA341F"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45.</w:t>
      </w:r>
      <w:r w:rsidRPr="00D16AB0">
        <w:rPr>
          <w:rFonts w:ascii="Arial" w:hAnsi="Arial" w:cs="Arial"/>
          <w:sz w:val="21"/>
          <w:szCs w:val="21"/>
        </w:rPr>
        <w:tab/>
        <w:t xml:space="preserve">Wara, M. &amp; Victor, D. G. A Realistic Policy on International Carbon Offsets. </w:t>
      </w:r>
      <w:r w:rsidRPr="00D16AB0">
        <w:rPr>
          <w:rFonts w:ascii="Arial" w:hAnsi="Arial" w:cs="Arial"/>
          <w:i/>
          <w:iCs/>
          <w:sz w:val="21"/>
          <w:szCs w:val="21"/>
        </w:rPr>
        <w:t>Program on Energy and Sustainable Development Working Paper #74</w:t>
      </w:r>
      <w:r w:rsidRPr="00D16AB0">
        <w:rPr>
          <w:rFonts w:ascii="Arial" w:hAnsi="Arial" w:cs="Arial"/>
          <w:sz w:val="21"/>
          <w:szCs w:val="21"/>
        </w:rPr>
        <w:t xml:space="preserve"> http://pesd.fsi.stanford.edu/publications/a_realistic_policy_on_international_carbon_offsets (2008).</w:t>
      </w:r>
    </w:p>
    <w:p w14:paraId="4B3E616A"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46.</w:t>
      </w:r>
      <w:r w:rsidRPr="00D16AB0">
        <w:rPr>
          <w:rFonts w:ascii="Arial" w:hAnsi="Arial" w:cs="Arial"/>
          <w:sz w:val="21"/>
          <w:szCs w:val="21"/>
        </w:rPr>
        <w:tab/>
        <w:t xml:space="preserve">Kuriyama, A. &amp; Koakutsu, K. </w:t>
      </w:r>
      <w:r w:rsidRPr="00D16AB0">
        <w:rPr>
          <w:rFonts w:ascii="Arial" w:hAnsi="Arial" w:cs="Arial"/>
          <w:i/>
          <w:iCs/>
          <w:sz w:val="21"/>
          <w:szCs w:val="21"/>
        </w:rPr>
        <w:t>Quantitative Assessment of Certified Emission Reductions from Non-Additional CDM Projects</w:t>
      </w:r>
      <w:r w:rsidRPr="00D16AB0">
        <w:rPr>
          <w:rFonts w:ascii="Arial" w:hAnsi="Arial" w:cs="Arial"/>
          <w:sz w:val="21"/>
          <w:szCs w:val="21"/>
        </w:rPr>
        <w:t xml:space="preserve">. </w:t>
      </w:r>
      <w:r w:rsidRPr="00D16AB0">
        <w:rPr>
          <w:rFonts w:ascii="Arial" w:hAnsi="Arial" w:cs="Arial"/>
          <w:i/>
          <w:iCs/>
          <w:sz w:val="21"/>
          <w:szCs w:val="21"/>
        </w:rPr>
        <w:t>https://www.iges.or.jp/en/pub/quantitative-assessment-certified-emission/en</w:t>
      </w:r>
      <w:r w:rsidRPr="00D16AB0">
        <w:rPr>
          <w:rFonts w:ascii="Arial" w:hAnsi="Arial" w:cs="Arial"/>
          <w:sz w:val="21"/>
          <w:szCs w:val="21"/>
        </w:rPr>
        <w:t xml:space="preserve"> https://www.iges.or.jp/en/pub/quantitative-assessment-certified-emission/en (2016).</w:t>
      </w:r>
    </w:p>
    <w:p w14:paraId="332C0111"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47.</w:t>
      </w:r>
      <w:r w:rsidRPr="00D16AB0">
        <w:rPr>
          <w:rFonts w:ascii="Arial" w:hAnsi="Arial" w:cs="Arial"/>
          <w:sz w:val="21"/>
          <w:szCs w:val="21"/>
        </w:rPr>
        <w:tab/>
        <w:t xml:space="preserve">Greenfield, P. Revealed: more than 90% of rainforest carbon offsets by biggest certifier are worthless, analysis shows. </w:t>
      </w:r>
      <w:r w:rsidRPr="00D16AB0">
        <w:rPr>
          <w:rFonts w:ascii="Arial" w:hAnsi="Arial" w:cs="Arial"/>
          <w:i/>
          <w:iCs/>
          <w:sz w:val="21"/>
          <w:szCs w:val="21"/>
        </w:rPr>
        <w:t>The Guardian</w:t>
      </w:r>
      <w:r w:rsidRPr="00D16AB0">
        <w:rPr>
          <w:rFonts w:ascii="Arial" w:hAnsi="Arial" w:cs="Arial"/>
          <w:sz w:val="21"/>
          <w:szCs w:val="21"/>
        </w:rPr>
        <w:t xml:space="preserve"> (2023).</w:t>
      </w:r>
    </w:p>
    <w:p w14:paraId="3A31AFAF"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48.</w:t>
      </w:r>
      <w:r w:rsidRPr="00D16AB0">
        <w:rPr>
          <w:rFonts w:ascii="Arial" w:hAnsi="Arial" w:cs="Arial"/>
          <w:sz w:val="21"/>
          <w:szCs w:val="21"/>
        </w:rPr>
        <w:tab/>
        <w:t xml:space="preserve">Gill-Wiehl, A., Kammen, D. M. &amp; Haya, B. K. Pervasive over-crediting from cookstove offset methodologies. </w:t>
      </w:r>
      <w:r w:rsidRPr="00D16AB0">
        <w:rPr>
          <w:rFonts w:ascii="Arial" w:hAnsi="Arial" w:cs="Arial"/>
          <w:i/>
          <w:iCs/>
          <w:sz w:val="21"/>
          <w:szCs w:val="21"/>
        </w:rPr>
        <w:t>Nature Sustainability</w:t>
      </w:r>
      <w:r w:rsidRPr="00D16AB0">
        <w:rPr>
          <w:rFonts w:ascii="Arial" w:hAnsi="Arial" w:cs="Arial"/>
          <w:sz w:val="21"/>
          <w:szCs w:val="21"/>
        </w:rPr>
        <w:t xml:space="preserve"> </w:t>
      </w:r>
      <w:r w:rsidRPr="00D16AB0">
        <w:rPr>
          <w:rFonts w:ascii="Arial" w:hAnsi="Arial" w:cs="Arial"/>
          <w:b/>
          <w:bCs/>
          <w:sz w:val="21"/>
          <w:szCs w:val="21"/>
        </w:rPr>
        <w:t>7</w:t>
      </w:r>
      <w:r w:rsidRPr="00D16AB0">
        <w:rPr>
          <w:rFonts w:ascii="Arial" w:hAnsi="Arial" w:cs="Arial"/>
          <w:sz w:val="21"/>
          <w:szCs w:val="21"/>
        </w:rPr>
        <w:t>, 191–202 (2024).</w:t>
      </w:r>
    </w:p>
    <w:p w14:paraId="1F2DA37E"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49.</w:t>
      </w:r>
      <w:r w:rsidRPr="00D16AB0">
        <w:rPr>
          <w:rFonts w:ascii="Arial" w:hAnsi="Arial" w:cs="Arial"/>
          <w:sz w:val="21"/>
          <w:szCs w:val="21"/>
        </w:rPr>
        <w:tab/>
        <w:t xml:space="preserve">Guizar-Coutiño, A., Jones, J. P. G., Balmford, A., Carmenta, R. &amp; Coomes, D. A. A global evaluation of the effectiveness of voluntary REDD+ projects at reducing deforestation and degradation in the moist tropics. </w:t>
      </w:r>
      <w:r w:rsidRPr="00D16AB0">
        <w:rPr>
          <w:rFonts w:ascii="Arial" w:hAnsi="Arial" w:cs="Arial"/>
          <w:i/>
          <w:iCs/>
          <w:sz w:val="21"/>
          <w:szCs w:val="21"/>
        </w:rPr>
        <w:t>Conserv Biol</w:t>
      </w:r>
      <w:r w:rsidRPr="00D16AB0">
        <w:rPr>
          <w:rFonts w:ascii="Arial" w:hAnsi="Arial" w:cs="Arial"/>
          <w:sz w:val="21"/>
          <w:szCs w:val="21"/>
        </w:rPr>
        <w:t xml:space="preserve"> </w:t>
      </w:r>
      <w:r w:rsidRPr="00D16AB0">
        <w:rPr>
          <w:rFonts w:ascii="Arial" w:hAnsi="Arial" w:cs="Arial"/>
          <w:b/>
          <w:bCs/>
          <w:sz w:val="21"/>
          <w:szCs w:val="21"/>
        </w:rPr>
        <w:t>36</w:t>
      </w:r>
      <w:r w:rsidRPr="00D16AB0">
        <w:rPr>
          <w:rFonts w:ascii="Arial" w:hAnsi="Arial" w:cs="Arial"/>
          <w:sz w:val="21"/>
          <w:szCs w:val="21"/>
        </w:rPr>
        <w:t>, e13970 (2022).</w:t>
      </w:r>
    </w:p>
    <w:p w14:paraId="34E5E739"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50.</w:t>
      </w:r>
      <w:r w:rsidRPr="00D16AB0">
        <w:rPr>
          <w:rFonts w:ascii="Arial" w:hAnsi="Arial" w:cs="Arial"/>
          <w:sz w:val="21"/>
          <w:szCs w:val="21"/>
        </w:rPr>
        <w:tab/>
        <w:t>Verra. Verra Response to Guardian Article on Carbon Offsets. https://verra.org/verra-response-guardian-rainforest-carbon-offsets/ (2023).</w:t>
      </w:r>
    </w:p>
    <w:p w14:paraId="72E4565D"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51.</w:t>
      </w:r>
      <w:r w:rsidRPr="00D16AB0">
        <w:rPr>
          <w:rFonts w:ascii="Arial" w:hAnsi="Arial" w:cs="Arial"/>
          <w:sz w:val="21"/>
          <w:szCs w:val="21"/>
        </w:rPr>
        <w:tab/>
        <w:t xml:space="preserve">Haya, B., Strong, A., Grubert, E. &amp; Cullenward, D. Carbon offsets in California: Science in the policy development process. in </w:t>
      </w:r>
      <w:r w:rsidRPr="00D16AB0">
        <w:rPr>
          <w:rFonts w:ascii="Arial" w:hAnsi="Arial" w:cs="Arial"/>
          <w:i/>
          <w:iCs/>
          <w:sz w:val="21"/>
          <w:szCs w:val="21"/>
        </w:rPr>
        <w:t>Advances in Natural and Technological Hazards Research</w:t>
      </w:r>
      <w:r w:rsidRPr="00D16AB0">
        <w:rPr>
          <w:rFonts w:ascii="Arial" w:hAnsi="Arial" w:cs="Arial"/>
          <w:sz w:val="21"/>
          <w:szCs w:val="21"/>
        </w:rPr>
        <w:t xml:space="preserve"> 241–254 (Springer International Publishing, Cham, 2016). doi:10.1007/978-3-319-20161-0_15.</w:t>
      </w:r>
    </w:p>
    <w:p w14:paraId="3CD213C3"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52.</w:t>
      </w:r>
      <w:r w:rsidRPr="00D16AB0">
        <w:rPr>
          <w:rFonts w:ascii="Arial" w:hAnsi="Arial" w:cs="Arial"/>
          <w:sz w:val="21"/>
          <w:szCs w:val="21"/>
        </w:rPr>
        <w:tab/>
        <w:t xml:space="preserve">Heller, T. C. &amp; Shukla, P. R. Development and Climate: Engaging Developing Countries. </w:t>
      </w:r>
      <w:r w:rsidRPr="00D16AB0">
        <w:rPr>
          <w:rFonts w:ascii="Arial" w:hAnsi="Arial" w:cs="Arial"/>
          <w:i/>
          <w:iCs/>
          <w:sz w:val="21"/>
          <w:szCs w:val="21"/>
        </w:rPr>
        <w:t>Pew Center on Global Climate Change</w:t>
      </w:r>
      <w:r w:rsidRPr="00D16AB0">
        <w:rPr>
          <w:rFonts w:ascii="Arial" w:hAnsi="Arial" w:cs="Arial"/>
          <w:sz w:val="21"/>
          <w:szCs w:val="21"/>
        </w:rPr>
        <w:t xml:space="preserve"> http://pesd.fsi.stanford.edu/publications/development_and_climate_engaging_developing_countries (2003).</w:t>
      </w:r>
    </w:p>
    <w:p w14:paraId="624D01EB"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53.</w:t>
      </w:r>
      <w:r w:rsidRPr="00D16AB0">
        <w:rPr>
          <w:rFonts w:ascii="Arial" w:hAnsi="Arial" w:cs="Arial"/>
          <w:sz w:val="21"/>
          <w:szCs w:val="21"/>
        </w:rPr>
        <w:tab/>
        <w:t xml:space="preserve">Heller, T. C. </w:t>
      </w:r>
      <w:r w:rsidRPr="00D16AB0">
        <w:rPr>
          <w:rFonts w:ascii="Arial" w:hAnsi="Arial" w:cs="Arial"/>
          <w:i/>
          <w:iCs/>
          <w:sz w:val="21"/>
          <w:szCs w:val="21"/>
        </w:rPr>
        <w:t>et al.</w:t>
      </w:r>
      <w:r w:rsidRPr="00D16AB0">
        <w:rPr>
          <w:rFonts w:ascii="Arial" w:hAnsi="Arial" w:cs="Arial"/>
          <w:sz w:val="21"/>
          <w:szCs w:val="21"/>
        </w:rPr>
        <w:t xml:space="preserve"> Baseline for carbon emissions in the Indian and Chinese power sectors: implications for international carbon trading. </w:t>
      </w:r>
      <w:r w:rsidRPr="00D16AB0">
        <w:rPr>
          <w:rFonts w:ascii="Arial" w:hAnsi="Arial" w:cs="Arial"/>
          <w:i/>
          <w:iCs/>
          <w:sz w:val="21"/>
          <w:szCs w:val="21"/>
        </w:rPr>
        <w:t>Program on Energy and Sustainable Development Working Paper #34</w:t>
      </w:r>
      <w:r w:rsidRPr="00D16AB0">
        <w:rPr>
          <w:rFonts w:ascii="Arial" w:hAnsi="Arial" w:cs="Arial"/>
          <w:sz w:val="21"/>
          <w:szCs w:val="21"/>
        </w:rPr>
        <w:t xml:space="preserve"> http://pesd.fsi.stanford.edu/publications/baseline_for_carbon_emissions_in_the_indian_and_chinese_power_sectors_implications_for_international_carbon_trading (2005).</w:t>
      </w:r>
    </w:p>
    <w:p w14:paraId="3F4F8BA8"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54.</w:t>
      </w:r>
      <w:r w:rsidRPr="00D16AB0">
        <w:rPr>
          <w:rFonts w:ascii="Arial" w:hAnsi="Arial" w:cs="Arial"/>
          <w:sz w:val="21"/>
          <w:szCs w:val="21"/>
        </w:rPr>
        <w:tab/>
        <w:t>Lazarus, M., Kartha, S. &amp; Bernow, S. Key Issues in Benchmark Baselines for the CDM: Aggregation, Stringency, Cohorts, and Updating. (2000).</w:t>
      </w:r>
    </w:p>
    <w:p w14:paraId="69AD8C76"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55.</w:t>
      </w:r>
      <w:r w:rsidRPr="00D16AB0">
        <w:rPr>
          <w:rFonts w:ascii="Arial" w:hAnsi="Arial" w:cs="Arial"/>
          <w:sz w:val="21"/>
          <w:szCs w:val="21"/>
        </w:rPr>
        <w:tab/>
        <w:t xml:space="preserve">Shrestha, R. M. &amp; Timilsina, G. R. The additionality criterion for identifying clean development mechanism projects under the Kyoto Protocol. </w:t>
      </w:r>
      <w:r w:rsidRPr="00D16AB0">
        <w:rPr>
          <w:rFonts w:ascii="Arial" w:hAnsi="Arial" w:cs="Arial"/>
          <w:i/>
          <w:iCs/>
          <w:sz w:val="21"/>
          <w:szCs w:val="21"/>
        </w:rPr>
        <w:t>Energy Policy</w:t>
      </w:r>
      <w:r w:rsidRPr="00D16AB0">
        <w:rPr>
          <w:rFonts w:ascii="Arial" w:hAnsi="Arial" w:cs="Arial"/>
          <w:sz w:val="21"/>
          <w:szCs w:val="21"/>
        </w:rPr>
        <w:t xml:space="preserve"> </w:t>
      </w:r>
      <w:r w:rsidRPr="00D16AB0">
        <w:rPr>
          <w:rFonts w:ascii="Arial" w:hAnsi="Arial" w:cs="Arial"/>
          <w:b/>
          <w:bCs/>
          <w:sz w:val="21"/>
          <w:szCs w:val="21"/>
        </w:rPr>
        <w:t>30</w:t>
      </w:r>
      <w:r w:rsidRPr="00D16AB0">
        <w:rPr>
          <w:rFonts w:ascii="Arial" w:hAnsi="Arial" w:cs="Arial"/>
          <w:sz w:val="21"/>
          <w:szCs w:val="21"/>
        </w:rPr>
        <w:t>, 73–79 (2002).</w:t>
      </w:r>
    </w:p>
    <w:p w14:paraId="41F2824E"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lastRenderedPageBreak/>
        <w:t>56.</w:t>
      </w:r>
      <w:r w:rsidRPr="00D16AB0">
        <w:rPr>
          <w:rFonts w:ascii="Arial" w:hAnsi="Arial" w:cs="Arial"/>
          <w:sz w:val="21"/>
          <w:szCs w:val="21"/>
        </w:rPr>
        <w:tab/>
        <w:t>Camara, Y., Holtsmark, B. &amp; Misch, F. Electric Vehicles, Tax Incentives and Emissions: Evidence from Norway. SSRN Scholarly Paper at https://papers.ssrn.com/abstract=4026339 (2021).</w:t>
      </w:r>
    </w:p>
    <w:p w14:paraId="0F7DB258"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57.</w:t>
      </w:r>
      <w:r w:rsidRPr="00D16AB0">
        <w:rPr>
          <w:rFonts w:ascii="Arial" w:hAnsi="Arial" w:cs="Arial"/>
          <w:sz w:val="21"/>
          <w:szCs w:val="21"/>
        </w:rPr>
        <w:tab/>
        <w:t xml:space="preserve">Radpour, S., Gemechu, E., Ahiduzzaman, M. &amp; Kumar, A. Developing a framework to assess the long-term adoption of renewable energy technologies in the electric power sector: The effects of carbon price and economic incentives. </w:t>
      </w:r>
      <w:r w:rsidRPr="00D16AB0">
        <w:rPr>
          <w:rFonts w:ascii="Arial" w:hAnsi="Arial" w:cs="Arial"/>
          <w:i/>
          <w:iCs/>
          <w:sz w:val="21"/>
          <w:szCs w:val="21"/>
        </w:rPr>
        <w:t>Renewable and Sustainable Energy Reviews</w:t>
      </w:r>
      <w:r w:rsidRPr="00D16AB0">
        <w:rPr>
          <w:rFonts w:ascii="Arial" w:hAnsi="Arial" w:cs="Arial"/>
          <w:sz w:val="21"/>
          <w:szCs w:val="21"/>
        </w:rPr>
        <w:t xml:space="preserve"> </w:t>
      </w:r>
      <w:r w:rsidRPr="00D16AB0">
        <w:rPr>
          <w:rFonts w:ascii="Arial" w:hAnsi="Arial" w:cs="Arial"/>
          <w:b/>
          <w:bCs/>
          <w:sz w:val="21"/>
          <w:szCs w:val="21"/>
        </w:rPr>
        <w:t>152</w:t>
      </w:r>
      <w:r w:rsidRPr="00D16AB0">
        <w:rPr>
          <w:rFonts w:ascii="Arial" w:hAnsi="Arial" w:cs="Arial"/>
          <w:sz w:val="21"/>
          <w:szCs w:val="21"/>
        </w:rPr>
        <w:t>, 111663 (2021).</w:t>
      </w:r>
    </w:p>
    <w:p w14:paraId="642FA2CC"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58.</w:t>
      </w:r>
      <w:r w:rsidRPr="00D16AB0">
        <w:rPr>
          <w:rFonts w:ascii="Arial" w:hAnsi="Arial" w:cs="Arial"/>
          <w:sz w:val="21"/>
          <w:szCs w:val="21"/>
        </w:rPr>
        <w:tab/>
        <w:t xml:space="preserve">Bölük, G. &amp; Kaplan, R. Effectiveness of renewable energy incentives on sustainability: evidence from dynamic panel data analysis for the EU countries and Turkey. </w:t>
      </w:r>
      <w:r w:rsidRPr="00D16AB0">
        <w:rPr>
          <w:rFonts w:ascii="Arial" w:hAnsi="Arial" w:cs="Arial"/>
          <w:i/>
          <w:iCs/>
          <w:sz w:val="21"/>
          <w:szCs w:val="21"/>
        </w:rPr>
        <w:t>Environ Sci Pollut Res</w:t>
      </w:r>
      <w:r w:rsidRPr="00D16AB0">
        <w:rPr>
          <w:rFonts w:ascii="Arial" w:hAnsi="Arial" w:cs="Arial"/>
          <w:sz w:val="21"/>
          <w:szCs w:val="21"/>
        </w:rPr>
        <w:t xml:space="preserve"> </w:t>
      </w:r>
      <w:r w:rsidRPr="00D16AB0">
        <w:rPr>
          <w:rFonts w:ascii="Arial" w:hAnsi="Arial" w:cs="Arial"/>
          <w:b/>
          <w:bCs/>
          <w:sz w:val="21"/>
          <w:szCs w:val="21"/>
        </w:rPr>
        <w:t>29</w:t>
      </w:r>
      <w:r w:rsidRPr="00D16AB0">
        <w:rPr>
          <w:rFonts w:ascii="Arial" w:hAnsi="Arial" w:cs="Arial"/>
          <w:sz w:val="21"/>
          <w:szCs w:val="21"/>
        </w:rPr>
        <w:t>, 26613–26630 (2022).</w:t>
      </w:r>
    </w:p>
    <w:p w14:paraId="12855B3B"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59.</w:t>
      </w:r>
      <w:r w:rsidRPr="00D16AB0">
        <w:rPr>
          <w:rFonts w:ascii="Arial" w:hAnsi="Arial" w:cs="Arial"/>
          <w:sz w:val="21"/>
          <w:szCs w:val="21"/>
        </w:rPr>
        <w:tab/>
        <w:t xml:space="preserve">Zhou, Y., Wang, L. &amp; McCalley, J. D. Designing effective and efficient incentive policies for renewable energy in generation expansion planning. </w:t>
      </w:r>
      <w:r w:rsidRPr="00D16AB0">
        <w:rPr>
          <w:rFonts w:ascii="Arial" w:hAnsi="Arial" w:cs="Arial"/>
          <w:i/>
          <w:iCs/>
          <w:sz w:val="21"/>
          <w:szCs w:val="21"/>
        </w:rPr>
        <w:t>Applied Energy</w:t>
      </w:r>
      <w:r w:rsidRPr="00D16AB0">
        <w:rPr>
          <w:rFonts w:ascii="Arial" w:hAnsi="Arial" w:cs="Arial"/>
          <w:sz w:val="21"/>
          <w:szCs w:val="21"/>
        </w:rPr>
        <w:t xml:space="preserve"> </w:t>
      </w:r>
      <w:r w:rsidRPr="00D16AB0">
        <w:rPr>
          <w:rFonts w:ascii="Arial" w:hAnsi="Arial" w:cs="Arial"/>
          <w:b/>
          <w:bCs/>
          <w:sz w:val="21"/>
          <w:szCs w:val="21"/>
        </w:rPr>
        <w:t>88</w:t>
      </w:r>
      <w:r w:rsidRPr="00D16AB0">
        <w:rPr>
          <w:rFonts w:ascii="Arial" w:hAnsi="Arial" w:cs="Arial"/>
          <w:sz w:val="21"/>
          <w:szCs w:val="21"/>
        </w:rPr>
        <w:t>, 2201–2209 (2011).</w:t>
      </w:r>
    </w:p>
    <w:p w14:paraId="2109A839"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60.</w:t>
      </w:r>
      <w:r w:rsidRPr="00D16AB0">
        <w:rPr>
          <w:rFonts w:ascii="Arial" w:hAnsi="Arial" w:cs="Arial"/>
          <w:sz w:val="21"/>
          <w:szCs w:val="21"/>
        </w:rPr>
        <w:tab/>
        <w:t xml:space="preserve">Kleven, H. J. &amp; Waseem, M. Using notches to uncover optimization frictions and structural elasticities: theory and evidence from pakistan *. </w:t>
      </w:r>
      <w:r w:rsidRPr="00D16AB0">
        <w:rPr>
          <w:rFonts w:ascii="Arial" w:hAnsi="Arial" w:cs="Arial"/>
          <w:i/>
          <w:iCs/>
          <w:sz w:val="21"/>
          <w:szCs w:val="21"/>
        </w:rPr>
        <w:t>The Quarterly Journal of Economics</w:t>
      </w:r>
      <w:r w:rsidRPr="00D16AB0">
        <w:rPr>
          <w:rFonts w:ascii="Arial" w:hAnsi="Arial" w:cs="Arial"/>
          <w:sz w:val="21"/>
          <w:szCs w:val="21"/>
        </w:rPr>
        <w:t xml:space="preserve"> </w:t>
      </w:r>
      <w:r w:rsidRPr="00D16AB0">
        <w:rPr>
          <w:rFonts w:ascii="Arial" w:hAnsi="Arial" w:cs="Arial"/>
          <w:b/>
          <w:bCs/>
          <w:sz w:val="21"/>
          <w:szCs w:val="21"/>
        </w:rPr>
        <w:t>128</w:t>
      </w:r>
      <w:r w:rsidRPr="00D16AB0">
        <w:rPr>
          <w:rFonts w:ascii="Arial" w:hAnsi="Arial" w:cs="Arial"/>
          <w:sz w:val="21"/>
          <w:szCs w:val="21"/>
        </w:rPr>
        <w:t>, 669–723 (2013).</w:t>
      </w:r>
    </w:p>
    <w:p w14:paraId="0A87589E"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61.</w:t>
      </w:r>
      <w:r w:rsidRPr="00D16AB0">
        <w:rPr>
          <w:rFonts w:ascii="Arial" w:hAnsi="Arial" w:cs="Arial"/>
          <w:sz w:val="21"/>
          <w:szCs w:val="21"/>
        </w:rPr>
        <w:tab/>
        <w:t xml:space="preserve">Saez, E. Do taxpayers bunch at kink points? </w:t>
      </w:r>
      <w:r w:rsidRPr="00D16AB0">
        <w:rPr>
          <w:rFonts w:ascii="Arial" w:hAnsi="Arial" w:cs="Arial"/>
          <w:i/>
          <w:iCs/>
          <w:sz w:val="21"/>
          <w:szCs w:val="21"/>
        </w:rPr>
        <w:t>American Economic Journal: Economic Policy</w:t>
      </w:r>
      <w:r w:rsidRPr="00D16AB0">
        <w:rPr>
          <w:rFonts w:ascii="Arial" w:hAnsi="Arial" w:cs="Arial"/>
          <w:sz w:val="21"/>
          <w:szCs w:val="21"/>
        </w:rPr>
        <w:t xml:space="preserve"> </w:t>
      </w:r>
      <w:r w:rsidRPr="00D16AB0">
        <w:rPr>
          <w:rFonts w:ascii="Arial" w:hAnsi="Arial" w:cs="Arial"/>
          <w:b/>
          <w:bCs/>
          <w:sz w:val="21"/>
          <w:szCs w:val="21"/>
        </w:rPr>
        <w:t>2</w:t>
      </w:r>
      <w:r w:rsidRPr="00D16AB0">
        <w:rPr>
          <w:rFonts w:ascii="Arial" w:hAnsi="Arial" w:cs="Arial"/>
          <w:sz w:val="21"/>
          <w:szCs w:val="21"/>
        </w:rPr>
        <w:t>, 180–212 (2010).</w:t>
      </w:r>
    </w:p>
    <w:p w14:paraId="055F6AF0"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62.</w:t>
      </w:r>
      <w:r w:rsidRPr="00D16AB0">
        <w:rPr>
          <w:rFonts w:ascii="Arial" w:hAnsi="Arial" w:cs="Arial"/>
          <w:sz w:val="21"/>
          <w:szCs w:val="21"/>
        </w:rPr>
        <w:tab/>
        <w:t xml:space="preserve">Bertrand, M., Mullainathan, S. &amp; Shafir, E. A behavioral-economics view of poverty. </w:t>
      </w:r>
      <w:r w:rsidRPr="00D16AB0">
        <w:rPr>
          <w:rFonts w:ascii="Arial" w:hAnsi="Arial" w:cs="Arial"/>
          <w:i/>
          <w:iCs/>
          <w:sz w:val="21"/>
          <w:szCs w:val="21"/>
        </w:rPr>
        <w:t>American Economic Review</w:t>
      </w:r>
      <w:r w:rsidRPr="00D16AB0">
        <w:rPr>
          <w:rFonts w:ascii="Arial" w:hAnsi="Arial" w:cs="Arial"/>
          <w:sz w:val="21"/>
          <w:szCs w:val="21"/>
        </w:rPr>
        <w:t xml:space="preserve"> </w:t>
      </w:r>
      <w:r w:rsidRPr="00D16AB0">
        <w:rPr>
          <w:rFonts w:ascii="Arial" w:hAnsi="Arial" w:cs="Arial"/>
          <w:b/>
          <w:bCs/>
          <w:sz w:val="21"/>
          <w:szCs w:val="21"/>
        </w:rPr>
        <w:t>94</w:t>
      </w:r>
      <w:r w:rsidRPr="00D16AB0">
        <w:rPr>
          <w:rFonts w:ascii="Arial" w:hAnsi="Arial" w:cs="Arial"/>
          <w:sz w:val="21"/>
          <w:szCs w:val="21"/>
        </w:rPr>
        <w:t>, 419–423 (2004).</w:t>
      </w:r>
    </w:p>
    <w:p w14:paraId="38961BE1"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63.</w:t>
      </w:r>
      <w:r w:rsidRPr="00D16AB0">
        <w:rPr>
          <w:rFonts w:ascii="Arial" w:hAnsi="Arial" w:cs="Arial"/>
          <w:sz w:val="21"/>
          <w:szCs w:val="21"/>
        </w:rPr>
        <w:tab/>
        <w:t>Currie, J. The Take Up of Social Benefits. Working Paper at https://doi.org/10.3386/w10488 (2004).</w:t>
      </w:r>
    </w:p>
    <w:p w14:paraId="71B86465"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64.</w:t>
      </w:r>
      <w:r w:rsidRPr="00D16AB0">
        <w:rPr>
          <w:rFonts w:ascii="Arial" w:hAnsi="Arial" w:cs="Arial"/>
          <w:sz w:val="21"/>
          <w:szCs w:val="21"/>
        </w:rPr>
        <w:tab/>
        <w:t xml:space="preserve">Martin, R., Muûls, M., de Preux, L. B. &amp; Wagner, U. J. Industry Compensation under Relocation Risk: A Firm-Level Analysis of the EU Emissions Trading Scheme. </w:t>
      </w:r>
      <w:r w:rsidRPr="00D16AB0">
        <w:rPr>
          <w:rFonts w:ascii="Arial" w:hAnsi="Arial" w:cs="Arial"/>
          <w:i/>
          <w:iCs/>
          <w:sz w:val="21"/>
          <w:szCs w:val="21"/>
        </w:rPr>
        <w:t>American Economic Review</w:t>
      </w:r>
      <w:r w:rsidRPr="00D16AB0">
        <w:rPr>
          <w:rFonts w:ascii="Arial" w:hAnsi="Arial" w:cs="Arial"/>
          <w:sz w:val="21"/>
          <w:szCs w:val="21"/>
        </w:rPr>
        <w:t xml:space="preserve"> </w:t>
      </w:r>
      <w:r w:rsidRPr="00D16AB0">
        <w:rPr>
          <w:rFonts w:ascii="Arial" w:hAnsi="Arial" w:cs="Arial"/>
          <w:b/>
          <w:bCs/>
          <w:sz w:val="21"/>
          <w:szCs w:val="21"/>
        </w:rPr>
        <w:t>104</w:t>
      </w:r>
      <w:r w:rsidRPr="00D16AB0">
        <w:rPr>
          <w:rFonts w:ascii="Arial" w:hAnsi="Arial" w:cs="Arial"/>
          <w:sz w:val="21"/>
          <w:szCs w:val="21"/>
        </w:rPr>
        <w:t>, 2482–2508 (2014).</w:t>
      </w:r>
    </w:p>
    <w:p w14:paraId="49F078D7"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65.</w:t>
      </w:r>
      <w:r w:rsidRPr="00D16AB0">
        <w:rPr>
          <w:rFonts w:ascii="Arial" w:hAnsi="Arial" w:cs="Arial"/>
          <w:sz w:val="21"/>
          <w:szCs w:val="21"/>
        </w:rPr>
        <w:tab/>
        <w:t xml:space="preserve">Michaelowa, A., Espelage, A., Kessler, J. &amp; Singh, A. </w:t>
      </w:r>
      <w:r w:rsidRPr="00D16AB0">
        <w:rPr>
          <w:rFonts w:ascii="Arial" w:hAnsi="Arial" w:cs="Arial"/>
          <w:i/>
          <w:iCs/>
          <w:sz w:val="21"/>
          <w:szCs w:val="21"/>
        </w:rPr>
        <w:t>Developing an Article 6 Tool to Assess the Additionality of Mitigation Activities</w:t>
      </w:r>
      <w:r w:rsidRPr="00D16AB0">
        <w:rPr>
          <w:rFonts w:ascii="Arial" w:hAnsi="Arial" w:cs="Arial"/>
          <w:sz w:val="21"/>
          <w:szCs w:val="21"/>
        </w:rPr>
        <w:t>. https://www.perspectives.cc/public/publications/publication/?no_cache=1&amp;tx_pccprojects_plugin[action]=show&amp;tx_pccprojects_plugin[controller]=Publication&amp;tx_pccprojects_plugin[uid]=165 (2022).</w:t>
      </w:r>
    </w:p>
    <w:p w14:paraId="2958BD94" w14:textId="77777777" w:rsidR="001A6C96" w:rsidRPr="00D16AB0" w:rsidRDefault="001A6C96" w:rsidP="00256C79">
      <w:pPr>
        <w:pStyle w:val="a8"/>
        <w:spacing w:line="276" w:lineRule="auto"/>
        <w:rPr>
          <w:rFonts w:ascii="Arial" w:hAnsi="Arial" w:cs="Arial"/>
          <w:sz w:val="21"/>
          <w:szCs w:val="21"/>
        </w:rPr>
      </w:pPr>
      <w:r w:rsidRPr="00D16AB0">
        <w:rPr>
          <w:rFonts w:ascii="Arial" w:hAnsi="Arial" w:cs="Arial"/>
          <w:sz w:val="21"/>
          <w:szCs w:val="21"/>
        </w:rPr>
        <w:t>66.</w:t>
      </w:r>
      <w:r w:rsidRPr="00D16AB0">
        <w:rPr>
          <w:rFonts w:ascii="Arial" w:hAnsi="Arial" w:cs="Arial"/>
          <w:sz w:val="21"/>
          <w:szCs w:val="21"/>
        </w:rPr>
        <w:tab/>
        <w:t xml:space="preserve">CDM Pipeline. </w:t>
      </w:r>
      <w:r w:rsidRPr="00D16AB0">
        <w:rPr>
          <w:rFonts w:ascii="Arial" w:hAnsi="Arial" w:cs="Arial"/>
          <w:i/>
          <w:iCs/>
          <w:sz w:val="21"/>
          <w:szCs w:val="21"/>
        </w:rPr>
        <w:t>UNEP-CCC</w:t>
      </w:r>
      <w:r w:rsidRPr="00D16AB0">
        <w:rPr>
          <w:rFonts w:ascii="Arial" w:hAnsi="Arial" w:cs="Arial"/>
          <w:sz w:val="21"/>
          <w:szCs w:val="21"/>
        </w:rPr>
        <w:t xml:space="preserve"> https://unepccc.org/cdm-ji-pipeline/ (2023).</w:t>
      </w:r>
    </w:p>
    <w:p w14:paraId="10C22F57" w14:textId="4C6D98B4" w:rsidR="007843C9" w:rsidRPr="00D16AB0" w:rsidRDefault="00C32C0F" w:rsidP="00256C79">
      <w:pPr>
        <w:pStyle w:val="a8"/>
        <w:spacing w:line="276" w:lineRule="auto"/>
        <w:ind w:leftChars="200" w:left="864"/>
        <w:rPr>
          <w:rFonts w:ascii="Arial" w:hAnsi="Arial" w:cs="Arial"/>
          <w:sz w:val="21"/>
          <w:szCs w:val="21"/>
          <w:lang w:val="en-GB" w:eastAsia="zh-CN"/>
        </w:rPr>
      </w:pPr>
      <w:r w:rsidRPr="00D16AB0">
        <w:rPr>
          <w:rFonts w:ascii="Arial" w:hAnsi="Arial" w:cs="Arial"/>
          <w:b/>
          <w:sz w:val="21"/>
          <w:szCs w:val="21"/>
          <w:lang w:val="en-GB"/>
        </w:rPr>
        <w:fldChar w:fldCharType="end"/>
      </w:r>
    </w:p>
    <w:sectPr w:rsidR="007843C9" w:rsidRPr="00D16AB0" w:rsidSect="001A034F">
      <w:headerReference w:type="default" r:id="rId32"/>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85C9D" w14:textId="77777777" w:rsidR="00A60697" w:rsidRDefault="00A60697">
      <w:r>
        <w:separator/>
      </w:r>
    </w:p>
  </w:endnote>
  <w:endnote w:type="continuationSeparator" w:id="0">
    <w:p w14:paraId="52C5AEB2" w14:textId="77777777" w:rsidR="00A60697" w:rsidRDefault="00A60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6907" w14:textId="193174C0" w:rsidR="00F125EE" w:rsidRDefault="00114193">
    <w:pPr>
      <w:pStyle w:val="aff1"/>
      <w:jc w:val="right"/>
    </w:pPr>
    <w:r>
      <w:fldChar w:fldCharType="begin"/>
    </w:r>
    <w:r>
      <w:instrText xml:space="preserve"> PAGE   \* MERGEFORMAT </w:instrText>
    </w:r>
    <w:r>
      <w:fldChar w:fldCharType="separate"/>
    </w:r>
    <w:r w:rsidR="009D6B1C">
      <w:rPr>
        <w:noProof/>
      </w:rPr>
      <w:t>1</w:t>
    </w:r>
    <w:r>
      <w:fldChar w:fldCharType="end"/>
    </w:r>
  </w:p>
  <w:p w14:paraId="180EEFF6"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22D00" w14:textId="77777777" w:rsidR="00A60697" w:rsidRDefault="00A60697">
      <w:r>
        <w:separator/>
      </w:r>
    </w:p>
  </w:footnote>
  <w:footnote w:type="continuationSeparator" w:id="0">
    <w:p w14:paraId="176A360A" w14:textId="77777777" w:rsidR="00A60697" w:rsidRDefault="00A60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9E43CB"/>
    <w:multiLevelType w:val="multilevel"/>
    <w:tmpl w:val="2ADA3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9596923"/>
    <w:multiLevelType w:val="hybridMultilevel"/>
    <w:tmpl w:val="4AB0AA70"/>
    <w:lvl w:ilvl="0" w:tplc="F57A11B4">
      <w:start w:val="1"/>
      <w:numFmt w:val="decimal"/>
      <w:lvlText w:val="%1)"/>
      <w:lvlJc w:val="left"/>
      <w:pPr>
        <w:ind w:left="360" w:hanging="360"/>
      </w:pPr>
      <w:rPr>
        <w:rFonts w:ascii="Arial" w:eastAsiaTheme="minorEastAsia" w:hAnsi="Arial" w:cs="Arial"/>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E10587E"/>
    <w:multiLevelType w:val="hybridMultilevel"/>
    <w:tmpl w:val="8D7A0EC6"/>
    <w:lvl w:ilvl="0" w:tplc="F61C5A7A">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4"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75305D"/>
    <w:multiLevelType w:val="hybridMultilevel"/>
    <w:tmpl w:val="B3288C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6DD2399"/>
    <w:multiLevelType w:val="hybridMultilevel"/>
    <w:tmpl w:val="D27096CC"/>
    <w:lvl w:ilvl="0" w:tplc="8C0C3418">
      <w:start w:val="1"/>
      <w:numFmt w:val="decimal"/>
      <w:lvlText w:val="%1."/>
      <w:lvlJc w:val="left"/>
      <w:pPr>
        <w:ind w:left="360" w:hanging="360"/>
      </w:pPr>
      <w:rPr>
        <w:rFonts w:hint="default"/>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C476655"/>
    <w:multiLevelType w:val="hybridMultilevel"/>
    <w:tmpl w:val="FB5476EE"/>
    <w:lvl w:ilvl="0" w:tplc="29F64BDC">
      <w:start w:val="1"/>
      <w:numFmt w:val="decimal"/>
      <w:lvlText w:val="%1)"/>
      <w:lvlJc w:val="left"/>
      <w:pPr>
        <w:ind w:left="360" w:hanging="360"/>
      </w:pPr>
      <w:rPr>
        <w:rFonts w:ascii="Arial" w:eastAsiaTheme="minorEastAsia" w:hAnsi="Arial" w:cs="Arial"/>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63AC09CA"/>
    <w:multiLevelType w:val="hybridMultilevel"/>
    <w:tmpl w:val="252C864A"/>
    <w:lvl w:ilvl="0" w:tplc="ECBA5682">
      <w:start w:val="1"/>
      <w:numFmt w:val="upperLetter"/>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67951287"/>
    <w:multiLevelType w:val="hybridMultilevel"/>
    <w:tmpl w:val="1E8E8274"/>
    <w:lvl w:ilvl="0" w:tplc="D5AA810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6A871179"/>
    <w:multiLevelType w:val="multilevel"/>
    <w:tmpl w:val="A8E4A768"/>
    <w:lvl w:ilvl="0">
      <w:start w:val="1"/>
      <w:numFmt w:val="decimal"/>
      <w:lvlText w:val="%1."/>
      <w:lvlJc w:val="left"/>
      <w:pPr>
        <w:ind w:left="360" w:hanging="360"/>
      </w:pPr>
      <w:rPr>
        <w:rFonts w:hint="eastAsia"/>
      </w:rPr>
    </w:lvl>
    <w:lvl w:ilvl="1">
      <w:start w:val="1"/>
      <w:numFmt w:val="decimal"/>
      <w:isLgl/>
      <w:lvlText w:val="%1.%2"/>
      <w:lvlJc w:val="left"/>
      <w:pPr>
        <w:ind w:left="360" w:hanging="360"/>
      </w:pPr>
      <w:rPr>
        <w:rFonts w:hint="eastAsia"/>
        <w:b/>
        <w:u w:val="none"/>
      </w:rPr>
    </w:lvl>
    <w:lvl w:ilvl="2">
      <w:start w:val="1"/>
      <w:numFmt w:val="decimal"/>
      <w:isLgl/>
      <w:lvlText w:val="%1.%2.%3"/>
      <w:lvlJc w:val="left"/>
      <w:pPr>
        <w:ind w:left="720" w:hanging="720"/>
      </w:pPr>
      <w:rPr>
        <w:rFonts w:hint="eastAsia"/>
        <w:b/>
        <w:u w:val="none"/>
      </w:rPr>
    </w:lvl>
    <w:lvl w:ilvl="3">
      <w:start w:val="1"/>
      <w:numFmt w:val="decimal"/>
      <w:isLgl/>
      <w:lvlText w:val="%1.%2.%3.%4"/>
      <w:lvlJc w:val="left"/>
      <w:pPr>
        <w:ind w:left="720" w:hanging="720"/>
      </w:pPr>
      <w:rPr>
        <w:rFonts w:hint="eastAsia"/>
        <w:b/>
        <w:u w:val="none"/>
      </w:rPr>
    </w:lvl>
    <w:lvl w:ilvl="4">
      <w:start w:val="1"/>
      <w:numFmt w:val="decimal"/>
      <w:isLgl/>
      <w:lvlText w:val="%1.%2.%3.%4.%5"/>
      <w:lvlJc w:val="left"/>
      <w:pPr>
        <w:ind w:left="1080" w:hanging="1080"/>
      </w:pPr>
      <w:rPr>
        <w:rFonts w:hint="eastAsia"/>
        <w:b/>
        <w:u w:val="none"/>
      </w:rPr>
    </w:lvl>
    <w:lvl w:ilvl="5">
      <w:start w:val="1"/>
      <w:numFmt w:val="decimal"/>
      <w:isLgl/>
      <w:lvlText w:val="%1.%2.%3.%4.%5.%6"/>
      <w:lvlJc w:val="left"/>
      <w:pPr>
        <w:ind w:left="1080" w:hanging="1080"/>
      </w:pPr>
      <w:rPr>
        <w:rFonts w:hint="eastAsia"/>
        <w:b/>
        <w:u w:val="none"/>
      </w:rPr>
    </w:lvl>
    <w:lvl w:ilvl="6">
      <w:start w:val="1"/>
      <w:numFmt w:val="decimal"/>
      <w:isLgl/>
      <w:lvlText w:val="%1.%2.%3.%4.%5.%6.%7"/>
      <w:lvlJc w:val="left"/>
      <w:pPr>
        <w:ind w:left="1440" w:hanging="1440"/>
      </w:pPr>
      <w:rPr>
        <w:rFonts w:hint="eastAsia"/>
        <w:b/>
        <w:u w:val="none"/>
      </w:rPr>
    </w:lvl>
    <w:lvl w:ilvl="7">
      <w:start w:val="1"/>
      <w:numFmt w:val="decimal"/>
      <w:isLgl/>
      <w:lvlText w:val="%1.%2.%3.%4.%5.%6.%7.%8"/>
      <w:lvlJc w:val="left"/>
      <w:pPr>
        <w:ind w:left="1440" w:hanging="1440"/>
      </w:pPr>
      <w:rPr>
        <w:rFonts w:hint="eastAsia"/>
        <w:b/>
        <w:u w:val="none"/>
      </w:rPr>
    </w:lvl>
    <w:lvl w:ilvl="8">
      <w:start w:val="1"/>
      <w:numFmt w:val="decimal"/>
      <w:isLgl/>
      <w:lvlText w:val="%1.%2.%3.%4.%5.%6.%7.%8.%9"/>
      <w:lvlJc w:val="left"/>
      <w:pPr>
        <w:ind w:left="1800" w:hanging="1800"/>
      </w:pPr>
      <w:rPr>
        <w:rFonts w:hint="eastAsia"/>
        <w:b/>
        <w:u w:val="none"/>
      </w:rPr>
    </w:lvl>
  </w:abstractNum>
  <w:abstractNum w:abstractNumId="22" w15:restartNumberingAfterBreak="0">
    <w:nsid w:val="712A19C6"/>
    <w:multiLevelType w:val="hybridMultilevel"/>
    <w:tmpl w:val="95C8B5BA"/>
    <w:lvl w:ilvl="0" w:tplc="1712874A">
      <w:start w:val="1"/>
      <w:numFmt w:val="decimal"/>
      <w:lvlText w:val="%1."/>
      <w:lvlJc w:val="left"/>
      <w:pPr>
        <w:ind w:left="360" w:hanging="36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41B08ED"/>
    <w:multiLevelType w:val="multilevel"/>
    <w:tmpl w:val="7C7E4F18"/>
    <w:lvl w:ilvl="0">
      <w:start w:val="1"/>
      <w:numFmt w:val="decimal"/>
      <w:lvlText w:val="%1."/>
      <w:lvlJc w:val="left"/>
      <w:pPr>
        <w:ind w:left="360" w:hanging="360"/>
      </w:pPr>
      <w:rPr>
        <w:rFonts w:hint="eastAsia"/>
      </w:rPr>
    </w:lvl>
    <w:lvl w:ilvl="1">
      <w:start w:val="1"/>
      <w:numFmt w:val="decimal"/>
      <w:isLgl/>
      <w:lvlText w:val="%1.%2"/>
      <w:lvlJc w:val="left"/>
      <w:pPr>
        <w:ind w:left="360" w:hanging="360"/>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720" w:hanging="720"/>
      </w:pPr>
      <w:rPr>
        <w:rFonts w:hint="eastAsia"/>
      </w:rPr>
    </w:lvl>
    <w:lvl w:ilvl="4">
      <w:start w:val="1"/>
      <w:numFmt w:val="decimal"/>
      <w:isLgl/>
      <w:lvlText w:val="%1.%2.%3.%4.%5"/>
      <w:lvlJc w:val="left"/>
      <w:pPr>
        <w:ind w:left="1080" w:hanging="1080"/>
      </w:pPr>
      <w:rPr>
        <w:rFonts w:hint="eastAsia"/>
      </w:rPr>
    </w:lvl>
    <w:lvl w:ilvl="5">
      <w:start w:val="1"/>
      <w:numFmt w:val="decimal"/>
      <w:isLgl/>
      <w:lvlText w:val="%1.%2.%3.%4.%5.%6"/>
      <w:lvlJc w:val="left"/>
      <w:pPr>
        <w:ind w:left="1080" w:hanging="1080"/>
      </w:pPr>
      <w:rPr>
        <w:rFonts w:hint="eastAsia"/>
      </w:rPr>
    </w:lvl>
    <w:lvl w:ilvl="6">
      <w:start w:val="1"/>
      <w:numFmt w:val="decimal"/>
      <w:isLgl/>
      <w:lvlText w:val="%1.%2.%3.%4.%5.%6.%7"/>
      <w:lvlJc w:val="left"/>
      <w:pPr>
        <w:ind w:left="1440" w:hanging="1440"/>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800" w:hanging="1800"/>
      </w:pPr>
      <w:rPr>
        <w:rFonts w:hint="eastAsia"/>
      </w:rPr>
    </w:lvl>
  </w:abstractNum>
  <w:abstractNum w:abstractNumId="24"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630088">
    <w:abstractNumId w:val="9"/>
  </w:num>
  <w:num w:numId="2" w16cid:durableId="922104590">
    <w:abstractNumId w:val="7"/>
  </w:num>
  <w:num w:numId="3" w16cid:durableId="216168773">
    <w:abstractNumId w:val="6"/>
  </w:num>
  <w:num w:numId="4" w16cid:durableId="867454114">
    <w:abstractNumId w:val="5"/>
  </w:num>
  <w:num w:numId="5" w16cid:durableId="73163237">
    <w:abstractNumId w:val="4"/>
  </w:num>
  <w:num w:numId="6" w16cid:durableId="1477145114">
    <w:abstractNumId w:val="8"/>
  </w:num>
  <w:num w:numId="7" w16cid:durableId="1560357261">
    <w:abstractNumId w:val="3"/>
  </w:num>
  <w:num w:numId="8" w16cid:durableId="866601076">
    <w:abstractNumId w:val="2"/>
  </w:num>
  <w:num w:numId="9" w16cid:durableId="487744975">
    <w:abstractNumId w:val="1"/>
  </w:num>
  <w:num w:numId="10" w16cid:durableId="50621420">
    <w:abstractNumId w:val="0"/>
  </w:num>
  <w:num w:numId="11" w16cid:durableId="2143037510">
    <w:abstractNumId w:val="10"/>
  </w:num>
  <w:num w:numId="12" w16cid:durableId="147022406">
    <w:abstractNumId w:val="15"/>
  </w:num>
  <w:num w:numId="13" w16cid:durableId="319190897">
    <w:abstractNumId w:val="24"/>
  </w:num>
  <w:num w:numId="14" w16cid:durableId="1053429834">
    <w:abstractNumId w:val="14"/>
  </w:num>
  <w:num w:numId="15" w16cid:durableId="495650742">
    <w:abstractNumId w:val="16"/>
  </w:num>
  <w:num w:numId="16" w16cid:durableId="1043020959">
    <w:abstractNumId w:val="11"/>
  </w:num>
  <w:num w:numId="17" w16cid:durableId="354311560">
    <w:abstractNumId w:val="12"/>
  </w:num>
  <w:num w:numId="18" w16cid:durableId="659039774">
    <w:abstractNumId w:val="19"/>
  </w:num>
  <w:num w:numId="19" w16cid:durableId="1576934466">
    <w:abstractNumId w:val="21"/>
  </w:num>
  <w:num w:numId="20" w16cid:durableId="1958178990">
    <w:abstractNumId w:val="22"/>
  </w:num>
  <w:num w:numId="21" w16cid:durableId="1584947644">
    <w:abstractNumId w:val="23"/>
  </w:num>
  <w:num w:numId="22" w16cid:durableId="167520417">
    <w:abstractNumId w:val="18"/>
  </w:num>
  <w:num w:numId="23" w16cid:durableId="2031056309">
    <w:abstractNumId w:val="13"/>
  </w:num>
  <w:num w:numId="24" w16cid:durableId="1356275201">
    <w:abstractNumId w:val="17"/>
  </w:num>
  <w:num w:numId="25" w16cid:durableId="16970052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170"/>
    <w:rsid w:val="000004B2"/>
    <w:rsid w:val="000035AE"/>
    <w:rsid w:val="00003BB9"/>
    <w:rsid w:val="00004833"/>
    <w:rsid w:val="000052A0"/>
    <w:rsid w:val="00005521"/>
    <w:rsid w:val="00005A00"/>
    <w:rsid w:val="00007622"/>
    <w:rsid w:val="00011453"/>
    <w:rsid w:val="00012E50"/>
    <w:rsid w:val="00013A2D"/>
    <w:rsid w:val="00014235"/>
    <w:rsid w:val="00015F74"/>
    <w:rsid w:val="00016531"/>
    <w:rsid w:val="000167E5"/>
    <w:rsid w:val="0001735A"/>
    <w:rsid w:val="00017C53"/>
    <w:rsid w:val="000200C4"/>
    <w:rsid w:val="00021EB9"/>
    <w:rsid w:val="00022659"/>
    <w:rsid w:val="000230A6"/>
    <w:rsid w:val="000248BB"/>
    <w:rsid w:val="00030840"/>
    <w:rsid w:val="000309E4"/>
    <w:rsid w:val="00030BAE"/>
    <w:rsid w:val="00030DFC"/>
    <w:rsid w:val="00031374"/>
    <w:rsid w:val="00032328"/>
    <w:rsid w:val="00035468"/>
    <w:rsid w:val="00036201"/>
    <w:rsid w:val="0003648A"/>
    <w:rsid w:val="00036534"/>
    <w:rsid w:val="00036681"/>
    <w:rsid w:val="00036E5B"/>
    <w:rsid w:val="0004099D"/>
    <w:rsid w:val="000416BF"/>
    <w:rsid w:val="000434A9"/>
    <w:rsid w:val="000462CB"/>
    <w:rsid w:val="000465E2"/>
    <w:rsid w:val="0004710A"/>
    <w:rsid w:val="00047438"/>
    <w:rsid w:val="000561FB"/>
    <w:rsid w:val="00057786"/>
    <w:rsid w:val="000601D0"/>
    <w:rsid w:val="00062AED"/>
    <w:rsid w:val="00065EBD"/>
    <w:rsid w:val="000673FC"/>
    <w:rsid w:val="000726C2"/>
    <w:rsid w:val="0007579A"/>
    <w:rsid w:val="000758C4"/>
    <w:rsid w:val="00077A8A"/>
    <w:rsid w:val="00081698"/>
    <w:rsid w:val="00082168"/>
    <w:rsid w:val="00083B44"/>
    <w:rsid w:val="000850DC"/>
    <w:rsid w:val="00085783"/>
    <w:rsid w:val="0008620D"/>
    <w:rsid w:val="00086B7C"/>
    <w:rsid w:val="00086E04"/>
    <w:rsid w:val="00087752"/>
    <w:rsid w:val="00091654"/>
    <w:rsid w:val="000919CF"/>
    <w:rsid w:val="0009400C"/>
    <w:rsid w:val="000948E1"/>
    <w:rsid w:val="000950FD"/>
    <w:rsid w:val="00095800"/>
    <w:rsid w:val="00095C24"/>
    <w:rsid w:val="00096125"/>
    <w:rsid w:val="00097680"/>
    <w:rsid w:val="000A2EF4"/>
    <w:rsid w:val="000A41E4"/>
    <w:rsid w:val="000A50FA"/>
    <w:rsid w:val="000A7A17"/>
    <w:rsid w:val="000B3F03"/>
    <w:rsid w:val="000B472C"/>
    <w:rsid w:val="000B5273"/>
    <w:rsid w:val="000B7D2A"/>
    <w:rsid w:val="000C118B"/>
    <w:rsid w:val="000C1502"/>
    <w:rsid w:val="000C1DF1"/>
    <w:rsid w:val="000C209B"/>
    <w:rsid w:val="000C2771"/>
    <w:rsid w:val="000C46E7"/>
    <w:rsid w:val="000C4B6A"/>
    <w:rsid w:val="000C4FB5"/>
    <w:rsid w:val="000C5CD7"/>
    <w:rsid w:val="000C5F36"/>
    <w:rsid w:val="000D1812"/>
    <w:rsid w:val="000D352B"/>
    <w:rsid w:val="000D3815"/>
    <w:rsid w:val="000D5484"/>
    <w:rsid w:val="000D7D7C"/>
    <w:rsid w:val="000E0A21"/>
    <w:rsid w:val="000E0CA5"/>
    <w:rsid w:val="000E230C"/>
    <w:rsid w:val="000E4268"/>
    <w:rsid w:val="000E4DB3"/>
    <w:rsid w:val="000F050A"/>
    <w:rsid w:val="000F0DCE"/>
    <w:rsid w:val="000F1766"/>
    <w:rsid w:val="000F3345"/>
    <w:rsid w:val="000F4991"/>
    <w:rsid w:val="000F5C11"/>
    <w:rsid w:val="000F630B"/>
    <w:rsid w:val="000F7C30"/>
    <w:rsid w:val="001000E7"/>
    <w:rsid w:val="00101186"/>
    <w:rsid w:val="0010376C"/>
    <w:rsid w:val="001077D5"/>
    <w:rsid w:val="00112C5B"/>
    <w:rsid w:val="001138EB"/>
    <w:rsid w:val="00113B3D"/>
    <w:rsid w:val="00114193"/>
    <w:rsid w:val="001143F5"/>
    <w:rsid w:val="001146FB"/>
    <w:rsid w:val="00115A38"/>
    <w:rsid w:val="0011687B"/>
    <w:rsid w:val="00120AC0"/>
    <w:rsid w:val="001236D3"/>
    <w:rsid w:val="00123D77"/>
    <w:rsid w:val="00123E53"/>
    <w:rsid w:val="00124F82"/>
    <w:rsid w:val="001258B1"/>
    <w:rsid w:val="001266A3"/>
    <w:rsid w:val="0013038A"/>
    <w:rsid w:val="00130E4A"/>
    <w:rsid w:val="001346AA"/>
    <w:rsid w:val="00135B2E"/>
    <w:rsid w:val="0013601E"/>
    <w:rsid w:val="001361AC"/>
    <w:rsid w:val="00136CFB"/>
    <w:rsid w:val="00137645"/>
    <w:rsid w:val="0014432C"/>
    <w:rsid w:val="00145791"/>
    <w:rsid w:val="00147925"/>
    <w:rsid w:val="00154466"/>
    <w:rsid w:val="00154A43"/>
    <w:rsid w:val="00154BC0"/>
    <w:rsid w:val="00155CBF"/>
    <w:rsid w:val="00160237"/>
    <w:rsid w:val="0016031E"/>
    <w:rsid w:val="00160742"/>
    <w:rsid w:val="00160C6A"/>
    <w:rsid w:val="001629F9"/>
    <w:rsid w:val="00163084"/>
    <w:rsid w:val="0016337A"/>
    <w:rsid w:val="00163A79"/>
    <w:rsid w:val="00163D38"/>
    <w:rsid w:val="00164269"/>
    <w:rsid w:val="00165641"/>
    <w:rsid w:val="00166AB4"/>
    <w:rsid w:val="001676FD"/>
    <w:rsid w:val="001702F7"/>
    <w:rsid w:val="001704D5"/>
    <w:rsid w:val="001736F1"/>
    <w:rsid w:val="0017372C"/>
    <w:rsid w:val="0017677F"/>
    <w:rsid w:val="00176891"/>
    <w:rsid w:val="001776C9"/>
    <w:rsid w:val="00177FB9"/>
    <w:rsid w:val="00180342"/>
    <w:rsid w:val="00180613"/>
    <w:rsid w:val="0018269F"/>
    <w:rsid w:val="00184627"/>
    <w:rsid w:val="001874DE"/>
    <w:rsid w:val="00191698"/>
    <w:rsid w:val="0019335A"/>
    <w:rsid w:val="0019488A"/>
    <w:rsid w:val="00197285"/>
    <w:rsid w:val="00197551"/>
    <w:rsid w:val="00197A49"/>
    <w:rsid w:val="001A034F"/>
    <w:rsid w:val="001A0A2C"/>
    <w:rsid w:val="001A1BDE"/>
    <w:rsid w:val="001A2625"/>
    <w:rsid w:val="001A2EB6"/>
    <w:rsid w:val="001A475F"/>
    <w:rsid w:val="001A5C46"/>
    <w:rsid w:val="001A6BA4"/>
    <w:rsid w:val="001A6C96"/>
    <w:rsid w:val="001A6F9E"/>
    <w:rsid w:val="001B50AB"/>
    <w:rsid w:val="001B6498"/>
    <w:rsid w:val="001B7882"/>
    <w:rsid w:val="001C0520"/>
    <w:rsid w:val="001C0975"/>
    <w:rsid w:val="001C1FE8"/>
    <w:rsid w:val="001C28AB"/>
    <w:rsid w:val="001C4973"/>
    <w:rsid w:val="001C4DEB"/>
    <w:rsid w:val="001C5B82"/>
    <w:rsid w:val="001C6AAE"/>
    <w:rsid w:val="001C6D24"/>
    <w:rsid w:val="001C7AC7"/>
    <w:rsid w:val="001C7FCB"/>
    <w:rsid w:val="001D1CA1"/>
    <w:rsid w:val="001D2789"/>
    <w:rsid w:val="001D5444"/>
    <w:rsid w:val="001D5BEF"/>
    <w:rsid w:val="001D6031"/>
    <w:rsid w:val="001D659B"/>
    <w:rsid w:val="001E0A4E"/>
    <w:rsid w:val="001E0E5B"/>
    <w:rsid w:val="001E2979"/>
    <w:rsid w:val="001E52C2"/>
    <w:rsid w:val="001E5B0C"/>
    <w:rsid w:val="001E6033"/>
    <w:rsid w:val="001E6218"/>
    <w:rsid w:val="001E7D53"/>
    <w:rsid w:val="001F07DA"/>
    <w:rsid w:val="001F0876"/>
    <w:rsid w:val="001F0BA8"/>
    <w:rsid w:val="001F1208"/>
    <w:rsid w:val="001F167C"/>
    <w:rsid w:val="001F1702"/>
    <w:rsid w:val="001F4266"/>
    <w:rsid w:val="001F4907"/>
    <w:rsid w:val="001F5E91"/>
    <w:rsid w:val="001F6BB0"/>
    <w:rsid w:val="00200E42"/>
    <w:rsid w:val="002019F2"/>
    <w:rsid w:val="00202065"/>
    <w:rsid w:val="0020522F"/>
    <w:rsid w:val="002053FC"/>
    <w:rsid w:val="002077B9"/>
    <w:rsid w:val="0021137A"/>
    <w:rsid w:val="002131B8"/>
    <w:rsid w:val="00215B43"/>
    <w:rsid w:val="00217398"/>
    <w:rsid w:val="002179EB"/>
    <w:rsid w:val="0022311D"/>
    <w:rsid w:val="0022363D"/>
    <w:rsid w:val="00223A1C"/>
    <w:rsid w:val="00223D93"/>
    <w:rsid w:val="00224126"/>
    <w:rsid w:val="00224217"/>
    <w:rsid w:val="002243BE"/>
    <w:rsid w:val="002255DB"/>
    <w:rsid w:val="0022604D"/>
    <w:rsid w:val="002302ED"/>
    <w:rsid w:val="0023191F"/>
    <w:rsid w:val="0023260C"/>
    <w:rsid w:val="00233C47"/>
    <w:rsid w:val="002365F9"/>
    <w:rsid w:val="00236DBF"/>
    <w:rsid w:val="00237A74"/>
    <w:rsid w:val="002407C7"/>
    <w:rsid w:val="0024188C"/>
    <w:rsid w:val="0024272C"/>
    <w:rsid w:val="00242927"/>
    <w:rsid w:val="00243208"/>
    <w:rsid w:val="002443BE"/>
    <w:rsid w:val="00244555"/>
    <w:rsid w:val="0024554D"/>
    <w:rsid w:val="00246E39"/>
    <w:rsid w:val="002508E7"/>
    <w:rsid w:val="0025280B"/>
    <w:rsid w:val="00255CDE"/>
    <w:rsid w:val="00256C79"/>
    <w:rsid w:val="00257C15"/>
    <w:rsid w:val="00262CEE"/>
    <w:rsid w:val="00262D72"/>
    <w:rsid w:val="0026481E"/>
    <w:rsid w:val="002657DD"/>
    <w:rsid w:val="00267A80"/>
    <w:rsid w:val="002702B9"/>
    <w:rsid w:val="00270493"/>
    <w:rsid w:val="002727B6"/>
    <w:rsid w:val="00274AEA"/>
    <w:rsid w:val="0027562B"/>
    <w:rsid w:val="00275902"/>
    <w:rsid w:val="00277A71"/>
    <w:rsid w:val="00277D12"/>
    <w:rsid w:val="0028530D"/>
    <w:rsid w:val="00286B38"/>
    <w:rsid w:val="00290F16"/>
    <w:rsid w:val="00291111"/>
    <w:rsid w:val="00291AA3"/>
    <w:rsid w:val="00292F73"/>
    <w:rsid w:val="00294FBB"/>
    <w:rsid w:val="002959E7"/>
    <w:rsid w:val="00295DF0"/>
    <w:rsid w:val="002962A5"/>
    <w:rsid w:val="00296790"/>
    <w:rsid w:val="002A4394"/>
    <w:rsid w:val="002A453A"/>
    <w:rsid w:val="002A5182"/>
    <w:rsid w:val="002A5EDF"/>
    <w:rsid w:val="002A74A8"/>
    <w:rsid w:val="002B09AA"/>
    <w:rsid w:val="002B23A1"/>
    <w:rsid w:val="002B42F8"/>
    <w:rsid w:val="002B63B3"/>
    <w:rsid w:val="002B6463"/>
    <w:rsid w:val="002B79E2"/>
    <w:rsid w:val="002C030F"/>
    <w:rsid w:val="002C1908"/>
    <w:rsid w:val="002C254F"/>
    <w:rsid w:val="002C2670"/>
    <w:rsid w:val="002C26EE"/>
    <w:rsid w:val="002C2733"/>
    <w:rsid w:val="002C47E9"/>
    <w:rsid w:val="002C667A"/>
    <w:rsid w:val="002C79EE"/>
    <w:rsid w:val="002D12E8"/>
    <w:rsid w:val="002D143B"/>
    <w:rsid w:val="002D277B"/>
    <w:rsid w:val="002D4743"/>
    <w:rsid w:val="002E10B7"/>
    <w:rsid w:val="002E4860"/>
    <w:rsid w:val="002E4E36"/>
    <w:rsid w:val="002E4FD2"/>
    <w:rsid w:val="002E5A20"/>
    <w:rsid w:val="002E77C8"/>
    <w:rsid w:val="002F36AE"/>
    <w:rsid w:val="002F410A"/>
    <w:rsid w:val="002F4B5F"/>
    <w:rsid w:val="0030108C"/>
    <w:rsid w:val="00302AAC"/>
    <w:rsid w:val="00304A8A"/>
    <w:rsid w:val="00304C78"/>
    <w:rsid w:val="003073DF"/>
    <w:rsid w:val="0031011D"/>
    <w:rsid w:val="00310F97"/>
    <w:rsid w:val="00313E7F"/>
    <w:rsid w:val="00317E3B"/>
    <w:rsid w:val="00322F39"/>
    <w:rsid w:val="00323BD7"/>
    <w:rsid w:val="00324530"/>
    <w:rsid w:val="003246E1"/>
    <w:rsid w:val="00325D90"/>
    <w:rsid w:val="0032615B"/>
    <w:rsid w:val="00327357"/>
    <w:rsid w:val="00327497"/>
    <w:rsid w:val="0032766E"/>
    <w:rsid w:val="00331D75"/>
    <w:rsid w:val="00332BFB"/>
    <w:rsid w:val="00335E2B"/>
    <w:rsid w:val="00337DC8"/>
    <w:rsid w:val="0034049F"/>
    <w:rsid w:val="00341D2D"/>
    <w:rsid w:val="00342658"/>
    <w:rsid w:val="00345808"/>
    <w:rsid w:val="00346094"/>
    <w:rsid w:val="00346A3D"/>
    <w:rsid w:val="00346B82"/>
    <w:rsid w:val="003475CA"/>
    <w:rsid w:val="00347B91"/>
    <w:rsid w:val="0035293E"/>
    <w:rsid w:val="00352AB1"/>
    <w:rsid w:val="00352EF0"/>
    <w:rsid w:val="0035369E"/>
    <w:rsid w:val="00355362"/>
    <w:rsid w:val="00357426"/>
    <w:rsid w:val="00357582"/>
    <w:rsid w:val="00360FD8"/>
    <w:rsid w:val="0036159F"/>
    <w:rsid w:val="0036212E"/>
    <w:rsid w:val="00363E44"/>
    <w:rsid w:val="003656FE"/>
    <w:rsid w:val="00365D9E"/>
    <w:rsid w:val="00365FEA"/>
    <w:rsid w:val="003674D3"/>
    <w:rsid w:val="0037116A"/>
    <w:rsid w:val="003717C0"/>
    <w:rsid w:val="00371EB3"/>
    <w:rsid w:val="00373C38"/>
    <w:rsid w:val="00380898"/>
    <w:rsid w:val="00380AA3"/>
    <w:rsid w:val="00382C09"/>
    <w:rsid w:val="0038316B"/>
    <w:rsid w:val="00383CF7"/>
    <w:rsid w:val="00384679"/>
    <w:rsid w:val="00385045"/>
    <w:rsid w:val="00386D25"/>
    <w:rsid w:val="00387114"/>
    <w:rsid w:val="003873D8"/>
    <w:rsid w:val="00387518"/>
    <w:rsid w:val="003915AF"/>
    <w:rsid w:val="00393E0D"/>
    <w:rsid w:val="00393E7A"/>
    <w:rsid w:val="00395E86"/>
    <w:rsid w:val="00397983"/>
    <w:rsid w:val="00397BB4"/>
    <w:rsid w:val="00397E83"/>
    <w:rsid w:val="003A2F74"/>
    <w:rsid w:val="003A2FD8"/>
    <w:rsid w:val="003A3B3E"/>
    <w:rsid w:val="003A51CD"/>
    <w:rsid w:val="003A5475"/>
    <w:rsid w:val="003A5B46"/>
    <w:rsid w:val="003A62E1"/>
    <w:rsid w:val="003A6B7F"/>
    <w:rsid w:val="003A6C7C"/>
    <w:rsid w:val="003A73EB"/>
    <w:rsid w:val="003A7C81"/>
    <w:rsid w:val="003B32AE"/>
    <w:rsid w:val="003B40E6"/>
    <w:rsid w:val="003B473B"/>
    <w:rsid w:val="003B6A31"/>
    <w:rsid w:val="003B6D58"/>
    <w:rsid w:val="003B7B37"/>
    <w:rsid w:val="003C0933"/>
    <w:rsid w:val="003C4179"/>
    <w:rsid w:val="003C6759"/>
    <w:rsid w:val="003C7BD8"/>
    <w:rsid w:val="003D0FD8"/>
    <w:rsid w:val="003D6CBF"/>
    <w:rsid w:val="003E06B0"/>
    <w:rsid w:val="003E1207"/>
    <w:rsid w:val="003E1864"/>
    <w:rsid w:val="003E272A"/>
    <w:rsid w:val="003E2C7A"/>
    <w:rsid w:val="003E2CCB"/>
    <w:rsid w:val="003E4BBD"/>
    <w:rsid w:val="003F190E"/>
    <w:rsid w:val="003F2301"/>
    <w:rsid w:val="003F2578"/>
    <w:rsid w:val="003F261C"/>
    <w:rsid w:val="003F2C66"/>
    <w:rsid w:val="003F3AD2"/>
    <w:rsid w:val="003F4CF9"/>
    <w:rsid w:val="003F555C"/>
    <w:rsid w:val="003F6E14"/>
    <w:rsid w:val="003F73CF"/>
    <w:rsid w:val="004007F6"/>
    <w:rsid w:val="00400FD5"/>
    <w:rsid w:val="0040116C"/>
    <w:rsid w:val="00404494"/>
    <w:rsid w:val="00404600"/>
    <w:rsid w:val="00404A57"/>
    <w:rsid w:val="00405336"/>
    <w:rsid w:val="00405EB6"/>
    <w:rsid w:val="004066CC"/>
    <w:rsid w:val="00410DF2"/>
    <w:rsid w:val="00411E21"/>
    <w:rsid w:val="00414FB9"/>
    <w:rsid w:val="0041692B"/>
    <w:rsid w:val="004170F8"/>
    <w:rsid w:val="00421A2E"/>
    <w:rsid w:val="004235D1"/>
    <w:rsid w:val="00425260"/>
    <w:rsid w:val="004275D2"/>
    <w:rsid w:val="0043144B"/>
    <w:rsid w:val="00431511"/>
    <w:rsid w:val="00431EE3"/>
    <w:rsid w:val="0044066E"/>
    <w:rsid w:val="00446013"/>
    <w:rsid w:val="0045264B"/>
    <w:rsid w:val="004529B7"/>
    <w:rsid w:val="00452A7D"/>
    <w:rsid w:val="004551A3"/>
    <w:rsid w:val="004554E4"/>
    <w:rsid w:val="0045645B"/>
    <w:rsid w:val="00456D34"/>
    <w:rsid w:val="0045704E"/>
    <w:rsid w:val="004571D5"/>
    <w:rsid w:val="00457F85"/>
    <w:rsid w:val="0046050D"/>
    <w:rsid w:val="0046166B"/>
    <w:rsid w:val="0046171C"/>
    <w:rsid w:val="00461A87"/>
    <w:rsid w:val="00461D81"/>
    <w:rsid w:val="0046356B"/>
    <w:rsid w:val="00465828"/>
    <w:rsid w:val="004659C5"/>
    <w:rsid w:val="00466067"/>
    <w:rsid w:val="004665EE"/>
    <w:rsid w:val="00471CA1"/>
    <w:rsid w:val="00471E7A"/>
    <w:rsid w:val="00472445"/>
    <w:rsid w:val="0047484E"/>
    <w:rsid w:val="00475D77"/>
    <w:rsid w:val="00477182"/>
    <w:rsid w:val="004779CB"/>
    <w:rsid w:val="00484585"/>
    <w:rsid w:val="004907F5"/>
    <w:rsid w:val="00490D2B"/>
    <w:rsid w:val="004923A7"/>
    <w:rsid w:val="00493A40"/>
    <w:rsid w:val="00495202"/>
    <w:rsid w:val="004973E8"/>
    <w:rsid w:val="004978F3"/>
    <w:rsid w:val="004A0CE0"/>
    <w:rsid w:val="004A159F"/>
    <w:rsid w:val="004A2072"/>
    <w:rsid w:val="004A49EA"/>
    <w:rsid w:val="004A5623"/>
    <w:rsid w:val="004A57F0"/>
    <w:rsid w:val="004A5FC0"/>
    <w:rsid w:val="004B0037"/>
    <w:rsid w:val="004B2F21"/>
    <w:rsid w:val="004B3BEB"/>
    <w:rsid w:val="004B4716"/>
    <w:rsid w:val="004B65AB"/>
    <w:rsid w:val="004B7A2B"/>
    <w:rsid w:val="004C18E0"/>
    <w:rsid w:val="004C1F71"/>
    <w:rsid w:val="004C34C3"/>
    <w:rsid w:val="004C3B7A"/>
    <w:rsid w:val="004D1CF7"/>
    <w:rsid w:val="004D3222"/>
    <w:rsid w:val="004D3B55"/>
    <w:rsid w:val="004D4738"/>
    <w:rsid w:val="004E01DA"/>
    <w:rsid w:val="004E0CF9"/>
    <w:rsid w:val="004E42D8"/>
    <w:rsid w:val="004E46CB"/>
    <w:rsid w:val="004E7978"/>
    <w:rsid w:val="004E7BA2"/>
    <w:rsid w:val="004F0632"/>
    <w:rsid w:val="004F0CE9"/>
    <w:rsid w:val="004F1365"/>
    <w:rsid w:val="004F40C9"/>
    <w:rsid w:val="004F41D3"/>
    <w:rsid w:val="004F59A5"/>
    <w:rsid w:val="004F7EDF"/>
    <w:rsid w:val="005001AC"/>
    <w:rsid w:val="0050028E"/>
    <w:rsid w:val="00502AC1"/>
    <w:rsid w:val="00503760"/>
    <w:rsid w:val="005037C5"/>
    <w:rsid w:val="00503A2D"/>
    <w:rsid w:val="005046BF"/>
    <w:rsid w:val="00504F70"/>
    <w:rsid w:val="0050566E"/>
    <w:rsid w:val="00505851"/>
    <w:rsid w:val="00505C08"/>
    <w:rsid w:val="00507546"/>
    <w:rsid w:val="00510A72"/>
    <w:rsid w:val="00513C87"/>
    <w:rsid w:val="00514FCB"/>
    <w:rsid w:val="005158C4"/>
    <w:rsid w:val="00516E7C"/>
    <w:rsid w:val="00516F2C"/>
    <w:rsid w:val="00517886"/>
    <w:rsid w:val="00521528"/>
    <w:rsid w:val="00526C6A"/>
    <w:rsid w:val="00527D71"/>
    <w:rsid w:val="0053322F"/>
    <w:rsid w:val="005349EA"/>
    <w:rsid w:val="00535236"/>
    <w:rsid w:val="0054013F"/>
    <w:rsid w:val="005430FC"/>
    <w:rsid w:val="00543C6E"/>
    <w:rsid w:val="0054596E"/>
    <w:rsid w:val="00545D53"/>
    <w:rsid w:val="005477CB"/>
    <w:rsid w:val="00551535"/>
    <w:rsid w:val="00551955"/>
    <w:rsid w:val="00551B98"/>
    <w:rsid w:val="005521AB"/>
    <w:rsid w:val="005537B1"/>
    <w:rsid w:val="00554094"/>
    <w:rsid w:val="00554C0E"/>
    <w:rsid w:val="0055549E"/>
    <w:rsid w:val="00556C29"/>
    <w:rsid w:val="00557E05"/>
    <w:rsid w:val="005607DD"/>
    <w:rsid w:val="005609E9"/>
    <w:rsid w:val="0056171D"/>
    <w:rsid w:val="00561A21"/>
    <w:rsid w:val="00565E7A"/>
    <w:rsid w:val="0057050A"/>
    <w:rsid w:val="005722A1"/>
    <w:rsid w:val="00572810"/>
    <w:rsid w:val="00576E64"/>
    <w:rsid w:val="00577AE3"/>
    <w:rsid w:val="00581258"/>
    <w:rsid w:val="005823DC"/>
    <w:rsid w:val="005855F8"/>
    <w:rsid w:val="0058632C"/>
    <w:rsid w:val="00586C33"/>
    <w:rsid w:val="0058730A"/>
    <w:rsid w:val="00587572"/>
    <w:rsid w:val="00587B3D"/>
    <w:rsid w:val="005910D0"/>
    <w:rsid w:val="00591E2D"/>
    <w:rsid w:val="00594701"/>
    <w:rsid w:val="00595726"/>
    <w:rsid w:val="00595947"/>
    <w:rsid w:val="00595DF8"/>
    <w:rsid w:val="00596529"/>
    <w:rsid w:val="00596F25"/>
    <w:rsid w:val="005A2525"/>
    <w:rsid w:val="005A26C4"/>
    <w:rsid w:val="005A2A1C"/>
    <w:rsid w:val="005A4573"/>
    <w:rsid w:val="005A5056"/>
    <w:rsid w:val="005A558C"/>
    <w:rsid w:val="005A59DD"/>
    <w:rsid w:val="005B0E60"/>
    <w:rsid w:val="005B12E3"/>
    <w:rsid w:val="005B1739"/>
    <w:rsid w:val="005B1E58"/>
    <w:rsid w:val="005B3045"/>
    <w:rsid w:val="005B34AC"/>
    <w:rsid w:val="005B39B8"/>
    <w:rsid w:val="005B3A5B"/>
    <w:rsid w:val="005B50C8"/>
    <w:rsid w:val="005C05BF"/>
    <w:rsid w:val="005C141F"/>
    <w:rsid w:val="005C19A3"/>
    <w:rsid w:val="005C2B92"/>
    <w:rsid w:val="005C4385"/>
    <w:rsid w:val="005C52D5"/>
    <w:rsid w:val="005C697F"/>
    <w:rsid w:val="005C6C8C"/>
    <w:rsid w:val="005D088E"/>
    <w:rsid w:val="005D55D6"/>
    <w:rsid w:val="005D5CB2"/>
    <w:rsid w:val="005D71E7"/>
    <w:rsid w:val="005E058C"/>
    <w:rsid w:val="005E214F"/>
    <w:rsid w:val="005E28F8"/>
    <w:rsid w:val="005E2FC3"/>
    <w:rsid w:val="005E59F6"/>
    <w:rsid w:val="005E6513"/>
    <w:rsid w:val="005E7FDA"/>
    <w:rsid w:val="005F2344"/>
    <w:rsid w:val="00601473"/>
    <w:rsid w:val="00603D16"/>
    <w:rsid w:val="00604F15"/>
    <w:rsid w:val="00606889"/>
    <w:rsid w:val="006069C6"/>
    <w:rsid w:val="006073EA"/>
    <w:rsid w:val="006073EC"/>
    <w:rsid w:val="0061154D"/>
    <w:rsid w:val="0061160B"/>
    <w:rsid w:val="00611A19"/>
    <w:rsid w:val="00611D9D"/>
    <w:rsid w:val="006129A1"/>
    <w:rsid w:val="0061372E"/>
    <w:rsid w:val="006140DF"/>
    <w:rsid w:val="00620F91"/>
    <w:rsid w:val="00621DD1"/>
    <w:rsid w:val="006238AA"/>
    <w:rsid w:val="00623AB5"/>
    <w:rsid w:val="00624941"/>
    <w:rsid w:val="00626060"/>
    <w:rsid w:val="00627F3B"/>
    <w:rsid w:val="0063225D"/>
    <w:rsid w:val="00633C2A"/>
    <w:rsid w:val="00634288"/>
    <w:rsid w:val="006349CD"/>
    <w:rsid w:val="00636542"/>
    <w:rsid w:val="006375F6"/>
    <w:rsid w:val="0064179B"/>
    <w:rsid w:val="00641F45"/>
    <w:rsid w:val="00642829"/>
    <w:rsid w:val="00644BA3"/>
    <w:rsid w:val="00646248"/>
    <w:rsid w:val="006473D1"/>
    <w:rsid w:val="00651114"/>
    <w:rsid w:val="0065146E"/>
    <w:rsid w:val="0065151B"/>
    <w:rsid w:val="00655F8F"/>
    <w:rsid w:val="0065772A"/>
    <w:rsid w:val="0066065B"/>
    <w:rsid w:val="0066246C"/>
    <w:rsid w:val="0066315F"/>
    <w:rsid w:val="0066577A"/>
    <w:rsid w:val="0066633B"/>
    <w:rsid w:val="00667EF1"/>
    <w:rsid w:val="006701C9"/>
    <w:rsid w:val="00670299"/>
    <w:rsid w:val="0067151B"/>
    <w:rsid w:val="00671DE8"/>
    <w:rsid w:val="00675267"/>
    <w:rsid w:val="00675CD0"/>
    <w:rsid w:val="006769C4"/>
    <w:rsid w:val="00677BF0"/>
    <w:rsid w:val="006801DF"/>
    <w:rsid w:val="00680628"/>
    <w:rsid w:val="006844DF"/>
    <w:rsid w:val="00684F48"/>
    <w:rsid w:val="0068747A"/>
    <w:rsid w:val="00687752"/>
    <w:rsid w:val="00690351"/>
    <w:rsid w:val="00690668"/>
    <w:rsid w:val="00690C6D"/>
    <w:rsid w:val="00691985"/>
    <w:rsid w:val="00691C4F"/>
    <w:rsid w:val="00693F4E"/>
    <w:rsid w:val="00693FD7"/>
    <w:rsid w:val="006971FD"/>
    <w:rsid w:val="00697CAA"/>
    <w:rsid w:val="006A1B64"/>
    <w:rsid w:val="006A2394"/>
    <w:rsid w:val="006A36FB"/>
    <w:rsid w:val="006A48FC"/>
    <w:rsid w:val="006A652D"/>
    <w:rsid w:val="006A69FA"/>
    <w:rsid w:val="006A6AFF"/>
    <w:rsid w:val="006A6CE9"/>
    <w:rsid w:val="006A77C6"/>
    <w:rsid w:val="006B0B7A"/>
    <w:rsid w:val="006B1474"/>
    <w:rsid w:val="006B2C52"/>
    <w:rsid w:val="006B3B6D"/>
    <w:rsid w:val="006B46D6"/>
    <w:rsid w:val="006B6869"/>
    <w:rsid w:val="006B68B5"/>
    <w:rsid w:val="006B7FF2"/>
    <w:rsid w:val="006C43FD"/>
    <w:rsid w:val="006C5637"/>
    <w:rsid w:val="006C66AB"/>
    <w:rsid w:val="006C759F"/>
    <w:rsid w:val="006D169A"/>
    <w:rsid w:val="006E1AE4"/>
    <w:rsid w:val="006E1F4E"/>
    <w:rsid w:val="006E381B"/>
    <w:rsid w:val="006E3E68"/>
    <w:rsid w:val="006E577D"/>
    <w:rsid w:val="006F04AA"/>
    <w:rsid w:val="006F12A2"/>
    <w:rsid w:val="006F2719"/>
    <w:rsid w:val="006F2F08"/>
    <w:rsid w:val="006F38C8"/>
    <w:rsid w:val="006F7690"/>
    <w:rsid w:val="007108F5"/>
    <w:rsid w:val="00711845"/>
    <w:rsid w:val="00713165"/>
    <w:rsid w:val="00713E5B"/>
    <w:rsid w:val="007213CD"/>
    <w:rsid w:val="00724F14"/>
    <w:rsid w:val="007260A6"/>
    <w:rsid w:val="00727371"/>
    <w:rsid w:val="007318B1"/>
    <w:rsid w:val="00731F05"/>
    <w:rsid w:val="0073231E"/>
    <w:rsid w:val="00732DA8"/>
    <w:rsid w:val="007379CE"/>
    <w:rsid w:val="00737A87"/>
    <w:rsid w:val="007402FC"/>
    <w:rsid w:val="007411A1"/>
    <w:rsid w:val="007427B9"/>
    <w:rsid w:val="0074297A"/>
    <w:rsid w:val="00744C8D"/>
    <w:rsid w:val="007502A5"/>
    <w:rsid w:val="00751D47"/>
    <w:rsid w:val="00753EE2"/>
    <w:rsid w:val="00754417"/>
    <w:rsid w:val="00754BC1"/>
    <w:rsid w:val="007551B5"/>
    <w:rsid w:val="00761722"/>
    <w:rsid w:val="00763345"/>
    <w:rsid w:val="00763E2D"/>
    <w:rsid w:val="00764FA2"/>
    <w:rsid w:val="00766E9D"/>
    <w:rsid w:val="00770059"/>
    <w:rsid w:val="00770FCB"/>
    <w:rsid w:val="00773451"/>
    <w:rsid w:val="00775E46"/>
    <w:rsid w:val="00776A3D"/>
    <w:rsid w:val="0077705E"/>
    <w:rsid w:val="00781499"/>
    <w:rsid w:val="00781AFA"/>
    <w:rsid w:val="007843C9"/>
    <w:rsid w:val="0078503B"/>
    <w:rsid w:val="007868F1"/>
    <w:rsid w:val="00786A9D"/>
    <w:rsid w:val="00787B8D"/>
    <w:rsid w:val="00792878"/>
    <w:rsid w:val="0079425B"/>
    <w:rsid w:val="0079544A"/>
    <w:rsid w:val="007961F2"/>
    <w:rsid w:val="0079709C"/>
    <w:rsid w:val="00797F24"/>
    <w:rsid w:val="007A16FC"/>
    <w:rsid w:val="007A1FBB"/>
    <w:rsid w:val="007A3ABD"/>
    <w:rsid w:val="007A3BE4"/>
    <w:rsid w:val="007A3EA6"/>
    <w:rsid w:val="007A6BDE"/>
    <w:rsid w:val="007A76B5"/>
    <w:rsid w:val="007B3C40"/>
    <w:rsid w:val="007B5946"/>
    <w:rsid w:val="007B67A4"/>
    <w:rsid w:val="007B712B"/>
    <w:rsid w:val="007C0DEB"/>
    <w:rsid w:val="007C228B"/>
    <w:rsid w:val="007C255D"/>
    <w:rsid w:val="007C33AE"/>
    <w:rsid w:val="007C3803"/>
    <w:rsid w:val="007C3BE9"/>
    <w:rsid w:val="007C4C86"/>
    <w:rsid w:val="007C5D3B"/>
    <w:rsid w:val="007C7F20"/>
    <w:rsid w:val="007D2C95"/>
    <w:rsid w:val="007D3653"/>
    <w:rsid w:val="007D3DD2"/>
    <w:rsid w:val="007D5649"/>
    <w:rsid w:val="007D6A34"/>
    <w:rsid w:val="007E052D"/>
    <w:rsid w:val="007E07CD"/>
    <w:rsid w:val="007E0CC5"/>
    <w:rsid w:val="007E1272"/>
    <w:rsid w:val="007E2D32"/>
    <w:rsid w:val="007E4B94"/>
    <w:rsid w:val="007E6039"/>
    <w:rsid w:val="007E60CF"/>
    <w:rsid w:val="007E76EA"/>
    <w:rsid w:val="007F1F26"/>
    <w:rsid w:val="007F25E2"/>
    <w:rsid w:val="007F33E9"/>
    <w:rsid w:val="007F3B3E"/>
    <w:rsid w:val="007F5297"/>
    <w:rsid w:val="007F63EB"/>
    <w:rsid w:val="0080161A"/>
    <w:rsid w:val="00803F9B"/>
    <w:rsid w:val="008050D0"/>
    <w:rsid w:val="00807D35"/>
    <w:rsid w:val="0081074D"/>
    <w:rsid w:val="00810B67"/>
    <w:rsid w:val="00812296"/>
    <w:rsid w:val="008122A7"/>
    <w:rsid w:val="0081340A"/>
    <w:rsid w:val="00813864"/>
    <w:rsid w:val="00813E44"/>
    <w:rsid w:val="00814152"/>
    <w:rsid w:val="00814331"/>
    <w:rsid w:val="008176D9"/>
    <w:rsid w:val="00820484"/>
    <w:rsid w:val="00822231"/>
    <w:rsid w:val="008224EA"/>
    <w:rsid w:val="00824DF3"/>
    <w:rsid w:val="00825A5F"/>
    <w:rsid w:val="008311BF"/>
    <w:rsid w:val="00831DBC"/>
    <w:rsid w:val="008350B0"/>
    <w:rsid w:val="008357AC"/>
    <w:rsid w:val="008366DF"/>
    <w:rsid w:val="008379B6"/>
    <w:rsid w:val="0084012E"/>
    <w:rsid w:val="00840BB2"/>
    <w:rsid w:val="008412EB"/>
    <w:rsid w:val="00842A6A"/>
    <w:rsid w:val="0084336D"/>
    <w:rsid w:val="0084397A"/>
    <w:rsid w:val="00846F3C"/>
    <w:rsid w:val="0085112C"/>
    <w:rsid w:val="00851700"/>
    <w:rsid w:val="00855955"/>
    <w:rsid w:val="00856FB7"/>
    <w:rsid w:val="008570D8"/>
    <w:rsid w:val="00860409"/>
    <w:rsid w:val="008608CD"/>
    <w:rsid w:val="008640EB"/>
    <w:rsid w:val="00866602"/>
    <w:rsid w:val="0087152A"/>
    <w:rsid w:val="00872A11"/>
    <w:rsid w:val="008730CE"/>
    <w:rsid w:val="00873930"/>
    <w:rsid w:val="00874A9D"/>
    <w:rsid w:val="008752FE"/>
    <w:rsid w:val="0087575F"/>
    <w:rsid w:val="008771B6"/>
    <w:rsid w:val="008817C7"/>
    <w:rsid w:val="00883AE9"/>
    <w:rsid w:val="00884D19"/>
    <w:rsid w:val="00885C9B"/>
    <w:rsid w:val="0089170B"/>
    <w:rsid w:val="00893DE5"/>
    <w:rsid w:val="00894954"/>
    <w:rsid w:val="0089510B"/>
    <w:rsid w:val="008955E4"/>
    <w:rsid w:val="00895F56"/>
    <w:rsid w:val="008A0D0B"/>
    <w:rsid w:val="008A0FD5"/>
    <w:rsid w:val="008A1023"/>
    <w:rsid w:val="008A5EA6"/>
    <w:rsid w:val="008B1304"/>
    <w:rsid w:val="008B32C3"/>
    <w:rsid w:val="008B52AA"/>
    <w:rsid w:val="008B6895"/>
    <w:rsid w:val="008C069B"/>
    <w:rsid w:val="008C0901"/>
    <w:rsid w:val="008C0903"/>
    <w:rsid w:val="008C13E1"/>
    <w:rsid w:val="008C228A"/>
    <w:rsid w:val="008C48A1"/>
    <w:rsid w:val="008C4A70"/>
    <w:rsid w:val="008D0F6C"/>
    <w:rsid w:val="008D100F"/>
    <w:rsid w:val="008D11EC"/>
    <w:rsid w:val="008D27E1"/>
    <w:rsid w:val="008D2A82"/>
    <w:rsid w:val="008D324B"/>
    <w:rsid w:val="008D5B95"/>
    <w:rsid w:val="008D5D2A"/>
    <w:rsid w:val="008D62D0"/>
    <w:rsid w:val="008D70C0"/>
    <w:rsid w:val="008E1C17"/>
    <w:rsid w:val="008E45E4"/>
    <w:rsid w:val="008E57C0"/>
    <w:rsid w:val="008F05B9"/>
    <w:rsid w:val="008F324F"/>
    <w:rsid w:val="008F4B8D"/>
    <w:rsid w:val="008F532F"/>
    <w:rsid w:val="008F5658"/>
    <w:rsid w:val="009027D8"/>
    <w:rsid w:val="00902F7A"/>
    <w:rsid w:val="00903303"/>
    <w:rsid w:val="00903EF2"/>
    <w:rsid w:val="00904AA9"/>
    <w:rsid w:val="00905342"/>
    <w:rsid w:val="009053F9"/>
    <w:rsid w:val="00906B5A"/>
    <w:rsid w:val="009072C7"/>
    <w:rsid w:val="0091193F"/>
    <w:rsid w:val="00912A61"/>
    <w:rsid w:val="00914B63"/>
    <w:rsid w:val="009150A8"/>
    <w:rsid w:val="00915854"/>
    <w:rsid w:val="00916992"/>
    <w:rsid w:val="00917EB4"/>
    <w:rsid w:val="009209F6"/>
    <w:rsid w:val="00921B28"/>
    <w:rsid w:val="0092298B"/>
    <w:rsid w:val="009236D1"/>
    <w:rsid w:val="009237CE"/>
    <w:rsid w:val="009258B8"/>
    <w:rsid w:val="00925FFF"/>
    <w:rsid w:val="0092683F"/>
    <w:rsid w:val="00926D85"/>
    <w:rsid w:val="00930CF3"/>
    <w:rsid w:val="00934C6A"/>
    <w:rsid w:val="0093510F"/>
    <w:rsid w:val="009354F3"/>
    <w:rsid w:val="00935B68"/>
    <w:rsid w:val="00940B26"/>
    <w:rsid w:val="00940D59"/>
    <w:rsid w:val="009418CE"/>
    <w:rsid w:val="00943158"/>
    <w:rsid w:val="00943C3C"/>
    <w:rsid w:val="009447DC"/>
    <w:rsid w:val="009452A0"/>
    <w:rsid w:val="009452F7"/>
    <w:rsid w:val="00945C69"/>
    <w:rsid w:val="00951556"/>
    <w:rsid w:val="009519CF"/>
    <w:rsid w:val="00951A74"/>
    <w:rsid w:val="00951F79"/>
    <w:rsid w:val="00957630"/>
    <w:rsid w:val="00957638"/>
    <w:rsid w:val="00960D6B"/>
    <w:rsid w:val="00961066"/>
    <w:rsid w:val="00961BA5"/>
    <w:rsid w:val="0096287E"/>
    <w:rsid w:val="00964956"/>
    <w:rsid w:val="00965159"/>
    <w:rsid w:val="00965481"/>
    <w:rsid w:val="00965A0D"/>
    <w:rsid w:val="0096602C"/>
    <w:rsid w:val="00966A45"/>
    <w:rsid w:val="00967605"/>
    <w:rsid w:val="00970F21"/>
    <w:rsid w:val="00972874"/>
    <w:rsid w:val="009743A9"/>
    <w:rsid w:val="009748B3"/>
    <w:rsid w:val="00975731"/>
    <w:rsid w:val="00976469"/>
    <w:rsid w:val="00976DC6"/>
    <w:rsid w:val="00980398"/>
    <w:rsid w:val="0098045D"/>
    <w:rsid w:val="00983E79"/>
    <w:rsid w:val="00985688"/>
    <w:rsid w:val="00985AC1"/>
    <w:rsid w:val="00991147"/>
    <w:rsid w:val="00992121"/>
    <w:rsid w:val="00992A18"/>
    <w:rsid w:val="00993626"/>
    <w:rsid w:val="00993C1D"/>
    <w:rsid w:val="009964E2"/>
    <w:rsid w:val="009973D1"/>
    <w:rsid w:val="009A17B1"/>
    <w:rsid w:val="009A21E6"/>
    <w:rsid w:val="009A2CF3"/>
    <w:rsid w:val="009A45EC"/>
    <w:rsid w:val="009A5287"/>
    <w:rsid w:val="009A60E2"/>
    <w:rsid w:val="009A670E"/>
    <w:rsid w:val="009B0393"/>
    <w:rsid w:val="009B149E"/>
    <w:rsid w:val="009B2AC5"/>
    <w:rsid w:val="009B57BC"/>
    <w:rsid w:val="009B751D"/>
    <w:rsid w:val="009B7984"/>
    <w:rsid w:val="009B7ADF"/>
    <w:rsid w:val="009C37A8"/>
    <w:rsid w:val="009C4B1B"/>
    <w:rsid w:val="009D1CDD"/>
    <w:rsid w:val="009D20A8"/>
    <w:rsid w:val="009D4A50"/>
    <w:rsid w:val="009D6554"/>
    <w:rsid w:val="009D6B1C"/>
    <w:rsid w:val="009D730B"/>
    <w:rsid w:val="009E47CE"/>
    <w:rsid w:val="009E5049"/>
    <w:rsid w:val="009E530B"/>
    <w:rsid w:val="009E5754"/>
    <w:rsid w:val="009F0441"/>
    <w:rsid w:val="009F2682"/>
    <w:rsid w:val="009F306D"/>
    <w:rsid w:val="009F3CAC"/>
    <w:rsid w:val="009F4BED"/>
    <w:rsid w:val="009F4FD9"/>
    <w:rsid w:val="009F6B0D"/>
    <w:rsid w:val="009F7D93"/>
    <w:rsid w:val="00A00F00"/>
    <w:rsid w:val="00A00FC3"/>
    <w:rsid w:val="00A03A12"/>
    <w:rsid w:val="00A041B6"/>
    <w:rsid w:val="00A06CA4"/>
    <w:rsid w:val="00A10F7A"/>
    <w:rsid w:val="00A11117"/>
    <w:rsid w:val="00A1131E"/>
    <w:rsid w:val="00A12646"/>
    <w:rsid w:val="00A137EA"/>
    <w:rsid w:val="00A13982"/>
    <w:rsid w:val="00A13D24"/>
    <w:rsid w:val="00A15952"/>
    <w:rsid w:val="00A202CB"/>
    <w:rsid w:val="00A2074D"/>
    <w:rsid w:val="00A20FD0"/>
    <w:rsid w:val="00A21E73"/>
    <w:rsid w:val="00A22AFF"/>
    <w:rsid w:val="00A22DBF"/>
    <w:rsid w:val="00A240C3"/>
    <w:rsid w:val="00A240DF"/>
    <w:rsid w:val="00A24988"/>
    <w:rsid w:val="00A24FCC"/>
    <w:rsid w:val="00A25E2C"/>
    <w:rsid w:val="00A3007B"/>
    <w:rsid w:val="00A307EE"/>
    <w:rsid w:val="00A315A8"/>
    <w:rsid w:val="00A319BC"/>
    <w:rsid w:val="00A3403B"/>
    <w:rsid w:val="00A34711"/>
    <w:rsid w:val="00A34CED"/>
    <w:rsid w:val="00A35B71"/>
    <w:rsid w:val="00A36FF1"/>
    <w:rsid w:val="00A40328"/>
    <w:rsid w:val="00A40703"/>
    <w:rsid w:val="00A4527E"/>
    <w:rsid w:val="00A45767"/>
    <w:rsid w:val="00A503EF"/>
    <w:rsid w:val="00A51A12"/>
    <w:rsid w:val="00A525ED"/>
    <w:rsid w:val="00A529E3"/>
    <w:rsid w:val="00A54FEA"/>
    <w:rsid w:val="00A5525F"/>
    <w:rsid w:val="00A60697"/>
    <w:rsid w:val="00A607C6"/>
    <w:rsid w:val="00A627D4"/>
    <w:rsid w:val="00A67F3F"/>
    <w:rsid w:val="00A701B8"/>
    <w:rsid w:val="00A71049"/>
    <w:rsid w:val="00A71561"/>
    <w:rsid w:val="00A71BD0"/>
    <w:rsid w:val="00A7270E"/>
    <w:rsid w:val="00A728C8"/>
    <w:rsid w:val="00A72B81"/>
    <w:rsid w:val="00A73DDF"/>
    <w:rsid w:val="00A74DA2"/>
    <w:rsid w:val="00A7734F"/>
    <w:rsid w:val="00A7766D"/>
    <w:rsid w:val="00A815AF"/>
    <w:rsid w:val="00A818C5"/>
    <w:rsid w:val="00A81A83"/>
    <w:rsid w:val="00A81E30"/>
    <w:rsid w:val="00A838AA"/>
    <w:rsid w:val="00A83ADA"/>
    <w:rsid w:val="00A8660D"/>
    <w:rsid w:val="00A8677B"/>
    <w:rsid w:val="00A86CA7"/>
    <w:rsid w:val="00A8737D"/>
    <w:rsid w:val="00A87F6C"/>
    <w:rsid w:val="00A9145E"/>
    <w:rsid w:val="00A915D2"/>
    <w:rsid w:val="00A94F23"/>
    <w:rsid w:val="00A968FC"/>
    <w:rsid w:val="00A97E05"/>
    <w:rsid w:val="00AA0449"/>
    <w:rsid w:val="00AA448B"/>
    <w:rsid w:val="00AA4511"/>
    <w:rsid w:val="00AA5AE7"/>
    <w:rsid w:val="00AA5CE7"/>
    <w:rsid w:val="00AA62CA"/>
    <w:rsid w:val="00AB041F"/>
    <w:rsid w:val="00AB0968"/>
    <w:rsid w:val="00AB0DB7"/>
    <w:rsid w:val="00AB1B69"/>
    <w:rsid w:val="00AB37DF"/>
    <w:rsid w:val="00AB72C6"/>
    <w:rsid w:val="00AC001B"/>
    <w:rsid w:val="00AC0D90"/>
    <w:rsid w:val="00AC15B4"/>
    <w:rsid w:val="00AC40BA"/>
    <w:rsid w:val="00AC5AD5"/>
    <w:rsid w:val="00AC6C31"/>
    <w:rsid w:val="00AD499C"/>
    <w:rsid w:val="00AD59DD"/>
    <w:rsid w:val="00AD72DA"/>
    <w:rsid w:val="00AE224B"/>
    <w:rsid w:val="00AE27E4"/>
    <w:rsid w:val="00AE40AD"/>
    <w:rsid w:val="00AE4B4A"/>
    <w:rsid w:val="00AE5A70"/>
    <w:rsid w:val="00AE772D"/>
    <w:rsid w:val="00AE7B62"/>
    <w:rsid w:val="00AE7C46"/>
    <w:rsid w:val="00AF07E7"/>
    <w:rsid w:val="00AF0F63"/>
    <w:rsid w:val="00AF116C"/>
    <w:rsid w:val="00AF4646"/>
    <w:rsid w:val="00AF4B8D"/>
    <w:rsid w:val="00AF6848"/>
    <w:rsid w:val="00B003EE"/>
    <w:rsid w:val="00B00F51"/>
    <w:rsid w:val="00B01344"/>
    <w:rsid w:val="00B01B1B"/>
    <w:rsid w:val="00B036CD"/>
    <w:rsid w:val="00B038F4"/>
    <w:rsid w:val="00B07AD9"/>
    <w:rsid w:val="00B105D6"/>
    <w:rsid w:val="00B11177"/>
    <w:rsid w:val="00B14A31"/>
    <w:rsid w:val="00B15008"/>
    <w:rsid w:val="00B15B1C"/>
    <w:rsid w:val="00B15D38"/>
    <w:rsid w:val="00B16F99"/>
    <w:rsid w:val="00B24D6A"/>
    <w:rsid w:val="00B2639F"/>
    <w:rsid w:val="00B2693E"/>
    <w:rsid w:val="00B27C13"/>
    <w:rsid w:val="00B32BE8"/>
    <w:rsid w:val="00B33885"/>
    <w:rsid w:val="00B34337"/>
    <w:rsid w:val="00B343AC"/>
    <w:rsid w:val="00B366C4"/>
    <w:rsid w:val="00B36869"/>
    <w:rsid w:val="00B3744D"/>
    <w:rsid w:val="00B42F9C"/>
    <w:rsid w:val="00B433EC"/>
    <w:rsid w:val="00B43B31"/>
    <w:rsid w:val="00B4609E"/>
    <w:rsid w:val="00B47CFA"/>
    <w:rsid w:val="00B504A2"/>
    <w:rsid w:val="00B50E19"/>
    <w:rsid w:val="00B50FFC"/>
    <w:rsid w:val="00B528C8"/>
    <w:rsid w:val="00B53D9F"/>
    <w:rsid w:val="00B5719E"/>
    <w:rsid w:val="00B57F00"/>
    <w:rsid w:val="00B60DE2"/>
    <w:rsid w:val="00B62A50"/>
    <w:rsid w:val="00B6495C"/>
    <w:rsid w:val="00B649D9"/>
    <w:rsid w:val="00B678DF"/>
    <w:rsid w:val="00B70059"/>
    <w:rsid w:val="00B70951"/>
    <w:rsid w:val="00B70CFF"/>
    <w:rsid w:val="00B719C7"/>
    <w:rsid w:val="00B719EF"/>
    <w:rsid w:val="00B72DAC"/>
    <w:rsid w:val="00B73378"/>
    <w:rsid w:val="00B73A1C"/>
    <w:rsid w:val="00B73B3F"/>
    <w:rsid w:val="00B74A94"/>
    <w:rsid w:val="00B74B3A"/>
    <w:rsid w:val="00B763E4"/>
    <w:rsid w:val="00B77B2A"/>
    <w:rsid w:val="00B77FCB"/>
    <w:rsid w:val="00B82A08"/>
    <w:rsid w:val="00B82C22"/>
    <w:rsid w:val="00B82D17"/>
    <w:rsid w:val="00B845DF"/>
    <w:rsid w:val="00B85C08"/>
    <w:rsid w:val="00B86B29"/>
    <w:rsid w:val="00B8723B"/>
    <w:rsid w:val="00B87B1C"/>
    <w:rsid w:val="00B910D0"/>
    <w:rsid w:val="00B9266E"/>
    <w:rsid w:val="00B928B2"/>
    <w:rsid w:val="00B93DBA"/>
    <w:rsid w:val="00B9440A"/>
    <w:rsid w:val="00B96149"/>
    <w:rsid w:val="00B96C7C"/>
    <w:rsid w:val="00B97886"/>
    <w:rsid w:val="00BA27FB"/>
    <w:rsid w:val="00BA2A19"/>
    <w:rsid w:val="00BA32EE"/>
    <w:rsid w:val="00BA533A"/>
    <w:rsid w:val="00BA6856"/>
    <w:rsid w:val="00BB1900"/>
    <w:rsid w:val="00BB2D2A"/>
    <w:rsid w:val="00BB3338"/>
    <w:rsid w:val="00BB4A9A"/>
    <w:rsid w:val="00BC13C5"/>
    <w:rsid w:val="00BC4A2D"/>
    <w:rsid w:val="00BC7155"/>
    <w:rsid w:val="00BC7678"/>
    <w:rsid w:val="00BC78DB"/>
    <w:rsid w:val="00BD1E88"/>
    <w:rsid w:val="00BD2422"/>
    <w:rsid w:val="00BD27D6"/>
    <w:rsid w:val="00BD2B09"/>
    <w:rsid w:val="00BD38F4"/>
    <w:rsid w:val="00BD3D9F"/>
    <w:rsid w:val="00BD3F61"/>
    <w:rsid w:val="00BD58CF"/>
    <w:rsid w:val="00BD61B5"/>
    <w:rsid w:val="00BD7569"/>
    <w:rsid w:val="00BE42A0"/>
    <w:rsid w:val="00BE6A51"/>
    <w:rsid w:val="00BF3188"/>
    <w:rsid w:val="00BF3D85"/>
    <w:rsid w:val="00C013EA"/>
    <w:rsid w:val="00C018F3"/>
    <w:rsid w:val="00C03D38"/>
    <w:rsid w:val="00C04017"/>
    <w:rsid w:val="00C046DC"/>
    <w:rsid w:val="00C04CC1"/>
    <w:rsid w:val="00C1026D"/>
    <w:rsid w:val="00C10374"/>
    <w:rsid w:val="00C14B24"/>
    <w:rsid w:val="00C20E71"/>
    <w:rsid w:val="00C2182A"/>
    <w:rsid w:val="00C21918"/>
    <w:rsid w:val="00C2355B"/>
    <w:rsid w:val="00C258AF"/>
    <w:rsid w:val="00C261B1"/>
    <w:rsid w:val="00C27400"/>
    <w:rsid w:val="00C27D2E"/>
    <w:rsid w:val="00C30DE0"/>
    <w:rsid w:val="00C318EB"/>
    <w:rsid w:val="00C31C6E"/>
    <w:rsid w:val="00C32C0F"/>
    <w:rsid w:val="00C33782"/>
    <w:rsid w:val="00C34588"/>
    <w:rsid w:val="00C349C2"/>
    <w:rsid w:val="00C358D9"/>
    <w:rsid w:val="00C364C5"/>
    <w:rsid w:val="00C377DE"/>
    <w:rsid w:val="00C37F44"/>
    <w:rsid w:val="00C414AA"/>
    <w:rsid w:val="00C4228A"/>
    <w:rsid w:val="00C437B7"/>
    <w:rsid w:val="00C44FEE"/>
    <w:rsid w:val="00C45FDA"/>
    <w:rsid w:val="00C4607A"/>
    <w:rsid w:val="00C47714"/>
    <w:rsid w:val="00C508BB"/>
    <w:rsid w:val="00C50C6D"/>
    <w:rsid w:val="00C5185B"/>
    <w:rsid w:val="00C53DD5"/>
    <w:rsid w:val="00C54C1E"/>
    <w:rsid w:val="00C600D9"/>
    <w:rsid w:val="00C618E8"/>
    <w:rsid w:val="00C623C1"/>
    <w:rsid w:val="00C6387F"/>
    <w:rsid w:val="00C64B87"/>
    <w:rsid w:val="00C65701"/>
    <w:rsid w:val="00C66E8F"/>
    <w:rsid w:val="00C67069"/>
    <w:rsid w:val="00C706EB"/>
    <w:rsid w:val="00C74284"/>
    <w:rsid w:val="00C7479C"/>
    <w:rsid w:val="00C75A46"/>
    <w:rsid w:val="00C77788"/>
    <w:rsid w:val="00C80557"/>
    <w:rsid w:val="00C82A97"/>
    <w:rsid w:val="00C84283"/>
    <w:rsid w:val="00C8516A"/>
    <w:rsid w:val="00C8528D"/>
    <w:rsid w:val="00C85784"/>
    <w:rsid w:val="00C860BE"/>
    <w:rsid w:val="00C861C5"/>
    <w:rsid w:val="00C86E30"/>
    <w:rsid w:val="00C86EE2"/>
    <w:rsid w:val="00C8759F"/>
    <w:rsid w:val="00C87BAF"/>
    <w:rsid w:val="00C909DD"/>
    <w:rsid w:val="00C91C1C"/>
    <w:rsid w:val="00C9242A"/>
    <w:rsid w:val="00C95796"/>
    <w:rsid w:val="00CA0BBD"/>
    <w:rsid w:val="00CA2B15"/>
    <w:rsid w:val="00CA577B"/>
    <w:rsid w:val="00CA5997"/>
    <w:rsid w:val="00CB2D3D"/>
    <w:rsid w:val="00CB4385"/>
    <w:rsid w:val="00CB4EE0"/>
    <w:rsid w:val="00CB50D9"/>
    <w:rsid w:val="00CB5916"/>
    <w:rsid w:val="00CB7927"/>
    <w:rsid w:val="00CB7BB6"/>
    <w:rsid w:val="00CB7C40"/>
    <w:rsid w:val="00CB7F22"/>
    <w:rsid w:val="00CC1384"/>
    <w:rsid w:val="00CC1412"/>
    <w:rsid w:val="00CC1E07"/>
    <w:rsid w:val="00CC2F60"/>
    <w:rsid w:val="00CC4E06"/>
    <w:rsid w:val="00CC5660"/>
    <w:rsid w:val="00CC7A6F"/>
    <w:rsid w:val="00CD0E25"/>
    <w:rsid w:val="00CD1D8D"/>
    <w:rsid w:val="00CD21C7"/>
    <w:rsid w:val="00CD3720"/>
    <w:rsid w:val="00CD4909"/>
    <w:rsid w:val="00CD4FE8"/>
    <w:rsid w:val="00CD65E3"/>
    <w:rsid w:val="00CE179F"/>
    <w:rsid w:val="00CE2E83"/>
    <w:rsid w:val="00CE3427"/>
    <w:rsid w:val="00CE410E"/>
    <w:rsid w:val="00CE506F"/>
    <w:rsid w:val="00CE5A68"/>
    <w:rsid w:val="00CE6835"/>
    <w:rsid w:val="00CE7A08"/>
    <w:rsid w:val="00CF16C9"/>
    <w:rsid w:val="00CF1848"/>
    <w:rsid w:val="00CF2AAD"/>
    <w:rsid w:val="00CF2D9E"/>
    <w:rsid w:val="00CF56DF"/>
    <w:rsid w:val="00CF5C2F"/>
    <w:rsid w:val="00CF6961"/>
    <w:rsid w:val="00CF6C5F"/>
    <w:rsid w:val="00CF7029"/>
    <w:rsid w:val="00CF7550"/>
    <w:rsid w:val="00D0081E"/>
    <w:rsid w:val="00D00A60"/>
    <w:rsid w:val="00D0456A"/>
    <w:rsid w:val="00D04BCF"/>
    <w:rsid w:val="00D05207"/>
    <w:rsid w:val="00D0624F"/>
    <w:rsid w:val="00D117BB"/>
    <w:rsid w:val="00D12CBC"/>
    <w:rsid w:val="00D143D9"/>
    <w:rsid w:val="00D1447D"/>
    <w:rsid w:val="00D14807"/>
    <w:rsid w:val="00D148BE"/>
    <w:rsid w:val="00D14DDE"/>
    <w:rsid w:val="00D160AA"/>
    <w:rsid w:val="00D16AB0"/>
    <w:rsid w:val="00D16E02"/>
    <w:rsid w:val="00D17416"/>
    <w:rsid w:val="00D21155"/>
    <w:rsid w:val="00D21716"/>
    <w:rsid w:val="00D21A84"/>
    <w:rsid w:val="00D22EAA"/>
    <w:rsid w:val="00D23194"/>
    <w:rsid w:val="00D2404B"/>
    <w:rsid w:val="00D254B2"/>
    <w:rsid w:val="00D269AB"/>
    <w:rsid w:val="00D26F92"/>
    <w:rsid w:val="00D30F37"/>
    <w:rsid w:val="00D31867"/>
    <w:rsid w:val="00D346C2"/>
    <w:rsid w:val="00D34FC9"/>
    <w:rsid w:val="00D418E6"/>
    <w:rsid w:val="00D41C80"/>
    <w:rsid w:val="00D42302"/>
    <w:rsid w:val="00D42938"/>
    <w:rsid w:val="00D51486"/>
    <w:rsid w:val="00D54EDC"/>
    <w:rsid w:val="00D568AC"/>
    <w:rsid w:val="00D56F9E"/>
    <w:rsid w:val="00D57621"/>
    <w:rsid w:val="00D61384"/>
    <w:rsid w:val="00D61DFA"/>
    <w:rsid w:val="00D61F2B"/>
    <w:rsid w:val="00D63277"/>
    <w:rsid w:val="00D702DA"/>
    <w:rsid w:val="00D73554"/>
    <w:rsid w:val="00D74DF2"/>
    <w:rsid w:val="00D77333"/>
    <w:rsid w:val="00D80070"/>
    <w:rsid w:val="00D8097D"/>
    <w:rsid w:val="00D820AB"/>
    <w:rsid w:val="00D82C02"/>
    <w:rsid w:val="00D85AC8"/>
    <w:rsid w:val="00D85EA8"/>
    <w:rsid w:val="00D92D54"/>
    <w:rsid w:val="00D93009"/>
    <w:rsid w:val="00D962D0"/>
    <w:rsid w:val="00D96680"/>
    <w:rsid w:val="00D96C05"/>
    <w:rsid w:val="00DA22DA"/>
    <w:rsid w:val="00DA2455"/>
    <w:rsid w:val="00DA25D5"/>
    <w:rsid w:val="00DA267D"/>
    <w:rsid w:val="00DA2D89"/>
    <w:rsid w:val="00DA3A80"/>
    <w:rsid w:val="00DA553A"/>
    <w:rsid w:val="00DA58DE"/>
    <w:rsid w:val="00DA59EA"/>
    <w:rsid w:val="00DB0B1D"/>
    <w:rsid w:val="00DB1C5C"/>
    <w:rsid w:val="00DB2377"/>
    <w:rsid w:val="00DB2AB0"/>
    <w:rsid w:val="00DB3C0B"/>
    <w:rsid w:val="00DB4E7A"/>
    <w:rsid w:val="00DB6D47"/>
    <w:rsid w:val="00DC2CF6"/>
    <w:rsid w:val="00DC60BF"/>
    <w:rsid w:val="00DC623A"/>
    <w:rsid w:val="00DC7CFF"/>
    <w:rsid w:val="00DD0856"/>
    <w:rsid w:val="00DD421A"/>
    <w:rsid w:val="00DD75F6"/>
    <w:rsid w:val="00DE0B63"/>
    <w:rsid w:val="00DE3327"/>
    <w:rsid w:val="00DE39E9"/>
    <w:rsid w:val="00DE3A1D"/>
    <w:rsid w:val="00DE5ED3"/>
    <w:rsid w:val="00DF08F7"/>
    <w:rsid w:val="00DF3D7F"/>
    <w:rsid w:val="00DF58CE"/>
    <w:rsid w:val="00DF5ACF"/>
    <w:rsid w:val="00E038FA"/>
    <w:rsid w:val="00E04E81"/>
    <w:rsid w:val="00E07F49"/>
    <w:rsid w:val="00E10327"/>
    <w:rsid w:val="00E12B46"/>
    <w:rsid w:val="00E12C77"/>
    <w:rsid w:val="00E12E16"/>
    <w:rsid w:val="00E1468F"/>
    <w:rsid w:val="00E1477C"/>
    <w:rsid w:val="00E14E0E"/>
    <w:rsid w:val="00E1569E"/>
    <w:rsid w:val="00E16FA4"/>
    <w:rsid w:val="00E172A5"/>
    <w:rsid w:val="00E173A6"/>
    <w:rsid w:val="00E179E0"/>
    <w:rsid w:val="00E204C1"/>
    <w:rsid w:val="00E22D7A"/>
    <w:rsid w:val="00E23BF3"/>
    <w:rsid w:val="00E25463"/>
    <w:rsid w:val="00E257C8"/>
    <w:rsid w:val="00E2680B"/>
    <w:rsid w:val="00E26F7D"/>
    <w:rsid w:val="00E2718F"/>
    <w:rsid w:val="00E277C4"/>
    <w:rsid w:val="00E27D7D"/>
    <w:rsid w:val="00E3018B"/>
    <w:rsid w:val="00E31A1F"/>
    <w:rsid w:val="00E31C62"/>
    <w:rsid w:val="00E31CF8"/>
    <w:rsid w:val="00E3228F"/>
    <w:rsid w:val="00E33E25"/>
    <w:rsid w:val="00E37047"/>
    <w:rsid w:val="00E370ED"/>
    <w:rsid w:val="00E41B08"/>
    <w:rsid w:val="00E4208D"/>
    <w:rsid w:val="00E44A84"/>
    <w:rsid w:val="00E46DE5"/>
    <w:rsid w:val="00E515B6"/>
    <w:rsid w:val="00E60D0F"/>
    <w:rsid w:val="00E631AA"/>
    <w:rsid w:val="00E64CBB"/>
    <w:rsid w:val="00E655C5"/>
    <w:rsid w:val="00E65EB3"/>
    <w:rsid w:val="00E664EF"/>
    <w:rsid w:val="00E70A81"/>
    <w:rsid w:val="00E7161B"/>
    <w:rsid w:val="00E72773"/>
    <w:rsid w:val="00E72E2B"/>
    <w:rsid w:val="00E73D1E"/>
    <w:rsid w:val="00E744B1"/>
    <w:rsid w:val="00E7531B"/>
    <w:rsid w:val="00E80AA9"/>
    <w:rsid w:val="00E83EF4"/>
    <w:rsid w:val="00E842E2"/>
    <w:rsid w:val="00E851BB"/>
    <w:rsid w:val="00E867A1"/>
    <w:rsid w:val="00E86D3C"/>
    <w:rsid w:val="00E878C2"/>
    <w:rsid w:val="00E90695"/>
    <w:rsid w:val="00E92BAD"/>
    <w:rsid w:val="00E9329F"/>
    <w:rsid w:val="00E93611"/>
    <w:rsid w:val="00E9390F"/>
    <w:rsid w:val="00E9452E"/>
    <w:rsid w:val="00E946B5"/>
    <w:rsid w:val="00E94D5B"/>
    <w:rsid w:val="00E9504D"/>
    <w:rsid w:val="00E95EB0"/>
    <w:rsid w:val="00E963D7"/>
    <w:rsid w:val="00E9773B"/>
    <w:rsid w:val="00E97A48"/>
    <w:rsid w:val="00EA2AA7"/>
    <w:rsid w:val="00EA3285"/>
    <w:rsid w:val="00EA36F9"/>
    <w:rsid w:val="00EA4B71"/>
    <w:rsid w:val="00EA4EF1"/>
    <w:rsid w:val="00EA596B"/>
    <w:rsid w:val="00EA6834"/>
    <w:rsid w:val="00EA705D"/>
    <w:rsid w:val="00EB06A6"/>
    <w:rsid w:val="00EB093F"/>
    <w:rsid w:val="00EB450C"/>
    <w:rsid w:val="00EB61C1"/>
    <w:rsid w:val="00EB6549"/>
    <w:rsid w:val="00EB6DEF"/>
    <w:rsid w:val="00EC0335"/>
    <w:rsid w:val="00EC0818"/>
    <w:rsid w:val="00EC13A3"/>
    <w:rsid w:val="00EC43BC"/>
    <w:rsid w:val="00EC5531"/>
    <w:rsid w:val="00EC6F8B"/>
    <w:rsid w:val="00EC71FD"/>
    <w:rsid w:val="00EC7C85"/>
    <w:rsid w:val="00ED0661"/>
    <w:rsid w:val="00ED1B09"/>
    <w:rsid w:val="00ED735D"/>
    <w:rsid w:val="00ED7CE8"/>
    <w:rsid w:val="00EE26C7"/>
    <w:rsid w:val="00EE61F8"/>
    <w:rsid w:val="00EE6947"/>
    <w:rsid w:val="00EE6951"/>
    <w:rsid w:val="00EF030C"/>
    <w:rsid w:val="00EF0963"/>
    <w:rsid w:val="00EF1ED1"/>
    <w:rsid w:val="00EF2786"/>
    <w:rsid w:val="00EF4090"/>
    <w:rsid w:val="00EF4453"/>
    <w:rsid w:val="00EF468E"/>
    <w:rsid w:val="00EF4E2D"/>
    <w:rsid w:val="00EF5C7D"/>
    <w:rsid w:val="00F00BD2"/>
    <w:rsid w:val="00F03D8B"/>
    <w:rsid w:val="00F04CD9"/>
    <w:rsid w:val="00F0558D"/>
    <w:rsid w:val="00F061B7"/>
    <w:rsid w:val="00F06972"/>
    <w:rsid w:val="00F06A60"/>
    <w:rsid w:val="00F06B10"/>
    <w:rsid w:val="00F07E49"/>
    <w:rsid w:val="00F107F5"/>
    <w:rsid w:val="00F125EE"/>
    <w:rsid w:val="00F12E98"/>
    <w:rsid w:val="00F13641"/>
    <w:rsid w:val="00F15EF1"/>
    <w:rsid w:val="00F21E04"/>
    <w:rsid w:val="00F22029"/>
    <w:rsid w:val="00F237FE"/>
    <w:rsid w:val="00F23C3C"/>
    <w:rsid w:val="00F25519"/>
    <w:rsid w:val="00F25DEF"/>
    <w:rsid w:val="00F2608B"/>
    <w:rsid w:val="00F27CBB"/>
    <w:rsid w:val="00F31028"/>
    <w:rsid w:val="00F34626"/>
    <w:rsid w:val="00F37E61"/>
    <w:rsid w:val="00F42620"/>
    <w:rsid w:val="00F42E73"/>
    <w:rsid w:val="00F43F99"/>
    <w:rsid w:val="00F454B0"/>
    <w:rsid w:val="00F512DB"/>
    <w:rsid w:val="00F51450"/>
    <w:rsid w:val="00F514EC"/>
    <w:rsid w:val="00F530E7"/>
    <w:rsid w:val="00F53349"/>
    <w:rsid w:val="00F533E6"/>
    <w:rsid w:val="00F53564"/>
    <w:rsid w:val="00F5432B"/>
    <w:rsid w:val="00F55959"/>
    <w:rsid w:val="00F60CD4"/>
    <w:rsid w:val="00F62B64"/>
    <w:rsid w:val="00F630EA"/>
    <w:rsid w:val="00F63392"/>
    <w:rsid w:val="00F65D2F"/>
    <w:rsid w:val="00F6667D"/>
    <w:rsid w:val="00F66E50"/>
    <w:rsid w:val="00F66F03"/>
    <w:rsid w:val="00F7007E"/>
    <w:rsid w:val="00F70200"/>
    <w:rsid w:val="00F70CA0"/>
    <w:rsid w:val="00F725F8"/>
    <w:rsid w:val="00F72FB8"/>
    <w:rsid w:val="00F73193"/>
    <w:rsid w:val="00F7468B"/>
    <w:rsid w:val="00F74F95"/>
    <w:rsid w:val="00F77E50"/>
    <w:rsid w:val="00F80214"/>
    <w:rsid w:val="00F80705"/>
    <w:rsid w:val="00F80B62"/>
    <w:rsid w:val="00F86EA8"/>
    <w:rsid w:val="00F87DB6"/>
    <w:rsid w:val="00F904AB"/>
    <w:rsid w:val="00F90BBD"/>
    <w:rsid w:val="00F91311"/>
    <w:rsid w:val="00F9257B"/>
    <w:rsid w:val="00F95047"/>
    <w:rsid w:val="00F9669E"/>
    <w:rsid w:val="00F96E3E"/>
    <w:rsid w:val="00F96FB7"/>
    <w:rsid w:val="00FA0113"/>
    <w:rsid w:val="00FA0194"/>
    <w:rsid w:val="00FA1481"/>
    <w:rsid w:val="00FA486F"/>
    <w:rsid w:val="00FA703B"/>
    <w:rsid w:val="00FB1B34"/>
    <w:rsid w:val="00FB2A7B"/>
    <w:rsid w:val="00FB2B5D"/>
    <w:rsid w:val="00FB38D8"/>
    <w:rsid w:val="00FB55FA"/>
    <w:rsid w:val="00FB6CE7"/>
    <w:rsid w:val="00FC0205"/>
    <w:rsid w:val="00FC4758"/>
    <w:rsid w:val="00FC5437"/>
    <w:rsid w:val="00FC609C"/>
    <w:rsid w:val="00FC63AB"/>
    <w:rsid w:val="00FD04D9"/>
    <w:rsid w:val="00FD1030"/>
    <w:rsid w:val="00FD10D3"/>
    <w:rsid w:val="00FD1891"/>
    <w:rsid w:val="00FD1E88"/>
    <w:rsid w:val="00FD504F"/>
    <w:rsid w:val="00FD5114"/>
    <w:rsid w:val="00FD714F"/>
    <w:rsid w:val="00FD7E91"/>
    <w:rsid w:val="00FE21F1"/>
    <w:rsid w:val="00FE4237"/>
    <w:rsid w:val="00FE4EEA"/>
    <w:rsid w:val="00FE5B41"/>
    <w:rsid w:val="00FE6059"/>
    <w:rsid w:val="00FE6A1D"/>
    <w:rsid w:val="00FF04E3"/>
    <w:rsid w:val="00FF3C83"/>
    <w:rsid w:val="00FF55B3"/>
    <w:rsid w:val="00FF61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61F2B"/>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basedOn w:val="a2"/>
    <w:link w:val="1"/>
    <w:semiHidden/>
    <w:rsid w:val="00FF04E3"/>
    <w:rPr>
      <w:b/>
      <w:bCs/>
      <w:kern w:val="32"/>
      <w:sz w:val="24"/>
      <w:szCs w:val="24"/>
    </w:rPr>
  </w:style>
  <w:style w:type="character" w:customStyle="1" w:styleId="22">
    <w:name w:val="标题 2 字符"/>
    <w:basedOn w:val="a2"/>
    <w:link w:val="21"/>
    <w:semiHidden/>
    <w:rsid w:val="00FF04E3"/>
    <w:rPr>
      <w:rFonts w:ascii="Cambria" w:hAnsi="Cambria"/>
      <w:b/>
      <w:bCs/>
      <w:i/>
      <w:iCs/>
      <w:sz w:val="28"/>
      <w:szCs w:val="28"/>
    </w:rPr>
  </w:style>
  <w:style w:type="character" w:customStyle="1" w:styleId="52">
    <w:name w:val="标题 5 字符"/>
    <w:basedOn w:val="a2"/>
    <w:link w:val="51"/>
    <w:semiHidden/>
    <w:rsid w:val="00FF04E3"/>
    <w:rPr>
      <w:rFonts w:ascii="Calibri" w:hAnsi="Calibri"/>
      <w:b/>
      <w:bCs/>
      <w:i/>
      <w:iCs/>
      <w:sz w:val="26"/>
      <w:szCs w:val="26"/>
    </w:rPr>
  </w:style>
  <w:style w:type="character" w:customStyle="1" w:styleId="60">
    <w:name w:val="标题 6 字符"/>
    <w:basedOn w:val="a2"/>
    <w:link w:val="6"/>
    <w:semiHidden/>
    <w:rsid w:val="00FF04E3"/>
    <w:rPr>
      <w:rFonts w:ascii="Calibri" w:hAnsi="Calibri"/>
      <w:b/>
      <w:bCs/>
      <w:sz w:val="22"/>
      <w:szCs w:val="22"/>
    </w:rPr>
  </w:style>
  <w:style w:type="character" w:customStyle="1" w:styleId="70">
    <w:name w:val="标题 7 字符"/>
    <w:basedOn w:val="a2"/>
    <w:link w:val="7"/>
    <w:semiHidden/>
    <w:rsid w:val="00FF04E3"/>
    <w:rPr>
      <w:rFonts w:ascii="Calibri" w:hAnsi="Calibri"/>
      <w:sz w:val="24"/>
      <w:szCs w:val="24"/>
    </w:rPr>
  </w:style>
  <w:style w:type="character" w:customStyle="1" w:styleId="80">
    <w:name w:val="标题 8 字符"/>
    <w:basedOn w:val="a2"/>
    <w:link w:val="8"/>
    <w:semiHidden/>
    <w:rsid w:val="00FF04E3"/>
    <w:rPr>
      <w:rFonts w:ascii="Calibri" w:hAnsi="Calibri"/>
      <w:i/>
      <w:iCs/>
      <w:sz w:val="24"/>
      <w:szCs w:val="24"/>
    </w:rPr>
  </w:style>
  <w:style w:type="character" w:customStyle="1" w:styleId="90">
    <w:name w:val="标题 9 字符"/>
    <w:basedOn w:val="a2"/>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basedOn w:val="a2"/>
    <w:link w:val="a6"/>
    <w:semiHidden/>
    <w:rsid w:val="00FF04E3"/>
    <w:rPr>
      <w:rFonts w:ascii="Tahoma" w:hAnsi="Tahoma" w:cs="Tahoma"/>
      <w:sz w:val="16"/>
      <w:szCs w:val="16"/>
    </w:rPr>
  </w:style>
  <w:style w:type="paragraph" w:styleId="a8">
    <w:name w:val="Bibliography"/>
    <w:basedOn w:val="a1"/>
    <w:next w:val="a1"/>
    <w:uiPriority w:val="37"/>
    <w:semiHidden/>
    <w:rsid w:val="00405336"/>
    <w:pPr>
      <w:tabs>
        <w:tab w:val="left" w:pos="380"/>
      </w:tabs>
      <w:spacing w:line="480" w:lineRule="auto"/>
      <w:ind w:left="384" w:hanging="384"/>
    </w:pPr>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basedOn w:val="a2"/>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basedOn w:val="a2"/>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basedOn w:val="a2"/>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basedOn w:val="a2"/>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basedOn w:val="a2"/>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basedOn w:val="a2"/>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basedOn w:val="a2"/>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basedOn w:val="af4"/>
    <w:link w:val="af5"/>
    <w:semiHidden/>
    <w:rsid w:val="00FF04E3"/>
    <w:rPr>
      <w:b/>
      <w:bCs/>
    </w:rPr>
  </w:style>
  <w:style w:type="paragraph" w:styleId="af7">
    <w:name w:val="Date"/>
    <w:basedOn w:val="a1"/>
    <w:next w:val="a1"/>
    <w:link w:val="af8"/>
    <w:semiHidden/>
    <w:rsid w:val="00405336"/>
  </w:style>
  <w:style w:type="character" w:customStyle="1" w:styleId="af8">
    <w:name w:val="日期 字符"/>
    <w:basedOn w:val="a2"/>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basedOn w:val="a2"/>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basedOn w:val="a2"/>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basedOn w:val="a2"/>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basedOn w:val="a2"/>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basedOn w:val="a2"/>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basedOn w:val="a2"/>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basedOn w:val="a2"/>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basedOn w:val="a2"/>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basedOn w:val="a2"/>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basedOn w:val="a2"/>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basedOn w:val="a2"/>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basedOn w:val="a2"/>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basedOn w:val="a2"/>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basedOn w:val="a2"/>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basedOn w:val="a2"/>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basedOn w:val="a2"/>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uiPriority w:val="39"/>
    <w:rsid w:val="00F904AB"/>
    <w:pPr>
      <w:spacing w:before="120"/>
    </w:pPr>
    <w:rPr>
      <w:rFonts w:asciiTheme="minorHAnsi" w:hAnsiTheme="minorHAnsi" w:cstheme="minorHAnsi"/>
      <w:b/>
      <w:bCs/>
      <w:i/>
      <w:iCs/>
      <w:szCs w:val="24"/>
    </w:rPr>
  </w:style>
  <w:style w:type="paragraph" w:styleId="TOC2">
    <w:name w:val="toc 2"/>
    <w:basedOn w:val="a1"/>
    <w:next w:val="a1"/>
    <w:autoRedefine/>
    <w:uiPriority w:val="39"/>
    <w:rsid w:val="00F904AB"/>
    <w:pPr>
      <w:spacing w:before="120"/>
      <w:ind w:left="240"/>
    </w:pPr>
    <w:rPr>
      <w:rFonts w:asciiTheme="minorHAnsi" w:hAnsiTheme="minorHAnsi" w:cstheme="minorHAnsi"/>
      <w:b/>
      <w:bCs/>
      <w:sz w:val="22"/>
      <w:szCs w:val="22"/>
    </w:rPr>
  </w:style>
  <w:style w:type="paragraph" w:styleId="TOC3">
    <w:name w:val="toc 3"/>
    <w:basedOn w:val="a1"/>
    <w:next w:val="a1"/>
    <w:autoRedefine/>
    <w:uiPriority w:val="39"/>
    <w:rsid w:val="00405336"/>
    <w:pPr>
      <w:ind w:left="480"/>
    </w:pPr>
    <w:rPr>
      <w:rFonts w:asciiTheme="minorHAnsi" w:hAnsiTheme="minorHAnsi" w:cstheme="minorHAnsi"/>
      <w:sz w:val="20"/>
    </w:rPr>
  </w:style>
  <w:style w:type="paragraph" w:styleId="TOC4">
    <w:name w:val="toc 4"/>
    <w:basedOn w:val="a1"/>
    <w:next w:val="a1"/>
    <w:autoRedefine/>
    <w:uiPriority w:val="39"/>
    <w:rsid w:val="00405336"/>
    <w:pPr>
      <w:ind w:left="720"/>
    </w:pPr>
    <w:rPr>
      <w:rFonts w:asciiTheme="minorHAnsi" w:hAnsiTheme="minorHAnsi" w:cstheme="minorHAnsi"/>
      <w:sz w:val="20"/>
    </w:rPr>
  </w:style>
  <w:style w:type="paragraph" w:styleId="TOC5">
    <w:name w:val="toc 5"/>
    <w:basedOn w:val="a1"/>
    <w:next w:val="a1"/>
    <w:autoRedefine/>
    <w:uiPriority w:val="39"/>
    <w:rsid w:val="00405336"/>
    <w:pPr>
      <w:ind w:left="960"/>
    </w:pPr>
    <w:rPr>
      <w:rFonts w:asciiTheme="minorHAnsi" w:hAnsiTheme="minorHAnsi" w:cstheme="minorHAnsi"/>
      <w:sz w:val="20"/>
    </w:rPr>
  </w:style>
  <w:style w:type="paragraph" w:styleId="TOC6">
    <w:name w:val="toc 6"/>
    <w:basedOn w:val="a1"/>
    <w:next w:val="a1"/>
    <w:autoRedefine/>
    <w:uiPriority w:val="39"/>
    <w:rsid w:val="00405336"/>
    <w:pPr>
      <w:ind w:left="1200"/>
    </w:pPr>
    <w:rPr>
      <w:rFonts w:asciiTheme="minorHAnsi" w:hAnsiTheme="minorHAnsi" w:cstheme="minorHAnsi"/>
      <w:sz w:val="20"/>
    </w:rPr>
  </w:style>
  <w:style w:type="paragraph" w:styleId="TOC7">
    <w:name w:val="toc 7"/>
    <w:basedOn w:val="a1"/>
    <w:next w:val="a1"/>
    <w:autoRedefine/>
    <w:uiPriority w:val="39"/>
    <w:rsid w:val="00405336"/>
    <w:pPr>
      <w:ind w:left="1440"/>
    </w:pPr>
    <w:rPr>
      <w:rFonts w:asciiTheme="minorHAnsi" w:hAnsiTheme="minorHAnsi" w:cstheme="minorHAnsi"/>
      <w:sz w:val="20"/>
    </w:rPr>
  </w:style>
  <w:style w:type="paragraph" w:styleId="TOC8">
    <w:name w:val="toc 8"/>
    <w:basedOn w:val="a1"/>
    <w:next w:val="a1"/>
    <w:autoRedefine/>
    <w:uiPriority w:val="39"/>
    <w:rsid w:val="00405336"/>
    <w:pPr>
      <w:ind w:left="1680"/>
    </w:pPr>
    <w:rPr>
      <w:rFonts w:asciiTheme="minorHAnsi" w:hAnsiTheme="minorHAnsi" w:cstheme="minorHAnsi"/>
      <w:sz w:val="20"/>
    </w:rPr>
  </w:style>
  <w:style w:type="paragraph" w:styleId="TOC9">
    <w:name w:val="toc 9"/>
    <w:basedOn w:val="a1"/>
    <w:next w:val="a1"/>
    <w:autoRedefine/>
    <w:uiPriority w:val="39"/>
    <w:rsid w:val="00405336"/>
    <w:pPr>
      <w:ind w:left="1920"/>
    </w:pPr>
    <w:rPr>
      <w:rFonts w:asciiTheme="minorHAnsi" w:hAnsiTheme="minorHAnsi" w:cstheme="minorHAnsi"/>
      <w:sz w:val="20"/>
    </w:rPr>
  </w:style>
  <w:style w:type="paragraph" w:styleId="TOC">
    <w:name w:val="TOC Heading"/>
    <w:basedOn w:val="1"/>
    <w:next w:val="a1"/>
    <w:uiPriority w:val="39"/>
    <w:unhideWhenUsed/>
    <w:qFormat/>
    <w:rsid w:val="00405336"/>
    <w:pPr>
      <w:outlineLvl w:val="9"/>
    </w:pPr>
    <w:rPr>
      <w:rFonts w:ascii="Cambria" w:hAnsi="Cambria"/>
      <w:sz w:val="32"/>
      <w:szCs w:val="32"/>
    </w:rPr>
  </w:style>
  <w:style w:type="character" w:styleId="affff5">
    <w:name w:val="Hyperlink"/>
    <w:basedOn w:val="a2"/>
    <w:uiPriority w:val="99"/>
    <w:rsid w:val="007402FC"/>
    <w:rPr>
      <w:color w:val="0000FF"/>
      <w:u w:val="single"/>
    </w:rPr>
  </w:style>
  <w:style w:type="character" w:styleId="affff6">
    <w:name w:val="Emphasis"/>
    <w:basedOn w:val="a2"/>
    <w:uiPriority w:val="20"/>
    <w:qFormat/>
    <w:rsid w:val="00B42F9C"/>
    <w:rPr>
      <w:i/>
      <w:iCs/>
    </w:rPr>
  </w:style>
  <w:style w:type="character" w:styleId="affff7">
    <w:name w:val="annotation reference"/>
    <w:basedOn w:val="a2"/>
    <w:semiHidden/>
    <w:rsid w:val="009258B8"/>
    <w:rPr>
      <w:sz w:val="16"/>
      <w:szCs w:val="16"/>
    </w:rPr>
  </w:style>
  <w:style w:type="character" w:styleId="affff8">
    <w:name w:val="FollowedHyperlink"/>
    <w:basedOn w:val="a2"/>
    <w:semiHidden/>
    <w:unhideWhenUsed/>
    <w:rsid w:val="00611A19"/>
    <w:rPr>
      <w:color w:val="800080" w:themeColor="followedHyperlink"/>
      <w:u w:val="single"/>
    </w:rPr>
  </w:style>
  <w:style w:type="paragraph" w:styleId="affff9">
    <w:name w:val="Revision"/>
    <w:hidden/>
    <w:uiPriority w:val="99"/>
    <w:semiHidden/>
    <w:rsid w:val="00CD0E25"/>
    <w:rPr>
      <w:sz w:val="24"/>
    </w:rPr>
  </w:style>
  <w:style w:type="character" w:styleId="affffa">
    <w:name w:val="Unresolved Mention"/>
    <w:basedOn w:val="a2"/>
    <w:uiPriority w:val="99"/>
    <w:semiHidden/>
    <w:unhideWhenUsed/>
    <w:rsid w:val="0087152A"/>
    <w:rPr>
      <w:color w:val="605E5C"/>
      <w:shd w:val="clear" w:color="auto" w:fill="E1DFDD"/>
    </w:rPr>
  </w:style>
  <w:style w:type="table" w:styleId="affffb">
    <w:name w:val="Table Grid"/>
    <w:basedOn w:val="a3"/>
    <w:uiPriority w:val="39"/>
    <w:rsid w:val="005B3045"/>
    <w:rPr>
      <w:rFonts w:asciiTheme="minorHAnsi" w:hAnsiTheme="minorHAnsi" w:cstheme="minorBidi"/>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footnote reference"/>
    <w:basedOn w:val="a2"/>
    <w:uiPriority w:val="99"/>
    <w:semiHidden/>
    <w:unhideWhenUsed/>
    <w:rsid w:val="000416BF"/>
    <w:rPr>
      <w:vertAlign w:val="superscript"/>
    </w:rPr>
  </w:style>
  <w:style w:type="character" w:styleId="affffd">
    <w:name w:val="Placeholder Text"/>
    <w:basedOn w:val="a2"/>
    <w:uiPriority w:val="99"/>
    <w:semiHidden/>
    <w:rsid w:val="00D34F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140808172">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95108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spp.berkeley.edu/berkeley-carbon-trading-project/offsets-database"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nepccc.org/cdm-ji-pipelin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en.smith@smithschool.ox.ac.uk" TargetMode="External"/><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github.com/Ruanancy1998/carbonoffsets_additionality.git"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pedro.mouracosta@bvrio.org"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sam.fankhauser@smithschool.ox.ac.uk" TargetMode="External"/><Relationship Id="rId14" Type="http://schemas.openxmlformats.org/officeDocument/2006/relationships/hyperlink" Target="https://trends.google.com/trend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theme" Target="theme/theme1.xml"/><Relationship Id="rId8" Type="http://schemas.openxmlformats.org/officeDocument/2006/relationships/hyperlink" Target="mailto:min.ruan@reuben.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42</Pages>
  <Words>44360</Words>
  <Characters>252853</Characters>
  <Application>Microsoft Office Word</Application>
  <DocSecurity>0</DocSecurity>
  <Lines>2107</Lines>
  <Paragraphs>593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296620</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Min Ruan</cp:lastModifiedBy>
  <cp:revision>337</cp:revision>
  <cp:lastPrinted>2025-11-25T15:38:00Z</cp:lastPrinted>
  <dcterms:created xsi:type="dcterms:W3CDTF">2025-11-03T04:00:00Z</dcterms:created>
  <dcterms:modified xsi:type="dcterms:W3CDTF">2025-11-25T15:39:00Z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zotero-version="8.0-beta.19+b9ef88d4f"&gt;&lt;session id="ZthMjOpd"/&gt;&lt;style id="http://www.zotero.org/styles/nature" hasBibliography="1" bibliographyStyleHasBeenSet="1"/&gt;&lt;prefs&gt;&lt;pref name="fieldType" value="Field"/&gt;&lt;pref name="delayCitati</vt:lpwstr>
  </property>
  <property fmtid="{D5CDD505-2E9C-101B-9397-08002B2CF9AE}" pid="3" name="ZOTERO_PREF_2">
    <vt:lpwstr>onUpdates" value="true"/&gt;&lt;pref name="dontAskDelayCitationUpdates" value="true"/&gt;&lt;/prefs&gt;&lt;/data&gt;</vt:lpwstr>
  </property>
</Properties>
</file>