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5987" w:rsidRDefault="00AF5987" w:rsidP="00AF5987">
      <w:pPr>
        <w:widowControl/>
        <w:spacing w:line="480" w:lineRule="auto"/>
        <w:jc w:val="left"/>
        <w:rPr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Supplemental </w:t>
      </w:r>
      <w:r w:rsidRPr="009F76F1">
        <w:rPr>
          <w:b/>
          <w:color w:val="000000" w:themeColor="text1"/>
          <w:sz w:val="24"/>
          <w:szCs w:val="24"/>
        </w:rPr>
        <w:t>Figure.</w:t>
      </w:r>
      <w:r w:rsidRPr="004C1AEF">
        <w:rPr>
          <w:color w:val="000000" w:themeColor="text1"/>
          <w:sz w:val="24"/>
          <w:szCs w:val="24"/>
        </w:rPr>
        <w:t xml:space="preserve"> </w:t>
      </w:r>
    </w:p>
    <w:p w:rsidR="00AF5987" w:rsidRDefault="00AF5987" w:rsidP="00AF5987">
      <w:pPr>
        <w:widowControl/>
        <w:spacing w:line="480" w:lineRule="auto"/>
        <w:jc w:val="left"/>
        <w:rPr>
          <w:color w:val="000000" w:themeColor="text1"/>
          <w:sz w:val="24"/>
          <w:szCs w:val="24"/>
        </w:rPr>
      </w:pPr>
      <w:bookmarkStart w:id="0" w:name="_GoBack"/>
      <w:bookmarkEnd w:id="0"/>
      <w:r w:rsidRPr="004C1AEF">
        <w:rPr>
          <w:color w:val="000000" w:themeColor="text1"/>
          <w:sz w:val="24"/>
          <w:szCs w:val="24"/>
        </w:rPr>
        <w:t>The representative immunohistochemical staining of the CD8</w:t>
      </w:r>
      <w:r w:rsidRPr="004C1AEF">
        <w:rPr>
          <w:color w:val="000000" w:themeColor="text1"/>
          <w:sz w:val="24"/>
          <w:szCs w:val="24"/>
          <w:vertAlign w:val="superscript"/>
        </w:rPr>
        <w:t>+</w:t>
      </w:r>
      <w:r w:rsidRPr="004C1AEF">
        <w:rPr>
          <w:color w:val="000000" w:themeColor="text1"/>
          <w:sz w:val="24"/>
          <w:szCs w:val="24"/>
        </w:rPr>
        <w:t xml:space="preserve"> and </w:t>
      </w:r>
      <w:r w:rsidRPr="004C1AEF">
        <w:rPr>
          <w:sz w:val="24"/>
          <w:szCs w:val="24"/>
        </w:rPr>
        <w:t>CD204</w:t>
      </w:r>
      <w:r w:rsidRPr="004C1AEF">
        <w:rPr>
          <w:sz w:val="24"/>
          <w:szCs w:val="24"/>
          <w:vertAlign w:val="superscript"/>
        </w:rPr>
        <w:t>+</w:t>
      </w:r>
      <w:r w:rsidRPr="004C1AEF">
        <w:rPr>
          <w:sz w:val="24"/>
          <w:szCs w:val="24"/>
        </w:rPr>
        <w:t xml:space="preserve"> cell</w:t>
      </w:r>
      <w:r w:rsidRPr="004C1AEF">
        <w:rPr>
          <w:color w:val="000000" w:themeColor="text1"/>
          <w:sz w:val="24"/>
          <w:szCs w:val="24"/>
        </w:rPr>
        <w:t xml:space="preserve"> infiltration in the main tumor area and seminal vesicle invasion area.</w:t>
      </w:r>
      <w:r w:rsidRPr="004C1AEF">
        <w:rPr>
          <w:rFonts w:hint="eastAsia"/>
          <w:color w:val="000000" w:themeColor="text1"/>
          <w:sz w:val="24"/>
          <w:szCs w:val="24"/>
        </w:rPr>
        <w:t xml:space="preserve"> </w:t>
      </w:r>
      <w:r w:rsidRPr="004C1AEF">
        <w:rPr>
          <w:color w:val="000000" w:themeColor="text1"/>
          <w:sz w:val="24"/>
          <w:szCs w:val="24"/>
        </w:rPr>
        <w:t>Biochemical recurrence occurred in Case 1 (a-f). The lower CD8</w:t>
      </w:r>
      <w:r w:rsidRPr="004C1AEF">
        <w:rPr>
          <w:color w:val="000000" w:themeColor="text1"/>
          <w:sz w:val="24"/>
          <w:szCs w:val="24"/>
          <w:vertAlign w:val="superscript"/>
        </w:rPr>
        <w:t>+</w:t>
      </w:r>
      <w:r w:rsidRPr="004C1AEF">
        <w:rPr>
          <w:color w:val="000000" w:themeColor="text1"/>
          <w:sz w:val="24"/>
          <w:szCs w:val="24"/>
        </w:rPr>
        <w:t xml:space="preserve"> cell density was detected in the seminal vesicle invasion area (e) than main tumor area (b). The higher </w:t>
      </w:r>
      <w:r w:rsidRPr="004C1AEF">
        <w:rPr>
          <w:sz w:val="24"/>
          <w:szCs w:val="24"/>
        </w:rPr>
        <w:t>CD204</w:t>
      </w:r>
      <w:r w:rsidRPr="004C1AEF">
        <w:rPr>
          <w:sz w:val="24"/>
          <w:szCs w:val="24"/>
          <w:vertAlign w:val="superscript"/>
        </w:rPr>
        <w:t>+</w:t>
      </w:r>
      <w:r w:rsidRPr="004C1AEF">
        <w:rPr>
          <w:sz w:val="24"/>
          <w:szCs w:val="24"/>
        </w:rPr>
        <w:t xml:space="preserve"> cell</w:t>
      </w:r>
      <w:r w:rsidRPr="004C1AEF">
        <w:rPr>
          <w:color w:val="000000" w:themeColor="text1"/>
          <w:sz w:val="24"/>
          <w:szCs w:val="24"/>
        </w:rPr>
        <w:t xml:space="preserve"> density was detected in the seminal vesicle invasion area (f) than main tumor area (c).</w:t>
      </w:r>
      <w:r w:rsidRPr="004C1AEF">
        <w:rPr>
          <w:rFonts w:hint="eastAsia"/>
          <w:color w:val="000000" w:themeColor="text1"/>
          <w:sz w:val="24"/>
          <w:szCs w:val="24"/>
        </w:rPr>
        <w:t xml:space="preserve"> </w:t>
      </w:r>
      <w:r w:rsidRPr="004C1AEF">
        <w:rPr>
          <w:color w:val="000000" w:themeColor="text1"/>
          <w:sz w:val="24"/>
          <w:szCs w:val="24"/>
        </w:rPr>
        <w:t>Biochemical recurrence did not occur in Case 2 (g-l). The higher CD8</w:t>
      </w:r>
      <w:r w:rsidRPr="004C1AEF">
        <w:rPr>
          <w:color w:val="000000" w:themeColor="text1"/>
          <w:sz w:val="24"/>
          <w:szCs w:val="24"/>
          <w:vertAlign w:val="superscript"/>
        </w:rPr>
        <w:t>+</w:t>
      </w:r>
      <w:r w:rsidRPr="004C1AEF">
        <w:rPr>
          <w:color w:val="000000" w:themeColor="text1"/>
          <w:sz w:val="24"/>
          <w:szCs w:val="24"/>
        </w:rPr>
        <w:t xml:space="preserve"> cell density was detected in the seminal vesicle invasion area (k) than main tumor area (h). The lower </w:t>
      </w:r>
      <w:r w:rsidRPr="004C1AEF">
        <w:rPr>
          <w:sz w:val="24"/>
          <w:szCs w:val="24"/>
        </w:rPr>
        <w:t>CD204</w:t>
      </w:r>
      <w:r w:rsidRPr="004C1AEF">
        <w:rPr>
          <w:sz w:val="24"/>
          <w:szCs w:val="24"/>
          <w:vertAlign w:val="superscript"/>
        </w:rPr>
        <w:t>+</w:t>
      </w:r>
      <w:r w:rsidRPr="004C1AEF">
        <w:rPr>
          <w:sz w:val="24"/>
          <w:szCs w:val="24"/>
        </w:rPr>
        <w:t xml:space="preserve"> cell</w:t>
      </w:r>
      <w:r w:rsidRPr="004C1AEF">
        <w:rPr>
          <w:color w:val="000000" w:themeColor="text1"/>
          <w:sz w:val="24"/>
          <w:szCs w:val="24"/>
        </w:rPr>
        <w:t xml:space="preserve"> density was detected in the seminal vesicle invasion area (l) than main tumor area (</w:t>
      </w:r>
      <w:proofErr w:type="spellStart"/>
      <w:r w:rsidRPr="004C1AEF">
        <w:rPr>
          <w:color w:val="000000" w:themeColor="text1"/>
          <w:sz w:val="24"/>
          <w:szCs w:val="24"/>
        </w:rPr>
        <w:t>i</w:t>
      </w:r>
      <w:proofErr w:type="spellEnd"/>
      <w:r w:rsidRPr="004C1AEF">
        <w:rPr>
          <w:color w:val="000000" w:themeColor="text1"/>
          <w:sz w:val="24"/>
          <w:szCs w:val="24"/>
        </w:rPr>
        <w:t>). Red square means higher density, and blue square means lower density.</w:t>
      </w:r>
    </w:p>
    <w:p w:rsidR="005B7CC1" w:rsidRDefault="00AF5987"/>
    <w:sectPr w:rsidR="005B7CC1" w:rsidSect="003B7290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987"/>
    <w:rsid w:val="0001637C"/>
    <w:rsid w:val="000207D0"/>
    <w:rsid w:val="000213E0"/>
    <w:rsid w:val="00071C61"/>
    <w:rsid w:val="0007242F"/>
    <w:rsid w:val="000763D1"/>
    <w:rsid w:val="00086F22"/>
    <w:rsid w:val="00091E67"/>
    <w:rsid w:val="0009282B"/>
    <w:rsid w:val="000945E0"/>
    <w:rsid w:val="000A7D7F"/>
    <w:rsid w:val="000B345E"/>
    <w:rsid w:val="000B605B"/>
    <w:rsid w:val="000C05EA"/>
    <w:rsid w:val="000D41F8"/>
    <w:rsid w:val="000E1A7B"/>
    <w:rsid w:val="000E47D0"/>
    <w:rsid w:val="000E4F82"/>
    <w:rsid w:val="00104007"/>
    <w:rsid w:val="00115565"/>
    <w:rsid w:val="00125D70"/>
    <w:rsid w:val="00131E17"/>
    <w:rsid w:val="00142D9E"/>
    <w:rsid w:val="001572C5"/>
    <w:rsid w:val="001A4ACB"/>
    <w:rsid w:val="001C58D7"/>
    <w:rsid w:val="001E6DAF"/>
    <w:rsid w:val="00233E7D"/>
    <w:rsid w:val="00285DDC"/>
    <w:rsid w:val="00287B6F"/>
    <w:rsid w:val="00290057"/>
    <w:rsid w:val="002B68F9"/>
    <w:rsid w:val="002C4F91"/>
    <w:rsid w:val="002C6B9C"/>
    <w:rsid w:val="002D54E8"/>
    <w:rsid w:val="002E6372"/>
    <w:rsid w:val="002F33B7"/>
    <w:rsid w:val="00301C9A"/>
    <w:rsid w:val="0031348B"/>
    <w:rsid w:val="00321AD2"/>
    <w:rsid w:val="00322AA9"/>
    <w:rsid w:val="00330526"/>
    <w:rsid w:val="00334DA5"/>
    <w:rsid w:val="0033718C"/>
    <w:rsid w:val="00337FAB"/>
    <w:rsid w:val="0034691E"/>
    <w:rsid w:val="00350764"/>
    <w:rsid w:val="00352B56"/>
    <w:rsid w:val="00354DD1"/>
    <w:rsid w:val="0037735E"/>
    <w:rsid w:val="00386E88"/>
    <w:rsid w:val="003B4A9B"/>
    <w:rsid w:val="003B6245"/>
    <w:rsid w:val="003B7290"/>
    <w:rsid w:val="003D7A4A"/>
    <w:rsid w:val="003E325D"/>
    <w:rsid w:val="003F7B2A"/>
    <w:rsid w:val="00424369"/>
    <w:rsid w:val="004329F9"/>
    <w:rsid w:val="00435A4F"/>
    <w:rsid w:val="00444387"/>
    <w:rsid w:val="00452103"/>
    <w:rsid w:val="0046411E"/>
    <w:rsid w:val="00472CF4"/>
    <w:rsid w:val="0047643E"/>
    <w:rsid w:val="00480E97"/>
    <w:rsid w:val="00496949"/>
    <w:rsid w:val="004D2F8F"/>
    <w:rsid w:val="004E12A7"/>
    <w:rsid w:val="004F01DE"/>
    <w:rsid w:val="0051117F"/>
    <w:rsid w:val="00521B52"/>
    <w:rsid w:val="0052572C"/>
    <w:rsid w:val="00546754"/>
    <w:rsid w:val="0056122F"/>
    <w:rsid w:val="0056565E"/>
    <w:rsid w:val="005D6207"/>
    <w:rsid w:val="006171D0"/>
    <w:rsid w:val="00625815"/>
    <w:rsid w:val="00631E9E"/>
    <w:rsid w:val="006369E9"/>
    <w:rsid w:val="006435A2"/>
    <w:rsid w:val="00643E9B"/>
    <w:rsid w:val="00645FBC"/>
    <w:rsid w:val="00650E1B"/>
    <w:rsid w:val="00657E0C"/>
    <w:rsid w:val="0067704D"/>
    <w:rsid w:val="00687076"/>
    <w:rsid w:val="006937E4"/>
    <w:rsid w:val="00697B38"/>
    <w:rsid w:val="006A1BA1"/>
    <w:rsid w:val="006C4B37"/>
    <w:rsid w:val="006D717B"/>
    <w:rsid w:val="006F5007"/>
    <w:rsid w:val="006F7C09"/>
    <w:rsid w:val="00736615"/>
    <w:rsid w:val="00740CF1"/>
    <w:rsid w:val="007423B7"/>
    <w:rsid w:val="007537D8"/>
    <w:rsid w:val="00756DFF"/>
    <w:rsid w:val="00782732"/>
    <w:rsid w:val="007B1341"/>
    <w:rsid w:val="007B37CA"/>
    <w:rsid w:val="007C4BD2"/>
    <w:rsid w:val="007C7079"/>
    <w:rsid w:val="007E6B83"/>
    <w:rsid w:val="008034C0"/>
    <w:rsid w:val="00803F87"/>
    <w:rsid w:val="00816344"/>
    <w:rsid w:val="008432B1"/>
    <w:rsid w:val="008571EE"/>
    <w:rsid w:val="00862C65"/>
    <w:rsid w:val="00864E7D"/>
    <w:rsid w:val="00874796"/>
    <w:rsid w:val="00891692"/>
    <w:rsid w:val="008A2D9F"/>
    <w:rsid w:val="008B5815"/>
    <w:rsid w:val="008D117D"/>
    <w:rsid w:val="008D4643"/>
    <w:rsid w:val="008D79F4"/>
    <w:rsid w:val="008E29F2"/>
    <w:rsid w:val="008E2B83"/>
    <w:rsid w:val="008F4285"/>
    <w:rsid w:val="00901BA7"/>
    <w:rsid w:val="0090385F"/>
    <w:rsid w:val="009142FC"/>
    <w:rsid w:val="0092151C"/>
    <w:rsid w:val="009342B1"/>
    <w:rsid w:val="00945F0C"/>
    <w:rsid w:val="0095422E"/>
    <w:rsid w:val="0095798E"/>
    <w:rsid w:val="00972C31"/>
    <w:rsid w:val="00974691"/>
    <w:rsid w:val="00991FB2"/>
    <w:rsid w:val="009A63DF"/>
    <w:rsid w:val="009A74B4"/>
    <w:rsid w:val="009D2EED"/>
    <w:rsid w:val="009E5391"/>
    <w:rsid w:val="009F15D2"/>
    <w:rsid w:val="009F698C"/>
    <w:rsid w:val="00A226AE"/>
    <w:rsid w:val="00A22747"/>
    <w:rsid w:val="00A369D9"/>
    <w:rsid w:val="00A42FD5"/>
    <w:rsid w:val="00A53C06"/>
    <w:rsid w:val="00A64B1F"/>
    <w:rsid w:val="00A73528"/>
    <w:rsid w:val="00A739E8"/>
    <w:rsid w:val="00A85670"/>
    <w:rsid w:val="00A94BEF"/>
    <w:rsid w:val="00A954AF"/>
    <w:rsid w:val="00AA1CC0"/>
    <w:rsid w:val="00AB019D"/>
    <w:rsid w:val="00AB5FB2"/>
    <w:rsid w:val="00AC0408"/>
    <w:rsid w:val="00AE7C52"/>
    <w:rsid w:val="00AF1FED"/>
    <w:rsid w:val="00AF5987"/>
    <w:rsid w:val="00B00EB0"/>
    <w:rsid w:val="00B01332"/>
    <w:rsid w:val="00B0276A"/>
    <w:rsid w:val="00B04918"/>
    <w:rsid w:val="00B0527C"/>
    <w:rsid w:val="00B219E0"/>
    <w:rsid w:val="00B32EEE"/>
    <w:rsid w:val="00B33DD1"/>
    <w:rsid w:val="00B50249"/>
    <w:rsid w:val="00B5047B"/>
    <w:rsid w:val="00B65B20"/>
    <w:rsid w:val="00BA1AA5"/>
    <w:rsid w:val="00BA3576"/>
    <w:rsid w:val="00BA4B0E"/>
    <w:rsid w:val="00BA6D17"/>
    <w:rsid w:val="00BB2D18"/>
    <w:rsid w:val="00BB2D4F"/>
    <w:rsid w:val="00BD6CBE"/>
    <w:rsid w:val="00BE4BEF"/>
    <w:rsid w:val="00BF14D9"/>
    <w:rsid w:val="00C066A0"/>
    <w:rsid w:val="00C15F5E"/>
    <w:rsid w:val="00C3236C"/>
    <w:rsid w:val="00C37A78"/>
    <w:rsid w:val="00C57651"/>
    <w:rsid w:val="00C7407C"/>
    <w:rsid w:val="00C87C21"/>
    <w:rsid w:val="00C96EDE"/>
    <w:rsid w:val="00CA565F"/>
    <w:rsid w:val="00CA5E3F"/>
    <w:rsid w:val="00CB64FE"/>
    <w:rsid w:val="00CB7B06"/>
    <w:rsid w:val="00CC6A99"/>
    <w:rsid w:val="00CD0435"/>
    <w:rsid w:val="00CE509F"/>
    <w:rsid w:val="00CE7EA3"/>
    <w:rsid w:val="00D0156E"/>
    <w:rsid w:val="00D21778"/>
    <w:rsid w:val="00D43734"/>
    <w:rsid w:val="00D550C4"/>
    <w:rsid w:val="00D61B2B"/>
    <w:rsid w:val="00D63EAE"/>
    <w:rsid w:val="00D70323"/>
    <w:rsid w:val="00D73E6D"/>
    <w:rsid w:val="00D7407D"/>
    <w:rsid w:val="00D93BE8"/>
    <w:rsid w:val="00D952F9"/>
    <w:rsid w:val="00DA0CC6"/>
    <w:rsid w:val="00DA1533"/>
    <w:rsid w:val="00DA6630"/>
    <w:rsid w:val="00DB4A80"/>
    <w:rsid w:val="00DD722A"/>
    <w:rsid w:val="00E10D6D"/>
    <w:rsid w:val="00E11479"/>
    <w:rsid w:val="00E3297D"/>
    <w:rsid w:val="00E44960"/>
    <w:rsid w:val="00E52742"/>
    <w:rsid w:val="00E55F0A"/>
    <w:rsid w:val="00E6657C"/>
    <w:rsid w:val="00E71EBE"/>
    <w:rsid w:val="00E8139F"/>
    <w:rsid w:val="00E90B6D"/>
    <w:rsid w:val="00EA460D"/>
    <w:rsid w:val="00EB44CE"/>
    <w:rsid w:val="00ED7C21"/>
    <w:rsid w:val="00EE009A"/>
    <w:rsid w:val="00EE43D2"/>
    <w:rsid w:val="00EF7E43"/>
    <w:rsid w:val="00F00733"/>
    <w:rsid w:val="00F03820"/>
    <w:rsid w:val="00F0431C"/>
    <w:rsid w:val="00F04F5E"/>
    <w:rsid w:val="00F1015F"/>
    <w:rsid w:val="00F12CBE"/>
    <w:rsid w:val="00F2651E"/>
    <w:rsid w:val="00F27CD9"/>
    <w:rsid w:val="00F31860"/>
    <w:rsid w:val="00F56161"/>
    <w:rsid w:val="00F72149"/>
    <w:rsid w:val="00FB62AE"/>
    <w:rsid w:val="00FB7EB3"/>
    <w:rsid w:val="00FC15E0"/>
    <w:rsid w:val="00FE1EA1"/>
    <w:rsid w:val="00FF3378"/>
    <w:rsid w:val="00FF467E"/>
    <w:rsid w:val="00FF4D86"/>
    <w:rsid w:val="00FF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F8E762"/>
  <w15:chartTrackingRefBased/>
  <w15:docId w15:val="{992952F5-86A0-0841-B774-51924EC3F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F5987"/>
    <w:pPr>
      <w:widowControl w:val="0"/>
      <w:jc w:val="both"/>
    </w:pPr>
    <w:rPr>
      <w:rFonts w:ascii="Times New Roman" w:eastAsia="ＭＳ 明朝" w:hAnsi="Times New Roman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59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楊井祥典</dc:creator>
  <cp:keywords/>
  <dc:description/>
  <cp:lastModifiedBy>楊井祥典</cp:lastModifiedBy>
  <cp:revision>1</cp:revision>
  <dcterms:created xsi:type="dcterms:W3CDTF">2021-08-24T13:05:00Z</dcterms:created>
  <dcterms:modified xsi:type="dcterms:W3CDTF">2021-08-24T13:07:00Z</dcterms:modified>
</cp:coreProperties>
</file>