
<file path=[Content_Types].xml><?xml version="1.0" encoding="utf-8"?>
<Types xmlns="http://schemas.openxmlformats.org/package/2006/content-types">
  <Default Extension="tiff" ContentType="image/tif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3F550D6">
      <w:pPr>
        <w:rPr>
          <w:rFonts w:ascii="Times New Roman" w:hAnsi="Times New Roman" w:eastAsia="宋体" w:cs="Times New Roman"/>
          <w:b/>
          <w:bCs/>
          <w:color w:val="000000"/>
          <w:kern w:val="24"/>
          <w:sz w:val="32"/>
          <w:szCs w:val="32"/>
        </w:rPr>
      </w:pPr>
      <w:r>
        <w:rPr>
          <w:rFonts w:hint="eastAsia" w:ascii="Times New Roman" w:hAnsi="Times New Roman" w:eastAsia="宋体" w:cs="Times New Roman"/>
          <w:b/>
          <w:bCs/>
          <w:color w:val="000000"/>
          <w:kern w:val="24"/>
          <w:sz w:val="32"/>
          <w:szCs w:val="32"/>
        </w:rPr>
        <w:t>SUMC reveals conserved and context-specific tumor microenvironment architectures across heterogeneous spatial datasets</w:t>
      </w:r>
      <w:bookmarkStart w:id="1" w:name="_GoBack"/>
      <w:bookmarkEnd w:id="1"/>
    </w:p>
    <w:p w14:paraId="679C5AE1"/>
    <w:p w14:paraId="054F3EFE">
      <w:pPr>
        <w:spacing w:line="480" w:lineRule="auto"/>
        <w:rPr>
          <w:rFonts w:ascii="Times New Roman" w:hAnsi="Times New Roman" w:cs="Times New Roma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Supplementa</w:t>
      </w:r>
      <w:r>
        <w:rPr>
          <w:rFonts w:hint="eastAsia" w:ascii="Times New Roman" w:hAnsi="Times New Roman" w:cs="Times New Roman"/>
          <w:b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l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Times New Roman" w:hAnsi="Times New Roman" w:cs="Times New Roman"/>
          <w:b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Tables</w:t>
      </w:r>
    </w:p>
    <w:p w14:paraId="7D583F37">
      <w:pPr>
        <w:spacing w:line="480" w:lineRule="auto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Table S1. Information about the datasets utilized in the study.</w:t>
      </w:r>
    </w:p>
    <w:p w14:paraId="18ECFD02">
      <w:pPr>
        <w:spacing w:line="480" w:lineRule="auto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Table S2. Detailed information about each individual samples in different datasets.</w:t>
      </w:r>
    </w:p>
    <w:p w14:paraId="1F28DE6D">
      <w:pPr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br w:type="page"/>
      </w:r>
    </w:p>
    <w:p w14:paraId="13F6E6A8">
      <w:pPr>
        <w:spacing w:line="480" w:lineRule="auto"/>
        <w:rPr>
          <w:rFonts w:ascii="Times New Roman" w:hAnsi="Times New Roman" w:cs="Times New Roman"/>
          <w:color w:val="000000" w:themeColor="text1"/>
          <w14:textFill>
            <w14:solidFill>
              <w14:schemeClr w14:val="tx1"/>
            </w14:solidFill>
          </w14:textFill>
        </w:rPr>
      </w:pPr>
      <w:bookmarkStart w:id="0" w:name="OLE_LINK268"/>
      <w:r>
        <w:rPr>
          <w:rFonts w:ascii="Times New Roman" w:hAnsi="Times New Roman" w:cs="Times New Roman"/>
          <w:b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Supplementa</w:t>
      </w:r>
      <w:r>
        <w:rPr>
          <w:rFonts w:hint="eastAsia" w:ascii="Times New Roman" w:hAnsi="Times New Roman" w:cs="Times New Roman"/>
          <w:b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l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 xml:space="preserve"> Figures</w:t>
      </w:r>
    </w:p>
    <w:bookmarkEnd w:id="0"/>
    <w:p w14:paraId="6DCD6FE3">
      <w:p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267960" cy="6682740"/>
            <wp:effectExtent l="0" t="0" r="5080" b="7620"/>
            <wp:docPr id="1" name="图片 1" descr="Figure 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igure S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668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D33C3">
      <w:pP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Figure S1. Evaluation of the performance of SUMC in integration analysis of multi-batch ST data.</w:t>
      </w:r>
    </w:p>
    <w:p w14:paraId="586B5A30">
      <w:pPr>
        <w:numPr>
          <w:ilvl w:val="0"/>
          <w:numId w:val="1"/>
        </w:num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Spatial distribution of the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clustering results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 xml:space="preserve"> across the exploration dataset (n=114)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 xml:space="preserve"> using BayesSpace + Harmony strategy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 xml:space="preserve">, with the 10 representative ST samples shown. </w:t>
      </w:r>
    </w:p>
    <w:p w14:paraId="2E2407CC">
      <w:pPr>
        <w:numPr>
          <w:ilvl w:val="0"/>
          <w:numId w:val="1"/>
        </w:num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H&amp;E images, spatial distribution of the cluster SUMC6, along with the T cell and B cell scores in three representative ST samples. T cell and B cell scores were derived using cell2location.</w:t>
      </w:r>
    </w:p>
    <w:p w14:paraId="133F3F72">
      <w:pPr>
        <w:numPr>
          <w:ilvl w:val="0"/>
          <w:numId w:val="0"/>
        </w:num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269865" cy="5883275"/>
            <wp:effectExtent l="0" t="0" r="3175" b="14605"/>
            <wp:docPr id="3" name="图片 3" descr="Figure S2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ure S2_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88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92B63">
      <w:pPr>
        <w:numPr>
          <w:ilvl w:val="0"/>
          <w:numId w:val="0"/>
        </w:numP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Figure S2. Clustering analysis on individual samples.</w:t>
      </w:r>
    </w:p>
    <w:p w14:paraId="3AEE8614">
      <w:pPr>
        <w:numPr>
          <w:ilvl w:val="0"/>
          <w:numId w:val="0"/>
        </w:num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(A-B) Spatial distribution of the clustering results using different algorithms with different cluster numbers on ST samples Cohort7_ID6 (A) and Cohort5_ID1 (B). The clustering was performed on each individual sample separately.</w:t>
      </w:r>
    </w:p>
    <w:p w14:paraId="355594BB">
      <w:pPr>
        <w:numPr>
          <w:ilvl w:val="0"/>
          <w:numId w:val="0"/>
        </w:num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269865" cy="6683375"/>
            <wp:effectExtent l="0" t="0" r="3175" b="6985"/>
            <wp:docPr id="2" name="图片 2" descr="I:/project/lungST/figure results/refine figures v2/Figure S2.tifFigure 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:/project/lungST/figure results/refine figures v2/Figure S2.tifFigure S2"/>
                    <pic:cNvPicPr>
                      <a:picLocks noChangeAspect="1"/>
                    </pic:cNvPicPr>
                  </pic:nvPicPr>
                  <pic:blipFill>
                    <a:blip r:embed="rId6"/>
                    <a:srcRect t="6" b="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68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5818C">
      <w:pPr>
        <w:numPr>
          <w:ilvl w:val="0"/>
          <w:numId w:val="0"/>
        </w:numP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Figure S3. SUMC based spatial patterns of NSCLC reveal distinct spatial niches and their clinical relevance across multiple cohorts.</w:t>
      </w:r>
    </w:p>
    <w:p w14:paraId="21A8984E">
      <w:pPr>
        <w:numPr>
          <w:ilvl w:val="0"/>
          <w:numId w:val="2"/>
        </w:numPr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  <w:t>Bar plot showing the number of spots annotated as different types of major spatial patterns. Scale bar: mean±SD.</w:t>
      </w:r>
    </w:p>
    <w:p w14:paraId="71AD94AE">
      <w:pPr>
        <w:numPr>
          <w:ilvl w:val="0"/>
          <w:numId w:val="2"/>
        </w:numPr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>Violin plot showing the expressions of several TLS relevant marker genes in LymAgg and other spots.</w:t>
      </w:r>
    </w:p>
    <w:p w14:paraId="309C5A63">
      <w:pPr>
        <w:numPr>
          <w:ilvl w:val="0"/>
          <w:numId w:val="0"/>
        </w:numPr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 xml:space="preserve">(C-E) 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  <w:t>Violin plot showing the distributions of Epi spatial patterns associated with cancer types</w:t>
      </w: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 xml:space="preserve"> (C), histological classifications (D) and treatments (E)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  <w:t>. T-test, two-sided, un-paired. N: number of spots.</w:t>
      </w:r>
    </w:p>
    <w:p w14:paraId="253925C5">
      <w:pPr>
        <w:numPr>
          <w:ilvl w:val="0"/>
          <w:numId w:val="0"/>
        </w:numPr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>(F) Heatmap showing the total neighborhood enrichment scores between different spatial patterns in LUAD and LUSC samples respectively. The matrices are symmetrical, with the same column and row names.</w:t>
      </w:r>
    </w:p>
    <w:p w14:paraId="456F2A96">
      <w:pPr>
        <w:numPr>
          <w:ilvl w:val="0"/>
          <w:numId w:val="0"/>
        </w:num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270500" cy="6195695"/>
            <wp:effectExtent l="0" t="0" r="2540" b="6985"/>
            <wp:docPr id="4" name="图片 4" descr="Figure 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igure S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19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158EE">
      <w:pPr>
        <w:numPr>
          <w:ilvl w:val="0"/>
          <w:numId w:val="0"/>
        </w:numP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Figure S4. SUMC derived LymAgg sub-patterns.</w:t>
      </w:r>
    </w:p>
    <w:p w14:paraId="3014F13A">
      <w:pPr>
        <w:numPr>
          <w:ilvl w:val="0"/>
          <w:numId w:val="3"/>
        </w:num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 xml:space="preserve">H&amp;E images and corresponding spatial distribution of </w:t>
      </w:r>
      <w:r>
        <w:rPr>
          <w:rFonts w:hint="eastAsia" w:ascii="Times New Roman" w:hAnsi="Times New Roman" w:cs="Times New Roman"/>
          <w:i/>
          <w:iCs/>
          <w:sz w:val="24"/>
          <w:szCs w:val="24"/>
          <w:lang w:val="en-US" w:eastAsia="zh-CN"/>
        </w:rPr>
        <w:t xml:space="preserve">CD3D </w:t>
      </w:r>
      <w:r>
        <w:rPr>
          <w:rFonts w:hint="eastAsia" w:ascii="Times New Roman" w:hAnsi="Times New Roman" w:cs="Times New Roman"/>
          <w:i w:val="0"/>
          <w:iCs w:val="0"/>
          <w:sz w:val="24"/>
          <w:szCs w:val="24"/>
          <w:lang w:val="en-US" w:eastAsia="zh-CN"/>
        </w:rPr>
        <w:t>expressions in representative samples.</w:t>
      </w:r>
    </w:p>
    <w:p w14:paraId="24A6D531">
      <w:pPr>
        <w:numPr>
          <w:ilvl w:val="0"/>
          <w:numId w:val="3"/>
        </w:num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i w:val="0"/>
          <w:iCs w:val="0"/>
          <w:sz w:val="24"/>
          <w:szCs w:val="24"/>
          <w:lang w:val="en-US" w:eastAsia="zh-CN"/>
        </w:rPr>
        <w:t>Heatmap showing the Spearman correlation coefficients between LymAgg sub-patterns and all spatial patterns.</w:t>
      </w:r>
    </w:p>
    <w:p w14:paraId="5CBF449C">
      <w:pPr>
        <w:numPr>
          <w:ilvl w:val="0"/>
          <w:numId w:val="0"/>
        </w:num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274310" cy="5706110"/>
            <wp:effectExtent l="0" t="0" r="13970" b="8890"/>
            <wp:docPr id="5" name="图片 5" descr="Figure 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igure S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70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F5CCE">
      <w:pPr>
        <w:numPr>
          <w:ilvl w:val="0"/>
          <w:numId w:val="0"/>
        </w:numP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Figure S5. SUMC identifies consistent spatial patterns in the lung-based validation dataset.</w:t>
      </w:r>
    </w:p>
    <w:p w14:paraId="0856CBC5">
      <w:pPr>
        <w:numPr>
          <w:ilvl w:val="0"/>
          <w:numId w:val="4"/>
        </w:num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Enlarged images about the clustering results on three Visium HD based ST samples.</w:t>
      </w:r>
    </w:p>
    <w:p w14:paraId="57D58DA4">
      <w:pPr>
        <w:numPr>
          <w:ilvl w:val="0"/>
          <w:numId w:val="4"/>
        </w:num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Spatial distribution of MS4A1 and CCL19 expressions in the three Visium HD based ST samples.</w:t>
      </w:r>
    </w:p>
    <w:p w14:paraId="63B5477C">
      <w:pPr>
        <w:numPr>
          <w:ilvl w:val="0"/>
          <w:numId w:val="0"/>
        </w:num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 w14:paraId="427304A4">
      <w:pPr>
        <w:numPr>
          <w:ilvl w:val="0"/>
          <w:numId w:val="0"/>
        </w:num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269865" cy="6391910"/>
            <wp:effectExtent l="0" t="0" r="3175" b="8890"/>
            <wp:docPr id="6" name="图片 6" descr="Figure 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igure S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39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89B45">
      <w:pPr>
        <w:numPr>
          <w:ilvl w:val="0"/>
          <w:numId w:val="0"/>
        </w:numP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Figure S6. SUMC identified consistent and specific spatial patterns across pan-cancer cohorts.</w:t>
      </w:r>
    </w:p>
    <w:p w14:paraId="72A3A6BB">
      <w:pPr>
        <w:numPr>
          <w:ilvl w:val="0"/>
          <w:numId w:val="5"/>
        </w:num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Dot plot showing the representative marker genes (padj &lt; 0.01) of different spatial patterns.  The names of spatial patterns are defined as the dominant cell type and followed by representative specific marker genes. Padj: likelihood ratio test, adjusted by Benjamini Hochberg method.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 xml:space="preserve"> </w:t>
      </w:r>
    </w:p>
    <w:p w14:paraId="0D40E848">
      <w:pPr>
        <w:numPr>
          <w:ilvl w:val="0"/>
          <w:numId w:val="5"/>
        </w:num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Spatial distribution of the SUMC-derived spatial patterns in 4 representative colorectal cancer ST samples.</w:t>
      </w:r>
    </w:p>
    <w:p w14:paraId="180BB188">
      <w:pPr>
        <w:numPr>
          <w:ilvl w:val="0"/>
          <w:numId w:val="5"/>
        </w:numPr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Violin plot showing the differentially genes of Epi_others_C2, Epi_others_C6 and Epi_others_C8.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B17E84E"/>
    <w:multiLevelType w:val="singleLevel"/>
    <w:tmpl w:val="8B17E84E"/>
    <w:lvl w:ilvl="0" w:tentative="0">
      <w:start w:val="1"/>
      <w:numFmt w:val="upperLetter"/>
      <w:suff w:val="space"/>
      <w:lvlText w:val="(%1)"/>
      <w:lvlJc w:val="left"/>
    </w:lvl>
  </w:abstractNum>
  <w:abstractNum w:abstractNumId="1">
    <w:nsid w:val="9F40C440"/>
    <w:multiLevelType w:val="singleLevel"/>
    <w:tmpl w:val="9F40C440"/>
    <w:lvl w:ilvl="0" w:tentative="0">
      <w:start w:val="1"/>
      <w:numFmt w:val="upperLetter"/>
      <w:suff w:val="space"/>
      <w:lvlText w:val="(%1)"/>
      <w:lvlJc w:val="left"/>
    </w:lvl>
  </w:abstractNum>
  <w:abstractNum w:abstractNumId="2">
    <w:nsid w:val="C5F8DBA4"/>
    <w:multiLevelType w:val="singleLevel"/>
    <w:tmpl w:val="C5F8DBA4"/>
    <w:lvl w:ilvl="0" w:tentative="0">
      <w:start w:val="1"/>
      <w:numFmt w:val="upperLetter"/>
      <w:suff w:val="space"/>
      <w:lvlText w:val="(%1)"/>
      <w:lvlJc w:val="left"/>
    </w:lvl>
  </w:abstractNum>
  <w:abstractNum w:abstractNumId="3">
    <w:nsid w:val="D38FB85F"/>
    <w:multiLevelType w:val="singleLevel"/>
    <w:tmpl w:val="D38FB85F"/>
    <w:lvl w:ilvl="0" w:tentative="0">
      <w:start w:val="1"/>
      <w:numFmt w:val="upperLetter"/>
      <w:suff w:val="space"/>
      <w:lvlText w:val="(%1)"/>
      <w:lvlJc w:val="left"/>
    </w:lvl>
  </w:abstractNum>
  <w:abstractNum w:abstractNumId="4">
    <w:nsid w:val="7944ED37"/>
    <w:multiLevelType w:val="singleLevel"/>
    <w:tmpl w:val="7944ED37"/>
    <w:lvl w:ilvl="0" w:tentative="0">
      <w:start w:val="1"/>
      <w:numFmt w:val="upperLetter"/>
      <w:suff w:val="space"/>
      <w:lvlText w:val="(%1)"/>
      <w:lvlJc w:val="left"/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6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DA570E7"/>
    <w:rsid w:val="014D4F5A"/>
    <w:rsid w:val="45E701C3"/>
    <w:rsid w:val="46E97F6B"/>
    <w:rsid w:val="660B0A4C"/>
    <w:rsid w:val="6EBD44DE"/>
    <w:rsid w:val="6EC64CCC"/>
    <w:rsid w:val="73317D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8" Type="http://schemas.openxmlformats.org/officeDocument/2006/relationships/image" Target="media/image5.tiff"/><Relationship Id="rId7" Type="http://schemas.openxmlformats.org/officeDocument/2006/relationships/image" Target="media/image4.tiff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407</Words>
  <Characters>2490</Characters>
  <Lines>0</Lines>
  <Paragraphs>0</Paragraphs>
  <TotalTime>0</TotalTime>
  <ScaleCrop>false</ScaleCrop>
  <LinksUpToDate>false</LinksUpToDate>
  <CharactersWithSpaces>2875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2025-11-03T07:50:00Z</dcterms:created>
  <dc:creator>陈迪</dc:creator>
  <cp:lastModifiedBy>陈迪</cp:lastModifiedBy>
  <dcterms:modified xsi:type="dcterms:W3CDTF">2025-11-25T00:51:43Z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BC8EFDCB55AD4C7F94876CB3AC4D916C_11</vt:lpwstr>
  </property>
  <property fmtid="{D5CDD505-2E9C-101B-9397-08002B2CF9AE}" pid="4" name="KSOTemplateDocerSaveRecord">
    <vt:lpwstr>eyJoZGlkIjoiZjYxODY5OTRlYmFlZjhjNzUwOWJmZTAzZWQyYTk1ODEiLCJ1c2VySWQiOiIxMTUyNDk3NTMzIn0=</vt:lpwstr>
  </property>
</Properties>
</file>