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63095B"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</w:rPr>
        <w:t>Supplementary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/>
          <w:i w:val="0"/>
          <w:iCs/>
          <w:sz w:val="21"/>
          <w:szCs w:val="21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 w:val="0"/>
          <w:bCs/>
          <w:i w:val="0"/>
          <w:iCs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/>
          <w:b w:val="0"/>
          <w:bCs/>
          <w:i w:val="0"/>
          <w:iCs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</w:rPr>
        <w:t>The</w:t>
      </w:r>
      <w:r>
        <w:rPr>
          <w:rFonts w:hint="eastAsia" w:ascii="Times New Roman" w:hAnsi="Times New Roman" w:cs="Times New Roman"/>
          <w:lang w:val="en-US" w:eastAsia="zh-CN"/>
        </w:rPr>
        <w:t xml:space="preserve"> disease index of three isogenic strain B9, B9-VI-1, and B9-VI-2.</w:t>
      </w:r>
    </w:p>
    <w:tbl>
      <w:tblPr>
        <w:tblStyle w:val="4"/>
        <w:tblpPr w:leftFromText="180" w:rightFromText="180" w:vertAnchor="page" w:horzAnchor="page" w:tblpX="1840" w:tblpY="1968"/>
        <w:tblW w:w="84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9"/>
        <w:gridCol w:w="1640"/>
        <w:gridCol w:w="1640"/>
        <w:gridCol w:w="464"/>
        <w:gridCol w:w="3135"/>
      </w:tblGrid>
      <w:tr w14:paraId="43E7B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619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4ED80A3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1640" w:type="dxa"/>
            <w:vMerge w:val="restart"/>
            <w:tcBorders>
              <w:top w:val="single" w:color="auto" w:sz="4" w:space="0"/>
            </w:tcBorders>
            <w:vAlign w:val="center"/>
          </w:tcPr>
          <w:p w14:paraId="12D0D649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FoV1</w:t>
            </w:r>
          </w:p>
        </w:tc>
        <w:tc>
          <w:tcPr>
            <w:tcW w:w="1640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AB431DC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Fo</w:t>
            </w:r>
            <w:r>
              <w:rPr>
                <w:rFonts w:hint="eastAsia"/>
                <w:lang w:val="en-US" w:eastAsia="zh-CN"/>
              </w:rPr>
              <w:t>PV2</w:t>
            </w:r>
          </w:p>
        </w:tc>
        <w:tc>
          <w:tcPr>
            <w:tcW w:w="464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 w14:paraId="5A2B5DE7">
            <w:pPr>
              <w:jc w:val="center"/>
            </w:pPr>
          </w:p>
        </w:tc>
        <w:tc>
          <w:tcPr>
            <w:tcW w:w="3135" w:type="dxa"/>
            <w:tcBorders>
              <w:top w:val="single" w:color="auto" w:sz="4" w:space="0"/>
              <w:bottom w:val="single" w:color="auto" w:sz="4" w:space="0"/>
            </w:tcBorders>
          </w:tcPr>
          <w:p w14:paraId="3FDCE63D">
            <w:pPr>
              <w:jc w:val="center"/>
            </w:pPr>
            <w:r>
              <w:rPr>
                <w:rFonts w:hint="eastAsia"/>
              </w:rPr>
              <w:t>Disease index</w:t>
            </w:r>
          </w:p>
        </w:tc>
      </w:tr>
      <w:tr w14:paraId="48594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619" w:type="dxa"/>
            <w:vMerge w:val="continue"/>
            <w:tcBorders>
              <w:bottom w:val="single" w:color="auto" w:sz="4" w:space="0"/>
            </w:tcBorders>
            <w:vAlign w:val="center"/>
          </w:tcPr>
          <w:p w14:paraId="2BF99ABB">
            <w:pPr>
              <w:jc w:val="center"/>
            </w:pPr>
          </w:p>
        </w:tc>
        <w:tc>
          <w:tcPr>
            <w:tcW w:w="1640" w:type="dxa"/>
            <w:vMerge w:val="continue"/>
            <w:tcBorders>
              <w:bottom w:val="single" w:color="auto" w:sz="4" w:space="0"/>
            </w:tcBorders>
            <w:vAlign w:val="center"/>
          </w:tcPr>
          <w:p w14:paraId="52B3D53F">
            <w:pPr>
              <w:jc w:val="center"/>
            </w:pPr>
          </w:p>
        </w:tc>
        <w:tc>
          <w:tcPr>
            <w:tcW w:w="1640" w:type="dxa"/>
            <w:vMerge w:val="continue"/>
            <w:tcBorders>
              <w:bottom w:val="single" w:color="auto" w:sz="4" w:space="0"/>
            </w:tcBorders>
            <w:vAlign w:val="center"/>
          </w:tcPr>
          <w:p w14:paraId="2D8C2831">
            <w:pPr>
              <w:jc w:val="center"/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</w:tcBorders>
          </w:tcPr>
          <w:p w14:paraId="080DDD34">
            <w:pPr>
              <w:jc w:val="center"/>
            </w:pPr>
          </w:p>
        </w:tc>
        <w:tc>
          <w:tcPr>
            <w:tcW w:w="313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BA19E7C">
            <w:pPr>
              <w:jc w:val="center"/>
              <w:rPr>
                <w:i/>
              </w:rPr>
            </w:pPr>
            <w:bookmarkStart w:id="0" w:name="OLE_LINK1"/>
            <w:r>
              <w:rPr>
                <w:rFonts w:hint="eastAsia"/>
                <w:i/>
              </w:rPr>
              <w:t>N. ben</w:t>
            </w:r>
            <w:r>
              <w:rPr>
                <w:i/>
              </w:rPr>
              <w:t>thamiana</w:t>
            </w:r>
            <w:bookmarkEnd w:id="0"/>
          </w:p>
        </w:tc>
      </w:tr>
      <w:tr w14:paraId="38B48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619" w:type="dxa"/>
            <w:tcBorders>
              <w:top w:val="single" w:color="auto" w:sz="4" w:space="0"/>
            </w:tcBorders>
            <w:vAlign w:val="center"/>
          </w:tcPr>
          <w:p w14:paraId="2131556D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B9-VI</w:t>
            </w:r>
            <w:r>
              <w:rPr>
                <w:rFonts w:hint="eastAsia"/>
                <w:lang w:val="en-US" w:eastAsia="zh-CN"/>
              </w:rPr>
              <w:t>-1</w:t>
            </w:r>
          </w:p>
        </w:tc>
        <w:tc>
          <w:tcPr>
            <w:tcW w:w="1640" w:type="dxa"/>
            <w:tcBorders>
              <w:top w:val="single" w:color="auto" w:sz="4" w:space="0"/>
            </w:tcBorders>
            <w:vAlign w:val="center"/>
          </w:tcPr>
          <w:p w14:paraId="64C3234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+</w:t>
            </w:r>
          </w:p>
        </w:tc>
        <w:tc>
          <w:tcPr>
            <w:tcW w:w="1640" w:type="dxa"/>
            <w:tcBorders>
              <w:top w:val="single" w:color="auto" w:sz="4" w:space="0"/>
            </w:tcBorders>
            <w:vAlign w:val="center"/>
          </w:tcPr>
          <w:p w14:paraId="2F893FCE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464" w:type="dxa"/>
            <w:vMerge w:val="continue"/>
          </w:tcPr>
          <w:p w14:paraId="03B41CAF">
            <w:pPr>
              <w:jc w:val="center"/>
            </w:pPr>
          </w:p>
        </w:tc>
        <w:tc>
          <w:tcPr>
            <w:tcW w:w="3135" w:type="dxa"/>
            <w:tcBorders>
              <w:top w:val="single" w:color="auto" w:sz="4" w:space="0"/>
            </w:tcBorders>
            <w:vAlign w:val="center"/>
          </w:tcPr>
          <w:p w14:paraId="32C913B3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11.11</w:t>
            </w:r>
          </w:p>
        </w:tc>
      </w:tr>
      <w:tr w14:paraId="17408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619" w:type="dxa"/>
            <w:vAlign w:val="center"/>
          </w:tcPr>
          <w:p w14:paraId="58B23014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>B9-VI</w:t>
            </w:r>
            <w:r>
              <w:rPr>
                <w:rFonts w:hint="eastAsia"/>
                <w:lang w:val="en-US" w:eastAsia="zh-CN"/>
              </w:rPr>
              <w:t>-2</w:t>
            </w:r>
          </w:p>
        </w:tc>
        <w:tc>
          <w:tcPr>
            <w:tcW w:w="1640" w:type="dxa"/>
            <w:vAlign w:val="center"/>
          </w:tcPr>
          <w:p w14:paraId="02B7CFC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+</w:t>
            </w:r>
          </w:p>
        </w:tc>
        <w:tc>
          <w:tcPr>
            <w:tcW w:w="1640" w:type="dxa"/>
            <w:vAlign w:val="center"/>
          </w:tcPr>
          <w:p w14:paraId="541E3BD9">
            <w:pPr>
              <w:jc w:val="center"/>
            </w:pPr>
            <w:r>
              <w:rPr>
                <w:rFonts w:hint="eastAsia"/>
              </w:rPr>
              <w:t>+</w:t>
            </w:r>
          </w:p>
        </w:tc>
        <w:tc>
          <w:tcPr>
            <w:tcW w:w="464" w:type="dxa"/>
            <w:vMerge w:val="continue"/>
          </w:tcPr>
          <w:p w14:paraId="6CC2D89C">
            <w:pPr>
              <w:jc w:val="center"/>
            </w:pPr>
          </w:p>
        </w:tc>
        <w:tc>
          <w:tcPr>
            <w:tcW w:w="3135" w:type="dxa"/>
            <w:vAlign w:val="center"/>
          </w:tcPr>
          <w:p w14:paraId="3AAAAE8D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62.96</w:t>
            </w:r>
          </w:p>
        </w:tc>
      </w:tr>
      <w:tr w14:paraId="7EB4C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619" w:type="dxa"/>
            <w:tcBorders>
              <w:bottom w:val="single" w:color="auto" w:sz="4" w:space="0"/>
            </w:tcBorders>
            <w:vAlign w:val="center"/>
          </w:tcPr>
          <w:p w14:paraId="07075565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B9</w:t>
            </w:r>
          </w:p>
        </w:tc>
        <w:tc>
          <w:tcPr>
            <w:tcW w:w="1640" w:type="dxa"/>
            <w:tcBorders>
              <w:bottom w:val="single" w:color="auto" w:sz="4" w:space="0"/>
            </w:tcBorders>
            <w:vAlign w:val="center"/>
          </w:tcPr>
          <w:p w14:paraId="026349A5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1640" w:type="dxa"/>
            <w:tcBorders>
              <w:bottom w:val="single" w:color="auto" w:sz="4" w:space="0"/>
            </w:tcBorders>
            <w:vAlign w:val="center"/>
          </w:tcPr>
          <w:p w14:paraId="445BBBD0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464" w:type="dxa"/>
            <w:tcBorders>
              <w:bottom w:val="single" w:color="auto" w:sz="4" w:space="0"/>
            </w:tcBorders>
          </w:tcPr>
          <w:p w14:paraId="0811F05C">
            <w:pPr>
              <w:jc w:val="center"/>
            </w:pPr>
          </w:p>
        </w:tc>
        <w:tc>
          <w:tcPr>
            <w:tcW w:w="3135" w:type="dxa"/>
            <w:tcBorders>
              <w:bottom w:val="single" w:color="auto" w:sz="4" w:space="0"/>
            </w:tcBorders>
            <w:vAlign w:val="center"/>
          </w:tcPr>
          <w:p w14:paraId="3C0B6C9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70.37</w:t>
            </w:r>
          </w:p>
        </w:tc>
      </w:tr>
    </w:tbl>
    <w:p w14:paraId="2E2E49A3">
      <w:pPr>
        <w:rPr>
          <w:i/>
        </w:rPr>
      </w:pPr>
      <w:r>
        <w:rPr>
          <w:rFonts w:hint="eastAsia"/>
          <w:i/>
        </w:rPr>
        <w:t xml:space="preserve">+ Means isolate harbored </w:t>
      </w:r>
      <w:r>
        <w:rPr>
          <w:rFonts w:hint="eastAsia"/>
          <w:i/>
          <w:lang w:val="en-US" w:eastAsia="zh-CN"/>
        </w:rPr>
        <w:t xml:space="preserve">corresponding </w:t>
      </w:r>
      <w:r>
        <w:rPr>
          <w:rFonts w:hint="eastAsia"/>
          <w:i/>
        </w:rPr>
        <w:t xml:space="preserve">mycovirus , and </w:t>
      </w:r>
      <w:r>
        <w:rPr>
          <w:i/>
        </w:rPr>
        <w:t>–</w:t>
      </w:r>
      <w:r>
        <w:rPr>
          <w:rFonts w:hint="eastAsia"/>
          <w:i/>
        </w:rPr>
        <w:t xml:space="preserve"> means not.</w:t>
      </w:r>
      <w:bookmarkStart w:id="1" w:name="_GoBack"/>
      <w:bookmarkEnd w:id="1"/>
    </w:p>
    <w:p w14:paraId="02976CF5">
      <w:pPr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81E61"/>
    <w:rsid w:val="0A377D91"/>
    <w:rsid w:val="14001E4D"/>
    <w:rsid w:val="1AA27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0"/>
    <w:pPr>
      <w:widowControl/>
      <w:ind w:left="2880" w:hanging="2880"/>
      <w:jc w:val="left"/>
    </w:pPr>
    <w:rPr>
      <w:rFonts w:ascii="Times" w:hAnsi="Times" w:eastAsia="Times"/>
      <w:kern w:val="0"/>
      <w:sz w:val="24"/>
      <w:szCs w:val="20"/>
      <w:lang w:eastAsia="en-GB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153</Characters>
  <Lines>0</Lines>
  <Paragraphs>0</Paragraphs>
  <TotalTime>0</TotalTime>
  <ScaleCrop>false</ScaleCrop>
  <LinksUpToDate>false</LinksUpToDate>
  <CharactersWithSpaces>168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2025-11-05T07:02:00Z</dcterms:created>
  <dc:creator>dell</dc:creator>
  <cp:lastModifiedBy>青果儿</cp:lastModifiedBy>
  <dcterms:modified xsi:type="dcterms:W3CDTF">2025-11-06T01:53:21Z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eyJoZGlkIjoiNzllMWJlNGViOWFmNTI2M2RhZjBjNTU0NWJjYjU0ZmMiLCJ1c2VySWQiOiIxMjEyNzI3NDgzIn0=</vt:lpwstr>
  </property>
  <property fmtid="{D5CDD505-2E9C-101B-9397-08002B2CF9AE}" pid="4" name="ICV">
    <vt:lpwstr>23665D5725964600875C7FE5BE2A34D3_12</vt:lpwstr>
  </property>
</Properties>
</file>