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1C15" w:rsidRDefault="00AF1C15">
      <w:pPr>
        <w:rPr>
          <w:b/>
          <w:sz w:val="16"/>
          <w:szCs w:val="16"/>
          <w:lang w:val="en-US"/>
        </w:rPr>
      </w:pPr>
    </w:p>
    <w:p w:rsidR="008672F6" w:rsidRDefault="008672F6" w:rsidP="008672F6">
      <w:pPr>
        <w:jc w:val="center"/>
        <w:rPr>
          <w:b/>
          <w:sz w:val="56"/>
          <w:szCs w:val="56"/>
          <w:lang w:val="en-US"/>
        </w:rPr>
      </w:pPr>
      <w:r>
        <w:rPr>
          <w:b/>
          <w:sz w:val="56"/>
          <w:szCs w:val="56"/>
          <w:lang w:val="en-US"/>
        </w:rPr>
        <w:t>Supplementary information</w:t>
      </w:r>
    </w:p>
    <w:p w:rsidR="00AF1C15" w:rsidRDefault="00AF1C15">
      <w:pPr>
        <w:rPr>
          <w:b/>
          <w:sz w:val="16"/>
          <w:szCs w:val="16"/>
          <w:lang w:val="en-US"/>
        </w:rPr>
      </w:pPr>
    </w:p>
    <w:p w:rsidR="008672F6" w:rsidRPr="003A622E" w:rsidRDefault="008672F6" w:rsidP="008672F6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A622E">
        <w:rPr>
          <w:rFonts w:ascii="Times New Roman" w:hAnsi="Times New Roman" w:cs="Times New Roman"/>
          <w:b/>
          <w:sz w:val="24"/>
          <w:szCs w:val="24"/>
        </w:rPr>
        <w:t>Title</w:t>
      </w:r>
      <w:proofErr w:type="spellEnd"/>
      <w:r w:rsidRPr="003A622E">
        <w:rPr>
          <w:rFonts w:ascii="Times New Roman" w:hAnsi="Times New Roman" w:cs="Times New Roman"/>
          <w:b/>
          <w:sz w:val="24"/>
          <w:szCs w:val="24"/>
        </w:rPr>
        <w:t xml:space="preserve">: AETA peptide drives </w:t>
      </w:r>
      <w:proofErr w:type="spellStart"/>
      <w:r w:rsidRPr="003A622E">
        <w:rPr>
          <w:rFonts w:ascii="Times New Roman" w:hAnsi="Times New Roman" w:cs="Times New Roman"/>
          <w:b/>
          <w:sz w:val="24"/>
          <w:szCs w:val="24"/>
        </w:rPr>
        <w:t>Alzheimer’s</w:t>
      </w:r>
      <w:proofErr w:type="spellEnd"/>
      <w:r w:rsidRPr="003A62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A622E">
        <w:rPr>
          <w:rFonts w:ascii="Times New Roman" w:hAnsi="Times New Roman" w:cs="Times New Roman"/>
          <w:b/>
          <w:sz w:val="24"/>
          <w:szCs w:val="24"/>
        </w:rPr>
        <w:t>disease</w:t>
      </w:r>
      <w:proofErr w:type="spellEnd"/>
      <w:r w:rsidRPr="003A622E">
        <w:rPr>
          <w:rFonts w:ascii="Times New Roman" w:hAnsi="Times New Roman" w:cs="Times New Roman"/>
          <w:b/>
          <w:sz w:val="24"/>
          <w:szCs w:val="24"/>
        </w:rPr>
        <w:t xml:space="preserve"> signature of synapse </w:t>
      </w:r>
      <w:proofErr w:type="spellStart"/>
      <w:r w:rsidRPr="003A622E">
        <w:rPr>
          <w:rFonts w:ascii="Times New Roman" w:hAnsi="Times New Roman" w:cs="Times New Roman"/>
          <w:b/>
          <w:sz w:val="24"/>
          <w:szCs w:val="24"/>
        </w:rPr>
        <w:t>dysfunction</w:t>
      </w:r>
      <w:proofErr w:type="spellEnd"/>
      <w:r w:rsidRPr="003A622E">
        <w:rPr>
          <w:rFonts w:ascii="Times New Roman" w:hAnsi="Times New Roman" w:cs="Times New Roman"/>
          <w:b/>
          <w:sz w:val="24"/>
          <w:szCs w:val="24"/>
        </w:rPr>
        <w:t>.</w:t>
      </w:r>
    </w:p>
    <w:p w:rsidR="008672F6" w:rsidRPr="008672F6" w:rsidRDefault="008672F6" w:rsidP="008672F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1C15" w:rsidRPr="008672F6" w:rsidRDefault="008672F6">
      <w:pPr>
        <w:rPr>
          <w:b/>
          <w:sz w:val="24"/>
          <w:szCs w:val="24"/>
          <w:lang w:val="en-US"/>
        </w:rPr>
      </w:pPr>
      <w:r w:rsidRPr="008672F6">
        <w:rPr>
          <w:b/>
          <w:sz w:val="24"/>
          <w:szCs w:val="24"/>
          <w:lang w:val="en-US"/>
        </w:rPr>
        <w:t xml:space="preserve">Journal: Acta </w:t>
      </w:r>
      <w:proofErr w:type="spellStart"/>
      <w:r w:rsidRPr="008672F6">
        <w:rPr>
          <w:b/>
          <w:sz w:val="24"/>
          <w:szCs w:val="24"/>
          <w:lang w:val="en-US"/>
        </w:rPr>
        <w:t>Neuropathologica</w:t>
      </w:r>
      <w:proofErr w:type="spellEnd"/>
    </w:p>
    <w:p w:rsidR="00AF1C15" w:rsidRDefault="00AF1C15">
      <w:pPr>
        <w:rPr>
          <w:b/>
          <w:sz w:val="16"/>
          <w:szCs w:val="16"/>
          <w:lang w:val="en-US"/>
        </w:rPr>
      </w:pPr>
    </w:p>
    <w:p w:rsidR="008672F6" w:rsidRPr="001975DE" w:rsidRDefault="008672F6" w:rsidP="008672F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5DE">
        <w:rPr>
          <w:rFonts w:ascii="Times New Roman" w:hAnsi="Times New Roman" w:cs="Times New Roman"/>
          <w:sz w:val="24"/>
          <w:szCs w:val="24"/>
        </w:rPr>
        <w:t>Jade Dunot</w:t>
      </w:r>
      <w:r w:rsidRPr="001975DE">
        <w:rPr>
          <w:rFonts w:ascii="Times New Roman" w:hAnsi="Times New Roman" w:cs="Times New Roman"/>
          <w:sz w:val="24"/>
          <w:szCs w:val="24"/>
          <w:vertAlign w:val="superscript"/>
        </w:rPr>
        <w:t>1*</w:t>
      </w:r>
      <w:r w:rsidRPr="001975DE">
        <w:rPr>
          <w:rFonts w:ascii="Times New Roman" w:hAnsi="Times New Roman" w:cs="Times New Roman"/>
          <w:sz w:val="24"/>
          <w:szCs w:val="24"/>
        </w:rPr>
        <w:t>, Carine Gandin</w:t>
      </w:r>
      <w:r w:rsidRPr="001975D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975DE">
        <w:rPr>
          <w:rFonts w:ascii="Times New Roman" w:hAnsi="Times New Roman" w:cs="Times New Roman"/>
          <w:sz w:val="24"/>
          <w:szCs w:val="24"/>
        </w:rPr>
        <w:t>, Marin Truchi</w:t>
      </w:r>
      <w:r w:rsidRPr="001975D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975DE">
        <w:rPr>
          <w:rFonts w:ascii="Times New Roman" w:hAnsi="Times New Roman" w:cs="Times New Roman"/>
          <w:sz w:val="24"/>
          <w:szCs w:val="24"/>
        </w:rPr>
        <w:t>, Giulia Pirro</w:t>
      </w:r>
      <w:r w:rsidRPr="001975D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975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975DE">
        <w:rPr>
          <w:rFonts w:ascii="Times New Roman" w:hAnsi="Times New Roman" w:cs="Times New Roman"/>
          <w:sz w:val="24"/>
          <w:szCs w:val="24"/>
        </w:rPr>
        <w:t>Sebastien</w:t>
      </w:r>
      <w:proofErr w:type="spellEnd"/>
      <w:r w:rsidRPr="001975DE">
        <w:rPr>
          <w:rFonts w:ascii="Times New Roman" w:hAnsi="Times New Roman" w:cs="Times New Roman"/>
          <w:sz w:val="24"/>
          <w:szCs w:val="24"/>
        </w:rPr>
        <w:t xml:space="preserve"> Moreno</w:t>
      </w:r>
      <w:r w:rsidRPr="001975D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975DE">
        <w:rPr>
          <w:rFonts w:ascii="Times New Roman" w:hAnsi="Times New Roman" w:cs="Times New Roman"/>
          <w:sz w:val="24"/>
          <w:szCs w:val="24"/>
        </w:rPr>
        <w:t>, Agathe Launay</w:t>
      </w:r>
      <w:r w:rsidRPr="001975D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975DE">
        <w:rPr>
          <w:rFonts w:ascii="Times New Roman" w:hAnsi="Times New Roman" w:cs="Times New Roman"/>
          <w:sz w:val="24"/>
          <w:szCs w:val="24"/>
        </w:rPr>
        <w:t>, Benjamin Azoulay</w:t>
      </w:r>
      <w:r w:rsidRPr="001975D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975DE">
        <w:rPr>
          <w:rFonts w:ascii="Times New Roman" w:hAnsi="Times New Roman" w:cs="Times New Roman"/>
          <w:sz w:val="24"/>
          <w:szCs w:val="24"/>
        </w:rPr>
        <w:t>, Hugo Landra</w:t>
      </w:r>
      <w:r w:rsidRPr="001975D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975DE">
        <w:rPr>
          <w:rFonts w:ascii="Times New Roman" w:hAnsi="Times New Roman" w:cs="Times New Roman"/>
          <w:sz w:val="24"/>
          <w:szCs w:val="24"/>
        </w:rPr>
        <w:t>, Sandy Ma Yishan</w:t>
      </w:r>
      <w:r w:rsidRPr="001975DE">
        <w:rPr>
          <w:rFonts w:ascii="Times New Roman" w:hAnsi="Times New Roman" w:cs="Times New Roman"/>
          <w:sz w:val="24"/>
          <w:szCs w:val="24"/>
          <w:vertAlign w:val="superscript"/>
        </w:rPr>
        <w:t>1,3</w:t>
      </w:r>
      <w:r w:rsidRPr="001975DE">
        <w:rPr>
          <w:rFonts w:ascii="Times New Roman" w:hAnsi="Times New Roman" w:cs="Times New Roman"/>
          <w:sz w:val="24"/>
          <w:szCs w:val="24"/>
        </w:rPr>
        <w:t>, Luc Buée</w:t>
      </w:r>
      <w:r w:rsidRPr="001975D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975DE">
        <w:rPr>
          <w:rFonts w:ascii="Times New Roman" w:hAnsi="Times New Roman" w:cs="Times New Roman"/>
          <w:sz w:val="24"/>
          <w:szCs w:val="24"/>
        </w:rPr>
        <w:t>, Kevin Lebrigand</w:t>
      </w:r>
      <w:r w:rsidRPr="001975D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975DE">
        <w:rPr>
          <w:rFonts w:ascii="Times New Roman" w:hAnsi="Times New Roman" w:cs="Times New Roman"/>
          <w:sz w:val="24"/>
          <w:szCs w:val="24"/>
        </w:rPr>
        <w:t>, Paula A. Pousinha</w:t>
      </w:r>
      <w:r w:rsidRPr="001975D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975DE">
        <w:rPr>
          <w:rFonts w:ascii="Times New Roman" w:hAnsi="Times New Roman" w:cs="Times New Roman"/>
          <w:sz w:val="24"/>
          <w:szCs w:val="24"/>
        </w:rPr>
        <w:t>, David Blum</w:t>
      </w:r>
      <w:r w:rsidRPr="001975D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975DE">
        <w:rPr>
          <w:rFonts w:ascii="Times New Roman" w:hAnsi="Times New Roman" w:cs="Times New Roman"/>
          <w:sz w:val="24"/>
          <w:szCs w:val="24"/>
        </w:rPr>
        <w:t>, Bernard Mari</w:t>
      </w:r>
      <w:r w:rsidRPr="001975D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975DE">
        <w:rPr>
          <w:rFonts w:ascii="Times New Roman" w:hAnsi="Times New Roman" w:cs="Times New Roman"/>
          <w:sz w:val="24"/>
          <w:szCs w:val="24"/>
        </w:rPr>
        <w:t>, Ingrid Bethus</w:t>
      </w:r>
      <w:r w:rsidRPr="001975D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975DE">
        <w:rPr>
          <w:rFonts w:ascii="Times New Roman" w:hAnsi="Times New Roman" w:cs="Times New Roman"/>
          <w:sz w:val="24"/>
          <w:szCs w:val="24"/>
        </w:rPr>
        <w:t>, Michael Willem</w:t>
      </w:r>
      <w:r w:rsidRPr="001975DE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1975DE">
        <w:rPr>
          <w:rFonts w:ascii="Times New Roman" w:hAnsi="Times New Roman" w:cs="Times New Roman"/>
          <w:sz w:val="24"/>
          <w:szCs w:val="24"/>
        </w:rPr>
        <w:t xml:space="preserve"> and Hélène Marie</w:t>
      </w:r>
      <w:r w:rsidRPr="001975DE">
        <w:rPr>
          <w:rFonts w:ascii="Times New Roman" w:hAnsi="Times New Roman" w:cs="Times New Roman"/>
          <w:sz w:val="24"/>
          <w:szCs w:val="24"/>
          <w:vertAlign w:val="superscript"/>
        </w:rPr>
        <w:t>1*</w:t>
      </w:r>
      <w:r w:rsidRPr="001975D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672F6" w:rsidRPr="00554A0E" w:rsidRDefault="008672F6" w:rsidP="008672F6">
      <w:pPr>
        <w:jc w:val="both"/>
        <w:rPr>
          <w:rFonts w:ascii="Times New Roman" w:hAnsi="Times New Roman" w:cs="Times New Roman"/>
        </w:rPr>
      </w:pPr>
      <w:r w:rsidRPr="00554A0E">
        <w:rPr>
          <w:rFonts w:ascii="Times New Roman" w:hAnsi="Times New Roman" w:cs="Times New Roman"/>
          <w:vertAlign w:val="superscript"/>
        </w:rPr>
        <w:t>1</w:t>
      </w:r>
      <w:r w:rsidRPr="00554A0E">
        <w:rPr>
          <w:rFonts w:ascii="Times New Roman" w:hAnsi="Times New Roman" w:cs="Times New Roman"/>
        </w:rPr>
        <w:t xml:space="preserve"> Université Côte d’Azur, CNRS, INSERM, Institut de Pharmacologie Moléculaire et Cellulaire, Valbonne, France ; </w:t>
      </w:r>
      <w:r w:rsidRPr="00554A0E">
        <w:rPr>
          <w:rFonts w:ascii="Times New Roman" w:hAnsi="Times New Roman" w:cs="Times New Roman"/>
          <w:vertAlign w:val="superscript"/>
        </w:rPr>
        <w:t xml:space="preserve">2 </w:t>
      </w:r>
      <w:r w:rsidRPr="00554A0E">
        <w:rPr>
          <w:rFonts w:ascii="Times New Roman" w:hAnsi="Times New Roman" w:cs="Times New Roman"/>
        </w:rPr>
        <w:t xml:space="preserve">Univ. Lille, INSERM, CHU Lille, UMR-S1172 </w:t>
      </w:r>
      <w:proofErr w:type="spellStart"/>
      <w:r w:rsidRPr="00554A0E">
        <w:rPr>
          <w:rFonts w:ascii="Times New Roman" w:hAnsi="Times New Roman" w:cs="Times New Roman"/>
        </w:rPr>
        <w:t>LilNCog</w:t>
      </w:r>
      <w:proofErr w:type="spellEnd"/>
      <w:r w:rsidRPr="00554A0E">
        <w:rPr>
          <w:rFonts w:ascii="Times New Roman" w:hAnsi="Times New Roman" w:cs="Times New Roman"/>
        </w:rPr>
        <w:t xml:space="preserve"> - Lille Neuroscience &amp; Cognition, Lille, France ; </w:t>
      </w:r>
      <w:r w:rsidRPr="00554A0E">
        <w:rPr>
          <w:rFonts w:ascii="Times New Roman" w:hAnsi="Times New Roman" w:cs="Times New Roman"/>
          <w:bCs/>
          <w:vertAlign w:val="superscript"/>
        </w:rPr>
        <w:t>3</w:t>
      </w:r>
      <w:r w:rsidRPr="00554A0E">
        <w:rPr>
          <w:rFonts w:ascii="Times New Roman" w:hAnsi="Times New Roman" w:cs="Times New Roman"/>
          <w:bCs/>
        </w:rPr>
        <w:t xml:space="preserve">Munich Cluster for </w:t>
      </w:r>
      <w:proofErr w:type="spellStart"/>
      <w:r w:rsidRPr="00554A0E">
        <w:rPr>
          <w:rFonts w:ascii="Times New Roman" w:hAnsi="Times New Roman" w:cs="Times New Roman"/>
          <w:bCs/>
        </w:rPr>
        <w:t>Systems</w:t>
      </w:r>
      <w:proofErr w:type="spellEnd"/>
      <w:r w:rsidRPr="00554A0E">
        <w:rPr>
          <w:rFonts w:ascii="Times New Roman" w:hAnsi="Times New Roman" w:cs="Times New Roman"/>
          <w:bCs/>
        </w:rPr>
        <w:t xml:space="preserve"> </w:t>
      </w:r>
      <w:proofErr w:type="spellStart"/>
      <w:r w:rsidRPr="00554A0E">
        <w:rPr>
          <w:rFonts w:ascii="Times New Roman" w:hAnsi="Times New Roman" w:cs="Times New Roman"/>
          <w:bCs/>
        </w:rPr>
        <w:t>Neurology</w:t>
      </w:r>
      <w:proofErr w:type="spellEnd"/>
      <w:r w:rsidRPr="00554A0E">
        <w:rPr>
          <w:rFonts w:ascii="Times New Roman" w:hAnsi="Times New Roman" w:cs="Times New Roman"/>
          <w:bCs/>
        </w:rPr>
        <w:t xml:space="preserve"> (</w:t>
      </w:r>
      <w:proofErr w:type="spellStart"/>
      <w:r w:rsidRPr="00554A0E">
        <w:rPr>
          <w:rFonts w:ascii="Times New Roman" w:hAnsi="Times New Roman" w:cs="Times New Roman"/>
          <w:bCs/>
        </w:rPr>
        <w:t>SyNergy</w:t>
      </w:r>
      <w:proofErr w:type="spellEnd"/>
      <w:r w:rsidRPr="00554A0E">
        <w:rPr>
          <w:rFonts w:ascii="Times New Roman" w:hAnsi="Times New Roman" w:cs="Times New Roman"/>
          <w:bCs/>
        </w:rPr>
        <w:t>), Munich, Germany </w:t>
      </w:r>
      <w:r w:rsidRPr="00554A0E">
        <w:rPr>
          <w:rFonts w:ascii="Times New Roman" w:hAnsi="Times New Roman" w:cs="Times New Roman"/>
        </w:rPr>
        <w:t xml:space="preserve">; </w:t>
      </w:r>
      <w:r w:rsidRPr="00554A0E">
        <w:rPr>
          <w:rFonts w:ascii="Times New Roman" w:hAnsi="Times New Roman" w:cs="Times New Roman"/>
          <w:vertAlign w:val="superscript"/>
        </w:rPr>
        <w:t>4</w:t>
      </w:r>
      <w:r w:rsidRPr="00554A0E">
        <w:rPr>
          <w:rFonts w:ascii="Times New Roman" w:hAnsi="Times New Roman" w:cs="Times New Roman"/>
        </w:rPr>
        <w:t xml:space="preserve"> </w:t>
      </w:r>
      <w:proofErr w:type="spellStart"/>
      <w:r w:rsidRPr="00554A0E">
        <w:rPr>
          <w:rFonts w:ascii="Times New Roman" w:hAnsi="Times New Roman" w:cs="Times New Roman"/>
        </w:rPr>
        <w:t>Biomedical</w:t>
      </w:r>
      <w:proofErr w:type="spellEnd"/>
      <w:r w:rsidRPr="00554A0E">
        <w:rPr>
          <w:rFonts w:ascii="Times New Roman" w:hAnsi="Times New Roman" w:cs="Times New Roman"/>
        </w:rPr>
        <w:t xml:space="preserve"> Center (BMC), Division of </w:t>
      </w:r>
      <w:proofErr w:type="spellStart"/>
      <w:r w:rsidRPr="00554A0E">
        <w:rPr>
          <w:rFonts w:ascii="Times New Roman" w:hAnsi="Times New Roman" w:cs="Times New Roman"/>
        </w:rPr>
        <w:t>Metabolic</w:t>
      </w:r>
      <w:proofErr w:type="spellEnd"/>
      <w:r w:rsidRPr="00554A0E">
        <w:rPr>
          <w:rFonts w:ascii="Times New Roman" w:hAnsi="Times New Roman" w:cs="Times New Roman"/>
        </w:rPr>
        <w:t xml:space="preserve"> </w:t>
      </w:r>
      <w:proofErr w:type="spellStart"/>
      <w:r w:rsidRPr="00554A0E">
        <w:rPr>
          <w:rFonts w:ascii="Times New Roman" w:hAnsi="Times New Roman" w:cs="Times New Roman"/>
        </w:rPr>
        <w:t>Biochemistry</w:t>
      </w:r>
      <w:proofErr w:type="spellEnd"/>
      <w:r w:rsidRPr="00554A0E">
        <w:rPr>
          <w:rFonts w:ascii="Times New Roman" w:hAnsi="Times New Roman" w:cs="Times New Roman"/>
        </w:rPr>
        <w:t xml:space="preserve">, </w:t>
      </w:r>
      <w:proofErr w:type="spellStart"/>
      <w:r w:rsidRPr="00554A0E">
        <w:rPr>
          <w:rFonts w:ascii="Times New Roman" w:hAnsi="Times New Roman" w:cs="Times New Roman"/>
        </w:rPr>
        <w:t>Faculty</w:t>
      </w:r>
      <w:proofErr w:type="spellEnd"/>
      <w:r w:rsidRPr="00554A0E">
        <w:rPr>
          <w:rFonts w:ascii="Times New Roman" w:hAnsi="Times New Roman" w:cs="Times New Roman"/>
        </w:rPr>
        <w:t xml:space="preserve"> of </w:t>
      </w:r>
      <w:proofErr w:type="spellStart"/>
      <w:r w:rsidRPr="00554A0E">
        <w:rPr>
          <w:rFonts w:ascii="Times New Roman" w:hAnsi="Times New Roman" w:cs="Times New Roman"/>
        </w:rPr>
        <w:t>Medicine</w:t>
      </w:r>
      <w:proofErr w:type="spellEnd"/>
      <w:r w:rsidRPr="00554A0E">
        <w:rPr>
          <w:rFonts w:ascii="Times New Roman" w:hAnsi="Times New Roman" w:cs="Times New Roman"/>
        </w:rPr>
        <w:t>, Ludwig-</w:t>
      </w:r>
      <w:proofErr w:type="spellStart"/>
      <w:r w:rsidRPr="00554A0E">
        <w:rPr>
          <w:rFonts w:ascii="Times New Roman" w:hAnsi="Times New Roman" w:cs="Times New Roman"/>
        </w:rPr>
        <w:t>Maximilians</w:t>
      </w:r>
      <w:proofErr w:type="spellEnd"/>
      <w:r w:rsidRPr="00554A0E">
        <w:rPr>
          <w:rFonts w:ascii="Times New Roman" w:hAnsi="Times New Roman" w:cs="Times New Roman"/>
        </w:rPr>
        <w:t>-</w:t>
      </w:r>
      <w:proofErr w:type="spellStart"/>
      <w:r w:rsidRPr="00554A0E">
        <w:rPr>
          <w:rFonts w:ascii="Times New Roman" w:hAnsi="Times New Roman" w:cs="Times New Roman"/>
        </w:rPr>
        <w:t>Universität</w:t>
      </w:r>
      <w:proofErr w:type="spellEnd"/>
      <w:r w:rsidRPr="00554A0E">
        <w:rPr>
          <w:rFonts w:ascii="Times New Roman" w:hAnsi="Times New Roman" w:cs="Times New Roman"/>
        </w:rPr>
        <w:t xml:space="preserve"> </w:t>
      </w:r>
      <w:proofErr w:type="spellStart"/>
      <w:r w:rsidRPr="00554A0E">
        <w:rPr>
          <w:rFonts w:ascii="Times New Roman" w:hAnsi="Times New Roman" w:cs="Times New Roman"/>
        </w:rPr>
        <w:t>München</w:t>
      </w:r>
      <w:proofErr w:type="spellEnd"/>
      <w:r w:rsidRPr="00554A0E">
        <w:rPr>
          <w:rFonts w:ascii="Times New Roman" w:hAnsi="Times New Roman" w:cs="Times New Roman"/>
        </w:rPr>
        <w:t xml:space="preserve">, Munich, Germany </w:t>
      </w:r>
    </w:p>
    <w:p w:rsidR="008672F6" w:rsidRPr="00554A0E" w:rsidRDefault="008672F6" w:rsidP="008672F6">
      <w:pPr>
        <w:rPr>
          <w:rFonts w:ascii="Times New Roman" w:hAnsi="Times New Roman" w:cs="Times New Roman"/>
        </w:rPr>
      </w:pPr>
      <w:r w:rsidRPr="00554A0E">
        <w:rPr>
          <w:rFonts w:ascii="Times New Roman" w:hAnsi="Times New Roman" w:cs="Times New Roman"/>
        </w:rPr>
        <w:t xml:space="preserve">*  </w:t>
      </w:r>
      <w:proofErr w:type="spellStart"/>
      <w:r w:rsidRPr="00554A0E">
        <w:rPr>
          <w:rFonts w:ascii="Times New Roman" w:hAnsi="Times New Roman" w:cs="Times New Roman"/>
        </w:rPr>
        <w:t>Corresponding</w:t>
      </w:r>
      <w:proofErr w:type="spellEnd"/>
      <w:r w:rsidRPr="00554A0E">
        <w:rPr>
          <w:rFonts w:ascii="Times New Roman" w:hAnsi="Times New Roman" w:cs="Times New Roman"/>
        </w:rPr>
        <w:t xml:space="preserve"> </w:t>
      </w:r>
      <w:proofErr w:type="spellStart"/>
      <w:r w:rsidRPr="00554A0E">
        <w:rPr>
          <w:rFonts w:ascii="Times New Roman" w:hAnsi="Times New Roman" w:cs="Times New Roman"/>
        </w:rPr>
        <w:t>authors</w:t>
      </w:r>
      <w:proofErr w:type="spellEnd"/>
      <w:r w:rsidRPr="00554A0E">
        <w:rPr>
          <w:rFonts w:ascii="Times New Roman" w:hAnsi="Times New Roman" w:cs="Times New Roman"/>
        </w:rPr>
        <w:t xml:space="preserve"> : Hélène Marie &amp; Jade </w:t>
      </w:r>
      <w:proofErr w:type="spellStart"/>
      <w:r w:rsidRPr="00554A0E">
        <w:rPr>
          <w:rFonts w:ascii="Times New Roman" w:hAnsi="Times New Roman" w:cs="Times New Roman"/>
        </w:rPr>
        <w:t>Dunot</w:t>
      </w:r>
      <w:proofErr w:type="spellEnd"/>
    </w:p>
    <w:p w:rsidR="008672F6" w:rsidRDefault="008672F6" w:rsidP="008672F6">
      <w:pPr>
        <w:rPr>
          <w:rFonts w:ascii="Times New Roman" w:hAnsi="Times New Roman" w:cs="Times New Roman"/>
        </w:rPr>
      </w:pPr>
      <w:r w:rsidRPr="00554A0E">
        <w:rPr>
          <w:rFonts w:ascii="Times New Roman" w:hAnsi="Times New Roman" w:cs="Times New Roman"/>
          <w:b/>
        </w:rPr>
        <w:t xml:space="preserve">Email: </w:t>
      </w:r>
      <w:r w:rsidRPr="00554A0E">
        <w:rPr>
          <w:rFonts w:ascii="Times New Roman" w:hAnsi="Times New Roman" w:cs="Times New Roman"/>
        </w:rPr>
        <w:t xml:space="preserve">marie@ipmc.cnrs.fr; </w:t>
      </w:r>
      <w:hyperlink r:id="rId4" w:history="1">
        <w:r w:rsidRPr="009711DA">
          <w:rPr>
            <w:rStyle w:val="Lienhypertexte"/>
            <w:rFonts w:ascii="Times New Roman" w:hAnsi="Times New Roman" w:cs="Times New Roman"/>
          </w:rPr>
          <w:t>jade@ad6d.net</w:t>
        </w:r>
      </w:hyperlink>
    </w:p>
    <w:p w:rsidR="00AF1C15" w:rsidRDefault="00AF1C15">
      <w:pPr>
        <w:rPr>
          <w:b/>
          <w:sz w:val="16"/>
          <w:szCs w:val="16"/>
          <w:lang w:val="en-US"/>
        </w:rPr>
      </w:pPr>
    </w:p>
    <w:p w:rsidR="006F6D43" w:rsidRDefault="006F6D43" w:rsidP="008672F6">
      <w:pPr>
        <w:rPr>
          <w:b/>
          <w:sz w:val="56"/>
          <w:szCs w:val="56"/>
          <w:lang w:val="en-US"/>
        </w:rPr>
      </w:pPr>
    </w:p>
    <w:p w:rsidR="006F6D43" w:rsidRPr="006F6D43" w:rsidRDefault="006F6D43" w:rsidP="006F6D43">
      <w:pPr>
        <w:jc w:val="center"/>
        <w:rPr>
          <w:sz w:val="36"/>
          <w:szCs w:val="36"/>
          <w:lang w:val="en-US"/>
        </w:rPr>
      </w:pPr>
      <w:r w:rsidRPr="006F6D43">
        <w:rPr>
          <w:sz w:val="36"/>
          <w:szCs w:val="36"/>
          <w:lang w:val="en-US"/>
        </w:rPr>
        <w:t>Figures S1-S5</w:t>
      </w:r>
    </w:p>
    <w:p w:rsidR="00AF1C15" w:rsidRPr="00AF1C15" w:rsidRDefault="00AF1C15" w:rsidP="00AF1C15">
      <w:pPr>
        <w:rPr>
          <w:b/>
          <w:sz w:val="56"/>
          <w:szCs w:val="56"/>
          <w:lang w:val="en-US"/>
        </w:rPr>
      </w:pPr>
      <w:r>
        <w:rPr>
          <w:b/>
          <w:sz w:val="56"/>
          <w:szCs w:val="56"/>
          <w:lang w:val="en-US"/>
        </w:rPr>
        <w:br w:type="page"/>
      </w:r>
    </w:p>
    <w:p w:rsidR="00AF1C15" w:rsidRPr="003243FB" w:rsidRDefault="00B44CBB" w:rsidP="00AF1C15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val="en-US"/>
        </w:rPr>
        <w:lastRenderedPageBreak/>
        <w:drawing>
          <wp:inline distT="0" distB="0" distL="0" distR="0">
            <wp:extent cx="4645230" cy="5021580"/>
            <wp:effectExtent l="0" t="0" r="3175" b="76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5c_Figure S1_TN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317" cy="502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C15" w:rsidRPr="003243FB" w:rsidRDefault="00AF1C15" w:rsidP="00AF1C15">
      <w:pPr>
        <w:spacing w:after="0" w:line="360" w:lineRule="auto"/>
        <w:jc w:val="both"/>
        <w:rPr>
          <w:lang w:val="en-US"/>
        </w:rPr>
      </w:pPr>
      <w:r w:rsidRPr="003243FB">
        <w:rPr>
          <w:b/>
          <w:lang w:val="en-US"/>
        </w:rPr>
        <w:t xml:space="preserve">Figure S1 (related to Figure 1): Additional </w:t>
      </w:r>
      <w:r w:rsidR="00B44CBB">
        <w:rPr>
          <w:b/>
          <w:lang w:val="en-US"/>
        </w:rPr>
        <w:t xml:space="preserve">AETA and APP quantification in </w:t>
      </w:r>
      <w:proofErr w:type="spellStart"/>
      <w:r w:rsidR="00B44CBB">
        <w:rPr>
          <w:b/>
          <w:lang w:val="en-US"/>
        </w:rPr>
        <w:t>hippocampai</w:t>
      </w:r>
      <w:proofErr w:type="spellEnd"/>
      <w:r w:rsidR="00B44CBB">
        <w:rPr>
          <w:b/>
          <w:lang w:val="en-US"/>
        </w:rPr>
        <w:t xml:space="preserve"> of AD patients </w:t>
      </w:r>
      <w:r w:rsidRPr="003243FB">
        <w:rPr>
          <w:b/>
          <w:lang w:val="en-US"/>
        </w:rPr>
        <w:t xml:space="preserve">and </w:t>
      </w:r>
      <w:r w:rsidR="008940DA">
        <w:rPr>
          <w:b/>
          <w:lang w:val="en-US"/>
        </w:rPr>
        <w:t xml:space="preserve">quantification of AETA </w:t>
      </w:r>
      <w:r w:rsidR="00E545DD">
        <w:rPr>
          <w:b/>
          <w:lang w:val="en-US"/>
        </w:rPr>
        <w:t>in prefrontal cortex (PFC)</w:t>
      </w:r>
      <w:r w:rsidR="008940DA">
        <w:rPr>
          <w:b/>
          <w:lang w:val="en-US"/>
        </w:rPr>
        <w:t xml:space="preserve"> of AD patients.</w:t>
      </w:r>
      <w:r w:rsidRPr="003243FB">
        <w:rPr>
          <w:b/>
          <w:lang w:val="en-US"/>
        </w:rPr>
        <w:t xml:space="preserve"> (a) </w:t>
      </w:r>
      <w:r w:rsidRPr="003243FB">
        <w:rPr>
          <w:lang w:val="en-US"/>
        </w:rPr>
        <w:t xml:space="preserve">General tissue integrity </w:t>
      </w:r>
      <w:r w:rsidR="004E2121">
        <w:rPr>
          <w:lang w:val="en-US"/>
        </w:rPr>
        <w:t>was</w:t>
      </w:r>
      <w:r w:rsidR="00434AF6">
        <w:rPr>
          <w:lang w:val="en-US"/>
        </w:rPr>
        <w:t xml:space="preserve"> </w:t>
      </w:r>
      <w:r w:rsidRPr="003243FB">
        <w:rPr>
          <w:lang w:val="en-US"/>
        </w:rPr>
        <w:t xml:space="preserve">confirmed by examples of GAPDH </w:t>
      </w:r>
      <w:r w:rsidR="00434AF6">
        <w:rPr>
          <w:lang w:val="en-US"/>
        </w:rPr>
        <w:t>immunoblotting</w:t>
      </w:r>
      <w:r w:rsidRPr="003243FB">
        <w:rPr>
          <w:lang w:val="en-US"/>
        </w:rPr>
        <w:t xml:space="preserve"> in DEA fractions of protein lysates.</w:t>
      </w:r>
      <w:r w:rsidRPr="003243FB">
        <w:rPr>
          <w:b/>
          <w:lang w:val="en-US"/>
        </w:rPr>
        <w:t xml:space="preserve"> (b)</w:t>
      </w:r>
      <w:r w:rsidR="00A5165E">
        <w:rPr>
          <w:b/>
          <w:lang w:val="en-US"/>
        </w:rPr>
        <w:t xml:space="preserve"> </w:t>
      </w:r>
      <w:r w:rsidR="00B30953" w:rsidRPr="0036479A">
        <w:rPr>
          <w:lang w:val="en-US"/>
        </w:rPr>
        <w:t xml:space="preserve">Immunoblot </w:t>
      </w:r>
      <w:r w:rsidR="00B30953">
        <w:rPr>
          <w:lang w:val="en-US"/>
        </w:rPr>
        <w:t>(</w:t>
      </w:r>
      <w:r w:rsidR="00B30953" w:rsidRPr="0036479A">
        <w:rPr>
          <w:lang w:val="en-US"/>
        </w:rPr>
        <w:t>2</w:t>
      </w:r>
      <w:r w:rsidR="00B30953">
        <w:rPr>
          <w:lang w:val="en-US"/>
        </w:rPr>
        <w:t>D9</w:t>
      </w:r>
      <w:r w:rsidR="00B30953" w:rsidRPr="0036479A">
        <w:rPr>
          <w:lang w:val="en-US"/>
        </w:rPr>
        <w:t xml:space="preserve"> antibody</w:t>
      </w:r>
      <w:r w:rsidR="00B30953">
        <w:rPr>
          <w:lang w:val="en-US"/>
        </w:rPr>
        <w:t>)</w:t>
      </w:r>
      <w:r w:rsidR="00B30953" w:rsidRPr="0036479A">
        <w:rPr>
          <w:lang w:val="en-US"/>
        </w:rPr>
        <w:t xml:space="preserve"> examples and quantification of AETA levels in </w:t>
      </w:r>
      <w:r w:rsidR="00B30953">
        <w:rPr>
          <w:lang w:val="en-US"/>
        </w:rPr>
        <w:t>PFC</w:t>
      </w:r>
      <w:r w:rsidR="00B30953" w:rsidRPr="0036479A">
        <w:rPr>
          <w:lang w:val="en-US"/>
        </w:rPr>
        <w:t xml:space="preserve"> of </w:t>
      </w:r>
      <w:r w:rsidR="00B30953">
        <w:rPr>
          <w:lang w:val="en-US"/>
        </w:rPr>
        <w:t>AD</w:t>
      </w:r>
      <w:r w:rsidR="00A5165E">
        <w:rPr>
          <w:lang w:val="en-US"/>
        </w:rPr>
        <w:t xml:space="preserve"> </w:t>
      </w:r>
      <w:r w:rsidR="00B30953">
        <w:rPr>
          <w:lang w:val="en-US"/>
        </w:rPr>
        <w:t>patient vs control subjects</w:t>
      </w:r>
      <w:r w:rsidR="00B44CBB">
        <w:rPr>
          <w:lang w:val="en-US"/>
        </w:rPr>
        <w:t xml:space="preserve"> </w:t>
      </w:r>
      <w:r w:rsidR="00B44CBB" w:rsidRPr="0036479A">
        <w:rPr>
          <w:lang w:val="en-US"/>
        </w:rPr>
        <w:t>(relative levels normalized to age-matched control</w:t>
      </w:r>
      <w:r w:rsidR="00B44CBB">
        <w:rPr>
          <w:lang w:val="en-US"/>
        </w:rPr>
        <w:t xml:space="preserve"> (Ctl)</w:t>
      </w:r>
      <w:r w:rsidR="00B44CBB" w:rsidRPr="0036479A">
        <w:rPr>
          <w:lang w:val="en-US"/>
        </w:rPr>
        <w:t xml:space="preserve"> subjects</w:t>
      </w:r>
      <w:r w:rsidR="00B44CBB">
        <w:rPr>
          <w:lang w:val="en-US"/>
        </w:rPr>
        <w:t>; normalized to actin loading control – see f</w:t>
      </w:r>
      <w:r w:rsidR="00B44CBB" w:rsidRPr="003243FB">
        <w:rPr>
          <w:lang w:val="en-US"/>
        </w:rPr>
        <w:t xml:space="preserve">ull blots used for analysis provided in </w:t>
      </w:r>
      <w:r w:rsidR="00B44CBB">
        <w:rPr>
          <w:lang w:val="en-US"/>
        </w:rPr>
        <w:t>Supplemental material)</w:t>
      </w:r>
      <w:r w:rsidR="00A5165E">
        <w:rPr>
          <w:lang w:val="en-US"/>
        </w:rPr>
        <w:t xml:space="preserve">. </w:t>
      </w:r>
      <w:r w:rsidR="00A5165E" w:rsidRPr="007061E7">
        <w:rPr>
          <w:b/>
          <w:lang w:val="en-US"/>
        </w:rPr>
        <w:t>(</w:t>
      </w:r>
      <w:r w:rsidR="00A5165E">
        <w:rPr>
          <w:b/>
          <w:lang w:val="en-US"/>
        </w:rPr>
        <w:t>c</w:t>
      </w:r>
      <w:r w:rsidR="00A5165E" w:rsidRPr="007061E7">
        <w:rPr>
          <w:b/>
          <w:lang w:val="en-US"/>
        </w:rPr>
        <w:t>)</w:t>
      </w:r>
      <w:r w:rsidR="00A5165E">
        <w:rPr>
          <w:lang w:val="en-US"/>
        </w:rPr>
        <w:t xml:space="preserve"> </w:t>
      </w:r>
      <w:r w:rsidR="00A5165E" w:rsidRPr="003243FB">
        <w:rPr>
          <w:lang w:val="en-US"/>
        </w:rPr>
        <w:t xml:space="preserve">Quantification of APP transcript by qPCR in hippocampi of human </w:t>
      </w:r>
      <w:r w:rsidR="00A5165E">
        <w:rPr>
          <w:lang w:val="en-US"/>
        </w:rPr>
        <w:t>c</w:t>
      </w:r>
      <w:r w:rsidR="00A5165E" w:rsidRPr="003243FB">
        <w:rPr>
          <w:lang w:val="en-US"/>
        </w:rPr>
        <w:t>ontrol</w:t>
      </w:r>
      <w:r w:rsidR="00A5165E">
        <w:rPr>
          <w:lang w:val="en-US"/>
        </w:rPr>
        <w:t xml:space="preserve"> subjects (Ctl)</w:t>
      </w:r>
      <w:r w:rsidR="00A5165E" w:rsidRPr="003243FB">
        <w:rPr>
          <w:lang w:val="en-US"/>
        </w:rPr>
        <w:t xml:space="preserve"> and AD brains.</w:t>
      </w:r>
      <w:r w:rsidR="00A5165E">
        <w:rPr>
          <w:lang w:val="en-US"/>
        </w:rPr>
        <w:t xml:space="preserve"> </w:t>
      </w:r>
      <w:r w:rsidR="00A5165E" w:rsidRPr="003243FB">
        <w:rPr>
          <w:b/>
          <w:lang w:val="en-US"/>
        </w:rPr>
        <w:t>(</w:t>
      </w:r>
      <w:r w:rsidR="00A5165E">
        <w:rPr>
          <w:b/>
          <w:lang w:val="en-US"/>
        </w:rPr>
        <w:t>d</w:t>
      </w:r>
      <w:r w:rsidR="00A5165E" w:rsidRPr="003243FB">
        <w:rPr>
          <w:b/>
          <w:lang w:val="en-US"/>
        </w:rPr>
        <w:t>)</w:t>
      </w:r>
      <w:r w:rsidR="00A5165E">
        <w:rPr>
          <w:b/>
          <w:lang w:val="en-US"/>
        </w:rPr>
        <w:t xml:space="preserve"> </w:t>
      </w:r>
      <w:r w:rsidR="00A5165E" w:rsidRPr="0036479A">
        <w:rPr>
          <w:lang w:val="en-US"/>
        </w:rPr>
        <w:t xml:space="preserve">Immunoblot </w:t>
      </w:r>
      <w:r w:rsidR="00A5165E">
        <w:rPr>
          <w:lang w:val="en-US"/>
        </w:rPr>
        <w:t>(</w:t>
      </w:r>
      <w:r w:rsidR="00A5165E" w:rsidRPr="0036479A">
        <w:rPr>
          <w:lang w:val="en-US"/>
        </w:rPr>
        <w:t>2D8 antibody</w:t>
      </w:r>
      <w:r w:rsidR="00A5165E">
        <w:rPr>
          <w:lang w:val="en-US"/>
        </w:rPr>
        <w:t xml:space="preserve"> and ponceau staining for normalization)</w:t>
      </w:r>
      <w:r w:rsidR="00A5165E" w:rsidRPr="0036479A">
        <w:rPr>
          <w:lang w:val="en-US"/>
        </w:rPr>
        <w:t xml:space="preserve"> examples and quantification of AETA levels</w:t>
      </w:r>
      <w:r w:rsidR="00A5165E" w:rsidRPr="00762D09">
        <w:rPr>
          <w:lang w:val="en-US"/>
        </w:rPr>
        <w:t xml:space="preserve"> in</w:t>
      </w:r>
      <w:r w:rsidR="00A5165E">
        <w:rPr>
          <w:b/>
          <w:lang w:val="en-US"/>
        </w:rPr>
        <w:t xml:space="preserve"> </w:t>
      </w:r>
      <w:r w:rsidR="00A5165E" w:rsidRPr="003243FB">
        <w:rPr>
          <w:lang w:val="en-US"/>
        </w:rPr>
        <w:t xml:space="preserve">hippocampi </w:t>
      </w:r>
      <w:r w:rsidR="00A5165E">
        <w:rPr>
          <w:lang w:val="en-US"/>
        </w:rPr>
        <w:t>of male vs female control subjects</w:t>
      </w:r>
      <w:r w:rsidR="00B44CBB">
        <w:rPr>
          <w:lang w:val="en-US"/>
        </w:rPr>
        <w:t>.</w:t>
      </w:r>
      <w:r w:rsidR="00A5165E">
        <w:rPr>
          <w:lang w:val="en-US"/>
        </w:rPr>
        <w:t xml:space="preserve">  </w:t>
      </w:r>
      <w:bookmarkStart w:id="0" w:name="OLE_LINK7"/>
      <w:r w:rsidRPr="003243FB">
        <w:rPr>
          <w:lang w:val="en-US"/>
        </w:rPr>
        <w:t>N= number of human samples</w:t>
      </w:r>
      <w:r w:rsidR="00434AF6">
        <w:rPr>
          <w:lang w:val="en-US"/>
        </w:rPr>
        <w:t>; each sample was tested in triplicate and presented as mean</w:t>
      </w:r>
      <w:r w:rsidRPr="003243FB">
        <w:rPr>
          <w:lang w:val="en-US"/>
        </w:rPr>
        <w:t>.</w:t>
      </w:r>
      <w:bookmarkEnd w:id="0"/>
      <w:r w:rsidRPr="003243FB">
        <w:rPr>
          <w:lang w:val="en-US"/>
        </w:rPr>
        <w:t xml:space="preserve"> Er</w:t>
      </w:r>
      <w:r w:rsidR="00EE3519">
        <w:rPr>
          <w:lang w:val="en-US"/>
        </w:rPr>
        <w:t>ror bars represent s.e.m.;</w:t>
      </w:r>
      <w:r w:rsidR="00F85689" w:rsidRPr="00F85689">
        <w:rPr>
          <w:lang w:val="en-US"/>
        </w:rPr>
        <w:t xml:space="preserve"> </w:t>
      </w:r>
      <w:r w:rsidR="00F85689">
        <w:rPr>
          <w:lang w:val="en-US"/>
        </w:rPr>
        <w:t>**** p &lt; 0.0001.</w:t>
      </w:r>
      <w:r w:rsidRPr="003243FB">
        <w:rPr>
          <w:lang w:val="en-US"/>
        </w:rPr>
        <w:t xml:space="preserve"> Statistics: </w:t>
      </w:r>
      <w:r w:rsidR="00C375DB">
        <w:rPr>
          <w:lang w:val="en-US"/>
        </w:rPr>
        <w:t>S</w:t>
      </w:r>
      <w:r w:rsidRPr="003243FB">
        <w:rPr>
          <w:lang w:val="en-US"/>
        </w:rPr>
        <w:t>tudent’s t-test</w:t>
      </w:r>
      <w:r w:rsidR="00EE3519">
        <w:rPr>
          <w:lang w:val="en-US"/>
        </w:rPr>
        <w:t xml:space="preserve"> and </w:t>
      </w:r>
      <w:r w:rsidR="00A5165E">
        <w:rPr>
          <w:lang w:val="en-US"/>
        </w:rPr>
        <w:t>Welch’s test and Kolmogorov-Smirnov test</w:t>
      </w:r>
      <w:r w:rsidRPr="003243FB">
        <w:rPr>
          <w:lang w:val="en-US"/>
        </w:rPr>
        <w:t xml:space="preserve">. </w:t>
      </w:r>
      <w:r w:rsidRPr="008E6169">
        <w:rPr>
          <w:lang w:val="en-US"/>
        </w:rPr>
        <w:t xml:space="preserve">See full statistics in </w:t>
      </w:r>
      <w:r w:rsidR="007B14AB" w:rsidRPr="008E6169">
        <w:rPr>
          <w:lang w:val="en-US"/>
        </w:rPr>
        <w:t xml:space="preserve">Supplemental </w:t>
      </w:r>
      <w:r w:rsidRPr="008E6169">
        <w:rPr>
          <w:lang w:val="en-US"/>
        </w:rPr>
        <w:t>Table S</w:t>
      </w:r>
      <w:r w:rsidR="009E13A1" w:rsidRPr="008E6169">
        <w:rPr>
          <w:lang w:val="en-US"/>
        </w:rPr>
        <w:t>8</w:t>
      </w:r>
      <w:r w:rsidRPr="008E6169">
        <w:rPr>
          <w:lang w:val="en-US"/>
        </w:rPr>
        <w:t>.</w:t>
      </w:r>
    </w:p>
    <w:p w:rsidR="00AF1C15" w:rsidRPr="003243FB" w:rsidRDefault="00AF1C15" w:rsidP="00AF1C15">
      <w:pPr>
        <w:spacing w:after="0" w:line="360" w:lineRule="auto"/>
        <w:jc w:val="both"/>
        <w:rPr>
          <w:lang w:val="en-US"/>
        </w:rPr>
      </w:pPr>
    </w:p>
    <w:p w:rsidR="00AF1C15" w:rsidRPr="003243FB" w:rsidRDefault="00AF1C15" w:rsidP="00AF1C15">
      <w:pPr>
        <w:spacing w:after="0" w:line="360" w:lineRule="auto"/>
        <w:jc w:val="both"/>
        <w:rPr>
          <w:lang w:val="en-US"/>
        </w:rPr>
      </w:pPr>
    </w:p>
    <w:p w:rsidR="00AF1C15" w:rsidRPr="003243FB" w:rsidRDefault="00AF1C15" w:rsidP="00AF1C15">
      <w:pPr>
        <w:spacing w:after="0" w:line="360" w:lineRule="auto"/>
        <w:jc w:val="both"/>
        <w:rPr>
          <w:lang w:val="en-US"/>
        </w:rPr>
      </w:pPr>
    </w:p>
    <w:p w:rsidR="00AF1C15" w:rsidRPr="003243FB" w:rsidRDefault="00AF1C15" w:rsidP="00AF1C15">
      <w:pPr>
        <w:rPr>
          <w:rFonts w:ascii="Calibri" w:hAnsi="Calibri" w:cs="Calibri"/>
          <w:lang w:val="en-US"/>
        </w:rPr>
      </w:pPr>
    </w:p>
    <w:p w:rsidR="00AF1C15" w:rsidRPr="003243FB" w:rsidRDefault="00D56645" w:rsidP="00AF1C15">
      <w:pPr>
        <w:spacing w:after="0" w:line="36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fr-FR"/>
        </w:rPr>
        <w:drawing>
          <wp:inline distT="0" distB="0" distL="0" distR="0">
            <wp:extent cx="4244868" cy="4514850"/>
            <wp:effectExtent l="0" t="0" r="381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 S2_AETA-m characterisation_extra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673" cy="452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C15" w:rsidRPr="003243FB" w:rsidRDefault="00AF1C15" w:rsidP="00AF1C15">
      <w:pPr>
        <w:spacing w:after="0" w:line="360" w:lineRule="auto"/>
        <w:jc w:val="both"/>
        <w:rPr>
          <w:lang w:val="en-US"/>
        </w:rPr>
      </w:pPr>
      <w:r w:rsidRPr="003243FB">
        <w:rPr>
          <w:rFonts w:ascii="Calibri" w:hAnsi="Calibri" w:cs="Calibri"/>
          <w:b/>
          <w:lang w:val="en-US"/>
        </w:rPr>
        <w:t xml:space="preserve">Figure S2 (related to Figure 2): Additional characterization of AETA-m mice overexpressing secreted human AETA in the brain. </w:t>
      </w:r>
      <w:bookmarkStart w:id="1" w:name="OLE_LINK5"/>
      <w:r w:rsidRPr="003243FB">
        <w:rPr>
          <w:rFonts w:ascii="Calibri" w:hAnsi="Calibri" w:cs="Calibri"/>
          <w:b/>
          <w:lang w:val="en-US"/>
        </w:rPr>
        <w:t>(a)</w:t>
      </w:r>
      <w:r w:rsidRPr="003243FB">
        <w:rPr>
          <w:rFonts w:ascii="Calibri" w:hAnsi="Calibri" w:cs="Calibri"/>
          <w:lang w:val="en-US"/>
        </w:rPr>
        <w:t xml:space="preserve"> (left) Immunoblot for quantification (2E9 antibody) of</w:t>
      </w:r>
      <w:r w:rsidR="00EE3519">
        <w:rPr>
          <w:rFonts w:ascii="Calibri" w:hAnsi="Calibri" w:cs="Calibri"/>
          <w:lang w:val="en-US"/>
        </w:rPr>
        <w:t xml:space="preserve"> recombinant human AETA</w:t>
      </w:r>
      <w:r w:rsidRPr="003243FB">
        <w:rPr>
          <w:rFonts w:ascii="Calibri" w:hAnsi="Calibri" w:cs="Calibri"/>
          <w:lang w:val="en-US"/>
        </w:rPr>
        <w:t xml:space="preserve"> in hippocampi of four AETA-m mice (6 months old; M1-M4). The quantification was made against a standard curve of synthetic AETA (1, 10, 20, 30, 40 ng). Note that </w:t>
      </w:r>
      <w:r w:rsidR="00EE3519">
        <w:rPr>
          <w:rFonts w:ascii="Calibri" w:hAnsi="Calibri" w:cs="Calibri"/>
          <w:lang w:val="en-US"/>
        </w:rPr>
        <w:t xml:space="preserve">recombinant </w:t>
      </w:r>
      <w:r w:rsidRPr="003243FB">
        <w:rPr>
          <w:rFonts w:ascii="Calibri" w:hAnsi="Calibri" w:cs="Calibri"/>
          <w:lang w:val="en-US"/>
        </w:rPr>
        <w:t>AETA seems to partially dimerize</w:t>
      </w:r>
      <w:r w:rsidR="00462BB2">
        <w:rPr>
          <w:rFonts w:ascii="Calibri" w:hAnsi="Calibri" w:cs="Calibri"/>
          <w:lang w:val="en-US"/>
        </w:rPr>
        <w:t xml:space="preserve"> both in brain and </w:t>
      </w:r>
      <w:r w:rsidR="00462BB2" w:rsidRPr="00462BB2">
        <w:rPr>
          <w:rFonts w:ascii="Calibri" w:hAnsi="Calibri" w:cs="Calibri"/>
          <w:i/>
          <w:lang w:val="en-US"/>
        </w:rPr>
        <w:t>in vitro</w:t>
      </w:r>
      <w:r w:rsidRPr="003243FB">
        <w:rPr>
          <w:rFonts w:ascii="Calibri" w:hAnsi="Calibri" w:cs="Calibri"/>
          <w:lang w:val="en-US"/>
        </w:rPr>
        <w:t>. (Right) Both bands of the synthetic peptide were used to generate the standard curve and calculate the average AETA quantity (ng/</w:t>
      </w:r>
      <w:r w:rsidRPr="003243FB">
        <w:rPr>
          <w:rFonts w:ascii="Symbol" w:hAnsi="Symbol" w:cs="Calibri"/>
          <w:lang w:val="en-US"/>
        </w:rPr>
        <w:t></w:t>
      </w:r>
      <w:r w:rsidRPr="003243FB">
        <w:rPr>
          <w:rFonts w:ascii="Calibri" w:hAnsi="Calibri" w:cs="Calibri"/>
          <w:lang w:val="en-US"/>
        </w:rPr>
        <w:t xml:space="preserve">g protein) using the equation shown in graph. </w:t>
      </w:r>
      <w:r w:rsidRPr="003243FB">
        <w:rPr>
          <w:rFonts w:ascii="Calibri" w:hAnsi="Calibri" w:cs="Calibri"/>
          <w:b/>
          <w:lang w:val="en-US"/>
        </w:rPr>
        <w:t xml:space="preserve">(b) </w:t>
      </w:r>
      <w:r w:rsidRPr="003243FB">
        <w:rPr>
          <w:rFonts w:ascii="Calibri" w:hAnsi="Calibri" w:cs="Calibri"/>
          <w:lang w:val="en-US"/>
        </w:rPr>
        <w:t>Weight of female WT and AETA-m mice at weaning</w:t>
      </w:r>
      <w:r w:rsidR="00C375DB">
        <w:rPr>
          <w:rFonts w:ascii="Calibri" w:hAnsi="Calibri" w:cs="Calibri"/>
          <w:lang w:val="en-US"/>
        </w:rPr>
        <w:t xml:space="preserve"> (21 days after birth)</w:t>
      </w:r>
      <w:r w:rsidRPr="003243FB">
        <w:rPr>
          <w:rFonts w:ascii="Calibri" w:hAnsi="Calibri" w:cs="Calibri"/>
          <w:lang w:val="en-US"/>
        </w:rPr>
        <w:t>.</w:t>
      </w:r>
      <w:bookmarkEnd w:id="1"/>
      <w:r w:rsidRPr="003243FB">
        <w:rPr>
          <w:rFonts w:ascii="Calibri" w:hAnsi="Calibri" w:cs="Calibri"/>
          <w:lang w:val="en-US"/>
        </w:rPr>
        <w:t xml:space="preserve"> </w:t>
      </w:r>
      <w:r w:rsidRPr="003243FB">
        <w:rPr>
          <w:rFonts w:ascii="Calibri" w:hAnsi="Calibri" w:cs="Calibri"/>
          <w:b/>
          <w:lang w:val="en-US"/>
        </w:rPr>
        <w:t>(c)</w:t>
      </w:r>
      <w:r w:rsidRPr="003243FB">
        <w:rPr>
          <w:rFonts w:ascii="Calibri" w:hAnsi="Calibri" w:cs="Calibri"/>
          <w:lang w:val="en-US"/>
        </w:rPr>
        <w:t xml:space="preserve"> Weight of female WT and AETA-m mice at 6-8 months of age. </w:t>
      </w:r>
      <w:r w:rsidRPr="003243FB">
        <w:rPr>
          <w:rFonts w:ascii="Calibri" w:hAnsi="Calibri" w:cs="Calibri"/>
          <w:b/>
          <w:lang w:val="en-US"/>
        </w:rPr>
        <w:t>(d)</w:t>
      </w:r>
      <w:r w:rsidRPr="003243FB">
        <w:rPr>
          <w:rFonts w:ascii="Calibri" w:hAnsi="Calibri" w:cs="Calibri"/>
          <w:lang w:val="en-US"/>
        </w:rPr>
        <w:t xml:space="preserve"> Example of cresyl violet staining of hippocampi of WT and AETA-m mice and measure of CA1 cell body layer thickness in these slices. </w:t>
      </w:r>
      <w:r w:rsidRPr="003243FB">
        <w:rPr>
          <w:rFonts w:ascii="Calibri" w:hAnsi="Calibri" w:cs="Calibri"/>
          <w:b/>
          <w:lang w:val="en-US"/>
        </w:rPr>
        <w:t>(e)</w:t>
      </w:r>
      <w:r w:rsidRPr="003243FB">
        <w:rPr>
          <w:rFonts w:ascii="Calibri" w:hAnsi="Calibri" w:cs="Calibri"/>
          <w:lang w:val="en-US"/>
        </w:rPr>
        <w:t xml:space="preserve"> Quantification of endogenous levels of CTF-</w:t>
      </w:r>
      <w:r w:rsidRPr="003243FB">
        <w:rPr>
          <w:rFonts w:ascii="Symbol" w:hAnsi="Symbol" w:cs="Calibri"/>
          <w:lang w:val="en-US"/>
        </w:rPr>
        <w:t></w:t>
      </w:r>
      <w:r w:rsidRPr="003243FB">
        <w:rPr>
          <w:rFonts w:ascii="Calibri" w:hAnsi="Calibri" w:cs="Calibri"/>
          <w:lang w:val="en-US"/>
        </w:rPr>
        <w:t xml:space="preserve">, full-length APP (APP-FL) and sAPP </w:t>
      </w:r>
      <w:r w:rsidRPr="003243FB">
        <w:rPr>
          <w:rFonts w:ascii="Symbol" w:hAnsi="Symbol" w:cs="Calibri"/>
          <w:lang w:val="en-US"/>
        </w:rPr>
        <w:t></w:t>
      </w:r>
      <w:r w:rsidRPr="003243FB">
        <w:rPr>
          <w:rFonts w:ascii="Symbol" w:hAnsi="Symbol" w:cs="Calibri"/>
          <w:lang w:val="en-US"/>
        </w:rPr>
        <w:t></w:t>
      </w:r>
      <w:r w:rsidRPr="003243FB">
        <w:rPr>
          <w:rFonts w:ascii="Symbol" w:hAnsi="Symbol" w:cs="Calibri"/>
          <w:lang w:val="en-US"/>
        </w:rPr>
        <w:t></w:t>
      </w:r>
      <w:r w:rsidRPr="003243FB">
        <w:rPr>
          <w:rFonts w:ascii="Calibri" w:hAnsi="Calibri" w:cs="Calibri"/>
          <w:lang w:val="en-US"/>
        </w:rPr>
        <w:t xml:space="preserve"> in WT and AETA-m mouse brains by immunoblotting. </w:t>
      </w:r>
      <w:r w:rsidR="00EE3519" w:rsidRPr="00E25875">
        <w:rPr>
          <w:lang w:val="en-US"/>
        </w:rPr>
        <w:t xml:space="preserve">Full blots used for analysis are provided in </w:t>
      </w:r>
      <w:r w:rsidR="007B14AB">
        <w:rPr>
          <w:lang w:val="en-US"/>
        </w:rPr>
        <w:t xml:space="preserve">Supplemental </w:t>
      </w:r>
      <w:r w:rsidR="00EE3519" w:rsidRPr="00E25875">
        <w:rPr>
          <w:lang w:val="en-US"/>
        </w:rPr>
        <w:t>material.</w:t>
      </w:r>
      <w:r w:rsidR="00EE3519">
        <w:rPr>
          <w:lang w:val="en-US"/>
        </w:rPr>
        <w:t xml:space="preserve"> </w:t>
      </w:r>
      <w:r w:rsidRPr="003243FB">
        <w:rPr>
          <w:rFonts w:ascii="Calibri" w:hAnsi="Calibri" w:cs="Calibri"/>
          <w:lang w:val="en-US"/>
        </w:rPr>
        <w:t>Three mouse brains per genotype were processed in triplicat</w:t>
      </w:r>
      <w:r w:rsidR="00321ECC">
        <w:rPr>
          <w:rFonts w:ascii="Calibri" w:hAnsi="Calibri" w:cs="Calibri"/>
          <w:lang w:val="en-US"/>
        </w:rPr>
        <w:t>es.  N= number of mice for b-c;</w:t>
      </w:r>
      <w:r w:rsidRPr="003243FB">
        <w:rPr>
          <w:rFonts w:ascii="Calibri" w:hAnsi="Calibri" w:cs="Calibri"/>
          <w:lang w:val="en-US"/>
        </w:rPr>
        <w:t xml:space="preserve"> n/N: number of slices/number of mice for d; n/N: number of replicates/number of mice for e.  </w:t>
      </w:r>
      <w:r w:rsidRPr="003243FB">
        <w:rPr>
          <w:lang w:val="en-US"/>
        </w:rPr>
        <w:t xml:space="preserve">Error bars represent s.e.m. </w:t>
      </w:r>
      <w:r w:rsidR="00C375DB">
        <w:rPr>
          <w:lang w:val="en-US"/>
        </w:rPr>
        <w:t xml:space="preserve">Statistics: Mann-Whitney test for b, c, e left and e right. Student t-test for d and e center. </w:t>
      </w:r>
      <w:r w:rsidRPr="003243FB">
        <w:rPr>
          <w:lang w:val="en-US"/>
        </w:rPr>
        <w:t xml:space="preserve">See full statistics in </w:t>
      </w:r>
      <w:r w:rsidR="007B14AB">
        <w:rPr>
          <w:lang w:val="en-US"/>
        </w:rPr>
        <w:t xml:space="preserve">Supplemental </w:t>
      </w:r>
      <w:r w:rsidRPr="003243FB">
        <w:rPr>
          <w:lang w:val="en-US"/>
        </w:rPr>
        <w:t>Table S</w:t>
      </w:r>
      <w:r w:rsidR="009E13A1">
        <w:rPr>
          <w:lang w:val="en-US"/>
        </w:rPr>
        <w:t>10</w:t>
      </w:r>
      <w:r w:rsidRPr="003243FB">
        <w:rPr>
          <w:lang w:val="en-US"/>
        </w:rPr>
        <w:t>.</w:t>
      </w:r>
    </w:p>
    <w:p w:rsidR="00AF1C15" w:rsidRPr="003243FB" w:rsidRDefault="00AF1C15" w:rsidP="00AF1C15">
      <w:pPr>
        <w:rPr>
          <w:rFonts w:ascii="Calibri" w:hAnsi="Calibri" w:cs="Calibri"/>
          <w:lang w:val="en-US"/>
        </w:rPr>
      </w:pPr>
      <w:r w:rsidRPr="003243FB">
        <w:rPr>
          <w:rFonts w:ascii="Calibri" w:hAnsi="Calibri" w:cs="Calibri"/>
          <w:noProof/>
          <w:lang w:eastAsia="fr-FR"/>
        </w:rPr>
        <w:lastRenderedPageBreak/>
        <w:drawing>
          <wp:inline distT="0" distB="0" distL="0" distR="0" wp14:anchorId="0D5EE4A2" wp14:editId="0C75CEEE">
            <wp:extent cx="5760720" cy="63652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3- Neuroinflammation and Tau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6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C15" w:rsidRPr="009E13A1" w:rsidRDefault="00AF1C15" w:rsidP="00AF1C15">
      <w:pPr>
        <w:autoSpaceDE w:val="0"/>
        <w:autoSpaceDN w:val="0"/>
        <w:adjustRightInd w:val="0"/>
        <w:spacing w:after="0" w:line="360" w:lineRule="auto"/>
        <w:jc w:val="both"/>
        <w:rPr>
          <w:lang w:val="en-US"/>
        </w:rPr>
      </w:pPr>
      <w:r w:rsidRPr="003243FB">
        <w:rPr>
          <w:rFonts w:ascii="Calibri" w:hAnsi="Calibri" w:cs="Calibri"/>
          <w:b/>
          <w:lang w:val="en-US"/>
        </w:rPr>
        <w:t xml:space="preserve">Figure S3 (related to Figure 2): </w:t>
      </w:r>
      <w:r w:rsidRPr="003243FB">
        <w:rPr>
          <w:b/>
          <w:lang w:val="en-US"/>
        </w:rPr>
        <w:t>Status of</w:t>
      </w:r>
      <w:r w:rsidR="00B25D9D">
        <w:rPr>
          <w:b/>
          <w:lang w:val="en-US"/>
        </w:rPr>
        <w:t xml:space="preserve"> neuroinflammatory markers and T</w:t>
      </w:r>
      <w:r w:rsidRPr="003243FB">
        <w:rPr>
          <w:b/>
          <w:lang w:val="en-US"/>
        </w:rPr>
        <w:t>au phosphorylation in AETA-m mice.</w:t>
      </w:r>
      <w:r w:rsidRPr="003243FB">
        <w:rPr>
          <w:lang w:val="en-US"/>
        </w:rPr>
        <w:t xml:space="preserve"> </w:t>
      </w:r>
      <w:r w:rsidRPr="003243FB">
        <w:rPr>
          <w:rFonts w:ascii="Calibri" w:hAnsi="Calibri" w:cs="Calibri"/>
          <w:b/>
          <w:lang w:val="en-US"/>
        </w:rPr>
        <w:t>(a-b)</w:t>
      </w:r>
      <w:r w:rsidRPr="003243FB">
        <w:rPr>
          <w:rFonts w:ascii="Calibri" w:hAnsi="Calibri" w:cs="Calibri"/>
          <w:lang w:val="en-US"/>
        </w:rPr>
        <w:t xml:space="preserve"> mRNA expression levels, quantified by qPCR, of markers of neuroinflammation (Trem2, C1qa, ccl4 and Vim) in 6-8 months old (a) female and (b) male WT and AETA-m mice. </w:t>
      </w:r>
      <w:r w:rsidRPr="009A020D">
        <w:rPr>
          <w:rFonts w:ascii="Calibri" w:hAnsi="Calibri" w:cs="Calibri"/>
          <w:b/>
          <w:lang w:val="en-US"/>
        </w:rPr>
        <w:t xml:space="preserve"> (</w:t>
      </w:r>
      <w:r w:rsidRPr="003243FB">
        <w:rPr>
          <w:rFonts w:ascii="Calibri" w:hAnsi="Calibri" w:cs="Calibri"/>
          <w:b/>
          <w:lang w:val="en-US"/>
        </w:rPr>
        <w:t>c-d)</w:t>
      </w:r>
      <w:r w:rsidRPr="003243FB">
        <w:rPr>
          <w:rFonts w:ascii="Calibri" w:hAnsi="Calibri" w:cs="Calibri"/>
          <w:lang w:val="en-US"/>
        </w:rPr>
        <w:t xml:space="preserve"> Immunoblots and associated quantification of endogenous levels of tau phosphorylation at pos</w:t>
      </w:r>
      <w:r w:rsidR="009A020D">
        <w:rPr>
          <w:rFonts w:ascii="Calibri" w:hAnsi="Calibri" w:cs="Calibri"/>
          <w:lang w:val="en-US"/>
        </w:rPr>
        <w:t>itions (c) S199 and (d) S396</w:t>
      </w:r>
      <w:r w:rsidRPr="003243FB">
        <w:rPr>
          <w:rFonts w:ascii="Calibri" w:hAnsi="Calibri" w:cs="Calibri"/>
          <w:lang w:val="en-US"/>
        </w:rPr>
        <w:t xml:space="preserve"> in 6-8 months old female mice. </w:t>
      </w:r>
      <w:r w:rsidR="00EE3519" w:rsidRPr="00E25875">
        <w:rPr>
          <w:lang w:val="en-US"/>
        </w:rPr>
        <w:t xml:space="preserve">Full blots used for analysis are provided in </w:t>
      </w:r>
      <w:r w:rsidR="007B14AB">
        <w:rPr>
          <w:lang w:val="en-US"/>
        </w:rPr>
        <w:t xml:space="preserve">Supplemental </w:t>
      </w:r>
      <w:r w:rsidR="00EE3519" w:rsidRPr="00E25875">
        <w:rPr>
          <w:lang w:val="en-US"/>
        </w:rPr>
        <w:t>material.</w:t>
      </w:r>
      <w:r w:rsidR="00EE3519">
        <w:rPr>
          <w:lang w:val="en-US"/>
        </w:rPr>
        <w:t xml:space="preserve"> </w:t>
      </w:r>
      <w:r w:rsidRPr="003243FB">
        <w:rPr>
          <w:rFonts w:ascii="Calibri" w:hAnsi="Calibri" w:cs="Calibri"/>
          <w:lang w:val="en-US"/>
        </w:rPr>
        <w:t xml:space="preserve">N= number of mice. </w:t>
      </w:r>
      <w:r w:rsidRPr="003243FB">
        <w:rPr>
          <w:lang w:val="en-US"/>
        </w:rPr>
        <w:t>Error bars represent s.e.m.; ** p &lt; 0.01. Statistics:  Student t-test</w:t>
      </w:r>
      <w:r w:rsidR="00B25D9D">
        <w:rPr>
          <w:lang w:val="en-US"/>
        </w:rPr>
        <w:t xml:space="preserve"> for all expect for Vim quantification in males where Mann-</w:t>
      </w:r>
      <w:r w:rsidR="00CE02D3">
        <w:rPr>
          <w:lang w:val="en-US"/>
        </w:rPr>
        <w:t>Whitney</w:t>
      </w:r>
      <w:r w:rsidR="00B25D9D">
        <w:rPr>
          <w:lang w:val="en-US"/>
        </w:rPr>
        <w:t xml:space="preserve"> was used</w:t>
      </w:r>
      <w:r w:rsidRPr="003243FB">
        <w:rPr>
          <w:lang w:val="en-US"/>
        </w:rPr>
        <w:t>. See full stat</w:t>
      </w:r>
      <w:r>
        <w:rPr>
          <w:lang w:val="en-US"/>
        </w:rPr>
        <w:t>i</w:t>
      </w:r>
      <w:r w:rsidR="00855858">
        <w:rPr>
          <w:lang w:val="en-US"/>
        </w:rPr>
        <w:t>stics i</w:t>
      </w:r>
      <w:r w:rsidR="009E13A1">
        <w:rPr>
          <w:lang w:val="en-US"/>
        </w:rPr>
        <w:t xml:space="preserve">n </w:t>
      </w:r>
      <w:r w:rsidR="007B14AB">
        <w:rPr>
          <w:lang w:val="en-US"/>
        </w:rPr>
        <w:t xml:space="preserve">Supplemental </w:t>
      </w:r>
      <w:r w:rsidR="009E13A1">
        <w:rPr>
          <w:lang w:val="en-US"/>
        </w:rPr>
        <w:t>Table S11</w:t>
      </w:r>
      <w:r w:rsidRPr="003243FB">
        <w:rPr>
          <w:lang w:val="en-US"/>
        </w:rPr>
        <w:t>.</w:t>
      </w:r>
    </w:p>
    <w:p w:rsidR="00AF1C15" w:rsidRPr="003243FB" w:rsidRDefault="00AF1C15" w:rsidP="00AF1C15">
      <w:pPr>
        <w:rPr>
          <w:rFonts w:ascii="Calibri" w:hAnsi="Calibri" w:cs="Calibri"/>
          <w:b/>
          <w:lang w:val="en-US"/>
        </w:rPr>
      </w:pPr>
    </w:p>
    <w:p w:rsidR="00AF1C15" w:rsidRPr="003243FB" w:rsidRDefault="00AF1C15" w:rsidP="00AF1C15">
      <w:pPr>
        <w:spacing w:after="0" w:line="360" w:lineRule="auto"/>
        <w:jc w:val="both"/>
        <w:rPr>
          <w:rFonts w:ascii="Calibri" w:hAnsi="Calibri" w:cs="Calibri"/>
          <w:lang w:val="en-US"/>
        </w:rPr>
      </w:pPr>
    </w:p>
    <w:p w:rsidR="00AF1C15" w:rsidRPr="003243FB" w:rsidRDefault="00191FB4" w:rsidP="00AF1C15">
      <w:pPr>
        <w:spacing w:after="0" w:line="360" w:lineRule="auto"/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fr-FR"/>
        </w:rPr>
        <w:drawing>
          <wp:inline distT="0" distB="0" distL="0" distR="0">
            <wp:extent cx="5391150" cy="5212277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S4_Synapse plasticity_extra data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005" cy="521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C15" w:rsidRPr="003243FB" w:rsidRDefault="00AF1C15" w:rsidP="00AF1C15">
      <w:pPr>
        <w:spacing w:after="0" w:line="360" w:lineRule="auto"/>
        <w:jc w:val="both"/>
        <w:rPr>
          <w:b/>
          <w:lang w:val="en-US"/>
        </w:rPr>
      </w:pPr>
      <w:r w:rsidRPr="003243FB">
        <w:rPr>
          <w:rFonts w:ascii="Calibri" w:hAnsi="Calibri" w:cs="Calibri"/>
          <w:b/>
          <w:lang w:val="en-US"/>
        </w:rPr>
        <w:t>Figure S4</w:t>
      </w:r>
      <w:r w:rsidRPr="003243FB">
        <w:rPr>
          <w:b/>
          <w:lang w:val="en-US"/>
        </w:rPr>
        <w:t xml:space="preserve"> (related to Figure 3): Additional data of synapse function, plasticity and spine density </w:t>
      </w:r>
      <w:r w:rsidR="00CE02D3">
        <w:rPr>
          <w:b/>
          <w:lang w:val="en-US"/>
        </w:rPr>
        <w:t>in</w:t>
      </w:r>
      <w:r w:rsidRPr="003243FB">
        <w:rPr>
          <w:b/>
          <w:lang w:val="en-US"/>
        </w:rPr>
        <w:t xml:space="preserve"> CA1 pyramidal neurons of AETA-m mice.</w:t>
      </w:r>
      <w:r w:rsidRPr="003243FB">
        <w:rPr>
          <w:lang w:val="en-US"/>
        </w:rPr>
        <w:t xml:space="preserve"> </w:t>
      </w:r>
      <w:r w:rsidRPr="003243FB">
        <w:rPr>
          <w:b/>
          <w:lang w:val="en-US"/>
        </w:rPr>
        <w:t xml:space="preserve">(a) </w:t>
      </w:r>
      <w:r w:rsidRPr="003243FB">
        <w:rPr>
          <w:rFonts w:ascii="Calibri" w:hAnsi="Calibri" w:cs="Calibri"/>
          <w:lang w:val="en-US"/>
        </w:rPr>
        <w:t>Time course (left; LTP induction at time 0) and bar graph (right, 45-60 min post-induction) of long-term potentiation of fEPSP slope (% baseline) at CA3-CA1 synapse in hippocampal slices of male WT and AETA-m mice.</w:t>
      </w:r>
      <w:r w:rsidRPr="003243FB">
        <w:rPr>
          <w:b/>
          <w:lang w:val="en-US"/>
        </w:rPr>
        <w:t xml:space="preserve"> (b)</w:t>
      </w:r>
      <w:r w:rsidRPr="003243FB">
        <w:rPr>
          <w:lang w:val="en-US"/>
        </w:rPr>
        <w:t xml:space="preserve"> Representative traces (left) and paired pulse ratio (pulse 2/pulse 1) </w:t>
      </w:r>
      <w:r w:rsidR="00CE02D3">
        <w:rPr>
          <w:lang w:val="en-US"/>
        </w:rPr>
        <w:t xml:space="preserve">analysis </w:t>
      </w:r>
      <w:r w:rsidRPr="003243FB">
        <w:rPr>
          <w:lang w:val="en-US"/>
        </w:rPr>
        <w:t xml:space="preserve">(right) </w:t>
      </w:r>
      <w:r w:rsidR="00CE02D3">
        <w:rPr>
          <w:lang w:val="en-US"/>
        </w:rPr>
        <w:t>measured</w:t>
      </w:r>
      <w:r w:rsidRPr="003243FB">
        <w:rPr>
          <w:lang w:val="en-US"/>
        </w:rPr>
        <w:t xml:space="preserve"> in CA1 </w:t>
      </w:r>
      <w:r w:rsidR="00CE02D3">
        <w:rPr>
          <w:lang w:val="en-US"/>
        </w:rPr>
        <w:t xml:space="preserve">pyramidal </w:t>
      </w:r>
      <w:r w:rsidRPr="003243FB">
        <w:rPr>
          <w:lang w:val="en-US"/>
        </w:rPr>
        <w:t xml:space="preserve">neurons of female WT and AETA-m mice. </w:t>
      </w:r>
      <w:r w:rsidRPr="003243FB">
        <w:rPr>
          <w:b/>
          <w:lang w:val="en-US"/>
        </w:rPr>
        <w:t xml:space="preserve">(c-d) </w:t>
      </w:r>
      <w:r w:rsidRPr="003243FB">
        <w:rPr>
          <w:rFonts w:ascii="Calibri" w:hAnsi="Calibri" w:cs="Calibri"/>
          <w:lang w:val="en-US"/>
        </w:rPr>
        <w:t xml:space="preserve">Time course (LTP induction at time 0) and bar graph (45-60 min post-induction) of long-term potentiation of fEPSP slope (% baseline) at CA3-CA1 synapse in hippocampal slices of male WT and AETA-m mice recorded with aCSF containing high calcium. </w:t>
      </w:r>
      <w:r w:rsidRPr="003243FB">
        <w:rPr>
          <w:rFonts w:ascii="Calibri" w:hAnsi="Calibri" w:cs="Calibri"/>
          <w:b/>
          <w:lang w:val="en-US"/>
        </w:rPr>
        <w:t>(e)</w:t>
      </w:r>
      <w:r w:rsidRPr="003243FB">
        <w:rPr>
          <w:rFonts w:ascii="Calibri" w:hAnsi="Calibri" w:cs="Calibri"/>
          <w:lang w:val="en-US"/>
        </w:rPr>
        <w:t xml:space="preserve"> </w:t>
      </w:r>
      <w:r w:rsidR="00F62C28">
        <w:rPr>
          <w:rFonts w:ascii="Calibri" w:hAnsi="Calibri" w:cs="Calibri"/>
          <w:lang w:val="en-US"/>
        </w:rPr>
        <w:t>S</w:t>
      </w:r>
      <w:r w:rsidRPr="003243FB">
        <w:rPr>
          <w:rFonts w:ascii="Calibri" w:hAnsi="Calibri" w:cs="Calibri"/>
          <w:lang w:val="en-US"/>
        </w:rPr>
        <w:t>pine density measured on segments from dendrites present in the stratum radiatum of CA1 pyramidal neurons from male WT and AETA-m mice.</w:t>
      </w:r>
      <w:r w:rsidRPr="003243FB">
        <w:rPr>
          <w:lang w:val="en-US"/>
        </w:rPr>
        <w:t xml:space="preserve"> Error bars represent s.e.m.;</w:t>
      </w:r>
      <w:r w:rsidR="00CE02D3">
        <w:rPr>
          <w:lang w:val="en-US"/>
        </w:rPr>
        <w:t xml:space="preserve"> *** p &lt; 0.001; **** p &lt; 0.0001</w:t>
      </w:r>
      <w:r w:rsidRPr="003243FB">
        <w:rPr>
          <w:lang w:val="en-US"/>
        </w:rPr>
        <w:t>.</w:t>
      </w:r>
      <w:r w:rsidRPr="003243FB">
        <w:rPr>
          <w:rFonts w:ascii="Calibri" w:hAnsi="Calibri" w:cs="Calibri"/>
          <w:lang w:val="en-US"/>
        </w:rPr>
        <w:t xml:space="preserve"> n/N= number of slices/mice</w:t>
      </w:r>
      <w:r w:rsidR="00CE02D3">
        <w:rPr>
          <w:rFonts w:ascii="Calibri" w:hAnsi="Calibri" w:cs="Calibri"/>
          <w:lang w:val="en-US"/>
        </w:rPr>
        <w:t xml:space="preserve"> for a, c and d; n/N= number of cells/mice for b; n/N= number of segments/mice for e</w:t>
      </w:r>
      <w:r w:rsidRPr="003243FB">
        <w:rPr>
          <w:rFonts w:ascii="Calibri" w:hAnsi="Calibri" w:cs="Calibri"/>
          <w:lang w:val="en-US"/>
        </w:rPr>
        <w:t xml:space="preserve">. </w:t>
      </w:r>
      <w:r w:rsidR="00CE02D3">
        <w:rPr>
          <w:rFonts w:ascii="Calibri" w:hAnsi="Calibri" w:cs="Calibri"/>
          <w:lang w:val="en-US"/>
        </w:rPr>
        <w:t xml:space="preserve">Statistics : Student t-test for a and d; Two-way ANOVA for b; Mann-Whitney for e. </w:t>
      </w:r>
      <w:r w:rsidRPr="003243FB">
        <w:rPr>
          <w:lang w:val="en-US"/>
        </w:rPr>
        <w:t xml:space="preserve">See full statistics in </w:t>
      </w:r>
      <w:r w:rsidR="007B14AB">
        <w:rPr>
          <w:lang w:val="en-US"/>
        </w:rPr>
        <w:t xml:space="preserve">Supplemental </w:t>
      </w:r>
      <w:r w:rsidRPr="003243FB">
        <w:rPr>
          <w:lang w:val="en-US"/>
        </w:rPr>
        <w:t>Table S</w:t>
      </w:r>
      <w:r w:rsidR="009E13A1">
        <w:rPr>
          <w:lang w:val="en-US"/>
        </w:rPr>
        <w:t>13</w:t>
      </w:r>
      <w:r w:rsidRPr="003243FB">
        <w:rPr>
          <w:lang w:val="en-US"/>
        </w:rPr>
        <w:t xml:space="preserve">.  </w:t>
      </w:r>
    </w:p>
    <w:p w:rsidR="00AF1C15" w:rsidRPr="000D006A" w:rsidRDefault="000D006A" w:rsidP="00AF1C15">
      <w:pPr>
        <w:spacing w:after="0" w:line="360" w:lineRule="auto"/>
        <w:jc w:val="both"/>
        <w:rPr>
          <w:rFonts w:ascii="Calibri" w:hAnsi="Calibri" w:cs="Calibri"/>
          <w:lang w:val="en-US"/>
        </w:rPr>
      </w:pPr>
      <w:bookmarkStart w:id="2" w:name="_GoBack"/>
      <w:r>
        <w:rPr>
          <w:rFonts w:ascii="Calibri" w:hAnsi="Calibri" w:cs="Calibri"/>
          <w:noProof/>
          <w:lang w:eastAsia="fr-FR"/>
        </w:rPr>
        <w:lastRenderedPageBreak/>
        <w:drawing>
          <wp:inline distT="0" distB="0" distL="0" distR="0">
            <wp:extent cx="5048234" cy="6429375"/>
            <wp:effectExtent l="0" t="0" r="63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5_Fig Supp_behavior_MWM_Males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162" cy="644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:rsidR="00D831E9" w:rsidRPr="00DA2A99" w:rsidRDefault="00AF1C15" w:rsidP="00DA2A99">
      <w:pPr>
        <w:spacing w:line="360" w:lineRule="auto"/>
        <w:jc w:val="both"/>
        <w:rPr>
          <w:lang w:val="en-US"/>
        </w:rPr>
      </w:pPr>
      <w:bookmarkStart w:id="3" w:name="OLE_LINK2"/>
      <w:r w:rsidRPr="003243FB">
        <w:rPr>
          <w:b/>
          <w:lang w:val="en-US"/>
        </w:rPr>
        <w:t>Figure S5 (related to Figure 4):  Long-term memory in male AETA-m mice.</w:t>
      </w:r>
      <w:r w:rsidRPr="003243FB">
        <w:rPr>
          <w:lang w:val="en-US"/>
        </w:rPr>
        <w:t xml:space="preserve"> </w:t>
      </w:r>
      <w:r w:rsidRPr="003243FB">
        <w:rPr>
          <w:b/>
          <w:lang w:val="en-US"/>
        </w:rPr>
        <w:t>(a)</w:t>
      </w:r>
      <w:r w:rsidRPr="003243FB">
        <w:rPr>
          <w:lang w:val="en-US"/>
        </w:rPr>
        <w:t xml:space="preserve"> Latency (s) during cue task and training in 90 cm Morris water maze pool. </w:t>
      </w:r>
      <w:r w:rsidRPr="003243FB">
        <w:rPr>
          <w:b/>
          <w:lang w:val="en-US"/>
        </w:rPr>
        <w:t>(b-c)</w:t>
      </w:r>
      <w:r w:rsidRPr="003243FB">
        <w:rPr>
          <w:lang w:val="en-US"/>
        </w:rPr>
        <w:t xml:space="preserve"> % time spend in quadrants (T: target, L: left, R: right, O: opposite) during probe test (b) at 24h, (c) at 7 days.</w:t>
      </w:r>
      <w:r w:rsidRPr="003243FB">
        <w:rPr>
          <w:b/>
          <w:lang w:val="en-US"/>
        </w:rPr>
        <w:t xml:space="preserve"> (d)</w:t>
      </w:r>
      <w:r w:rsidR="00EE3519">
        <w:rPr>
          <w:lang w:val="en-US"/>
        </w:rPr>
        <w:t xml:space="preserve"> Time spent in platform zone</w:t>
      </w:r>
      <w:r w:rsidRPr="003243FB">
        <w:rPr>
          <w:lang w:val="en-US"/>
        </w:rPr>
        <w:t xml:space="preserve"> at 24h and 7 days. </w:t>
      </w:r>
      <w:r w:rsidRPr="003243FB">
        <w:rPr>
          <w:b/>
          <w:lang w:val="en-US"/>
        </w:rPr>
        <w:t>(e)</w:t>
      </w:r>
      <w:r w:rsidRPr="003243FB">
        <w:rPr>
          <w:lang w:val="en-US"/>
        </w:rPr>
        <w:t xml:space="preserve"> Number of platform crossing at 24h and 7 days. </w:t>
      </w:r>
      <w:r w:rsidRPr="003243FB">
        <w:rPr>
          <w:b/>
          <w:lang w:val="en-US"/>
        </w:rPr>
        <w:t>(f)</w:t>
      </w:r>
      <w:r w:rsidRPr="003243FB">
        <w:rPr>
          <w:lang w:val="en-US"/>
        </w:rPr>
        <w:t xml:space="preserve"> Latency (s) during cue task and training in 150 cm Morris water maze pool. </w:t>
      </w:r>
      <w:r w:rsidRPr="003243FB">
        <w:rPr>
          <w:b/>
          <w:lang w:val="en-US"/>
        </w:rPr>
        <w:t>(g-h)</w:t>
      </w:r>
      <w:r w:rsidRPr="003243FB">
        <w:rPr>
          <w:lang w:val="en-US"/>
        </w:rPr>
        <w:t xml:space="preserve"> % time spend in quadrants during probe test at 24h and</w:t>
      </w:r>
      <w:r w:rsidRPr="003243FB">
        <w:rPr>
          <w:b/>
          <w:lang w:val="en-US"/>
        </w:rPr>
        <w:t xml:space="preserve"> </w:t>
      </w:r>
      <w:r w:rsidRPr="003243FB">
        <w:rPr>
          <w:lang w:val="en-US"/>
        </w:rPr>
        <w:t>at 7 days.</w:t>
      </w:r>
      <w:r w:rsidRPr="003243FB">
        <w:rPr>
          <w:b/>
          <w:lang w:val="en-US"/>
        </w:rPr>
        <w:t xml:space="preserve"> (i)</w:t>
      </w:r>
      <w:r w:rsidRPr="003243FB">
        <w:rPr>
          <w:lang w:val="en-US"/>
        </w:rPr>
        <w:t xml:space="preserve"> Time spent in platform zone at 24h and 7 days. </w:t>
      </w:r>
      <w:r w:rsidRPr="003243FB">
        <w:rPr>
          <w:b/>
          <w:lang w:val="en-US"/>
        </w:rPr>
        <w:t>(j)</w:t>
      </w:r>
      <w:r w:rsidRPr="003243FB">
        <w:rPr>
          <w:lang w:val="en-US"/>
        </w:rPr>
        <w:t xml:space="preserve"> Number of platform crossing at 24h and 7 days.  N= number of mice. Error bars represent s.e.m.; *p &lt; 0.01; ** p &lt; 0.001; *** p &lt; 0.0001; **** p &lt; 0.0001 between WT and AETA-m or against chance level (25%) as indicated. </w:t>
      </w:r>
      <w:r w:rsidR="00484E79">
        <w:rPr>
          <w:lang w:val="en-US"/>
        </w:rPr>
        <w:t xml:space="preserve">Statistics: two-way ANOVA. </w:t>
      </w:r>
      <w:r w:rsidRPr="003243FB">
        <w:rPr>
          <w:lang w:val="en-US"/>
        </w:rPr>
        <w:t xml:space="preserve">See full statistics in </w:t>
      </w:r>
      <w:r w:rsidR="007B14AB">
        <w:rPr>
          <w:lang w:val="en-US"/>
        </w:rPr>
        <w:t xml:space="preserve">Supplemental </w:t>
      </w:r>
      <w:r w:rsidRPr="003243FB">
        <w:rPr>
          <w:lang w:val="en-US"/>
        </w:rPr>
        <w:t>Table S</w:t>
      </w:r>
      <w:r w:rsidR="009E13A1">
        <w:rPr>
          <w:lang w:val="en-US"/>
        </w:rPr>
        <w:t>15</w:t>
      </w:r>
      <w:r w:rsidRPr="003243FB">
        <w:rPr>
          <w:lang w:val="en-US"/>
        </w:rPr>
        <w:t>.</w:t>
      </w:r>
      <w:bookmarkEnd w:id="3"/>
    </w:p>
    <w:sectPr w:rsidR="00D831E9" w:rsidRPr="00DA2A99" w:rsidSect="00F7633A">
      <w:pgSz w:w="11906" w:h="16838"/>
      <w:pgMar w:top="1417" w:right="1417" w:bottom="1417" w:left="1417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9F1"/>
    <w:rsid w:val="000D006A"/>
    <w:rsid w:val="00103E6D"/>
    <w:rsid w:val="00191FB4"/>
    <w:rsid w:val="001A404D"/>
    <w:rsid w:val="001F2437"/>
    <w:rsid w:val="0032030D"/>
    <w:rsid w:val="00321ECC"/>
    <w:rsid w:val="0033205A"/>
    <w:rsid w:val="003B5816"/>
    <w:rsid w:val="00434AF6"/>
    <w:rsid w:val="00462BB2"/>
    <w:rsid w:val="00484E79"/>
    <w:rsid w:val="004E2121"/>
    <w:rsid w:val="00592DA1"/>
    <w:rsid w:val="0063417F"/>
    <w:rsid w:val="006D39F1"/>
    <w:rsid w:val="006F6D43"/>
    <w:rsid w:val="007B14AB"/>
    <w:rsid w:val="00855858"/>
    <w:rsid w:val="008672F6"/>
    <w:rsid w:val="008940DA"/>
    <w:rsid w:val="008E6169"/>
    <w:rsid w:val="0092072E"/>
    <w:rsid w:val="009A020D"/>
    <w:rsid w:val="009E0BD2"/>
    <w:rsid w:val="009E13A1"/>
    <w:rsid w:val="00A5165E"/>
    <w:rsid w:val="00A62075"/>
    <w:rsid w:val="00AF1C15"/>
    <w:rsid w:val="00B07811"/>
    <w:rsid w:val="00B25D9D"/>
    <w:rsid w:val="00B30953"/>
    <w:rsid w:val="00B44CBB"/>
    <w:rsid w:val="00C375DB"/>
    <w:rsid w:val="00CE02D3"/>
    <w:rsid w:val="00D56645"/>
    <w:rsid w:val="00D831E9"/>
    <w:rsid w:val="00DA2A99"/>
    <w:rsid w:val="00E545DD"/>
    <w:rsid w:val="00E72959"/>
    <w:rsid w:val="00EE3519"/>
    <w:rsid w:val="00EF52C6"/>
    <w:rsid w:val="00F62C28"/>
    <w:rsid w:val="00F7633A"/>
    <w:rsid w:val="00F85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AA134"/>
  <w15:chartTrackingRefBased/>
  <w15:docId w15:val="{5984A153-4F10-4A04-B530-F0DCCE483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2030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ligne">
    <w:name w:val="line number"/>
    <w:basedOn w:val="Policepardfaut"/>
    <w:uiPriority w:val="99"/>
    <w:semiHidden/>
    <w:unhideWhenUsed/>
    <w:rsid w:val="00F7633A"/>
  </w:style>
  <w:style w:type="paragraph" w:styleId="Rvision">
    <w:name w:val="Revision"/>
    <w:hidden/>
    <w:uiPriority w:val="99"/>
    <w:semiHidden/>
    <w:rsid w:val="00A5165E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8672F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webSettings" Target="webSettings.xml"/><Relationship Id="rId7" Type="http://schemas.openxmlformats.org/officeDocument/2006/relationships/image" Target="media/image3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hyperlink" Target="mailto:jade@ad6d.net" TargetMode="Externa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878</Words>
  <Characters>5480</Characters>
  <Application>Microsoft Office Word</Application>
  <DocSecurity>0</DocSecurity>
  <Lines>111</Lines>
  <Paragraphs>50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Helene</dc:creator>
  <cp:keywords/>
  <dc:description/>
  <cp:lastModifiedBy>IPMC</cp:lastModifiedBy>
  <cp:revision>2</cp:revision>
  <dcterms:created xsi:type="dcterms:W3CDTF">2025-11-24T10:32:00Z</dcterms:created>
  <dcterms:modified xsi:type="dcterms:W3CDTF">2025-11-24T10:32:00Z</dcterms:modified>
</cp:coreProperties>
</file>