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16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Supplementary Material</w:t>
      </w:r>
    </w:p>
    <w:p w14:paraId="27E3ACDA">
      <w:pPr>
        <w:rPr>
          <w:rFonts w:ascii="Times New Roman" w:hAnsi="Times New Roman" w:cs="Times New Roman"/>
          <w:b/>
          <w:bCs/>
          <w:sz w:val="24"/>
        </w:rPr>
      </w:pPr>
    </w:p>
    <w:p w14:paraId="2D4DCCE1">
      <w:pPr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List of Supplementary Tables and Figures</w:t>
      </w:r>
    </w:p>
    <w:p w14:paraId="53F82FCE">
      <w:pPr>
        <w:rPr>
          <w:rFonts w:ascii="Times New Roman" w:hAnsi="Times New Roman" w:cs="Times New Roman"/>
          <w:b/>
          <w:bCs/>
          <w:szCs w:val="21"/>
        </w:rPr>
      </w:pPr>
    </w:p>
    <w:p w14:paraId="6094EC41">
      <w:pPr>
        <w:widowControl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szCs w:val="21"/>
        </w:rPr>
        <w:t>Table</w:t>
      </w:r>
      <w:r>
        <w:rPr>
          <w:rFonts w:ascii="Times New Roman" w:hAnsi="Times New Roman" w:cs="Times New Roman"/>
          <w:b/>
          <w:szCs w:val="21"/>
        </w:rPr>
        <w:t xml:space="preserve"> S1</w:t>
      </w:r>
      <w:r>
        <w:rPr>
          <w:rFonts w:hint="eastAsia" w:ascii="Times New Roman" w:hAnsi="Times New Roman" w:cs="Times New Roman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Comparisons between survivors and </w:t>
      </w:r>
      <w:r>
        <w:rPr>
          <w:rFonts w:hint="default" w:ascii="Times New Roman" w:hAnsi="Times New Roman" w:eastAsia="等线" w:cs="Times New Roman"/>
          <w:color w:val="000000"/>
          <w:sz w:val="21"/>
          <w:szCs w:val="21"/>
        </w:rPr>
        <w:t>non-survivors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sz w:val="21"/>
          <w:szCs w:val="21"/>
        </w:rPr>
        <w:t>based on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0-day outcomes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.</w:t>
      </w:r>
    </w:p>
    <w:p w14:paraId="5B26F173">
      <w:pPr>
        <w:widowControl/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Cs w:val="21"/>
        </w:rPr>
        <w:t>Table S2</w:t>
      </w:r>
      <w:r>
        <w:rPr>
          <w:rFonts w:hint="eastAsia"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Comparisons between survivors and </w:t>
      </w:r>
      <w:r>
        <w:rPr>
          <w:rFonts w:hint="default" w:ascii="Times New Roman" w:hAnsi="Times New Roman" w:eastAsia="等线" w:cs="Times New Roman"/>
          <w:color w:val="000000"/>
          <w:sz w:val="21"/>
          <w:szCs w:val="21"/>
        </w:rPr>
        <w:t>non-survivors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sz w:val="21"/>
          <w:szCs w:val="21"/>
        </w:rPr>
        <w:t>based on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365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-day outcomes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.</w:t>
      </w:r>
    </w:p>
    <w:p w14:paraId="41E89B01">
      <w:pPr>
        <w:rPr>
          <w:rFonts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Figure 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S1.</w:t>
      </w:r>
      <w:r>
        <w:rPr>
          <w:rFonts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Kaplan-Meier survival curves comparing EASIX tertiles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 within 90 days after admission.</w:t>
      </w:r>
    </w:p>
    <w:p w14:paraId="15BDBC0B">
      <w:pP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Figure 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 xml:space="preserve">. Restricted cubic spline analysis of EASIX and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9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0-day all-cause mortality</w:t>
      </w:r>
      <w:r>
        <w:rPr>
          <w:rFonts w:hint="eastAsia" w:ascii="Times New Roman" w:hAnsi="Times New Roman" w:eastAsia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in critically ill CHD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based on Cox proportional hazards model 3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.</w:t>
      </w:r>
    </w:p>
    <w:p w14:paraId="33E9C30A">
      <w:pPr>
        <w:rPr>
          <w:rFonts w:hint="eastAsia" w:ascii="Times New Roman" w:hAnsi="Times New Roman" w:eastAsia="宋体"/>
          <w:sz w:val="21"/>
          <w:szCs w:val="24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Figure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Subgroup analysis forest plots for </w:t>
      </w:r>
      <w:r>
        <w:rPr>
          <w:rFonts w:hint="eastAsia" w:ascii="Times New Roman" w:hAnsi="Times New Roman"/>
          <w:sz w:val="21"/>
          <w:szCs w:val="24"/>
          <w:lang w:val="en-US" w:eastAsia="zh-CN"/>
        </w:rPr>
        <w:t xml:space="preserve">90-day </w:t>
      </w:r>
      <w:r>
        <w:rPr>
          <w:rFonts w:hint="eastAsia" w:ascii="Times New Roman" w:hAnsi="Times New Roman" w:eastAsia="Times New Roman"/>
          <w:sz w:val="21"/>
          <w:szCs w:val="24"/>
        </w:rPr>
        <w:t>mortality</w:t>
      </w:r>
      <w:r>
        <w:rPr>
          <w:rFonts w:hint="eastAsia" w:ascii="Times New Roman" w:hAnsi="Times New Roman" w:eastAsia="宋体"/>
          <w:sz w:val="21"/>
          <w:szCs w:val="24"/>
          <w:lang w:val="en-US" w:eastAsia="zh-CN"/>
        </w:rPr>
        <w:t>.</w:t>
      </w:r>
      <w:bookmarkStart w:id="0" w:name="_GoBack"/>
      <w:bookmarkEnd w:id="0"/>
    </w:p>
    <w:p w14:paraId="270E1D8A">
      <w:pPr>
        <w:rPr>
          <w:rFonts w:hint="eastAsia" w:ascii="Times New Roman" w:hAnsi="Times New Roman" w:eastAsia="Times New Roman"/>
          <w:sz w:val="21"/>
          <w:szCs w:val="24"/>
        </w:rPr>
      </w:pPr>
    </w:p>
    <w:p w14:paraId="4DEDCCB6">
      <w:pPr>
        <w:widowControl/>
        <w:rPr>
          <w:rFonts w:hint="eastAsia" w:ascii="Times New Roman" w:hAnsi="Times New Roman" w:cs="Times New Roman"/>
          <w:szCs w:val="21"/>
        </w:rPr>
      </w:pPr>
      <w:r>
        <w:rPr>
          <w:rFonts w:hint="default" w:ascii="Times New Roman" w:hAnsi="Times New Roman" w:eastAsia="Times New Roman" w:cs="Times New Roman"/>
          <w:sz w:val="22"/>
          <w:szCs w:val="24"/>
        </w:rPr>
        <w:t>Table</w:t>
      </w:r>
      <w:r>
        <w:rPr>
          <w:rFonts w:hint="eastAsia" w:ascii="Times New Roman" w:hAnsi="Times New Roman" w:eastAsia="宋体" w:cs="Times New Roman"/>
          <w:sz w:val="22"/>
          <w:szCs w:val="24"/>
          <w:lang w:val="en-US" w:eastAsia="zh-CN"/>
        </w:rPr>
        <w:t>S1</w:t>
      </w:r>
      <w:r>
        <w:rPr>
          <w:rFonts w:hint="default" w:ascii="Times New Roman" w:hAnsi="Times New Roman" w:eastAsia="Times New Roman" w:cs="Times New Roman"/>
          <w:sz w:val="22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Comparisons between survivors and </w:t>
      </w:r>
      <w:r>
        <w:rPr>
          <w:rFonts w:hint="default" w:ascii="Times New Roman" w:hAnsi="Times New Roman" w:eastAsia="等线" w:cs="Times New Roman"/>
          <w:color w:val="000000"/>
          <w:sz w:val="21"/>
          <w:szCs w:val="21"/>
        </w:rPr>
        <w:t>non-survivors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sz w:val="21"/>
          <w:szCs w:val="21"/>
        </w:rPr>
        <w:t>based on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0-day outcomes</w:t>
      </w:r>
    </w:p>
    <w:tbl>
      <w:tblPr>
        <w:tblStyle w:val="7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658"/>
        <w:gridCol w:w="2600"/>
        <w:gridCol w:w="2025"/>
        <w:gridCol w:w="1400"/>
      </w:tblGrid>
      <w:tr w14:paraId="28DF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DD5A">
            <w:pPr>
              <w:pStyle w:val="21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9FEA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Overall (n = 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468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5DA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Survivors</w:t>
            </w:r>
          </w:p>
          <w:p w14:paraId="6DC6B28A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868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Non-survivors</w:t>
            </w:r>
          </w:p>
          <w:p w14:paraId="4BABFA14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D6E4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.value</w:t>
            </w:r>
          </w:p>
        </w:tc>
      </w:tr>
      <w:tr w14:paraId="4A0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5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783CB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/>
                <w:sz w:val="19"/>
                <w:szCs w:val="24"/>
              </w:rPr>
              <w:t>Age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519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73 (64-81)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12C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72 (63-81)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6F9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76 (68-82)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709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978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3B09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/>
                <w:sz w:val="19"/>
                <w:szCs w:val="24"/>
              </w:rPr>
              <w:t>Sex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0E7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DCB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E42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5B5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0295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95E9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Female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DC6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836 (33.87)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09B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630 (33.00)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6ED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206 (36.85)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FD5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0.101</w:t>
            </w:r>
          </w:p>
        </w:tc>
      </w:tr>
      <w:tr w14:paraId="67DB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AD62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E6A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1632 (66.13)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999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1279 (67.00)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F1A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353 (63.15)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0BC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2A8D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BFEC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/>
                <w:sz w:val="19"/>
                <w:szCs w:val="24"/>
              </w:rPr>
              <w:t>Race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226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5EC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531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172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65EF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687F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Black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065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154 (6.24)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A9C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115 (6.02)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71E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39 (6.98)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448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0.349</w:t>
            </w:r>
          </w:p>
        </w:tc>
      </w:tr>
      <w:tr w14:paraId="0E6B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87AC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White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A8D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2039 (82.62)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12A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1573 (82.40)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C73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466 (83.36)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8D3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1F0C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F6C3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Others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E55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275 (11.14)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B7E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221 (11.58)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CA5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54 (9.66)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423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57E9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C4FA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/>
                <w:sz w:val="19"/>
                <w:szCs w:val="24"/>
              </w:rPr>
              <w:t>BMI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E24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27.682 (24.251-31.831)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8D9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27.777 (24.36-31.807)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72F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27.287 (23.933-31.929)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1D4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0.078</w:t>
            </w:r>
          </w:p>
        </w:tc>
      </w:tr>
      <w:tr w14:paraId="4C2E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55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A31E">
            <w:pPr>
              <w:pStyle w:val="23"/>
              <w:widowControl/>
              <w:spacing w:beforeLines="0" w:afterLines="0"/>
              <w:jc w:val="left"/>
              <w:rPr>
                <w:rStyle w:val="24"/>
                <w:rFonts w:hint="eastAsia"/>
                <w:b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Comorbidities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3AE3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6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8F72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E8E8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F531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</w:tr>
      <w:tr w14:paraId="7BAA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0450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Respiratory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failure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189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1137 (46.07)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7AA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745 (39.03)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064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392 (70.13)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CBD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7299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5443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Arterial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fibrillation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2A0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1090 (44.17)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BDA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810 (42.43)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799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280 (50.09)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D23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0.002</w:t>
            </w:r>
          </w:p>
        </w:tc>
      </w:tr>
      <w:tr w14:paraId="1E8D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B4EA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Hypertension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A11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900 (36.47)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3BF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731 (38.29)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834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169 (30.23)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FFA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0.001</w:t>
            </w:r>
          </w:p>
        </w:tc>
      </w:tr>
      <w:tr w14:paraId="5CF3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C2E4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AKI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A7D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1244 (50.41)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52A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837 (43.84)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C9B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407 (72.81)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C7E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809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FB85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Stroke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1B0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249 (10.09)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3FB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200 (10.48)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8F5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49 (8.77)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9A8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0.271</w:t>
            </w:r>
          </w:p>
        </w:tc>
      </w:tr>
      <w:tr w14:paraId="435B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258E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T2DM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D1F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963 (39.02)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887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729 (38.19)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51A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234 (41.86)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CBD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0.129</w:t>
            </w:r>
          </w:p>
        </w:tc>
      </w:tr>
      <w:tr w14:paraId="2639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673F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Heart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failure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499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1310 (53.08)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EEE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982 (51.44)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B10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328 (58.68)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D12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0.003</w:t>
            </w:r>
          </w:p>
        </w:tc>
      </w:tr>
      <w:tr w14:paraId="64E3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C207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Myocardial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infarction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0D1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856 (34.68)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848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656 (34.36)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371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200 (35.78)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47D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0.570</w:t>
            </w:r>
          </w:p>
        </w:tc>
      </w:tr>
      <w:tr w14:paraId="405E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6FFEC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illness severity scores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866C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6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F5FF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BFE8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59AB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</w:tr>
      <w:tr w14:paraId="295E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DE16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SOFA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DCB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 (3-9)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D84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5 (3-8)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065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 (5-11)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DF9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4D78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7A2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APSIII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FD2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47 (35-62)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A5D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43 (32-55)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A8E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63 (49-79)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A59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3B0C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57AF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SAPSII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B96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40 (32-50)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CB2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37 (31-46)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913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48 (40-59)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742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1C08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26D0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OASIS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1D6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34 (28-40)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8F7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32 (27-38)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2A9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39 (32-45)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E80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5CFD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3A0C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Laboratory tests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08DE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6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8474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3245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384C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</w:tr>
      <w:tr w14:paraId="4644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8E0C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Hemoglobin(g/dL)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1AC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10.4 (8.97-11.972)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4D7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10.55 (9.1-12.1)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A7A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9.85 (8.5-11.425)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74E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563B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797E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RBC (×10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superscript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/µL)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D89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3.47 (3.03-4.02)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46F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3.51 (3.08-4.07)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D00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3.33 (2.865-3.875)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E57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3309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5BEB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WBC (×10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/µL)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A5A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11.4 (8.5-15.6)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A67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11.12 (8.4-15.05)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AE3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12.63 (8.835-17.69)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198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71C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56CA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INR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D10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1.3 (1.17-1.57)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41A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1.27 (1.15-1.5)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7ED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1.45 (1.2-1.9)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A53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458A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4C23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PT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(sec)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C77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14.24 (12.8-17.135)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B99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14 (12.7-16.3)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D4A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15.85 (13.4-20.77)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E54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4452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AA74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APTT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(sec)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B43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36 (29.26-54.83)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DD2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35.125 (28.95-53.1)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160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38.1 (30.175-62.015)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7DD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784F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A43A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FBG (mg/dL)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4C5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135.33 (112-176)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F86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132 (111-169.625)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8A0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148 (119-193)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33D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7F88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78A0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Potassium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(mEq/L)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88A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4.17 (3.87-4.53)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C00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4.15 (3.87-4.5)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C92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4.25 (3.87-4.64)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C46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0.001</w:t>
            </w:r>
          </w:p>
        </w:tc>
      </w:tr>
      <w:tr w14:paraId="02FB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D893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Sodium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(mEq/L)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F73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138.5 (135.67-141)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9C5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138.5 (136-141)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E99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138.33 (134.67-141.33)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A89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0.154</w:t>
            </w:r>
          </w:p>
        </w:tc>
      </w:tr>
      <w:tr w14:paraId="2A34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CCFC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Serum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creatinine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(mg/dL)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887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1.2 (0.87-1.77)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E0D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1.1 (0.85-1.6)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540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1.53 (1.04-2.33)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1A6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4141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571C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EASIX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9A7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1.129 (0.206-2.089)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6A7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0.917 (0.09-1.823)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ED3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1.9 (0.922-2.826)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583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DE1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1925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LDH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(U/L)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168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296 (219-435)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53A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280 (207-393)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8D2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388 (271-557.5)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A7A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029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14C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Platelet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(×10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/µL)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5E3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180 (133-237)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961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180.8 (136.5-235)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628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175 (121.215-241.75)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1B7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0.212</w:t>
            </w:r>
          </w:p>
        </w:tc>
      </w:tr>
      <w:tr w14:paraId="6899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4BD8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vertAlign w:val="baseline"/>
              </w:rPr>
              <w:t>Therapeutic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BE06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6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831D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62BA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BEFF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</w:tr>
      <w:tr w14:paraId="5DA1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5E83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Invasive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ventilation 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3F4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2212 (89.63)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2BC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1705 (89.31)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AEA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507 (90.70)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07D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0.387</w:t>
            </w:r>
          </w:p>
        </w:tc>
      </w:tr>
      <w:tr w14:paraId="5985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E0C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Antihypertensive drug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s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9E9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2107 (85.37)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05A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1658 (86.85)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8C4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449 (80.32)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040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0A77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60C7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Glucocorticoid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(%)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D88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647 (26.22)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7B7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426 (22.32)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2B7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221 (39.53)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E62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</w:tbl>
    <w:p w14:paraId="58A5FFB1">
      <w:pPr>
        <w:widowControl/>
        <w:rPr>
          <w:rFonts w:hint="eastAsia" w:ascii="Times New Roman" w:hAnsi="Times New Roman" w:eastAsia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eastAsia="Times New Roman"/>
          <w:sz w:val="21"/>
          <w:szCs w:val="24"/>
          <w:lang w:val="en-US" w:eastAsia="zh-CN"/>
        </w:rPr>
        <w:t xml:space="preserve">Data are presented as </w:t>
      </w:r>
      <w:r>
        <w:rPr>
          <w:rFonts w:hint="eastAsia" w:ascii="Times New Roman" w:hAnsi="Times New Roman" w:eastAsia="Times New Roman"/>
          <w:sz w:val="21"/>
          <w:szCs w:val="24"/>
        </w:rPr>
        <w:t>median (IQR)</w:t>
      </w:r>
      <w:r>
        <w:rPr>
          <w:rFonts w:hint="default" w:ascii="Times New Roman" w:hAnsi="Times New Roman" w:eastAsia="Times New Roman"/>
          <w:sz w:val="21"/>
          <w:szCs w:val="24"/>
          <w:lang w:val="en-US" w:eastAsia="zh-CN"/>
        </w:rPr>
        <w:t xml:space="preserve"> or frequencies (percentages).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1"/>
          <w:szCs w:val="24"/>
        </w:rPr>
        <w:t xml:space="preserve">Abbreviation: EASIX, Endothelial Activation and Stress Index;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BMI, b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ody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m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ass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i</w:t>
      </w:r>
      <w:r>
        <w:rPr>
          <w:rFonts w:hint="eastAsia" w:ascii="Times New Roman" w:hAnsi="Times New Roman" w:eastAsia="Times New Roman"/>
          <w:sz w:val="21"/>
          <w:szCs w:val="24"/>
        </w:rPr>
        <w:t>nde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x; AKI, </w:t>
      </w:r>
      <w:r>
        <w:rPr>
          <w:rFonts w:hint="default" w:ascii="Times New Roman" w:hAnsi="Times New Roman" w:eastAsia="Times New Roman"/>
          <w:sz w:val="21"/>
          <w:szCs w:val="24"/>
        </w:rPr>
        <w:t>acute kidney injury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T2DM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Times New Roman"/>
          <w:sz w:val="21"/>
          <w:szCs w:val="24"/>
        </w:rPr>
        <w:t>type 2 diabetes mellitus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RBC, </w:t>
      </w:r>
      <w:r>
        <w:rPr>
          <w:rFonts w:hint="eastAsia" w:ascii="Times New Roman" w:hAnsi="Times New Roman" w:eastAsia="Times New Roman"/>
          <w:sz w:val="21"/>
          <w:szCs w:val="24"/>
        </w:rPr>
        <w:t>red blood cell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WBC, </w:t>
      </w:r>
      <w:r>
        <w:rPr>
          <w:rFonts w:hint="eastAsia" w:ascii="Times New Roman" w:hAnsi="Times New Roman" w:eastAsia="Times New Roman"/>
          <w:sz w:val="21"/>
          <w:szCs w:val="24"/>
        </w:rPr>
        <w:t>white blood cells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INR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, i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nternational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n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ormalized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r</w:t>
      </w:r>
      <w:r>
        <w:rPr>
          <w:rFonts w:hint="eastAsia" w:ascii="Times New Roman" w:hAnsi="Times New Roman" w:eastAsia="Times New Roman"/>
          <w:sz w:val="21"/>
          <w:szCs w:val="24"/>
        </w:rPr>
        <w:t>atio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PT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, p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rothrombin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t</w:t>
      </w:r>
      <w:r>
        <w:rPr>
          <w:rFonts w:hint="eastAsia" w:ascii="Times New Roman" w:hAnsi="Times New Roman" w:eastAsia="Times New Roman"/>
          <w:sz w:val="21"/>
          <w:szCs w:val="24"/>
        </w:rPr>
        <w:t>ime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APTT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, activated partial thromboplastin time; FBG, </w:t>
      </w:r>
      <w:r>
        <w:rPr>
          <w:rFonts w:hint="eastAsia" w:ascii="Times New Roman" w:hAnsi="Times New Roman" w:eastAsia="Times New Roman"/>
          <w:sz w:val="21"/>
          <w:szCs w:val="24"/>
        </w:rPr>
        <w:t>fasting blood glucose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LDH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, lactate dehydrogenase; </w:t>
      </w:r>
      <w:r>
        <w:rPr>
          <w:rFonts w:hint="eastAsia" w:ascii="Times New Roman" w:hAnsi="Times New Roman" w:eastAsia="Times New Roman"/>
          <w:sz w:val="21"/>
          <w:szCs w:val="24"/>
        </w:rPr>
        <w:t>SOFA,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 sequential organ failure assessment; </w:t>
      </w:r>
      <w:r>
        <w:rPr>
          <w:rFonts w:hint="eastAsia" w:ascii="Times New Roman" w:hAnsi="Times New Roman" w:eastAsia="Times New Roman"/>
          <w:sz w:val="21"/>
          <w:szCs w:val="24"/>
        </w:rPr>
        <w:t>SAPS II, simplified acute physiological score II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APS III, acute physiology score III;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sz w:val="21"/>
          <w:szCs w:val="24"/>
        </w:rPr>
        <w:t>OASIS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, oxford acute severity of illness score.</w:t>
      </w:r>
    </w:p>
    <w:p w14:paraId="6A7887E4">
      <w:pPr>
        <w:widowControl/>
        <w:rPr>
          <w:rFonts w:hint="eastAsia" w:ascii="Times New Roman" w:hAnsi="Times New Roman" w:eastAsia="Times New Roman"/>
          <w:sz w:val="21"/>
          <w:szCs w:val="24"/>
          <w:lang w:val="en-US" w:eastAsia="zh-CN"/>
        </w:rPr>
      </w:pPr>
    </w:p>
    <w:p w14:paraId="0051AE7E">
      <w:pPr>
        <w:widowControl/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z w:val="22"/>
          <w:szCs w:val="24"/>
        </w:rPr>
        <w:t>Table</w:t>
      </w:r>
      <w:r>
        <w:rPr>
          <w:rFonts w:hint="eastAsia" w:ascii="Times New Roman" w:hAnsi="Times New Roman" w:eastAsia="宋体" w:cs="Times New Roman"/>
          <w:sz w:val="22"/>
          <w:szCs w:val="24"/>
          <w:lang w:val="en-US" w:eastAsia="zh-CN"/>
        </w:rPr>
        <w:t>S2</w:t>
      </w:r>
      <w:r>
        <w:rPr>
          <w:rFonts w:hint="default" w:ascii="Times New Roman" w:hAnsi="Times New Roman" w:eastAsia="Times New Roman" w:cs="Times New Roman"/>
          <w:sz w:val="22"/>
          <w:szCs w:val="24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Comparisons between survivors and </w:t>
      </w:r>
      <w:r>
        <w:rPr>
          <w:rFonts w:hint="default" w:ascii="Times New Roman" w:hAnsi="Times New Roman" w:eastAsia="等线" w:cs="Times New Roman"/>
          <w:color w:val="000000"/>
          <w:sz w:val="21"/>
          <w:szCs w:val="21"/>
        </w:rPr>
        <w:t>non-survivors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sz w:val="21"/>
          <w:szCs w:val="21"/>
        </w:rPr>
        <w:t>based on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365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-day outcomes</w:t>
      </w:r>
    </w:p>
    <w:tbl>
      <w:tblPr>
        <w:tblStyle w:val="7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958"/>
        <w:gridCol w:w="2325"/>
        <w:gridCol w:w="1992"/>
        <w:gridCol w:w="1433"/>
      </w:tblGrid>
      <w:tr w14:paraId="2222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3F25">
            <w:pPr>
              <w:pStyle w:val="21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1094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Overall (n = 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468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250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Survivors</w:t>
            </w:r>
          </w:p>
          <w:p w14:paraId="16ACC307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876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901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Non-survivors</w:t>
            </w:r>
          </w:p>
          <w:p w14:paraId="5BE50B91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92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CF13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.value</w:t>
            </w:r>
          </w:p>
        </w:tc>
      </w:tr>
      <w:tr w14:paraId="63C6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7CAB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/>
                <w:sz w:val="19"/>
                <w:szCs w:val="24"/>
              </w:rPr>
              <w:t>Age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6AE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73 (64-81)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142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72 (63-81)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B5F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76 (67-82)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7E4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3EC3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278F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/>
                <w:sz w:val="19"/>
                <w:szCs w:val="24"/>
              </w:rPr>
              <w:t>Sex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3BA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F45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01E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7E2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385F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C4F9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Female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C1D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836 (33.87)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A0B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616 (32.84)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D3D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220 (37.16)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420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0.059</w:t>
            </w:r>
          </w:p>
        </w:tc>
      </w:tr>
      <w:tr w14:paraId="212E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017D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ED2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1632 (66.13)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DD8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1260 (67.16)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4F2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372 (62.84)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C82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3152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C7B9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/>
                <w:sz w:val="19"/>
                <w:szCs w:val="24"/>
              </w:rPr>
              <w:t>Race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3A0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CB7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0A3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95C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0695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1EBC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Black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FD7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154 (6.24)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BF5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109 (5.81)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8C5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45 (7.60)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9E7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0.194</w:t>
            </w:r>
          </w:p>
        </w:tc>
      </w:tr>
      <w:tr w14:paraId="6B10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236B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White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21F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2039 (82.62)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440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1551 (82.68)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E26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488 (82.43)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43D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6D11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0CCA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Others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19C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275 (11.14)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0D4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216 (11.51)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DFF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59 (9.97)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81F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</w:p>
        </w:tc>
      </w:tr>
      <w:tr w14:paraId="3F4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897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/>
                <w:sz w:val="19"/>
                <w:szCs w:val="24"/>
              </w:rPr>
              <w:t>BMI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06F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27.682 (24.251-31.831)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F3F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27.776 (24.372-31.803)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9E2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27.295 (23.886-31.949)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913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0.062</w:t>
            </w:r>
          </w:p>
        </w:tc>
      </w:tr>
      <w:tr w14:paraId="7F4C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54EE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/>
                <w:color w:val="000000"/>
                <w:sz w:val="19"/>
                <w:szCs w:val="24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Comorbidities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4766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2149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E524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F63B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</w:tr>
      <w:tr w14:paraId="7CF3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749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Respiratory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failure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081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1137 (46.07)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534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729 (38.86)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46A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408 (68.92)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F13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758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C1D6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Arterial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fibrillation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CD5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1090 (44.17)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1A3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793 (42.27)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61D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297 (50.17)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463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0.001</w:t>
            </w:r>
          </w:p>
        </w:tc>
      </w:tr>
      <w:tr w14:paraId="3575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8304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Hypertension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E1A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900 (36.47)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907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722 (38.49)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C60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178 (30.07)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295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7A48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38F5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AKI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084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1244 (50.41)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C91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813 (43.34)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31C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431 (72.80)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37E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0721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F32B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Stroke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C1E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249 (10.09)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DFF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197 (10.50)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39D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52 (8.78)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428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0.258</w:t>
            </w:r>
          </w:p>
        </w:tc>
      </w:tr>
      <w:tr w14:paraId="3B9C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F6E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T2DM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4FD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963 (39.02)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581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708 (37.74)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D28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255 (43.07)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CF7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0.023</w:t>
            </w:r>
          </w:p>
        </w:tc>
      </w:tr>
      <w:tr w14:paraId="5FB1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2D6B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Heart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failure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A66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1310 (53.08)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74E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958 (51.07)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E3C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352 (59.46)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711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18FC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72EE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Myocardial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infarction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511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856 (34.68)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2AB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644 (34.33)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5CC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212 (35.81)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26A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0.541</w:t>
            </w:r>
          </w:p>
        </w:tc>
      </w:tr>
      <w:tr w14:paraId="35D4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27EE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illness severity scores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8F8B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F0A7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7BC7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794D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</w:tr>
      <w:tr w14:paraId="0AA9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AEB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SOFA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803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 (3-9)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6E2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5 (3-8)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038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8 (5-11)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B98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911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144B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APSIII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336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47 (35-62)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DB9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43 (32-55)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95C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62 (49-79)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900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48F1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B61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SAPSII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153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40 (32-50)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C9C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37 (30-46)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651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48 (40-59)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91D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581E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904E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OASIS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2AD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34 (28-40)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F89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32 (27-38)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8AB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39 (32-45)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D8E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7A7D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0CD4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Laboratory tests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55AF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6988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6713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786E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</w:tr>
      <w:tr w14:paraId="0475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3D1D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Hemoglobin(g/dL)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6E0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10.4 (8.97-11.972)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75F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10.58 (9.127-12.15)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F40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9.875 (8.5-11.362)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84F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1B36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6B68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RBC (×10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superscript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/µL)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E53B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3.47 (3.03-4.02)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B4A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3.53 (3.09-4.08)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E73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3.32 (2.86-3.86)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FD9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1F9B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7B3A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WBC (×10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/µL)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5BC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11.4 (8.5-15.6)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C8F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11.15 (8.43-15.07)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F42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12.37 (8.728-17.515)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644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603D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8B70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INR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CE7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1.3 (1.17-1.57)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518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1.27 (1.15-1.5)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91C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1.435 (1.2-1.9)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50C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113D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A3E0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PT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(sec)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519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14.24 (12.8-17.135)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D86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14 (12.7-16.27)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7C7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15.8 (13.4-20.618)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28F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614C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A31B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APTT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(sec)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C87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36 (29.26-54.83)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05C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35.1 (28.93-52.95)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C3F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38.225 (30.225-62.455)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2FDC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AC7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028D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FBG (mg/dL)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503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135.33 (112-176)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B97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131.67 (111-169.1)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E81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148.415 (118.938-193)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0F4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76CC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2287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Potassium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(mEq/L)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0AD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4.17 (3.87-4.53)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38F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4.15 (3.87-4.5)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2FC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4.25 (3.885-4.65)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34C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0.001</w:t>
            </w:r>
          </w:p>
        </w:tc>
      </w:tr>
      <w:tr w14:paraId="38AB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693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Sodium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(mEq/L)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BEA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138.5 (135.67-141)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B0E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138.5 (136-141)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D67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138.29 (134.67-141.347)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BD1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0.257</w:t>
            </w:r>
          </w:p>
        </w:tc>
      </w:tr>
      <w:tr w14:paraId="55D2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5A11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Serum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creatinine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(mg/dL)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A0D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1.2 (0.87-1.77)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694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1.1 (0.85-1.6)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4281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1.535 (1.05-2.33)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232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52FA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3810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EASIX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3C7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1.129 (0.206-2.089)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E53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0.906 (0.086-1.81)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B39E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1.903 (0.932-2.823)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D863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7CF9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07B3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LDH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(U/L)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B94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296 (219-435)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342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279 (207-393)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658D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380 (269-548.25)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38A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2F86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67BD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Platelet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(×10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/µL)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1FE4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180 (133-237)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F84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181.29 (137.31-235)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2BB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173.335 (120.502-240.378)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6D86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0.095</w:t>
            </w:r>
          </w:p>
        </w:tc>
      </w:tr>
      <w:tr w14:paraId="3155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0D42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vertAlign w:val="baseline"/>
              </w:rPr>
              <w:t>Therapeutic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006A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6B5C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2110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C71F">
            <w:pPr>
              <w:pStyle w:val="23"/>
              <w:widowControl/>
              <w:spacing w:beforeLines="0" w:afterLines="0"/>
              <w:rPr>
                <w:rStyle w:val="24"/>
                <w:rFonts w:hint="eastAsia"/>
                <w:sz w:val="19"/>
                <w:szCs w:val="24"/>
              </w:rPr>
            </w:pPr>
          </w:p>
        </w:tc>
      </w:tr>
      <w:tr w14:paraId="2996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A2A2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Invasive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ventilation 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A302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2212 (89.63)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B46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1674 (89.23)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5347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538 (90.88)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CD8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0.286</w:t>
            </w:r>
          </w:p>
        </w:tc>
      </w:tr>
      <w:tr w14:paraId="035F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EE42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Antihypertensive drug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s</w:t>
            </w: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D7F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2107 (85.37)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F73B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1629 (86.83)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5790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478 (80.74)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5F89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  <w:tr w14:paraId="4070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8" w:type="dxa"/>
            <w:tcBorders>
              <w:tl2br w:val="nil"/>
              <w:tr2bl w:val="nil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FCF6">
            <w:pPr>
              <w:pStyle w:val="23"/>
              <w:widowControl/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24"/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Glucocorticoid</w:t>
            </w:r>
            <w:r>
              <w:rPr>
                <w:rStyle w:val="24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(%)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1255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647 (26.22)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52CF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410 (21.86)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02A8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237 (40.03)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76DA">
            <w:pPr>
              <w:pStyle w:val="23"/>
              <w:widowControl/>
              <w:spacing w:beforeLines="0" w:afterLines="0"/>
              <w:rPr>
                <w:rFonts w:hint="eastAsia" w:ascii="Times New Roman" w:hAnsi="Times New Roman" w:eastAsia="Times New Roman" w:cs="Times New Roman"/>
                <w:color w:val="000000"/>
                <w:sz w:val="19"/>
                <w:szCs w:val="24"/>
              </w:rPr>
            </w:pPr>
            <w:r>
              <w:rPr>
                <w:rStyle w:val="24"/>
                <w:rFonts w:hint="eastAsia"/>
                <w:sz w:val="19"/>
                <w:szCs w:val="24"/>
              </w:rPr>
              <w:t>&lt;0.001</w:t>
            </w:r>
          </w:p>
        </w:tc>
      </w:tr>
    </w:tbl>
    <w:p w14:paraId="6DEBB3E4">
      <w:pPr>
        <w:widowControl/>
        <w:rPr>
          <w:rFonts w:hint="eastAsia" w:ascii="Times New Roman" w:hAnsi="Times New Roman" w:eastAsia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eastAsia="Times New Roman"/>
          <w:sz w:val="21"/>
          <w:szCs w:val="24"/>
          <w:lang w:val="en-US" w:eastAsia="zh-CN"/>
        </w:rPr>
        <w:t xml:space="preserve">Data are presented as </w:t>
      </w:r>
      <w:r>
        <w:rPr>
          <w:rFonts w:hint="eastAsia" w:ascii="Times New Roman" w:hAnsi="Times New Roman" w:eastAsia="Times New Roman"/>
          <w:sz w:val="21"/>
          <w:szCs w:val="24"/>
        </w:rPr>
        <w:t>median (IQR)</w:t>
      </w:r>
      <w:r>
        <w:rPr>
          <w:rFonts w:hint="default" w:ascii="Times New Roman" w:hAnsi="Times New Roman" w:eastAsia="Times New Roman"/>
          <w:sz w:val="21"/>
          <w:szCs w:val="24"/>
          <w:lang w:val="en-US" w:eastAsia="zh-CN"/>
        </w:rPr>
        <w:t xml:space="preserve"> or frequencies (percentages).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 </w:t>
      </w:r>
    </w:p>
    <w:p w14:paraId="72557A3B">
      <w:pPr>
        <w:widowControl/>
        <w:rPr>
          <w:rFonts w:hint="default" w:ascii="Times New Roman" w:hAnsi="Times New Roman" w:eastAsia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eastAsia="Times New Roman"/>
          <w:sz w:val="21"/>
          <w:szCs w:val="24"/>
        </w:rPr>
        <w:t xml:space="preserve">Abbreviation: EASIX, Endothelial Activation and Stress Index;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BMI, b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ody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m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ass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i</w:t>
      </w:r>
      <w:r>
        <w:rPr>
          <w:rFonts w:hint="eastAsia" w:ascii="Times New Roman" w:hAnsi="Times New Roman" w:eastAsia="Times New Roman"/>
          <w:sz w:val="21"/>
          <w:szCs w:val="24"/>
        </w:rPr>
        <w:t>nde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x; AKI, </w:t>
      </w:r>
      <w:r>
        <w:rPr>
          <w:rFonts w:hint="default" w:ascii="Times New Roman" w:hAnsi="Times New Roman" w:eastAsia="Times New Roman"/>
          <w:sz w:val="21"/>
          <w:szCs w:val="24"/>
        </w:rPr>
        <w:t>acute kidney injury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T2DM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Times New Roman"/>
          <w:sz w:val="21"/>
          <w:szCs w:val="24"/>
        </w:rPr>
        <w:t>type 2 diabetes mellitus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RBC, </w:t>
      </w:r>
      <w:r>
        <w:rPr>
          <w:rFonts w:hint="eastAsia" w:ascii="Times New Roman" w:hAnsi="Times New Roman" w:eastAsia="Times New Roman"/>
          <w:sz w:val="21"/>
          <w:szCs w:val="24"/>
        </w:rPr>
        <w:t>red blood cell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WBC, </w:t>
      </w:r>
      <w:r>
        <w:rPr>
          <w:rFonts w:hint="eastAsia" w:ascii="Times New Roman" w:hAnsi="Times New Roman" w:eastAsia="Times New Roman"/>
          <w:sz w:val="21"/>
          <w:szCs w:val="24"/>
        </w:rPr>
        <w:t>white blood cells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INR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, i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nternational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n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ormalized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r</w:t>
      </w:r>
      <w:r>
        <w:rPr>
          <w:rFonts w:hint="eastAsia" w:ascii="Times New Roman" w:hAnsi="Times New Roman" w:eastAsia="Times New Roman"/>
          <w:sz w:val="21"/>
          <w:szCs w:val="24"/>
        </w:rPr>
        <w:t>atio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PT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, p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rothrombin 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t</w:t>
      </w:r>
      <w:r>
        <w:rPr>
          <w:rFonts w:hint="eastAsia" w:ascii="Times New Roman" w:hAnsi="Times New Roman" w:eastAsia="Times New Roman"/>
          <w:sz w:val="21"/>
          <w:szCs w:val="24"/>
        </w:rPr>
        <w:t>ime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APTT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, activated partial thromboplastin time; FBG, </w:t>
      </w:r>
      <w:r>
        <w:rPr>
          <w:rFonts w:hint="eastAsia" w:ascii="Times New Roman" w:hAnsi="Times New Roman" w:eastAsia="Times New Roman"/>
          <w:sz w:val="21"/>
          <w:szCs w:val="24"/>
        </w:rPr>
        <w:t>fasting blood glucose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LDH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, lactate dehydrogenase; </w:t>
      </w:r>
      <w:r>
        <w:rPr>
          <w:rFonts w:hint="eastAsia" w:ascii="Times New Roman" w:hAnsi="Times New Roman" w:eastAsia="Times New Roman"/>
          <w:sz w:val="21"/>
          <w:szCs w:val="24"/>
        </w:rPr>
        <w:t>SOFA,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 sequential organ failure assessment; </w:t>
      </w:r>
      <w:r>
        <w:rPr>
          <w:rFonts w:hint="eastAsia" w:ascii="Times New Roman" w:hAnsi="Times New Roman" w:eastAsia="Times New Roman"/>
          <w:sz w:val="21"/>
          <w:szCs w:val="24"/>
        </w:rPr>
        <w:t>SAPS II, simplified acute physiological score II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Times New Roman"/>
          <w:sz w:val="21"/>
          <w:szCs w:val="24"/>
        </w:rPr>
        <w:t>APS III, acute physiology score III;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sz w:val="21"/>
          <w:szCs w:val="24"/>
        </w:rPr>
        <w:t>OASIS</w:t>
      </w:r>
      <w:r>
        <w:rPr>
          <w:rFonts w:hint="eastAsia" w:ascii="Times New Roman" w:hAnsi="Times New Roman" w:eastAsia="Times New Roman"/>
          <w:sz w:val="21"/>
          <w:szCs w:val="24"/>
          <w:lang w:val="en-US" w:eastAsia="zh-CN"/>
        </w:rPr>
        <w:t>, oxford acute severity of illness score.</w:t>
      </w:r>
    </w:p>
    <w:p w14:paraId="1E7989FA">
      <w:pPr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Cs w:val="21"/>
          <w:lang w:eastAsia="zh-CN"/>
        </w:rPr>
        <w:drawing>
          <wp:inline distT="0" distB="0" distL="114300" distR="114300">
            <wp:extent cx="3572510" cy="2955290"/>
            <wp:effectExtent l="0" t="0" r="8890" b="3810"/>
            <wp:docPr id="2" name="图片 2" descr="2925b589-b82b-4fc8-b482-2d1d22dfd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25b589-b82b-4fc8-b482-2d1d22dfd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251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13673">
      <w:pPr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default" w:ascii="Times New Roman" w:hAnsi="Times New Roman" w:eastAsia="Times New Roman" w:cs="Times New Roman"/>
          <w:sz w:val="21"/>
          <w:szCs w:val="24"/>
        </w:rPr>
        <w:t xml:space="preserve">Figure 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S1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. Kaplan-Meier survival curves comparing EASIX tertiles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 within 90 days after admission.</w:t>
      </w:r>
    </w:p>
    <w:p w14:paraId="046C69BE">
      <w:pPr>
        <w:widowControl/>
        <w:rPr>
          <w:rFonts w:hint="default" w:ascii="Times New Roman" w:hAnsi="Times New Roman" w:eastAsia="Times New Roman" w:cs="Times New Roman"/>
          <w:sz w:val="22"/>
          <w:szCs w:val="24"/>
        </w:rPr>
      </w:pPr>
    </w:p>
    <w:p w14:paraId="6E0B17F3">
      <w:pPr>
        <w:widowControl/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</w:pPr>
    </w:p>
    <w:p w14:paraId="6CF01F75">
      <w:pPr>
        <w:widowControl/>
        <w:rPr>
          <w:rFonts w:hint="default" w:ascii="Times New Roman" w:hAnsi="Times New Roman" w:eastAsia="Times New Roman"/>
          <w:sz w:val="21"/>
          <w:szCs w:val="24"/>
          <w:lang w:val="en-US" w:eastAsia="zh-CN"/>
        </w:rPr>
      </w:pPr>
    </w:p>
    <w:p w14:paraId="785363AA">
      <w:pPr>
        <w:rPr>
          <w:rFonts w:hint="eastAsia" w:ascii="Times New Roman" w:hAnsi="Times New Roman" w:cs="Times New Roman"/>
          <w:szCs w:val="21"/>
        </w:rPr>
      </w:pPr>
    </w:p>
    <w:p w14:paraId="482FFED4">
      <w:pPr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Cs w:val="21"/>
          <w:lang w:eastAsia="zh-CN"/>
        </w:rPr>
        <w:drawing>
          <wp:inline distT="0" distB="0" distL="114300" distR="114300">
            <wp:extent cx="4686300" cy="3914775"/>
            <wp:effectExtent l="0" t="0" r="0" b="9525"/>
            <wp:docPr id="3" name="图片 3" descr="ebbb0369-3584-4d55-b696-ceb222825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bb0369-3584-4d55-b696-ceb2228251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2A95E">
      <w:pPr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default" w:ascii="Times New Roman" w:hAnsi="Times New Roman" w:eastAsia="Times New Roman" w:cs="Times New Roman"/>
          <w:sz w:val="21"/>
          <w:szCs w:val="24"/>
        </w:rPr>
        <w:t xml:space="preserve">Fig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S2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 xml:space="preserve">. Restricted cubic spline analysis of EASIX and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9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0-day all-cause mortality</w:t>
      </w:r>
      <w:r>
        <w:rPr>
          <w:rFonts w:hint="eastAsia" w:ascii="Times New Roman" w:hAnsi="Times New Roman" w:eastAsia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in critically ill CHD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based on Cox proportional hazards model 3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  <w:t>Cox proportional hazards model 3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 xml:space="preserve">: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adjusted for sex, age, race,</w:t>
      </w:r>
      <w:r>
        <w:rPr>
          <w:rFonts w:hint="eastAsia" w:ascii="Times New Roman" w:hAnsi="Times New Roman" w:eastAsia="Times New Roman" w:cs="Times New Roman"/>
          <w:sz w:val="21"/>
          <w:szCs w:val="24"/>
          <w:lang w:val="en-US" w:eastAsia="zh-CN"/>
        </w:rPr>
        <w:t>BMI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r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espiratory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failure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a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rterial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fibrillation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h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ypertension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AKI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s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troke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hypertension, T2DM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h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eart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failure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m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yocardial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infarction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h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emoglobin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RBC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WBC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, PT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APTT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FBG, p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otassium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s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odium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s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erum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creatinine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p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latelet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SOFA, SAPS II, APS III, OASIS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i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nvasive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ventilation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, a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ntihypertensive drug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eastAsia="Times New Roman" w:cs="Times New Roman"/>
          <w:sz w:val="21"/>
          <w:szCs w:val="24"/>
          <w:lang w:val="en-US" w:eastAsia="zh-CN"/>
        </w:rPr>
        <w:t>g</w:t>
      </w:r>
      <w:r>
        <w:rPr>
          <w:rFonts w:hint="default" w:ascii="Times New Roman" w:hAnsi="Times New Roman" w:eastAsia="Times New Roman" w:cs="Times New Roman"/>
          <w:sz w:val="21"/>
          <w:szCs w:val="24"/>
        </w:rPr>
        <w:t>lucocorticoid</w:t>
      </w:r>
      <w:r>
        <w:rPr>
          <w:rFonts w:hint="eastAsia" w:ascii="Times New Roman" w:hAnsi="Times New Roman" w:eastAsia="宋体" w:cs="Times New Roman"/>
          <w:sz w:val="20"/>
          <w:szCs w:val="22"/>
          <w:lang w:val="en-US" w:eastAsia="zh-CN"/>
        </w:rPr>
        <w:t>.</w:t>
      </w:r>
    </w:p>
    <w:p w14:paraId="2E1181D8">
      <w:pP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drawing>
          <wp:inline distT="0" distB="0" distL="114300" distR="114300">
            <wp:extent cx="3042920" cy="4800600"/>
            <wp:effectExtent l="0" t="0" r="5080" b="0"/>
            <wp:docPr id="1" name="图片 1" descr="7d3c650f-40e8-441c-8bf7-7cf22d9f8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3c650f-40e8-441c-8bf7-7cf22d9f88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8DB99">
      <w:pPr>
        <w:rPr>
          <w:rFonts w:hint="default" w:ascii="Times New Roman" w:hAnsi="Times New Roman" w:eastAsia="宋体"/>
          <w:sz w:val="21"/>
          <w:szCs w:val="24"/>
          <w:lang w:val="en-US" w:eastAsia="zh-CN"/>
        </w:rPr>
      </w:pPr>
      <w:r>
        <w:rPr>
          <w:rFonts w:hint="eastAsia" w:ascii="Times New Roman" w:hAnsi="Times New Roman" w:eastAsia="Times New Roman"/>
          <w:sz w:val="21"/>
          <w:szCs w:val="24"/>
        </w:rPr>
        <w:t xml:space="preserve">Figure </w:t>
      </w:r>
      <w:r>
        <w:rPr>
          <w:rFonts w:hint="eastAsia" w:ascii="Times New Roman" w:hAnsi="Times New Roman" w:eastAsia="宋体"/>
          <w:sz w:val="21"/>
          <w:szCs w:val="24"/>
          <w:lang w:val="en-US" w:eastAsia="zh-CN"/>
        </w:rPr>
        <w:t>S</w:t>
      </w:r>
      <w:r>
        <w:rPr>
          <w:rFonts w:hint="eastAsia" w:ascii="Times New Roman" w:hAnsi="Times New Roman" w:eastAsia="宋体"/>
          <w:sz w:val="21"/>
          <w:szCs w:val="24"/>
          <w:lang w:val="en-US" w:eastAsia="zh-CN"/>
        </w:rPr>
        <w:t>3</w:t>
      </w:r>
      <w:r>
        <w:rPr>
          <w:rFonts w:hint="eastAsia" w:ascii="Times New Roman" w:hAnsi="Times New Roman" w:eastAsia="Times New Roman"/>
          <w:sz w:val="21"/>
          <w:szCs w:val="24"/>
        </w:rPr>
        <w:t xml:space="preserve">. Subgroup analysis forest plots for </w:t>
      </w:r>
      <w:r>
        <w:rPr>
          <w:rFonts w:hint="eastAsia" w:ascii="Times New Roman" w:hAnsi="Times New Roman"/>
          <w:sz w:val="21"/>
          <w:szCs w:val="24"/>
          <w:lang w:val="en-US" w:eastAsia="zh-CN"/>
        </w:rPr>
        <w:t xml:space="preserve">90-day </w:t>
      </w:r>
      <w:r>
        <w:rPr>
          <w:rFonts w:hint="eastAsia" w:ascii="Times New Roman" w:hAnsi="Times New Roman" w:eastAsia="Times New Roman"/>
          <w:sz w:val="21"/>
          <w:szCs w:val="24"/>
        </w:rPr>
        <w:t>mortality</w:t>
      </w:r>
    </w:p>
    <w:p w14:paraId="6A7BB3FD">
      <w:pP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9686028"/>
      <w:docPartObj>
        <w:docPartGallery w:val="autotext"/>
      </w:docPartObj>
    </w:sdtPr>
    <w:sdtContent>
      <w:p w14:paraId="371D8554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B35B2B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1E3"/>
    <w:rsid w:val="000324FB"/>
    <w:rsid w:val="00051834"/>
    <w:rsid w:val="00052A71"/>
    <w:rsid w:val="00053541"/>
    <w:rsid w:val="00060775"/>
    <w:rsid w:val="00061794"/>
    <w:rsid w:val="00065C98"/>
    <w:rsid w:val="00080A30"/>
    <w:rsid w:val="00095393"/>
    <w:rsid w:val="000C289A"/>
    <w:rsid w:val="000C36D8"/>
    <w:rsid w:val="000C4621"/>
    <w:rsid w:val="000C6ACA"/>
    <w:rsid w:val="000C7726"/>
    <w:rsid w:val="000D5D9A"/>
    <w:rsid w:val="00105710"/>
    <w:rsid w:val="00107144"/>
    <w:rsid w:val="00117FA2"/>
    <w:rsid w:val="00145F7C"/>
    <w:rsid w:val="00147B61"/>
    <w:rsid w:val="00153118"/>
    <w:rsid w:val="00153F83"/>
    <w:rsid w:val="00156ABC"/>
    <w:rsid w:val="001601BD"/>
    <w:rsid w:val="001679CB"/>
    <w:rsid w:val="00173E51"/>
    <w:rsid w:val="0017770F"/>
    <w:rsid w:val="0018759C"/>
    <w:rsid w:val="00196076"/>
    <w:rsid w:val="001A2CF0"/>
    <w:rsid w:val="001A5011"/>
    <w:rsid w:val="001A5F4C"/>
    <w:rsid w:val="001A6CE9"/>
    <w:rsid w:val="001A7DE9"/>
    <w:rsid w:val="001B38AF"/>
    <w:rsid w:val="001B4532"/>
    <w:rsid w:val="001B4A52"/>
    <w:rsid w:val="001D627C"/>
    <w:rsid w:val="001E453B"/>
    <w:rsid w:val="00204F85"/>
    <w:rsid w:val="0020549C"/>
    <w:rsid w:val="00214F45"/>
    <w:rsid w:val="00230BB1"/>
    <w:rsid w:val="00234160"/>
    <w:rsid w:val="002404E5"/>
    <w:rsid w:val="00246FA3"/>
    <w:rsid w:val="00265BBC"/>
    <w:rsid w:val="00271688"/>
    <w:rsid w:val="00272748"/>
    <w:rsid w:val="00277CA6"/>
    <w:rsid w:val="002A4526"/>
    <w:rsid w:val="002B4D8A"/>
    <w:rsid w:val="002C5206"/>
    <w:rsid w:val="002D23DF"/>
    <w:rsid w:val="002D4107"/>
    <w:rsid w:val="002E4B96"/>
    <w:rsid w:val="002F1C48"/>
    <w:rsid w:val="002F79A2"/>
    <w:rsid w:val="00307DD7"/>
    <w:rsid w:val="00314B09"/>
    <w:rsid w:val="00314FFE"/>
    <w:rsid w:val="003344E0"/>
    <w:rsid w:val="003515EA"/>
    <w:rsid w:val="00352DC3"/>
    <w:rsid w:val="003576F5"/>
    <w:rsid w:val="003705EE"/>
    <w:rsid w:val="003741A0"/>
    <w:rsid w:val="00393EEA"/>
    <w:rsid w:val="00396E78"/>
    <w:rsid w:val="003B0C02"/>
    <w:rsid w:val="003B31B1"/>
    <w:rsid w:val="003F5FA2"/>
    <w:rsid w:val="00407046"/>
    <w:rsid w:val="00410355"/>
    <w:rsid w:val="0041415A"/>
    <w:rsid w:val="004204F2"/>
    <w:rsid w:val="004249C2"/>
    <w:rsid w:val="004332A7"/>
    <w:rsid w:val="00434B5E"/>
    <w:rsid w:val="00444FC8"/>
    <w:rsid w:val="00454CFC"/>
    <w:rsid w:val="00457134"/>
    <w:rsid w:val="004616B0"/>
    <w:rsid w:val="00473656"/>
    <w:rsid w:val="004804F3"/>
    <w:rsid w:val="004A531C"/>
    <w:rsid w:val="004B5125"/>
    <w:rsid w:val="004C1022"/>
    <w:rsid w:val="004C44EF"/>
    <w:rsid w:val="004C6605"/>
    <w:rsid w:val="004C734A"/>
    <w:rsid w:val="004D74CF"/>
    <w:rsid w:val="004E10FB"/>
    <w:rsid w:val="004E7897"/>
    <w:rsid w:val="004F013E"/>
    <w:rsid w:val="004F4656"/>
    <w:rsid w:val="004F4ED3"/>
    <w:rsid w:val="0050466D"/>
    <w:rsid w:val="00505A04"/>
    <w:rsid w:val="00507C87"/>
    <w:rsid w:val="00510731"/>
    <w:rsid w:val="005112DD"/>
    <w:rsid w:val="005171FD"/>
    <w:rsid w:val="005262A7"/>
    <w:rsid w:val="00531D41"/>
    <w:rsid w:val="00531F17"/>
    <w:rsid w:val="0054051A"/>
    <w:rsid w:val="00543F6D"/>
    <w:rsid w:val="005517C3"/>
    <w:rsid w:val="005569CD"/>
    <w:rsid w:val="005608F9"/>
    <w:rsid w:val="00564C37"/>
    <w:rsid w:val="005712B0"/>
    <w:rsid w:val="00580FD3"/>
    <w:rsid w:val="00584E61"/>
    <w:rsid w:val="00594ED5"/>
    <w:rsid w:val="00597FC2"/>
    <w:rsid w:val="005A6FED"/>
    <w:rsid w:val="005B17F0"/>
    <w:rsid w:val="005B54C3"/>
    <w:rsid w:val="005D1DF4"/>
    <w:rsid w:val="005D39DA"/>
    <w:rsid w:val="005E0AA0"/>
    <w:rsid w:val="005E2A29"/>
    <w:rsid w:val="005E4FA0"/>
    <w:rsid w:val="005F4FC5"/>
    <w:rsid w:val="00603DF4"/>
    <w:rsid w:val="00605DBF"/>
    <w:rsid w:val="00620858"/>
    <w:rsid w:val="00621439"/>
    <w:rsid w:val="00626753"/>
    <w:rsid w:val="00632490"/>
    <w:rsid w:val="00635A4B"/>
    <w:rsid w:val="0064270E"/>
    <w:rsid w:val="00652EE0"/>
    <w:rsid w:val="006551E3"/>
    <w:rsid w:val="00662267"/>
    <w:rsid w:val="0067442E"/>
    <w:rsid w:val="006810BD"/>
    <w:rsid w:val="00685D61"/>
    <w:rsid w:val="006936E1"/>
    <w:rsid w:val="00693C0C"/>
    <w:rsid w:val="006A3B4D"/>
    <w:rsid w:val="006C308E"/>
    <w:rsid w:val="006C798B"/>
    <w:rsid w:val="006D6A92"/>
    <w:rsid w:val="006E573C"/>
    <w:rsid w:val="006E6D32"/>
    <w:rsid w:val="006F1659"/>
    <w:rsid w:val="0070724B"/>
    <w:rsid w:val="00711C0E"/>
    <w:rsid w:val="00715188"/>
    <w:rsid w:val="0072266F"/>
    <w:rsid w:val="00724D2C"/>
    <w:rsid w:val="007255E3"/>
    <w:rsid w:val="00733B7C"/>
    <w:rsid w:val="00735210"/>
    <w:rsid w:val="00735391"/>
    <w:rsid w:val="00737AA5"/>
    <w:rsid w:val="00743710"/>
    <w:rsid w:val="007476F1"/>
    <w:rsid w:val="00751323"/>
    <w:rsid w:val="007561DD"/>
    <w:rsid w:val="00762649"/>
    <w:rsid w:val="00781C05"/>
    <w:rsid w:val="00793AA3"/>
    <w:rsid w:val="007A1C6B"/>
    <w:rsid w:val="007A697E"/>
    <w:rsid w:val="007D7CFF"/>
    <w:rsid w:val="007E195A"/>
    <w:rsid w:val="007F2D6A"/>
    <w:rsid w:val="007F3950"/>
    <w:rsid w:val="007F472F"/>
    <w:rsid w:val="00817DAA"/>
    <w:rsid w:val="00822F20"/>
    <w:rsid w:val="0082777A"/>
    <w:rsid w:val="00840DF2"/>
    <w:rsid w:val="00846E25"/>
    <w:rsid w:val="00866675"/>
    <w:rsid w:val="0087684D"/>
    <w:rsid w:val="0087785E"/>
    <w:rsid w:val="00890F64"/>
    <w:rsid w:val="008B1B8C"/>
    <w:rsid w:val="008B27A9"/>
    <w:rsid w:val="008B2D4A"/>
    <w:rsid w:val="008C2828"/>
    <w:rsid w:val="008D1423"/>
    <w:rsid w:val="008D2B77"/>
    <w:rsid w:val="008E1271"/>
    <w:rsid w:val="008E1AF5"/>
    <w:rsid w:val="008E2EC4"/>
    <w:rsid w:val="008E5081"/>
    <w:rsid w:val="008F17D4"/>
    <w:rsid w:val="008F19E8"/>
    <w:rsid w:val="00900057"/>
    <w:rsid w:val="00901BFE"/>
    <w:rsid w:val="0090259E"/>
    <w:rsid w:val="00903268"/>
    <w:rsid w:val="009338CD"/>
    <w:rsid w:val="00933C88"/>
    <w:rsid w:val="00933EE1"/>
    <w:rsid w:val="009465FC"/>
    <w:rsid w:val="00950A0F"/>
    <w:rsid w:val="00962A06"/>
    <w:rsid w:val="00976D89"/>
    <w:rsid w:val="00991752"/>
    <w:rsid w:val="009942EF"/>
    <w:rsid w:val="009A5E8D"/>
    <w:rsid w:val="009B1841"/>
    <w:rsid w:val="009B5914"/>
    <w:rsid w:val="009C1D60"/>
    <w:rsid w:val="009C74AC"/>
    <w:rsid w:val="009D0AC8"/>
    <w:rsid w:val="009E3557"/>
    <w:rsid w:val="009F5B98"/>
    <w:rsid w:val="00A05D05"/>
    <w:rsid w:val="00A14FA6"/>
    <w:rsid w:val="00A16599"/>
    <w:rsid w:val="00A2138B"/>
    <w:rsid w:val="00A353D4"/>
    <w:rsid w:val="00A35644"/>
    <w:rsid w:val="00A40256"/>
    <w:rsid w:val="00A40B0F"/>
    <w:rsid w:val="00A435A9"/>
    <w:rsid w:val="00A43BAB"/>
    <w:rsid w:val="00A44EC4"/>
    <w:rsid w:val="00A46ECF"/>
    <w:rsid w:val="00A46EFF"/>
    <w:rsid w:val="00A53A49"/>
    <w:rsid w:val="00A54904"/>
    <w:rsid w:val="00A57281"/>
    <w:rsid w:val="00A60D4D"/>
    <w:rsid w:val="00A63DD4"/>
    <w:rsid w:val="00A831A2"/>
    <w:rsid w:val="00A83F4F"/>
    <w:rsid w:val="00A91509"/>
    <w:rsid w:val="00A940B0"/>
    <w:rsid w:val="00AA373F"/>
    <w:rsid w:val="00AB10E0"/>
    <w:rsid w:val="00AB16B2"/>
    <w:rsid w:val="00AB4483"/>
    <w:rsid w:val="00AD2DD3"/>
    <w:rsid w:val="00AD517F"/>
    <w:rsid w:val="00AD786A"/>
    <w:rsid w:val="00AE5E30"/>
    <w:rsid w:val="00AF03D2"/>
    <w:rsid w:val="00AF6CDE"/>
    <w:rsid w:val="00B0128B"/>
    <w:rsid w:val="00B07C7B"/>
    <w:rsid w:val="00B10202"/>
    <w:rsid w:val="00B20D98"/>
    <w:rsid w:val="00B2544B"/>
    <w:rsid w:val="00B35A9A"/>
    <w:rsid w:val="00B36D0C"/>
    <w:rsid w:val="00B52E66"/>
    <w:rsid w:val="00B53044"/>
    <w:rsid w:val="00B56599"/>
    <w:rsid w:val="00B665BB"/>
    <w:rsid w:val="00B73ED9"/>
    <w:rsid w:val="00B76166"/>
    <w:rsid w:val="00B8533E"/>
    <w:rsid w:val="00B93849"/>
    <w:rsid w:val="00BB742F"/>
    <w:rsid w:val="00BD274C"/>
    <w:rsid w:val="00BF1530"/>
    <w:rsid w:val="00C00734"/>
    <w:rsid w:val="00C040BB"/>
    <w:rsid w:val="00C16372"/>
    <w:rsid w:val="00C25961"/>
    <w:rsid w:val="00C33000"/>
    <w:rsid w:val="00C4247C"/>
    <w:rsid w:val="00C5028C"/>
    <w:rsid w:val="00C574F1"/>
    <w:rsid w:val="00C61D19"/>
    <w:rsid w:val="00C7027E"/>
    <w:rsid w:val="00C8272E"/>
    <w:rsid w:val="00C92279"/>
    <w:rsid w:val="00C927BB"/>
    <w:rsid w:val="00C95018"/>
    <w:rsid w:val="00C95183"/>
    <w:rsid w:val="00C96DA8"/>
    <w:rsid w:val="00CB541B"/>
    <w:rsid w:val="00CB5DDD"/>
    <w:rsid w:val="00CB68C5"/>
    <w:rsid w:val="00CC3942"/>
    <w:rsid w:val="00CE0F39"/>
    <w:rsid w:val="00CE30A3"/>
    <w:rsid w:val="00CF1154"/>
    <w:rsid w:val="00CF11B3"/>
    <w:rsid w:val="00CF2B04"/>
    <w:rsid w:val="00CF2CFD"/>
    <w:rsid w:val="00D12431"/>
    <w:rsid w:val="00D128F5"/>
    <w:rsid w:val="00D16F40"/>
    <w:rsid w:val="00D45518"/>
    <w:rsid w:val="00D46071"/>
    <w:rsid w:val="00D479F0"/>
    <w:rsid w:val="00D47EE6"/>
    <w:rsid w:val="00D506F2"/>
    <w:rsid w:val="00D51FBA"/>
    <w:rsid w:val="00D634D3"/>
    <w:rsid w:val="00D70E99"/>
    <w:rsid w:val="00D83185"/>
    <w:rsid w:val="00D83B50"/>
    <w:rsid w:val="00DA0E21"/>
    <w:rsid w:val="00DA1DFA"/>
    <w:rsid w:val="00DA77C7"/>
    <w:rsid w:val="00DB0DEF"/>
    <w:rsid w:val="00DB102C"/>
    <w:rsid w:val="00DB45A1"/>
    <w:rsid w:val="00DC01CA"/>
    <w:rsid w:val="00DC5196"/>
    <w:rsid w:val="00DC7C0D"/>
    <w:rsid w:val="00DD1B46"/>
    <w:rsid w:val="00DD31DD"/>
    <w:rsid w:val="00E16C4F"/>
    <w:rsid w:val="00E21249"/>
    <w:rsid w:val="00E25F10"/>
    <w:rsid w:val="00E36BFF"/>
    <w:rsid w:val="00E4697A"/>
    <w:rsid w:val="00E50450"/>
    <w:rsid w:val="00E5617B"/>
    <w:rsid w:val="00E74079"/>
    <w:rsid w:val="00E76231"/>
    <w:rsid w:val="00E80B1F"/>
    <w:rsid w:val="00E8101D"/>
    <w:rsid w:val="00E9272D"/>
    <w:rsid w:val="00ED10BD"/>
    <w:rsid w:val="00ED5167"/>
    <w:rsid w:val="00ED6B2C"/>
    <w:rsid w:val="00EE01DF"/>
    <w:rsid w:val="00F00230"/>
    <w:rsid w:val="00F041A6"/>
    <w:rsid w:val="00F05E68"/>
    <w:rsid w:val="00F06E64"/>
    <w:rsid w:val="00F07869"/>
    <w:rsid w:val="00F16C19"/>
    <w:rsid w:val="00F2281A"/>
    <w:rsid w:val="00F335CB"/>
    <w:rsid w:val="00F41EAF"/>
    <w:rsid w:val="00F452EF"/>
    <w:rsid w:val="00F5231F"/>
    <w:rsid w:val="00F563A7"/>
    <w:rsid w:val="00F62B7B"/>
    <w:rsid w:val="00F63932"/>
    <w:rsid w:val="00F64784"/>
    <w:rsid w:val="00F67C5B"/>
    <w:rsid w:val="00F726CA"/>
    <w:rsid w:val="00F76462"/>
    <w:rsid w:val="00F81DD5"/>
    <w:rsid w:val="00F84B44"/>
    <w:rsid w:val="00F86DD0"/>
    <w:rsid w:val="00F9105D"/>
    <w:rsid w:val="00F94204"/>
    <w:rsid w:val="00FA03D5"/>
    <w:rsid w:val="00FB1F7D"/>
    <w:rsid w:val="00FB318D"/>
    <w:rsid w:val="00FB4A10"/>
    <w:rsid w:val="00FC09F5"/>
    <w:rsid w:val="00FC3CDF"/>
    <w:rsid w:val="00FC47D7"/>
    <w:rsid w:val="00FC7E13"/>
    <w:rsid w:val="00FD679E"/>
    <w:rsid w:val="00FE0ADE"/>
    <w:rsid w:val="00FE513E"/>
    <w:rsid w:val="00FF0469"/>
    <w:rsid w:val="00FF0B2B"/>
    <w:rsid w:val="00FF2060"/>
    <w:rsid w:val="00FF2522"/>
    <w:rsid w:val="03EF5E45"/>
    <w:rsid w:val="11653D79"/>
    <w:rsid w:val="119A36AF"/>
    <w:rsid w:val="15852283"/>
    <w:rsid w:val="17A2075B"/>
    <w:rsid w:val="35CD55BA"/>
    <w:rsid w:val="390477FB"/>
    <w:rsid w:val="3DA65BE1"/>
    <w:rsid w:val="47213572"/>
    <w:rsid w:val="48BD5D85"/>
    <w:rsid w:val="50B95D4D"/>
    <w:rsid w:val="533A1094"/>
    <w:rsid w:val="5BEF4A34"/>
    <w:rsid w:val="64622D03"/>
    <w:rsid w:val="66F770BB"/>
    <w:rsid w:val="6C71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rPr>
      <w:sz w:val="20"/>
      <w:szCs w:val="20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unhideWhenUsed/>
    <w:qFormat/>
    <w:uiPriority w:val="99"/>
    <w:pPr>
      <w:widowControl/>
      <w:spacing w:after="160" w:line="259" w:lineRule="auto"/>
      <w:jc w:val="left"/>
    </w:pPr>
    <w:rPr>
      <w:rFonts w:ascii="Courier New" w:hAnsi="Courier New" w:cs="Courier New"/>
      <w:sz w:val="20"/>
      <w:szCs w:val="20"/>
      <w:lang w:bidi="he-IL"/>
      <w14:ligatures w14:val="standardContextual"/>
    </w:rPr>
  </w:style>
  <w:style w:type="paragraph" w:styleId="6">
    <w:name w:val="annotation subject"/>
    <w:basedOn w:val="2"/>
    <w:next w:val="2"/>
    <w:link w:val="19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line number"/>
    <w:basedOn w:val="9"/>
    <w:unhideWhenUsed/>
    <w:qFormat/>
    <w:uiPriority w:val="99"/>
    <w:rPr>
      <w:rFonts w:hint="eastAsia"/>
      <w:sz w:val="22"/>
      <w:szCs w:val="24"/>
    </w:rPr>
  </w:style>
  <w:style w:type="character" w:styleId="12">
    <w:name w:val="Hyperlink"/>
    <w:unhideWhenUsed/>
    <w:qFormat/>
    <w:uiPriority w:val="99"/>
    <w:rPr>
      <w:rFonts w:hint="eastAsia" w:ascii="Calibri" w:hAnsi="Calibri" w:eastAsia="Calibri" w:cs="Calibri"/>
      <w:color w:val="0000FF"/>
      <w:sz w:val="22"/>
      <w:szCs w:val="24"/>
      <w:u w:val="single"/>
    </w:rPr>
  </w:style>
  <w:style w:type="character" w:styleId="13">
    <w:name w:val="annotation reference"/>
    <w:basedOn w:val="9"/>
    <w:qFormat/>
    <w:uiPriority w:val="0"/>
    <w:rPr>
      <w:sz w:val="16"/>
      <w:szCs w:val="16"/>
    </w:rPr>
  </w:style>
  <w:style w:type="character" w:customStyle="1" w:styleId="14">
    <w:name w:val="Header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Footer Char"/>
    <w:basedOn w:val="9"/>
    <w:link w:val="3"/>
    <w:qFormat/>
    <w:uiPriority w:val="99"/>
    <w:rPr>
      <w:kern w:val="2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2"/>
      <w:lang w:val="en-US" w:eastAsia="zh-CN" w:bidi="he-IL"/>
      <w14:ligatures w14:val="standardContextual"/>
    </w:rPr>
  </w:style>
  <w:style w:type="character" w:customStyle="1" w:styleId="17">
    <w:name w:val="HTML Preformatted Char"/>
    <w:basedOn w:val="9"/>
    <w:link w:val="5"/>
    <w:qFormat/>
    <w:uiPriority w:val="99"/>
    <w:rPr>
      <w:rFonts w:ascii="Courier New" w:hAnsi="Courier New" w:cs="Courier New"/>
      <w:kern w:val="2"/>
      <w:lang w:bidi="he-IL"/>
      <w14:ligatures w14:val="standardContextual"/>
    </w:rPr>
  </w:style>
  <w:style w:type="character" w:customStyle="1" w:styleId="18">
    <w:name w:val="Comment Text Char"/>
    <w:basedOn w:val="9"/>
    <w:link w:val="2"/>
    <w:qFormat/>
    <w:uiPriority w:val="0"/>
    <w:rPr>
      <w:kern w:val="2"/>
    </w:rPr>
  </w:style>
  <w:style w:type="character" w:customStyle="1" w:styleId="19">
    <w:name w:val="Comment Subject Char"/>
    <w:basedOn w:val="18"/>
    <w:link w:val="6"/>
    <w:qFormat/>
    <w:uiPriority w:val="0"/>
    <w:rPr>
      <w:b/>
      <w:bCs/>
      <w:kern w:val="2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ParagraphStyle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eastAsia" w:ascii="Calibri" w:hAnsi="Calibri" w:eastAsia="Calibri" w:cs="Calibri"/>
      <w:sz w:val="22"/>
      <w:szCs w:val="24"/>
    </w:rPr>
  </w:style>
  <w:style w:type="character" w:customStyle="1" w:styleId="22">
    <w:name w:val="CharacterStyle1"/>
    <w:unhideWhenUsed/>
    <w:qFormat/>
    <w:uiPriority w:val="99"/>
    <w:rPr>
      <w:rFonts w:hint="eastAsia" w:ascii="Times New Roman" w:hAnsi="Times New Roman" w:eastAsia="Times New Roman" w:cs="Times New Roman"/>
      <w:color w:val="000000"/>
      <w:sz w:val="19"/>
      <w:szCs w:val="24"/>
    </w:rPr>
  </w:style>
  <w:style w:type="paragraph" w:customStyle="1" w:styleId="23">
    <w:name w:val="ParagraphStyle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eastAsia" w:ascii="Calibri" w:hAnsi="Calibri" w:eastAsia="Calibri" w:cs="Calibri"/>
      <w:sz w:val="22"/>
      <w:szCs w:val="24"/>
    </w:rPr>
  </w:style>
  <w:style w:type="character" w:customStyle="1" w:styleId="24">
    <w:name w:val="CharacterStyle2"/>
    <w:unhideWhenUsed/>
    <w:qFormat/>
    <w:uiPriority w:val="99"/>
    <w:rPr>
      <w:rFonts w:hint="eastAsia" w:ascii="Times New Roman" w:hAnsi="Times New Roman" w:eastAsia="Times New Roman" w:cs="Times New Roman"/>
      <w:color w:val="000000"/>
      <w:sz w:val="19"/>
      <w:szCs w:val="24"/>
    </w:rPr>
  </w:style>
  <w:style w:type="paragraph" w:customStyle="1" w:styleId="25">
    <w:name w:val="ParagraphStyle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alibri" w:hAnsi="Calibri" w:eastAsia="Calibri" w:cs="Calibri"/>
      <w:sz w:val="22"/>
      <w:szCs w:val="24"/>
    </w:rPr>
  </w:style>
  <w:style w:type="paragraph" w:customStyle="1" w:styleId="26">
    <w:name w:val="ParagraphStyle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alibri" w:hAnsi="Calibri" w:eastAsia="Calibri" w:cs="Calibri"/>
      <w:sz w:val="22"/>
      <w:szCs w:val="24"/>
    </w:rPr>
  </w:style>
  <w:style w:type="character" w:customStyle="1" w:styleId="27">
    <w:name w:val="CharacterStyle0"/>
    <w:unhideWhenUsed/>
    <w:qFormat/>
    <w:uiPriority w:val="99"/>
    <w:rPr>
      <w:rFonts w:hint="eastAsia" w:ascii="Times New Roman" w:hAnsi="Times New Roman" w:eastAsia="Times New Roman" w:cs="Times New Roman"/>
      <w:color w:val="000000"/>
      <w:sz w:val="19"/>
      <w:szCs w:val="24"/>
    </w:rPr>
  </w:style>
  <w:style w:type="character" w:customStyle="1" w:styleId="28">
    <w:name w:val="CharacterStyle3"/>
    <w:unhideWhenUsed/>
    <w:qFormat/>
    <w:uiPriority w:val="99"/>
    <w:rPr>
      <w:rFonts w:hint="eastAsia" w:ascii="微软雅黑" w:hAnsi="微软雅黑" w:eastAsia="微软雅黑" w:cs="微软雅黑"/>
      <w:color w:val="000000"/>
      <w:sz w:val="19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299</Words>
  <Characters>1771</Characters>
  <Lines>1059</Lines>
  <Paragraphs>460</Paragraphs>
  <TotalTime>2</TotalTime>
  <ScaleCrop>false</ScaleCrop>
  <LinksUpToDate>false</LinksUpToDate>
  <CharactersWithSpaces>2052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2025-08-10T13:04:00Z</dcterms:created>
  <dc:creator>hl</dc:creator>
  <cp:lastModifiedBy>operator</cp:lastModifiedBy>
  <dcterms:modified xsi:type="dcterms:W3CDTF">2025-11-24T07:07:35Z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eyJoZGlkIjoiZDViMzVlYWUyYjBkNmM1YWNlNjRlMmUzN2Q3NDA1YjMiLCJ1c2VySWQiOiIyNTQ3MjgxMDAifQ==</vt:lpwstr>
  </property>
  <property fmtid="{D5CDD505-2E9C-101B-9397-08002B2CF9AE}" pid="4" name="ICV">
    <vt:lpwstr>03326E8E8D884BAA80D1B16873B0E8E9_12</vt:lpwstr>
  </property>
</Properties>
</file>