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2F01" w14:textId="77777777" w:rsidR="005B7751" w:rsidRDefault="005B7751">
      <w:pPr>
        <w:jc w:val="left"/>
        <w:rPr>
          <w:rFonts w:asciiTheme="majorHAnsi" w:hAnsiTheme="majorHAnsi"/>
          <w:sz w:val="32"/>
          <w:szCs w:val="28"/>
        </w:rPr>
      </w:pPr>
      <w:r w:rsidRPr="005B7751">
        <w:rPr>
          <w:rFonts w:asciiTheme="majorHAnsi" w:hAnsiTheme="majorHAnsi"/>
          <w:sz w:val="32"/>
          <w:szCs w:val="28"/>
        </w:rPr>
        <w:t>Table of Contents</w:t>
      </w:r>
    </w:p>
    <w:p w14:paraId="55929E48" w14:textId="2E283209" w:rsidR="00A36B60" w:rsidRDefault="005B7751">
      <w:pPr>
        <w:pStyle w:val="TOC1"/>
        <w:tabs>
          <w:tab w:val="right" w:leader="dot" w:pos="9016"/>
        </w:tabs>
        <w:rPr>
          <w:rFonts w:eastAsiaTheme="minorEastAsia"/>
          <w:b w:val="0"/>
          <w:bCs w:val="0"/>
          <w:caps w:val="0"/>
          <w:noProof/>
          <w:kern w:val="2"/>
          <w:sz w:val="24"/>
          <w:szCs w:val="24"/>
          <w:lang w:eastAsia="en-IN"/>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214016740" w:history="1">
        <w:r w:rsidR="00A36B60" w:rsidRPr="009C50F6">
          <w:rPr>
            <w:rStyle w:val="Hyperlink"/>
            <w:noProof/>
          </w:rPr>
          <w:t>1. Random Forest Modelling (</w:t>
        </w:r>
        <w:r w:rsidR="008E1B29">
          <w:rPr>
            <w:rStyle w:val="Hyperlink"/>
            <w:noProof/>
          </w:rPr>
          <w:t>CSMD</w:t>
        </w:r>
        <w:r w:rsidR="00A36B60" w:rsidRPr="009C50F6">
          <w:rPr>
            <w:rStyle w:val="Hyperlink"/>
            <w:noProof/>
          </w:rPr>
          <w:t xml:space="preserve"> Model)</w:t>
        </w:r>
        <w:r w:rsidR="00A36B60">
          <w:rPr>
            <w:noProof/>
            <w:webHidden/>
          </w:rPr>
          <w:tab/>
        </w:r>
        <w:r w:rsidR="00A36B60">
          <w:rPr>
            <w:noProof/>
            <w:webHidden/>
          </w:rPr>
          <w:fldChar w:fldCharType="begin"/>
        </w:r>
        <w:r w:rsidR="00A36B60">
          <w:rPr>
            <w:noProof/>
            <w:webHidden/>
          </w:rPr>
          <w:instrText xml:space="preserve"> PAGEREF _Toc214016740 \h </w:instrText>
        </w:r>
        <w:r w:rsidR="00A36B60">
          <w:rPr>
            <w:noProof/>
            <w:webHidden/>
          </w:rPr>
        </w:r>
        <w:r w:rsidR="00A36B60">
          <w:rPr>
            <w:noProof/>
            <w:webHidden/>
          </w:rPr>
          <w:fldChar w:fldCharType="separate"/>
        </w:r>
        <w:r w:rsidR="00A36B60">
          <w:rPr>
            <w:noProof/>
            <w:webHidden/>
          </w:rPr>
          <w:t>2</w:t>
        </w:r>
        <w:r w:rsidR="00A36B60">
          <w:rPr>
            <w:noProof/>
            <w:webHidden/>
          </w:rPr>
          <w:fldChar w:fldCharType="end"/>
        </w:r>
      </w:hyperlink>
    </w:p>
    <w:p w14:paraId="74CF16BB" w14:textId="4C271F16" w:rsidR="00A36B60" w:rsidRDefault="00A36B60">
      <w:pPr>
        <w:pStyle w:val="TOC2"/>
        <w:tabs>
          <w:tab w:val="right" w:leader="dot" w:pos="9016"/>
        </w:tabs>
        <w:rPr>
          <w:rFonts w:eastAsiaTheme="minorEastAsia"/>
          <w:smallCaps w:val="0"/>
          <w:noProof/>
          <w:kern w:val="2"/>
          <w:sz w:val="24"/>
          <w:szCs w:val="24"/>
          <w:lang w:eastAsia="en-IN"/>
        </w:rPr>
      </w:pPr>
      <w:hyperlink w:anchor="_Toc214016741" w:history="1">
        <w:r w:rsidRPr="009C50F6">
          <w:rPr>
            <w:rStyle w:val="Hyperlink"/>
            <w:noProof/>
          </w:rPr>
          <w:t>1.1 Data &amp; Setup</w:t>
        </w:r>
        <w:r>
          <w:rPr>
            <w:noProof/>
            <w:webHidden/>
          </w:rPr>
          <w:tab/>
        </w:r>
        <w:r>
          <w:rPr>
            <w:noProof/>
            <w:webHidden/>
          </w:rPr>
          <w:fldChar w:fldCharType="begin"/>
        </w:r>
        <w:r>
          <w:rPr>
            <w:noProof/>
            <w:webHidden/>
          </w:rPr>
          <w:instrText xml:space="preserve"> PAGEREF _Toc214016741 \h </w:instrText>
        </w:r>
        <w:r>
          <w:rPr>
            <w:noProof/>
            <w:webHidden/>
          </w:rPr>
        </w:r>
        <w:r>
          <w:rPr>
            <w:noProof/>
            <w:webHidden/>
          </w:rPr>
          <w:fldChar w:fldCharType="separate"/>
        </w:r>
        <w:r>
          <w:rPr>
            <w:noProof/>
            <w:webHidden/>
          </w:rPr>
          <w:t>2</w:t>
        </w:r>
        <w:r>
          <w:rPr>
            <w:noProof/>
            <w:webHidden/>
          </w:rPr>
          <w:fldChar w:fldCharType="end"/>
        </w:r>
      </w:hyperlink>
    </w:p>
    <w:p w14:paraId="47A7F753" w14:textId="246A364F" w:rsidR="00A36B60" w:rsidRDefault="00A36B60">
      <w:pPr>
        <w:pStyle w:val="TOC2"/>
        <w:tabs>
          <w:tab w:val="right" w:leader="dot" w:pos="9016"/>
        </w:tabs>
        <w:rPr>
          <w:rFonts w:eastAsiaTheme="minorEastAsia"/>
          <w:smallCaps w:val="0"/>
          <w:noProof/>
          <w:kern w:val="2"/>
          <w:sz w:val="24"/>
          <w:szCs w:val="24"/>
          <w:lang w:eastAsia="en-IN"/>
        </w:rPr>
      </w:pPr>
      <w:hyperlink w:anchor="_Toc214016742" w:history="1">
        <w:r w:rsidRPr="009C50F6">
          <w:rPr>
            <w:rStyle w:val="Hyperlink"/>
            <w:noProof/>
          </w:rPr>
          <w:t>1.2 Feature selection (VSURF)</w:t>
        </w:r>
        <w:r>
          <w:rPr>
            <w:noProof/>
            <w:webHidden/>
          </w:rPr>
          <w:tab/>
        </w:r>
        <w:r>
          <w:rPr>
            <w:noProof/>
            <w:webHidden/>
          </w:rPr>
          <w:fldChar w:fldCharType="begin"/>
        </w:r>
        <w:r>
          <w:rPr>
            <w:noProof/>
            <w:webHidden/>
          </w:rPr>
          <w:instrText xml:space="preserve"> PAGEREF _Toc214016742 \h </w:instrText>
        </w:r>
        <w:r>
          <w:rPr>
            <w:noProof/>
            <w:webHidden/>
          </w:rPr>
        </w:r>
        <w:r>
          <w:rPr>
            <w:noProof/>
            <w:webHidden/>
          </w:rPr>
          <w:fldChar w:fldCharType="separate"/>
        </w:r>
        <w:r>
          <w:rPr>
            <w:noProof/>
            <w:webHidden/>
          </w:rPr>
          <w:t>3</w:t>
        </w:r>
        <w:r>
          <w:rPr>
            <w:noProof/>
            <w:webHidden/>
          </w:rPr>
          <w:fldChar w:fldCharType="end"/>
        </w:r>
      </w:hyperlink>
    </w:p>
    <w:p w14:paraId="11C7FA81" w14:textId="670066E0" w:rsidR="00A36B60" w:rsidRDefault="00A36B60">
      <w:pPr>
        <w:pStyle w:val="TOC2"/>
        <w:tabs>
          <w:tab w:val="right" w:leader="dot" w:pos="9016"/>
        </w:tabs>
        <w:rPr>
          <w:rFonts w:eastAsiaTheme="minorEastAsia"/>
          <w:smallCaps w:val="0"/>
          <w:noProof/>
          <w:kern w:val="2"/>
          <w:sz w:val="24"/>
          <w:szCs w:val="24"/>
          <w:lang w:eastAsia="en-IN"/>
        </w:rPr>
      </w:pPr>
      <w:hyperlink w:anchor="_Toc214016743" w:history="1">
        <w:r w:rsidRPr="009C50F6">
          <w:rPr>
            <w:rStyle w:val="Hyperlink"/>
            <w:noProof/>
          </w:rPr>
          <w:t>1.3 Model tuning and final parameters</w:t>
        </w:r>
        <w:r>
          <w:rPr>
            <w:noProof/>
            <w:webHidden/>
          </w:rPr>
          <w:tab/>
        </w:r>
        <w:r>
          <w:rPr>
            <w:noProof/>
            <w:webHidden/>
          </w:rPr>
          <w:fldChar w:fldCharType="begin"/>
        </w:r>
        <w:r>
          <w:rPr>
            <w:noProof/>
            <w:webHidden/>
          </w:rPr>
          <w:instrText xml:space="preserve"> PAGEREF _Toc214016743 \h </w:instrText>
        </w:r>
        <w:r>
          <w:rPr>
            <w:noProof/>
            <w:webHidden/>
          </w:rPr>
        </w:r>
        <w:r>
          <w:rPr>
            <w:noProof/>
            <w:webHidden/>
          </w:rPr>
          <w:fldChar w:fldCharType="separate"/>
        </w:r>
        <w:r>
          <w:rPr>
            <w:noProof/>
            <w:webHidden/>
          </w:rPr>
          <w:t>3</w:t>
        </w:r>
        <w:r>
          <w:rPr>
            <w:noProof/>
            <w:webHidden/>
          </w:rPr>
          <w:fldChar w:fldCharType="end"/>
        </w:r>
      </w:hyperlink>
    </w:p>
    <w:p w14:paraId="3FE1E80D" w14:textId="24693988" w:rsidR="00A36B60" w:rsidRDefault="00A36B60">
      <w:pPr>
        <w:pStyle w:val="TOC2"/>
        <w:tabs>
          <w:tab w:val="right" w:leader="dot" w:pos="9016"/>
        </w:tabs>
        <w:rPr>
          <w:rFonts w:eastAsiaTheme="minorEastAsia"/>
          <w:smallCaps w:val="0"/>
          <w:noProof/>
          <w:kern w:val="2"/>
          <w:sz w:val="24"/>
          <w:szCs w:val="24"/>
          <w:lang w:eastAsia="en-IN"/>
        </w:rPr>
      </w:pPr>
      <w:hyperlink w:anchor="_Toc214016744" w:history="1">
        <w:r w:rsidRPr="009C50F6">
          <w:rPr>
            <w:rStyle w:val="Hyperlink"/>
            <w:noProof/>
          </w:rPr>
          <w:t>1.4 Threshold selection</w:t>
        </w:r>
        <w:r>
          <w:rPr>
            <w:noProof/>
            <w:webHidden/>
          </w:rPr>
          <w:tab/>
        </w:r>
        <w:r>
          <w:rPr>
            <w:noProof/>
            <w:webHidden/>
          </w:rPr>
          <w:fldChar w:fldCharType="begin"/>
        </w:r>
        <w:r>
          <w:rPr>
            <w:noProof/>
            <w:webHidden/>
          </w:rPr>
          <w:instrText xml:space="preserve"> PAGEREF _Toc214016744 \h </w:instrText>
        </w:r>
        <w:r>
          <w:rPr>
            <w:noProof/>
            <w:webHidden/>
          </w:rPr>
        </w:r>
        <w:r>
          <w:rPr>
            <w:noProof/>
            <w:webHidden/>
          </w:rPr>
          <w:fldChar w:fldCharType="separate"/>
        </w:r>
        <w:r>
          <w:rPr>
            <w:noProof/>
            <w:webHidden/>
          </w:rPr>
          <w:t>4</w:t>
        </w:r>
        <w:r>
          <w:rPr>
            <w:noProof/>
            <w:webHidden/>
          </w:rPr>
          <w:fldChar w:fldCharType="end"/>
        </w:r>
      </w:hyperlink>
    </w:p>
    <w:p w14:paraId="5890159C" w14:textId="302D831D" w:rsidR="00A36B60" w:rsidRDefault="00A36B60">
      <w:pPr>
        <w:pStyle w:val="TOC2"/>
        <w:tabs>
          <w:tab w:val="right" w:leader="dot" w:pos="9016"/>
        </w:tabs>
        <w:rPr>
          <w:rFonts w:eastAsiaTheme="minorEastAsia"/>
          <w:smallCaps w:val="0"/>
          <w:noProof/>
          <w:kern w:val="2"/>
          <w:sz w:val="24"/>
          <w:szCs w:val="24"/>
          <w:lang w:eastAsia="en-IN"/>
        </w:rPr>
      </w:pPr>
      <w:hyperlink w:anchor="_Toc214016745" w:history="1">
        <w:r w:rsidRPr="009C50F6">
          <w:rPr>
            <w:rStyle w:val="Hyperlink"/>
            <w:noProof/>
          </w:rPr>
          <w:t>1.5 Feature importance</w:t>
        </w:r>
        <w:r>
          <w:rPr>
            <w:noProof/>
            <w:webHidden/>
          </w:rPr>
          <w:tab/>
        </w:r>
        <w:r>
          <w:rPr>
            <w:noProof/>
            <w:webHidden/>
          </w:rPr>
          <w:fldChar w:fldCharType="begin"/>
        </w:r>
        <w:r>
          <w:rPr>
            <w:noProof/>
            <w:webHidden/>
          </w:rPr>
          <w:instrText xml:space="preserve"> PAGEREF _Toc214016745 \h </w:instrText>
        </w:r>
        <w:r>
          <w:rPr>
            <w:noProof/>
            <w:webHidden/>
          </w:rPr>
        </w:r>
        <w:r>
          <w:rPr>
            <w:noProof/>
            <w:webHidden/>
          </w:rPr>
          <w:fldChar w:fldCharType="separate"/>
        </w:r>
        <w:r>
          <w:rPr>
            <w:noProof/>
            <w:webHidden/>
          </w:rPr>
          <w:t>6</w:t>
        </w:r>
        <w:r>
          <w:rPr>
            <w:noProof/>
            <w:webHidden/>
          </w:rPr>
          <w:fldChar w:fldCharType="end"/>
        </w:r>
      </w:hyperlink>
    </w:p>
    <w:p w14:paraId="2A99E82D" w14:textId="26BDCA9F" w:rsidR="00A36B60" w:rsidRDefault="00A36B60">
      <w:pPr>
        <w:pStyle w:val="TOC1"/>
        <w:tabs>
          <w:tab w:val="right" w:leader="dot" w:pos="9016"/>
        </w:tabs>
        <w:rPr>
          <w:rFonts w:eastAsiaTheme="minorEastAsia"/>
          <w:b w:val="0"/>
          <w:bCs w:val="0"/>
          <w:caps w:val="0"/>
          <w:noProof/>
          <w:kern w:val="2"/>
          <w:sz w:val="24"/>
          <w:szCs w:val="24"/>
          <w:lang w:eastAsia="en-IN"/>
        </w:rPr>
      </w:pPr>
      <w:hyperlink w:anchor="_Toc214016746" w:history="1">
        <w:r w:rsidRPr="009C50F6">
          <w:rPr>
            <w:rStyle w:val="Hyperlink"/>
            <w:noProof/>
          </w:rPr>
          <w:t>2. Comparative analyses</w:t>
        </w:r>
        <w:r>
          <w:rPr>
            <w:noProof/>
            <w:webHidden/>
          </w:rPr>
          <w:tab/>
        </w:r>
        <w:r>
          <w:rPr>
            <w:noProof/>
            <w:webHidden/>
          </w:rPr>
          <w:fldChar w:fldCharType="begin"/>
        </w:r>
        <w:r>
          <w:rPr>
            <w:noProof/>
            <w:webHidden/>
          </w:rPr>
          <w:instrText xml:space="preserve"> PAGEREF _Toc214016746 \h </w:instrText>
        </w:r>
        <w:r>
          <w:rPr>
            <w:noProof/>
            <w:webHidden/>
          </w:rPr>
        </w:r>
        <w:r>
          <w:rPr>
            <w:noProof/>
            <w:webHidden/>
          </w:rPr>
          <w:fldChar w:fldCharType="separate"/>
        </w:r>
        <w:r>
          <w:rPr>
            <w:noProof/>
            <w:webHidden/>
          </w:rPr>
          <w:t>8</w:t>
        </w:r>
        <w:r>
          <w:rPr>
            <w:noProof/>
            <w:webHidden/>
          </w:rPr>
          <w:fldChar w:fldCharType="end"/>
        </w:r>
      </w:hyperlink>
    </w:p>
    <w:p w14:paraId="6D6CCC67" w14:textId="2381CFB6" w:rsidR="00A36B60" w:rsidRDefault="00A36B60">
      <w:pPr>
        <w:pStyle w:val="TOC2"/>
        <w:tabs>
          <w:tab w:val="right" w:leader="dot" w:pos="9016"/>
        </w:tabs>
        <w:rPr>
          <w:rFonts w:eastAsiaTheme="minorEastAsia"/>
          <w:smallCaps w:val="0"/>
          <w:noProof/>
          <w:kern w:val="2"/>
          <w:sz w:val="24"/>
          <w:szCs w:val="24"/>
          <w:lang w:eastAsia="en-IN"/>
        </w:rPr>
      </w:pPr>
      <w:hyperlink w:anchor="_Toc214016747" w:history="1">
        <w:r w:rsidRPr="009C50F6">
          <w:rPr>
            <w:rStyle w:val="Hyperlink"/>
            <w:noProof/>
          </w:rPr>
          <w:t>2.1 Purpose and scope</w:t>
        </w:r>
        <w:r>
          <w:rPr>
            <w:noProof/>
            <w:webHidden/>
          </w:rPr>
          <w:tab/>
        </w:r>
        <w:r>
          <w:rPr>
            <w:noProof/>
            <w:webHidden/>
          </w:rPr>
          <w:fldChar w:fldCharType="begin"/>
        </w:r>
        <w:r>
          <w:rPr>
            <w:noProof/>
            <w:webHidden/>
          </w:rPr>
          <w:instrText xml:space="preserve"> PAGEREF _Toc214016747 \h </w:instrText>
        </w:r>
        <w:r>
          <w:rPr>
            <w:noProof/>
            <w:webHidden/>
          </w:rPr>
        </w:r>
        <w:r>
          <w:rPr>
            <w:noProof/>
            <w:webHidden/>
          </w:rPr>
          <w:fldChar w:fldCharType="separate"/>
        </w:r>
        <w:r>
          <w:rPr>
            <w:noProof/>
            <w:webHidden/>
          </w:rPr>
          <w:t>8</w:t>
        </w:r>
        <w:r>
          <w:rPr>
            <w:noProof/>
            <w:webHidden/>
          </w:rPr>
          <w:fldChar w:fldCharType="end"/>
        </w:r>
      </w:hyperlink>
    </w:p>
    <w:p w14:paraId="01EA8541" w14:textId="13AD633C" w:rsidR="00A36B60" w:rsidRDefault="00A36B60">
      <w:pPr>
        <w:pStyle w:val="TOC2"/>
        <w:tabs>
          <w:tab w:val="right" w:leader="dot" w:pos="9016"/>
        </w:tabs>
        <w:rPr>
          <w:rFonts w:eastAsiaTheme="minorEastAsia"/>
          <w:smallCaps w:val="0"/>
          <w:noProof/>
          <w:kern w:val="2"/>
          <w:sz w:val="24"/>
          <w:szCs w:val="24"/>
          <w:lang w:eastAsia="en-IN"/>
        </w:rPr>
      </w:pPr>
      <w:hyperlink w:anchor="_Toc214016748" w:history="1">
        <w:r w:rsidRPr="009C50F6">
          <w:rPr>
            <w:rStyle w:val="Hyperlink"/>
            <w:noProof/>
          </w:rPr>
          <w:t>2.2 Common workflow shared across all comparisons</w:t>
        </w:r>
        <w:r>
          <w:rPr>
            <w:noProof/>
            <w:webHidden/>
          </w:rPr>
          <w:tab/>
        </w:r>
        <w:r>
          <w:rPr>
            <w:noProof/>
            <w:webHidden/>
          </w:rPr>
          <w:fldChar w:fldCharType="begin"/>
        </w:r>
        <w:r>
          <w:rPr>
            <w:noProof/>
            <w:webHidden/>
          </w:rPr>
          <w:instrText xml:space="preserve"> PAGEREF _Toc214016748 \h </w:instrText>
        </w:r>
        <w:r>
          <w:rPr>
            <w:noProof/>
            <w:webHidden/>
          </w:rPr>
        </w:r>
        <w:r>
          <w:rPr>
            <w:noProof/>
            <w:webHidden/>
          </w:rPr>
          <w:fldChar w:fldCharType="separate"/>
        </w:r>
        <w:r>
          <w:rPr>
            <w:noProof/>
            <w:webHidden/>
          </w:rPr>
          <w:t>8</w:t>
        </w:r>
        <w:r>
          <w:rPr>
            <w:noProof/>
            <w:webHidden/>
          </w:rPr>
          <w:fldChar w:fldCharType="end"/>
        </w:r>
      </w:hyperlink>
    </w:p>
    <w:p w14:paraId="1D06CF94" w14:textId="7AF7286E" w:rsidR="00A36B60" w:rsidRDefault="00A36B60">
      <w:pPr>
        <w:pStyle w:val="TOC2"/>
        <w:tabs>
          <w:tab w:val="right" w:leader="dot" w:pos="9016"/>
        </w:tabs>
        <w:rPr>
          <w:rFonts w:eastAsiaTheme="minorEastAsia"/>
          <w:smallCaps w:val="0"/>
          <w:noProof/>
          <w:kern w:val="2"/>
          <w:sz w:val="24"/>
          <w:szCs w:val="24"/>
          <w:lang w:eastAsia="en-IN"/>
        </w:rPr>
      </w:pPr>
      <w:hyperlink w:anchor="_Toc214016749" w:history="1">
        <w:r w:rsidRPr="009C50F6">
          <w:rPr>
            <w:rStyle w:val="Hyperlink"/>
            <w:noProof/>
          </w:rPr>
          <w:t>2.3 Slum Severity Index (SSI)</w:t>
        </w:r>
        <w:r>
          <w:rPr>
            <w:noProof/>
            <w:webHidden/>
          </w:rPr>
          <w:tab/>
        </w:r>
        <w:r>
          <w:rPr>
            <w:noProof/>
            <w:webHidden/>
          </w:rPr>
          <w:fldChar w:fldCharType="begin"/>
        </w:r>
        <w:r>
          <w:rPr>
            <w:noProof/>
            <w:webHidden/>
          </w:rPr>
          <w:instrText xml:space="preserve"> PAGEREF _Toc214016749 \h </w:instrText>
        </w:r>
        <w:r>
          <w:rPr>
            <w:noProof/>
            <w:webHidden/>
          </w:rPr>
        </w:r>
        <w:r>
          <w:rPr>
            <w:noProof/>
            <w:webHidden/>
          </w:rPr>
          <w:fldChar w:fldCharType="separate"/>
        </w:r>
        <w:r>
          <w:rPr>
            <w:noProof/>
            <w:webHidden/>
          </w:rPr>
          <w:t>9</w:t>
        </w:r>
        <w:r>
          <w:rPr>
            <w:noProof/>
            <w:webHidden/>
          </w:rPr>
          <w:fldChar w:fldCharType="end"/>
        </w:r>
      </w:hyperlink>
    </w:p>
    <w:p w14:paraId="295626C1" w14:textId="2E3B39DF" w:rsidR="00A36B60" w:rsidRDefault="00A36B60">
      <w:pPr>
        <w:pStyle w:val="TOC3"/>
        <w:tabs>
          <w:tab w:val="right" w:leader="dot" w:pos="9016"/>
        </w:tabs>
        <w:rPr>
          <w:rFonts w:eastAsiaTheme="minorEastAsia"/>
          <w:i w:val="0"/>
          <w:iCs w:val="0"/>
          <w:noProof/>
          <w:kern w:val="2"/>
          <w:sz w:val="24"/>
          <w:szCs w:val="24"/>
          <w:lang w:eastAsia="en-IN"/>
        </w:rPr>
      </w:pPr>
      <w:hyperlink w:anchor="_Toc214016750" w:history="1">
        <w:r w:rsidRPr="009C50F6">
          <w:rPr>
            <w:rStyle w:val="Hyperlink"/>
            <w:noProof/>
          </w:rPr>
          <w:t>2.3.1 Data and coverage</w:t>
        </w:r>
        <w:r>
          <w:rPr>
            <w:noProof/>
            <w:webHidden/>
          </w:rPr>
          <w:tab/>
        </w:r>
        <w:r>
          <w:rPr>
            <w:noProof/>
            <w:webHidden/>
          </w:rPr>
          <w:fldChar w:fldCharType="begin"/>
        </w:r>
        <w:r>
          <w:rPr>
            <w:noProof/>
            <w:webHidden/>
          </w:rPr>
          <w:instrText xml:space="preserve"> PAGEREF _Toc214016750 \h </w:instrText>
        </w:r>
        <w:r>
          <w:rPr>
            <w:noProof/>
            <w:webHidden/>
          </w:rPr>
        </w:r>
        <w:r>
          <w:rPr>
            <w:noProof/>
            <w:webHidden/>
          </w:rPr>
          <w:fldChar w:fldCharType="separate"/>
        </w:r>
        <w:r>
          <w:rPr>
            <w:noProof/>
            <w:webHidden/>
          </w:rPr>
          <w:t>9</w:t>
        </w:r>
        <w:r>
          <w:rPr>
            <w:noProof/>
            <w:webHidden/>
          </w:rPr>
          <w:fldChar w:fldCharType="end"/>
        </w:r>
      </w:hyperlink>
    </w:p>
    <w:p w14:paraId="69197741" w14:textId="66556A1B" w:rsidR="00A36B60" w:rsidRDefault="00A36B60">
      <w:pPr>
        <w:pStyle w:val="TOC3"/>
        <w:tabs>
          <w:tab w:val="right" w:leader="dot" w:pos="9016"/>
        </w:tabs>
        <w:rPr>
          <w:rFonts w:eastAsiaTheme="minorEastAsia"/>
          <w:i w:val="0"/>
          <w:iCs w:val="0"/>
          <w:noProof/>
          <w:kern w:val="2"/>
          <w:sz w:val="24"/>
          <w:szCs w:val="24"/>
          <w:lang w:eastAsia="en-IN"/>
        </w:rPr>
      </w:pPr>
      <w:hyperlink w:anchor="_Toc214016751" w:history="1">
        <w:r w:rsidRPr="009C50F6">
          <w:rPr>
            <w:rStyle w:val="Hyperlink"/>
            <w:noProof/>
          </w:rPr>
          <w:t>2.3.2 Method</w:t>
        </w:r>
        <w:r>
          <w:rPr>
            <w:noProof/>
            <w:webHidden/>
          </w:rPr>
          <w:tab/>
        </w:r>
        <w:r>
          <w:rPr>
            <w:noProof/>
            <w:webHidden/>
          </w:rPr>
          <w:fldChar w:fldCharType="begin"/>
        </w:r>
        <w:r>
          <w:rPr>
            <w:noProof/>
            <w:webHidden/>
          </w:rPr>
          <w:instrText xml:space="preserve"> PAGEREF _Toc214016751 \h </w:instrText>
        </w:r>
        <w:r>
          <w:rPr>
            <w:noProof/>
            <w:webHidden/>
          </w:rPr>
        </w:r>
        <w:r>
          <w:rPr>
            <w:noProof/>
            <w:webHidden/>
          </w:rPr>
          <w:fldChar w:fldCharType="separate"/>
        </w:r>
        <w:r>
          <w:rPr>
            <w:noProof/>
            <w:webHidden/>
          </w:rPr>
          <w:t>10</w:t>
        </w:r>
        <w:r>
          <w:rPr>
            <w:noProof/>
            <w:webHidden/>
          </w:rPr>
          <w:fldChar w:fldCharType="end"/>
        </w:r>
      </w:hyperlink>
    </w:p>
    <w:p w14:paraId="1100DAD9" w14:textId="73B83905" w:rsidR="00A36B60" w:rsidRDefault="00A36B60">
      <w:pPr>
        <w:pStyle w:val="TOC3"/>
        <w:tabs>
          <w:tab w:val="right" w:leader="dot" w:pos="9016"/>
        </w:tabs>
        <w:rPr>
          <w:rFonts w:eastAsiaTheme="minorEastAsia"/>
          <w:i w:val="0"/>
          <w:iCs w:val="0"/>
          <w:noProof/>
          <w:kern w:val="2"/>
          <w:sz w:val="24"/>
          <w:szCs w:val="24"/>
          <w:lang w:eastAsia="en-IN"/>
        </w:rPr>
      </w:pPr>
      <w:hyperlink w:anchor="_Toc214016752" w:history="1">
        <w:r w:rsidRPr="009C50F6">
          <w:rPr>
            <w:rStyle w:val="Hyperlink"/>
            <w:noProof/>
          </w:rPr>
          <w:t>2.3.3 Results</w:t>
        </w:r>
        <w:r>
          <w:rPr>
            <w:noProof/>
            <w:webHidden/>
          </w:rPr>
          <w:tab/>
        </w:r>
        <w:r>
          <w:rPr>
            <w:noProof/>
            <w:webHidden/>
          </w:rPr>
          <w:fldChar w:fldCharType="begin"/>
        </w:r>
        <w:r>
          <w:rPr>
            <w:noProof/>
            <w:webHidden/>
          </w:rPr>
          <w:instrText xml:space="preserve"> PAGEREF _Toc214016752 \h </w:instrText>
        </w:r>
        <w:r>
          <w:rPr>
            <w:noProof/>
            <w:webHidden/>
          </w:rPr>
        </w:r>
        <w:r>
          <w:rPr>
            <w:noProof/>
            <w:webHidden/>
          </w:rPr>
          <w:fldChar w:fldCharType="separate"/>
        </w:r>
        <w:r>
          <w:rPr>
            <w:noProof/>
            <w:webHidden/>
          </w:rPr>
          <w:t>10</w:t>
        </w:r>
        <w:r>
          <w:rPr>
            <w:noProof/>
            <w:webHidden/>
          </w:rPr>
          <w:fldChar w:fldCharType="end"/>
        </w:r>
      </w:hyperlink>
    </w:p>
    <w:p w14:paraId="68D86F53" w14:textId="5EFE0A49" w:rsidR="00A36B60" w:rsidRDefault="00A36B60">
      <w:pPr>
        <w:pStyle w:val="TOC2"/>
        <w:tabs>
          <w:tab w:val="right" w:leader="dot" w:pos="9016"/>
        </w:tabs>
        <w:rPr>
          <w:rFonts w:eastAsiaTheme="minorEastAsia"/>
          <w:smallCaps w:val="0"/>
          <w:noProof/>
          <w:kern w:val="2"/>
          <w:sz w:val="24"/>
          <w:szCs w:val="24"/>
          <w:lang w:eastAsia="en-IN"/>
        </w:rPr>
      </w:pPr>
      <w:hyperlink w:anchor="_Toc214016753" w:history="1">
        <w:r w:rsidRPr="009C50F6">
          <w:rPr>
            <w:rStyle w:val="Hyperlink"/>
            <w:noProof/>
          </w:rPr>
          <w:t>2.4 Million Neighbourhoods (MN)</w:t>
        </w:r>
        <w:r>
          <w:rPr>
            <w:noProof/>
            <w:webHidden/>
          </w:rPr>
          <w:tab/>
        </w:r>
        <w:r>
          <w:rPr>
            <w:noProof/>
            <w:webHidden/>
          </w:rPr>
          <w:fldChar w:fldCharType="begin"/>
        </w:r>
        <w:r>
          <w:rPr>
            <w:noProof/>
            <w:webHidden/>
          </w:rPr>
          <w:instrText xml:space="preserve"> PAGEREF _Toc214016753 \h </w:instrText>
        </w:r>
        <w:r>
          <w:rPr>
            <w:noProof/>
            <w:webHidden/>
          </w:rPr>
        </w:r>
        <w:r>
          <w:rPr>
            <w:noProof/>
            <w:webHidden/>
          </w:rPr>
          <w:fldChar w:fldCharType="separate"/>
        </w:r>
        <w:r>
          <w:rPr>
            <w:noProof/>
            <w:webHidden/>
          </w:rPr>
          <w:t>12</w:t>
        </w:r>
        <w:r>
          <w:rPr>
            <w:noProof/>
            <w:webHidden/>
          </w:rPr>
          <w:fldChar w:fldCharType="end"/>
        </w:r>
      </w:hyperlink>
    </w:p>
    <w:p w14:paraId="5233C1B5" w14:textId="1547C370" w:rsidR="00A36B60" w:rsidRDefault="00A36B60">
      <w:pPr>
        <w:pStyle w:val="TOC3"/>
        <w:tabs>
          <w:tab w:val="right" w:leader="dot" w:pos="9016"/>
        </w:tabs>
        <w:rPr>
          <w:rFonts w:eastAsiaTheme="minorEastAsia"/>
          <w:i w:val="0"/>
          <w:iCs w:val="0"/>
          <w:noProof/>
          <w:kern w:val="2"/>
          <w:sz w:val="24"/>
          <w:szCs w:val="24"/>
          <w:lang w:eastAsia="en-IN"/>
        </w:rPr>
      </w:pPr>
      <w:hyperlink w:anchor="_Toc214016754" w:history="1">
        <w:r w:rsidRPr="009C50F6">
          <w:rPr>
            <w:rStyle w:val="Hyperlink"/>
            <w:noProof/>
          </w:rPr>
          <w:t>2.4.1 Data and coverage</w:t>
        </w:r>
        <w:r>
          <w:rPr>
            <w:noProof/>
            <w:webHidden/>
          </w:rPr>
          <w:tab/>
        </w:r>
        <w:r>
          <w:rPr>
            <w:noProof/>
            <w:webHidden/>
          </w:rPr>
          <w:fldChar w:fldCharType="begin"/>
        </w:r>
        <w:r>
          <w:rPr>
            <w:noProof/>
            <w:webHidden/>
          </w:rPr>
          <w:instrText xml:space="preserve"> PAGEREF _Toc214016754 \h </w:instrText>
        </w:r>
        <w:r>
          <w:rPr>
            <w:noProof/>
            <w:webHidden/>
          </w:rPr>
        </w:r>
        <w:r>
          <w:rPr>
            <w:noProof/>
            <w:webHidden/>
          </w:rPr>
          <w:fldChar w:fldCharType="separate"/>
        </w:r>
        <w:r>
          <w:rPr>
            <w:noProof/>
            <w:webHidden/>
          </w:rPr>
          <w:t>12</w:t>
        </w:r>
        <w:r>
          <w:rPr>
            <w:noProof/>
            <w:webHidden/>
          </w:rPr>
          <w:fldChar w:fldCharType="end"/>
        </w:r>
      </w:hyperlink>
    </w:p>
    <w:p w14:paraId="269B0E94" w14:textId="064BD839" w:rsidR="00A36B60" w:rsidRDefault="00A36B60">
      <w:pPr>
        <w:pStyle w:val="TOC3"/>
        <w:tabs>
          <w:tab w:val="right" w:leader="dot" w:pos="9016"/>
        </w:tabs>
        <w:rPr>
          <w:rFonts w:eastAsiaTheme="minorEastAsia"/>
          <w:i w:val="0"/>
          <w:iCs w:val="0"/>
          <w:noProof/>
          <w:kern w:val="2"/>
          <w:sz w:val="24"/>
          <w:szCs w:val="24"/>
          <w:lang w:eastAsia="en-IN"/>
        </w:rPr>
      </w:pPr>
      <w:hyperlink w:anchor="_Toc214016755" w:history="1">
        <w:r w:rsidRPr="009C50F6">
          <w:rPr>
            <w:rStyle w:val="Hyperlink"/>
            <w:noProof/>
          </w:rPr>
          <w:t>2.4.2 Method</w:t>
        </w:r>
        <w:r>
          <w:rPr>
            <w:noProof/>
            <w:webHidden/>
          </w:rPr>
          <w:tab/>
        </w:r>
        <w:r>
          <w:rPr>
            <w:noProof/>
            <w:webHidden/>
          </w:rPr>
          <w:fldChar w:fldCharType="begin"/>
        </w:r>
        <w:r>
          <w:rPr>
            <w:noProof/>
            <w:webHidden/>
          </w:rPr>
          <w:instrText xml:space="preserve"> PAGEREF _Toc214016755 \h </w:instrText>
        </w:r>
        <w:r>
          <w:rPr>
            <w:noProof/>
            <w:webHidden/>
          </w:rPr>
        </w:r>
        <w:r>
          <w:rPr>
            <w:noProof/>
            <w:webHidden/>
          </w:rPr>
          <w:fldChar w:fldCharType="separate"/>
        </w:r>
        <w:r>
          <w:rPr>
            <w:noProof/>
            <w:webHidden/>
          </w:rPr>
          <w:t>12</w:t>
        </w:r>
        <w:r>
          <w:rPr>
            <w:noProof/>
            <w:webHidden/>
          </w:rPr>
          <w:fldChar w:fldCharType="end"/>
        </w:r>
      </w:hyperlink>
    </w:p>
    <w:p w14:paraId="258B04BB" w14:textId="2F2C8FF5" w:rsidR="00A36B60" w:rsidRDefault="00A36B60">
      <w:pPr>
        <w:pStyle w:val="TOC3"/>
        <w:tabs>
          <w:tab w:val="right" w:leader="dot" w:pos="9016"/>
        </w:tabs>
        <w:rPr>
          <w:rFonts w:eastAsiaTheme="minorEastAsia"/>
          <w:i w:val="0"/>
          <w:iCs w:val="0"/>
          <w:noProof/>
          <w:kern w:val="2"/>
          <w:sz w:val="24"/>
          <w:szCs w:val="24"/>
          <w:lang w:eastAsia="en-IN"/>
        </w:rPr>
      </w:pPr>
      <w:hyperlink w:anchor="_Toc214016756" w:history="1">
        <w:r w:rsidRPr="009C50F6">
          <w:rPr>
            <w:rStyle w:val="Hyperlink"/>
            <w:noProof/>
          </w:rPr>
          <w:t>2.4.3 Results</w:t>
        </w:r>
        <w:r>
          <w:rPr>
            <w:noProof/>
            <w:webHidden/>
          </w:rPr>
          <w:tab/>
        </w:r>
        <w:r>
          <w:rPr>
            <w:noProof/>
            <w:webHidden/>
          </w:rPr>
          <w:fldChar w:fldCharType="begin"/>
        </w:r>
        <w:r>
          <w:rPr>
            <w:noProof/>
            <w:webHidden/>
          </w:rPr>
          <w:instrText xml:space="preserve"> PAGEREF _Toc214016756 \h </w:instrText>
        </w:r>
        <w:r>
          <w:rPr>
            <w:noProof/>
            <w:webHidden/>
          </w:rPr>
        </w:r>
        <w:r>
          <w:rPr>
            <w:noProof/>
            <w:webHidden/>
          </w:rPr>
          <w:fldChar w:fldCharType="separate"/>
        </w:r>
        <w:r>
          <w:rPr>
            <w:noProof/>
            <w:webHidden/>
          </w:rPr>
          <w:t>13</w:t>
        </w:r>
        <w:r>
          <w:rPr>
            <w:noProof/>
            <w:webHidden/>
          </w:rPr>
          <w:fldChar w:fldCharType="end"/>
        </w:r>
      </w:hyperlink>
    </w:p>
    <w:p w14:paraId="61413FEA" w14:textId="75D92143" w:rsidR="00A36B60" w:rsidRDefault="00A36B60">
      <w:pPr>
        <w:pStyle w:val="TOC2"/>
        <w:tabs>
          <w:tab w:val="right" w:leader="dot" w:pos="9016"/>
        </w:tabs>
        <w:rPr>
          <w:rFonts w:eastAsiaTheme="minorEastAsia"/>
          <w:smallCaps w:val="0"/>
          <w:noProof/>
          <w:kern w:val="2"/>
          <w:sz w:val="24"/>
          <w:szCs w:val="24"/>
          <w:lang w:eastAsia="en-IN"/>
        </w:rPr>
      </w:pPr>
      <w:hyperlink w:anchor="_Toc214016757" w:history="1">
        <w:r w:rsidRPr="009C50F6">
          <w:rPr>
            <w:rStyle w:val="Hyperlink"/>
            <w:noProof/>
          </w:rPr>
          <w:t>2.5 World Resource Institute (WRI) Intra urban Land Use</w:t>
        </w:r>
        <w:r>
          <w:rPr>
            <w:noProof/>
            <w:webHidden/>
          </w:rPr>
          <w:tab/>
        </w:r>
        <w:r>
          <w:rPr>
            <w:noProof/>
            <w:webHidden/>
          </w:rPr>
          <w:fldChar w:fldCharType="begin"/>
        </w:r>
        <w:r>
          <w:rPr>
            <w:noProof/>
            <w:webHidden/>
          </w:rPr>
          <w:instrText xml:space="preserve"> PAGEREF _Toc214016757 \h </w:instrText>
        </w:r>
        <w:r>
          <w:rPr>
            <w:noProof/>
            <w:webHidden/>
          </w:rPr>
        </w:r>
        <w:r>
          <w:rPr>
            <w:noProof/>
            <w:webHidden/>
          </w:rPr>
          <w:fldChar w:fldCharType="separate"/>
        </w:r>
        <w:r>
          <w:rPr>
            <w:noProof/>
            <w:webHidden/>
          </w:rPr>
          <w:t>14</w:t>
        </w:r>
        <w:r>
          <w:rPr>
            <w:noProof/>
            <w:webHidden/>
          </w:rPr>
          <w:fldChar w:fldCharType="end"/>
        </w:r>
      </w:hyperlink>
    </w:p>
    <w:p w14:paraId="1F3DE6E0" w14:textId="500845EF" w:rsidR="00A36B60" w:rsidRDefault="00A36B60">
      <w:pPr>
        <w:pStyle w:val="TOC3"/>
        <w:tabs>
          <w:tab w:val="right" w:leader="dot" w:pos="9016"/>
        </w:tabs>
        <w:rPr>
          <w:rFonts w:eastAsiaTheme="minorEastAsia"/>
          <w:i w:val="0"/>
          <w:iCs w:val="0"/>
          <w:noProof/>
          <w:kern w:val="2"/>
          <w:sz w:val="24"/>
          <w:szCs w:val="24"/>
          <w:lang w:eastAsia="en-IN"/>
        </w:rPr>
      </w:pPr>
      <w:hyperlink w:anchor="_Toc214016758" w:history="1">
        <w:r w:rsidRPr="009C50F6">
          <w:rPr>
            <w:rStyle w:val="Hyperlink"/>
            <w:noProof/>
          </w:rPr>
          <w:t>2.5.1 Data and coverage</w:t>
        </w:r>
        <w:r>
          <w:rPr>
            <w:noProof/>
            <w:webHidden/>
          </w:rPr>
          <w:tab/>
        </w:r>
        <w:r>
          <w:rPr>
            <w:noProof/>
            <w:webHidden/>
          </w:rPr>
          <w:fldChar w:fldCharType="begin"/>
        </w:r>
        <w:r>
          <w:rPr>
            <w:noProof/>
            <w:webHidden/>
          </w:rPr>
          <w:instrText xml:space="preserve"> PAGEREF _Toc214016758 \h </w:instrText>
        </w:r>
        <w:r>
          <w:rPr>
            <w:noProof/>
            <w:webHidden/>
          </w:rPr>
        </w:r>
        <w:r>
          <w:rPr>
            <w:noProof/>
            <w:webHidden/>
          </w:rPr>
          <w:fldChar w:fldCharType="separate"/>
        </w:r>
        <w:r>
          <w:rPr>
            <w:noProof/>
            <w:webHidden/>
          </w:rPr>
          <w:t>14</w:t>
        </w:r>
        <w:r>
          <w:rPr>
            <w:noProof/>
            <w:webHidden/>
          </w:rPr>
          <w:fldChar w:fldCharType="end"/>
        </w:r>
      </w:hyperlink>
    </w:p>
    <w:p w14:paraId="24CEE450" w14:textId="238D42C4" w:rsidR="00A36B60" w:rsidRDefault="00A36B60">
      <w:pPr>
        <w:pStyle w:val="TOC3"/>
        <w:tabs>
          <w:tab w:val="right" w:leader="dot" w:pos="9016"/>
        </w:tabs>
        <w:rPr>
          <w:rFonts w:eastAsiaTheme="minorEastAsia"/>
          <w:i w:val="0"/>
          <w:iCs w:val="0"/>
          <w:noProof/>
          <w:kern w:val="2"/>
          <w:sz w:val="24"/>
          <w:szCs w:val="24"/>
          <w:lang w:eastAsia="en-IN"/>
        </w:rPr>
      </w:pPr>
      <w:hyperlink w:anchor="_Toc214016759" w:history="1">
        <w:r w:rsidRPr="009C50F6">
          <w:rPr>
            <w:rStyle w:val="Hyperlink"/>
            <w:noProof/>
          </w:rPr>
          <w:t>2.5.2 Method</w:t>
        </w:r>
        <w:r>
          <w:rPr>
            <w:noProof/>
            <w:webHidden/>
          </w:rPr>
          <w:tab/>
        </w:r>
        <w:r>
          <w:rPr>
            <w:noProof/>
            <w:webHidden/>
          </w:rPr>
          <w:fldChar w:fldCharType="begin"/>
        </w:r>
        <w:r>
          <w:rPr>
            <w:noProof/>
            <w:webHidden/>
          </w:rPr>
          <w:instrText xml:space="preserve"> PAGEREF _Toc214016759 \h </w:instrText>
        </w:r>
        <w:r>
          <w:rPr>
            <w:noProof/>
            <w:webHidden/>
          </w:rPr>
        </w:r>
        <w:r>
          <w:rPr>
            <w:noProof/>
            <w:webHidden/>
          </w:rPr>
          <w:fldChar w:fldCharType="separate"/>
        </w:r>
        <w:r>
          <w:rPr>
            <w:noProof/>
            <w:webHidden/>
          </w:rPr>
          <w:t>15</w:t>
        </w:r>
        <w:r>
          <w:rPr>
            <w:noProof/>
            <w:webHidden/>
          </w:rPr>
          <w:fldChar w:fldCharType="end"/>
        </w:r>
      </w:hyperlink>
    </w:p>
    <w:p w14:paraId="301988BC" w14:textId="2BA40B07" w:rsidR="00A36B60" w:rsidRDefault="00A36B60">
      <w:pPr>
        <w:pStyle w:val="TOC3"/>
        <w:tabs>
          <w:tab w:val="right" w:leader="dot" w:pos="9016"/>
        </w:tabs>
        <w:rPr>
          <w:rFonts w:eastAsiaTheme="minorEastAsia"/>
          <w:i w:val="0"/>
          <w:iCs w:val="0"/>
          <w:noProof/>
          <w:kern w:val="2"/>
          <w:sz w:val="24"/>
          <w:szCs w:val="24"/>
          <w:lang w:eastAsia="en-IN"/>
        </w:rPr>
      </w:pPr>
      <w:hyperlink w:anchor="_Toc214016760" w:history="1">
        <w:r w:rsidRPr="009C50F6">
          <w:rPr>
            <w:rStyle w:val="Hyperlink"/>
            <w:noProof/>
          </w:rPr>
          <w:t>2.5.3 Results</w:t>
        </w:r>
        <w:r>
          <w:rPr>
            <w:noProof/>
            <w:webHidden/>
          </w:rPr>
          <w:tab/>
        </w:r>
        <w:r>
          <w:rPr>
            <w:noProof/>
            <w:webHidden/>
          </w:rPr>
          <w:fldChar w:fldCharType="begin"/>
        </w:r>
        <w:r>
          <w:rPr>
            <w:noProof/>
            <w:webHidden/>
          </w:rPr>
          <w:instrText xml:space="preserve"> PAGEREF _Toc214016760 \h </w:instrText>
        </w:r>
        <w:r>
          <w:rPr>
            <w:noProof/>
            <w:webHidden/>
          </w:rPr>
        </w:r>
        <w:r>
          <w:rPr>
            <w:noProof/>
            <w:webHidden/>
          </w:rPr>
          <w:fldChar w:fldCharType="separate"/>
        </w:r>
        <w:r>
          <w:rPr>
            <w:noProof/>
            <w:webHidden/>
          </w:rPr>
          <w:t>15</w:t>
        </w:r>
        <w:r>
          <w:rPr>
            <w:noProof/>
            <w:webHidden/>
          </w:rPr>
          <w:fldChar w:fldCharType="end"/>
        </w:r>
      </w:hyperlink>
    </w:p>
    <w:p w14:paraId="5E9F6C90" w14:textId="13463D24" w:rsidR="00A36B60" w:rsidRDefault="00A36B60">
      <w:pPr>
        <w:pStyle w:val="TOC1"/>
        <w:tabs>
          <w:tab w:val="right" w:leader="dot" w:pos="9016"/>
        </w:tabs>
        <w:rPr>
          <w:rFonts w:eastAsiaTheme="minorEastAsia"/>
          <w:b w:val="0"/>
          <w:bCs w:val="0"/>
          <w:caps w:val="0"/>
          <w:noProof/>
          <w:kern w:val="2"/>
          <w:sz w:val="24"/>
          <w:szCs w:val="24"/>
          <w:lang w:eastAsia="en-IN"/>
        </w:rPr>
      </w:pPr>
      <w:hyperlink w:anchor="_Toc214016761" w:history="1">
        <w:r w:rsidRPr="009C50F6">
          <w:rPr>
            <w:rStyle w:val="Hyperlink"/>
            <w:noProof/>
          </w:rPr>
          <w:t>References</w:t>
        </w:r>
        <w:r>
          <w:rPr>
            <w:noProof/>
            <w:webHidden/>
          </w:rPr>
          <w:tab/>
        </w:r>
        <w:r>
          <w:rPr>
            <w:noProof/>
            <w:webHidden/>
          </w:rPr>
          <w:fldChar w:fldCharType="begin"/>
        </w:r>
        <w:r>
          <w:rPr>
            <w:noProof/>
            <w:webHidden/>
          </w:rPr>
          <w:instrText xml:space="preserve"> PAGEREF _Toc214016761 \h </w:instrText>
        </w:r>
        <w:r>
          <w:rPr>
            <w:noProof/>
            <w:webHidden/>
          </w:rPr>
        </w:r>
        <w:r>
          <w:rPr>
            <w:noProof/>
            <w:webHidden/>
          </w:rPr>
          <w:fldChar w:fldCharType="separate"/>
        </w:r>
        <w:r>
          <w:rPr>
            <w:noProof/>
            <w:webHidden/>
          </w:rPr>
          <w:t>17</w:t>
        </w:r>
        <w:r>
          <w:rPr>
            <w:noProof/>
            <w:webHidden/>
          </w:rPr>
          <w:fldChar w:fldCharType="end"/>
        </w:r>
      </w:hyperlink>
    </w:p>
    <w:p w14:paraId="2FB7619A" w14:textId="2514A91B" w:rsidR="005B7751" w:rsidRPr="005B7751" w:rsidRDefault="005B7751">
      <w:pPr>
        <w:jc w:val="left"/>
        <w:rPr>
          <w:rFonts w:asciiTheme="majorHAnsi" w:eastAsiaTheme="majorEastAsia" w:hAnsiTheme="majorHAnsi" w:cstheme="majorBidi"/>
          <w:color w:val="0F4761" w:themeColor="accent1" w:themeShade="BF"/>
          <w:sz w:val="40"/>
          <w:szCs w:val="40"/>
        </w:rPr>
      </w:pPr>
      <w:r>
        <w:rPr>
          <w:rFonts w:asciiTheme="majorHAnsi" w:hAnsiTheme="majorHAnsi"/>
        </w:rPr>
        <w:fldChar w:fldCharType="end"/>
      </w:r>
      <w:r w:rsidRPr="005B7751">
        <w:rPr>
          <w:rFonts w:asciiTheme="majorHAnsi" w:hAnsiTheme="majorHAnsi"/>
        </w:rPr>
        <w:br w:type="page"/>
      </w:r>
    </w:p>
    <w:p w14:paraId="19CC7D05" w14:textId="43A3A893" w:rsidR="0066186B" w:rsidRDefault="006357FC" w:rsidP="006357FC">
      <w:pPr>
        <w:pStyle w:val="Heading1"/>
      </w:pPr>
      <w:bookmarkStart w:id="0" w:name="_Toc214016740"/>
      <w:r>
        <w:lastRenderedPageBreak/>
        <w:t>1. Random Forest Modelling (</w:t>
      </w:r>
      <w:r w:rsidR="008E1B29">
        <w:t>CSMD</w:t>
      </w:r>
      <w:r>
        <w:t xml:space="preserve"> Model)</w:t>
      </w:r>
      <w:bookmarkEnd w:id="0"/>
    </w:p>
    <w:p w14:paraId="66496F1D" w14:textId="60A0BF61" w:rsidR="006357FC" w:rsidRDefault="005E1512" w:rsidP="005E1512">
      <w:pPr>
        <w:pStyle w:val="Heading2"/>
      </w:pPr>
      <w:bookmarkStart w:id="1" w:name="_Toc214016741"/>
      <w:r>
        <w:t>1.1 Data &amp; Setup</w:t>
      </w:r>
      <w:bookmarkEnd w:id="1"/>
      <w:r>
        <w:t xml:space="preserve"> </w:t>
      </w:r>
    </w:p>
    <w:p w14:paraId="654D67CD" w14:textId="5278781A" w:rsidR="005E1512" w:rsidRDefault="005E1512" w:rsidP="005E1512">
      <w:pPr>
        <w:spacing w:line="360" w:lineRule="auto"/>
      </w:pPr>
      <w:r>
        <w:t>We used the 21 built-environment indicators from City Segments v1 (population/area, parcels &amp; access, roads &amp; connectivity, buildings &amp; morphology) plus a categorical regional code (REG1_GHSL: Africa, Asia, Latin America and the Caribbean</w:t>
      </w:r>
      <w:r w:rsidR="00672B99">
        <w:t xml:space="preserve"> (LAC)</w:t>
      </w:r>
      <w:r>
        <w:t>) as an additional predictor. All segments with complete values across these indicators were retained. The regional code was one-hot encoded; all other variables were left on their native scales.</w:t>
      </w:r>
    </w:p>
    <w:p w14:paraId="0A893F47" w14:textId="0A78E1C9" w:rsidR="005E1512" w:rsidRDefault="005E1512" w:rsidP="005E1512">
      <w:pPr>
        <w:spacing w:line="360" w:lineRule="auto"/>
      </w:pPr>
      <w:proofErr w:type="spellStart"/>
      <w:r>
        <w:t>IDEABench</w:t>
      </w:r>
      <w:proofErr w:type="spellEnd"/>
      <w:r>
        <w:t xml:space="preserve"> reference data were rasterized city-wide and overlaid with City segments. A segment was labelled</w:t>
      </w:r>
      <w:r w:rsidR="008E1B29">
        <w:t xml:space="preserve"> morphologically</w:t>
      </w:r>
      <w:r>
        <w:t xml:space="preserve"> deprived (1) if &gt; 30% of its area overlapped the </w:t>
      </w:r>
      <w:proofErr w:type="spellStart"/>
      <w:r>
        <w:t>IDEABench</w:t>
      </w:r>
      <w:proofErr w:type="spellEnd"/>
      <w:r>
        <w:t xml:space="preserve"> deprived class; otherwise, it was labelled as non-deprived (0). Non-built-up was grouped with non-deprived. Per-city counts used for modelling are reported in Table 1.</w:t>
      </w:r>
    </w:p>
    <w:p w14:paraId="5EDE74E9" w14:textId="2FB95ADC" w:rsidR="005E1512" w:rsidRDefault="005E1512" w:rsidP="005E1512">
      <w:pPr>
        <w:spacing w:line="360" w:lineRule="auto"/>
      </w:pPr>
      <w:r>
        <w:t>We created a fixed 80/20 holdout and sorted the exact indices for replication. No segment appears in both sets. The pre-processing steps include (a) segments with any missing predictor were excluded, (b) no normalization/standardization was applied, and (c) all random seeds were fixed (42). For reproducibility, holdout indices, the exact file list used, CV fold indices, best hyper-parameters, final model binaries, and feature importance ranking were saved.</w:t>
      </w:r>
    </w:p>
    <w:p w14:paraId="7AA96410" w14:textId="0F417751" w:rsidR="00AC62D9" w:rsidRDefault="00AC62D9" w:rsidP="00AC62D9">
      <w:pPr>
        <w:pStyle w:val="Caption"/>
        <w:keepNext/>
      </w:pPr>
      <w:r>
        <w:t xml:space="preserve">Table </w:t>
      </w:r>
      <w:fldSimple w:instr=" SEQ Table \* ARABIC ">
        <w:r w:rsidR="006356F3">
          <w:rPr>
            <w:noProof/>
          </w:rPr>
          <w:t>1</w:t>
        </w:r>
      </w:fldSimple>
      <w:r>
        <w:t>: Training data by city. City, country, region, total segments considered, number (and %) labelled deprived, and non-deprived segments for each of the eight training cities; bottom row shows totals across all training cities.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238"/>
        <w:gridCol w:w="927"/>
        <w:gridCol w:w="957"/>
        <w:gridCol w:w="1276"/>
        <w:gridCol w:w="1842"/>
        <w:gridCol w:w="1701"/>
      </w:tblGrid>
      <w:tr w:rsidR="00AC62D9" w:rsidRPr="00AC62D9" w14:paraId="19790873" w14:textId="77777777" w:rsidTr="00CF66A6">
        <w:trPr>
          <w:trHeight w:val="330"/>
        </w:trPr>
        <w:tc>
          <w:tcPr>
            <w:tcW w:w="1126" w:type="dxa"/>
            <w:noWrap/>
            <w:vAlign w:val="bottom"/>
            <w:hideMark/>
          </w:tcPr>
          <w:p w14:paraId="1427DC60" w14:textId="77777777" w:rsidR="00AC62D9" w:rsidRPr="00AC62D9" w:rsidRDefault="00AC62D9" w:rsidP="00AC62D9">
            <w:pPr>
              <w:rPr>
                <w:lang w:eastAsia="en-IN"/>
              </w:rPr>
            </w:pPr>
            <w:r w:rsidRPr="00AC62D9">
              <w:rPr>
                <w:lang w:eastAsia="en-IN"/>
              </w:rPr>
              <w:t>City Name</w:t>
            </w:r>
          </w:p>
        </w:tc>
        <w:tc>
          <w:tcPr>
            <w:tcW w:w="1238" w:type="dxa"/>
            <w:noWrap/>
            <w:vAlign w:val="bottom"/>
            <w:hideMark/>
          </w:tcPr>
          <w:p w14:paraId="583E002D" w14:textId="77777777" w:rsidR="00AC62D9" w:rsidRPr="00AC62D9" w:rsidRDefault="00AC62D9" w:rsidP="00AC62D9">
            <w:pPr>
              <w:rPr>
                <w:lang w:eastAsia="en-IN"/>
              </w:rPr>
            </w:pPr>
            <w:r w:rsidRPr="00AC62D9">
              <w:rPr>
                <w:lang w:eastAsia="en-IN"/>
              </w:rPr>
              <w:t>Country</w:t>
            </w:r>
          </w:p>
        </w:tc>
        <w:tc>
          <w:tcPr>
            <w:tcW w:w="927" w:type="dxa"/>
            <w:noWrap/>
            <w:vAlign w:val="bottom"/>
            <w:hideMark/>
          </w:tcPr>
          <w:p w14:paraId="5D99AC1E" w14:textId="77777777" w:rsidR="00AC62D9" w:rsidRPr="00AC62D9" w:rsidRDefault="00AC62D9" w:rsidP="00AC62D9">
            <w:pPr>
              <w:rPr>
                <w:lang w:eastAsia="en-IN"/>
              </w:rPr>
            </w:pPr>
            <w:r w:rsidRPr="00AC62D9">
              <w:rPr>
                <w:lang w:eastAsia="en-IN"/>
              </w:rPr>
              <w:t>Region Name</w:t>
            </w:r>
          </w:p>
        </w:tc>
        <w:tc>
          <w:tcPr>
            <w:tcW w:w="957" w:type="dxa"/>
            <w:noWrap/>
            <w:vAlign w:val="bottom"/>
            <w:hideMark/>
          </w:tcPr>
          <w:p w14:paraId="6B6CD8B5" w14:textId="77777777" w:rsidR="00AC62D9" w:rsidRPr="00AC62D9" w:rsidRDefault="00AC62D9" w:rsidP="00AC62D9">
            <w:pPr>
              <w:rPr>
                <w:lang w:eastAsia="en-IN"/>
              </w:rPr>
            </w:pPr>
            <w:r w:rsidRPr="00AC62D9">
              <w:rPr>
                <w:lang w:eastAsia="en-IN"/>
              </w:rPr>
              <w:t>Region Code</w:t>
            </w:r>
          </w:p>
        </w:tc>
        <w:tc>
          <w:tcPr>
            <w:tcW w:w="1276" w:type="dxa"/>
            <w:noWrap/>
            <w:vAlign w:val="bottom"/>
            <w:hideMark/>
          </w:tcPr>
          <w:p w14:paraId="49C2817A" w14:textId="77777777" w:rsidR="00AC62D9" w:rsidRPr="00AC62D9" w:rsidRDefault="00AC62D9" w:rsidP="00AC62D9">
            <w:pPr>
              <w:rPr>
                <w:lang w:eastAsia="en-IN"/>
              </w:rPr>
            </w:pPr>
            <w:r w:rsidRPr="00AC62D9">
              <w:rPr>
                <w:lang w:eastAsia="en-IN"/>
              </w:rPr>
              <w:t>Total segments</w:t>
            </w:r>
          </w:p>
        </w:tc>
        <w:tc>
          <w:tcPr>
            <w:tcW w:w="1842" w:type="dxa"/>
            <w:noWrap/>
            <w:vAlign w:val="bottom"/>
            <w:hideMark/>
          </w:tcPr>
          <w:p w14:paraId="45EE0A8C" w14:textId="77777777" w:rsidR="00AC62D9" w:rsidRPr="00AC62D9" w:rsidRDefault="00AC62D9" w:rsidP="00AC62D9">
            <w:pPr>
              <w:rPr>
                <w:lang w:eastAsia="en-IN"/>
              </w:rPr>
            </w:pPr>
            <w:r w:rsidRPr="00AC62D9">
              <w:rPr>
                <w:lang w:eastAsia="en-IN"/>
              </w:rPr>
              <w:t>Deprived-like segments</w:t>
            </w:r>
          </w:p>
        </w:tc>
        <w:tc>
          <w:tcPr>
            <w:tcW w:w="1701" w:type="dxa"/>
            <w:noWrap/>
            <w:vAlign w:val="bottom"/>
            <w:hideMark/>
          </w:tcPr>
          <w:p w14:paraId="581785E8" w14:textId="77777777" w:rsidR="00AC62D9" w:rsidRPr="00AC62D9" w:rsidRDefault="00AC62D9" w:rsidP="00AC62D9">
            <w:pPr>
              <w:rPr>
                <w:lang w:eastAsia="en-IN"/>
              </w:rPr>
            </w:pPr>
            <w:r w:rsidRPr="00AC62D9">
              <w:rPr>
                <w:lang w:eastAsia="en-IN"/>
              </w:rPr>
              <w:t>Non-deprived segments</w:t>
            </w:r>
          </w:p>
        </w:tc>
      </w:tr>
      <w:tr w:rsidR="00AC62D9" w:rsidRPr="00AC62D9" w14:paraId="0A49B697" w14:textId="77777777" w:rsidTr="00CF66A6">
        <w:trPr>
          <w:trHeight w:val="330"/>
        </w:trPr>
        <w:tc>
          <w:tcPr>
            <w:tcW w:w="1126" w:type="dxa"/>
            <w:noWrap/>
            <w:vAlign w:val="bottom"/>
            <w:hideMark/>
          </w:tcPr>
          <w:p w14:paraId="5345DE38" w14:textId="77777777" w:rsidR="00AC62D9" w:rsidRPr="00AC62D9" w:rsidRDefault="00AC62D9" w:rsidP="00AC62D9">
            <w:pPr>
              <w:rPr>
                <w:lang w:eastAsia="en-IN"/>
              </w:rPr>
            </w:pPr>
            <w:r w:rsidRPr="00AC62D9">
              <w:rPr>
                <w:lang w:eastAsia="en-IN"/>
              </w:rPr>
              <w:t>Lagos</w:t>
            </w:r>
          </w:p>
        </w:tc>
        <w:tc>
          <w:tcPr>
            <w:tcW w:w="1238" w:type="dxa"/>
            <w:noWrap/>
            <w:vAlign w:val="bottom"/>
            <w:hideMark/>
          </w:tcPr>
          <w:p w14:paraId="3A6AFE42" w14:textId="77777777" w:rsidR="00AC62D9" w:rsidRPr="00AC62D9" w:rsidRDefault="00AC62D9" w:rsidP="00AC62D9">
            <w:pPr>
              <w:rPr>
                <w:lang w:eastAsia="en-IN"/>
              </w:rPr>
            </w:pPr>
            <w:r w:rsidRPr="00AC62D9">
              <w:rPr>
                <w:lang w:eastAsia="en-IN"/>
              </w:rPr>
              <w:t>Nigeria</w:t>
            </w:r>
          </w:p>
        </w:tc>
        <w:tc>
          <w:tcPr>
            <w:tcW w:w="927" w:type="dxa"/>
            <w:noWrap/>
            <w:vAlign w:val="bottom"/>
            <w:hideMark/>
          </w:tcPr>
          <w:p w14:paraId="35A903BE" w14:textId="77777777" w:rsidR="00AC62D9" w:rsidRPr="00AC62D9" w:rsidRDefault="00AC62D9" w:rsidP="00AC62D9">
            <w:pPr>
              <w:rPr>
                <w:lang w:eastAsia="en-IN"/>
              </w:rPr>
            </w:pPr>
            <w:r w:rsidRPr="00AC62D9">
              <w:rPr>
                <w:lang w:eastAsia="en-IN"/>
              </w:rPr>
              <w:t>Africa</w:t>
            </w:r>
          </w:p>
        </w:tc>
        <w:tc>
          <w:tcPr>
            <w:tcW w:w="957" w:type="dxa"/>
            <w:noWrap/>
            <w:vAlign w:val="bottom"/>
            <w:hideMark/>
          </w:tcPr>
          <w:p w14:paraId="30015ABA" w14:textId="77777777" w:rsidR="00AC62D9" w:rsidRPr="00AC62D9" w:rsidRDefault="00AC62D9" w:rsidP="00AC62D9">
            <w:pPr>
              <w:rPr>
                <w:lang w:eastAsia="en-IN"/>
              </w:rPr>
            </w:pPr>
            <w:r w:rsidRPr="00AC62D9">
              <w:rPr>
                <w:lang w:eastAsia="en-IN"/>
              </w:rPr>
              <w:t>2</w:t>
            </w:r>
          </w:p>
        </w:tc>
        <w:tc>
          <w:tcPr>
            <w:tcW w:w="1276" w:type="dxa"/>
            <w:noWrap/>
            <w:vAlign w:val="bottom"/>
            <w:hideMark/>
          </w:tcPr>
          <w:p w14:paraId="3F026F15" w14:textId="77777777" w:rsidR="00AC62D9" w:rsidRPr="00AC62D9" w:rsidRDefault="00AC62D9" w:rsidP="00AC62D9">
            <w:pPr>
              <w:rPr>
                <w:lang w:eastAsia="en-IN"/>
              </w:rPr>
            </w:pPr>
            <w:r w:rsidRPr="00AC62D9">
              <w:rPr>
                <w:lang w:eastAsia="en-IN"/>
              </w:rPr>
              <w:t>9386</w:t>
            </w:r>
          </w:p>
        </w:tc>
        <w:tc>
          <w:tcPr>
            <w:tcW w:w="1842" w:type="dxa"/>
            <w:noWrap/>
            <w:vAlign w:val="bottom"/>
            <w:hideMark/>
          </w:tcPr>
          <w:p w14:paraId="5B6C467A" w14:textId="1442F788" w:rsidR="00AC62D9" w:rsidRPr="00AC62D9" w:rsidRDefault="00AC62D9" w:rsidP="00AC62D9">
            <w:pPr>
              <w:rPr>
                <w:lang w:eastAsia="en-IN"/>
              </w:rPr>
            </w:pPr>
            <w:r w:rsidRPr="00AC62D9">
              <w:rPr>
                <w:lang w:eastAsia="en-IN"/>
              </w:rPr>
              <w:t xml:space="preserve">189 </w:t>
            </w:r>
          </w:p>
        </w:tc>
        <w:tc>
          <w:tcPr>
            <w:tcW w:w="1701" w:type="dxa"/>
            <w:noWrap/>
            <w:vAlign w:val="bottom"/>
            <w:hideMark/>
          </w:tcPr>
          <w:p w14:paraId="63D8ABF5" w14:textId="77777777" w:rsidR="00AC62D9" w:rsidRPr="00AC62D9" w:rsidRDefault="00AC62D9" w:rsidP="00AC62D9">
            <w:pPr>
              <w:rPr>
                <w:lang w:eastAsia="en-IN"/>
              </w:rPr>
            </w:pPr>
            <w:r w:rsidRPr="00AC62D9">
              <w:rPr>
                <w:lang w:eastAsia="en-IN"/>
              </w:rPr>
              <w:t>9197</w:t>
            </w:r>
          </w:p>
        </w:tc>
      </w:tr>
      <w:tr w:rsidR="00AC62D9" w:rsidRPr="00AC62D9" w14:paraId="7AC313CF" w14:textId="77777777" w:rsidTr="00CF66A6">
        <w:trPr>
          <w:trHeight w:val="330"/>
        </w:trPr>
        <w:tc>
          <w:tcPr>
            <w:tcW w:w="1126" w:type="dxa"/>
            <w:noWrap/>
            <w:vAlign w:val="bottom"/>
            <w:hideMark/>
          </w:tcPr>
          <w:p w14:paraId="48EE7780" w14:textId="77777777" w:rsidR="00AC62D9" w:rsidRPr="00AC62D9" w:rsidRDefault="00AC62D9" w:rsidP="00AC62D9">
            <w:pPr>
              <w:rPr>
                <w:lang w:eastAsia="en-IN"/>
              </w:rPr>
            </w:pPr>
            <w:r w:rsidRPr="00AC62D9">
              <w:rPr>
                <w:lang w:eastAsia="en-IN"/>
              </w:rPr>
              <w:t>Nairobi</w:t>
            </w:r>
          </w:p>
        </w:tc>
        <w:tc>
          <w:tcPr>
            <w:tcW w:w="1238" w:type="dxa"/>
            <w:noWrap/>
            <w:vAlign w:val="bottom"/>
            <w:hideMark/>
          </w:tcPr>
          <w:p w14:paraId="7F6B4FA0" w14:textId="77777777" w:rsidR="00AC62D9" w:rsidRPr="00AC62D9" w:rsidRDefault="00AC62D9" w:rsidP="00AC62D9">
            <w:pPr>
              <w:rPr>
                <w:lang w:eastAsia="en-IN"/>
              </w:rPr>
            </w:pPr>
            <w:r w:rsidRPr="00AC62D9">
              <w:rPr>
                <w:lang w:eastAsia="en-IN"/>
              </w:rPr>
              <w:t>Kenya</w:t>
            </w:r>
          </w:p>
        </w:tc>
        <w:tc>
          <w:tcPr>
            <w:tcW w:w="927" w:type="dxa"/>
            <w:noWrap/>
            <w:vAlign w:val="bottom"/>
            <w:hideMark/>
          </w:tcPr>
          <w:p w14:paraId="52DA9D11" w14:textId="77777777" w:rsidR="00AC62D9" w:rsidRPr="00AC62D9" w:rsidRDefault="00AC62D9" w:rsidP="00AC62D9">
            <w:pPr>
              <w:rPr>
                <w:lang w:eastAsia="en-IN"/>
              </w:rPr>
            </w:pPr>
            <w:r w:rsidRPr="00AC62D9">
              <w:rPr>
                <w:lang w:eastAsia="en-IN"/>
              </w:rPr>
              <w:t>Africa</w:t>
            </w:r>
          </w:p>
        </w:tc>
        <w:tc>
          <w:tcPr>
            <w:tcW w:w="957" w:type="dxa"/>
            <w:noWrap/>
            <w:vAlign w:val="bottom"/>
            <w:hideMark/>
          </w:tcPr>
          <w:p w14:paraId="27C87D67" w14:textId="77777777" w:rsidR="00AC62D9" w:rsidRPr="00AC62D9" w:rsidRDefault="00AC62D9" w:rsidP="00AC62D9">
            <w:pPr>
              <w:rPr>
                <w:lang w:eastAsia="en-IN"/>
              </w:rPr>
            </w:pPr>
            <w:r w:rsidRPr="00AC62D9">
              <w:rPr>
                <w:lang w:eastAsia="en-IN"/>
              </w:rPr>
              <w:t>2</w:t>
            </w:r>
          </w:p>
        </w:tc>
        <w:tc>
          <w:tcPr>
            <w:tcW w:w="1276" w:type="dxa"/>
            <w:noWrap/>
            <w:vAlign w:val="bottom"/>
            <w:hideMark/>
          </w:tcPr>
          <w:p w14:paraId="517FA54B" w14:textId="77777777" w:rsidR="00AC62D9" w:rsidRPr="00AC62D9" w:rsidRDefault="00AC62D9" w:rsidP="00AC62D9">
            <w:pPr>
              <w:rPr>
                <w:lang w:eastAsia="en-IN"/>
              </w:rPr>
            </w:pPr>
            <w:r w:rsidRPr="00AC62D9">
              <w:rPr>
                <w:lang w:eastAsia="en-IN"/>
              </w:rPr>
              <w:t>2926</w:t>
            </w:r>
          </w:p>
        </w:tc>
        <w:tc>
          <w:tcPr>
            <w:tcW w:w="1842" w:type="dxa"/>
            <w:noWrap/>
            <w:vAlign w:val="bottom"/>
            <w:hideMark/>
          </w:tcPr>
          <w:p w14:paraId="28F51606" w14:textId="3237510C" w:rsidR="00AC62D9" w:rsidRPr="00AC62D9" w:rsidRDefault="00AC62D9" w:rsidP="00AC62D9">
            <w:pPr>
              <w:rPr>
                <w:lang w:eastAsia="en-IN"/>
              </w:rPr>
            </w:pPr>
            <w:r w:rsidRPr="00AC62D9">
              <w:rPr>
                <w:lang w:eastAsia="en-IN"/>
              </w:rPr>
              <w:t>124</w:t>
            </w:r>
            <w:r w:rsidR="00DC321A">
              <w:rPr>
                <w:lang w:eastAsia="en-IN"/>
              </w:rPr>
              <w:t>1</w:t>
            </w:r>
            <w:r w:rsidRPr="00AC62D9">
              <w:rPr>
                <w:lang w:eastAsia="en-IN"/>
              </w:rPr>
              <w:t xml:space="preserve"> </w:t>
            </w:r>
          </w:p>
        </w:tc>
        <w:tc>
          <w:tcPr>
            <w:tcW w:w="1701" w:type="dxa"/>
            <w:noWrap/>
            <w:vAlign w:val="bottom"/>
            <w:hideMark/>
          </w:tcPr>
          <w:p w14:paraId="5D5AAD9C" w14:textId="28738978" w:rsidR="00AC62D9" w:rsidRPr="00AC62D9" w:rsidRDefault="00AC62D9" w:rsidP="00AC62D9">
            <w:pPr>
              <w:rPr>
                <w:lang w:eastAsia="en-IN"/>
              </w:rPr>
            </w:pPr>
            <w:r w:rsidRPr="00AC62D9">
              <w:rPr>
                <w:lang w:eastAsia="en-IN"/>
              </w:rPr>
              <w:t>168</w:t>
            </w:r>
            <w:r w:rsidR="00DC321A">
              <w:rPr>
                <w:lang w:eastAsia="en-IN"/>
              </w:rPr>
              <w:t>2</w:t>
            </w:r>
          </w:p>
        </w:tc>
      </w:tr>
      <w:tr w:rsidR="00AC62D9" w:rsidRPr="00AC62D9" w14:paraId="385B892F" w14:textId="77777777" w:rsidTr="00CF66A6">
        <w:trPr>
          <w:trHeight w:val="330"/>
        </w:trPr>
        <w:tc>
          <w:tcPr>
            <w:tcW w:w="1126" w:type="dxa"/>
            <w:noWrap/>
            <w:vAlign w:val="bottom"/>
            <w:hideMark/>
          </w:tcPr>
          <w:p w14:paraId="28DBD9BF" w14:textId="77777777" w:rsidR="00AC62D9" w:rsidRPr="00AC62D9" w:rsidRDefault="00AC62D9" w:rsidP="00AC62D9">
            <w:pPr>
              <w:rPr>
                <w:lang w:eastAsia="en-IN"/>
              </w:rPr>
            </w:pPr>
            <w:r w:rsidRPr="00AC62D9">
              <w:rPr>
                <w:lang w:eastAsia="en-IN"/>
              </w:rPr>
              <w:t>Jakarta</w:t>
            </w:r>
          </w:p>
        </w:tc>
        <w:tc>
          <w:tcPr>
            <w:tcW w:w="1238" w:type="dxa"/>
            <w:noWrap/>
            <w:vAlign w:val="bottom"/>
            <w:hideMark/>
          </w:tcPr>
          <w:p w14:paraId="153D3D72" w14:textId="77777777" w:rsidR="00AC62D9" w:rsidRPr="00AC62D9" w:rsidRDefault="00AC62D9" w:rsidP="00AC62D9">
            <w:pPr>
              <w:rPr>
                <w:lang w:eastAsia="en-IN"/>
              </w:rPr>
            </w:pPr>
            <w:r w:rsidRPr="00AC62D9">
              <w:rPr>
                <w:lang w:eastAsia="en-IN"/>
              </w:rPr>
              <w:t>Indonesia</w:t>
            </w:r>
          </w:p>
        </w:tc>
        <w:tc>
          <w:tcPr>
            <w:tcW w:w="927" w:type="dxa"/>
            <w:noWrap/>
            <w:vAlign w:val="bottom"/>
            <w:hideMark/>
          </w:tcPr>
          <w:p w14:paraId="696AF5B5" w14:textId="77777777" w:rsidR="00AC62D9" w:rsidRPr="00AC62D9" w:rsidRDefault="00AC62D9" w:rsidP="00AC62D9">
            <w:pPr>
              <w:rPr>
                <w:lang w:eastAsia="en-IN"/>
              </w:rPr>
            </w:pPr>
            <w:r w:rsidRPr="00AC62D9">
              <w:rPr>
                <w:lang w:eastAsia="en-IN"/>
              </w:rPr>
              <w:t>Asia</w:t>
            </w:r>
          </w:p>
        </w:tc>
        <w:tc>
          <w:tcPr>
            <w:tcW w:w="957" w:type="dxa"/>
            <w:noWrap/>
            <w:vAlign w:val="bottom"/>
            <w:hideMark/>
          </w:tcPr>
          <w:p w14:paraId="476122E7" w14:textId="77777777" w:rsidR="00AC62D9" w:rsidRPr="00AC62D9" w:rsidRDefault="00AC62D9" w:rsidP="00AC62D9">
            <w:pPr>
              <w:rPr>
                <w:lang w:eastAsia="en-IN"/>
              </w:rPr>
            </w:pPr>
            <w:r w:rsidRPr="00AC62D9">
              <w:rPr>
                <w:lang w:eastAsia="en-IN"/>
              </w:rPr>
              <w:t>1</w:t>
            </w:r>
          </w:p>
        </w:tc>
        <w:tc>
          <w:tcPr>
            <w:tcW w:w="1276" w:type="dxa"/>
            <w:noWrap/>
            <w:vAlign w:val="bottom"/>
            <w:hideMark/>
          </w:tcPr>
          <w:p w14:paraId="7484E54F" w14:textId="77777777" w:rsidR="00AC62D9" w:rsidRPr="00AC62D9" w:rsidRDefault="00AC62D9" w:rsidP="00AC62D9">
            <w:pPr>
              <w:rPr>
                <w:lang w:eastAsia="en-IN"/>
              </w:rPr>
            </w:pPr>
            <w:r w:rsidRPr="00AC62D9">
              <w:rPr>
                <w:lang w:eastAsia="en-IN"/>
              </w:rPr>
              <w:t>15131</w:t>
            </w:r>
          </w:p>
        </w:tc>
        <w:tc>
          <w:tcPr>
            <w:tcW w:w="1842" w:type="dxa"/>
            <w:noWrap/>
            <w:vAlign w:val="bottom"/>
            <w:hideMark/>
          </w:tcPr>
          <w:p w14:paraId="295E0F65" w14:textId="18D15A4B" w:rsidR="00AC62D9" w:rsidRPr="00AC62D9" w:rsidRDefault="00300430" w:rsidP="00AC62D9">
            <w:pPr>
              <w:rPr>
                <w:lang w:eastAsia="en-IN"/>
              </w:rPr>
            </w:pPr>
            <w:r>
              <w:rPr>
                <w:lang w:eastAsia="en-IN"/>
              </w:rPr>
              <w:t>510</w:t>
            </w:r>
            <w:r w:rsidR="00AC62D9" w:rsidRPr="00AC62D9">
              <w:rPr>
                <w:lang w:eastAsia="en-IN"/>
              </w:rPr>
              <w:t xml:space="preserve"> </w:t>
            </w:r>
          </w:p>
        </w:tc>
        <w:tc>
          <w:tcPr>
            <w:tcW w:w="1701" w:type="dxa"/>
            <w:noWrap/>
            <w:vAlign w:val="bottom"/>
            <w:hideMark/>
          </w:tcPr>
          <w:p w14:paraId="18816DBC" w14:textId="498B0C24" w:rsidR="00AC62D9" w:rsidRPr="00AC62D9" w:rsidRDefault="00AC62D9" w:rsidP="00AC62D9">
            <w:pPr>
              <w:rPr>
                <w:lang w:eastAsia="en-IN"/>
              </w:rPr>
            </w:pPr>
            <w:r w:rsidRPr="00AC62D9">
              <w:rPr>
                <w:lang w:eastAsia="en-IN"/>
              </w:rPr>
              <w:t>11</w:t>
            </w:r>
            <w:r w:rsidR="00300430">
              <w:rPr>
                <w:lang w:eastAsia="en-IN"/>
              </w:rPr>
              <w:t>301</w:t>
            </w:r>
          </w:p>
        </w:tc>
      </w:tr>
      <w:tr w:rsidR="00AC62D9" w:rsidRPr="00AC62D9" w14:paraId="62684D0B" w14:textId="77777777" w:rsidTr="00CF66A6">
        <w:trPr>
          <w:trHeight w:val="330"/>
        </w:trPr>
        <w:tc>
          <w:tcPr>
            <w:tcW w:w="1126" w:type="dxa"/>
            <w:noWrap/>
            <w:vAlign w:val="bottom"/>
            <w:hideMark/>
          </w:tcPr>
          <w:p w14:paraId="2AAA9948" w14:textId="77777777" w:rsidR="00AC62D9" w:rsidRPr="00AC62D9" w:rsidRDefault="00AC62D9" w:rsidP="00AC62D9">
            <w:pPr>
              <w:rPr>
                <w:lang w:eastAsia="en-IN"/>
              </w:rPr>
            </w:pPr>
            <w:r w:rsidRPr="00AC62D9">
              <w:rPr>
                <w:lang w:eastAsia="en-IN"/>
              </w:rPr>
              <w:t>Mumbai</w:t>
            </w:r>
          </w:p>
        </w:tc>
        <w:tc>
          <w:tcPr>
            <w:tcW w:w="1238" w:type="dxa"/>
            <w:noWrap/>
            <w:vAlign w:val="bottom"/>
            <w:hideMark/>
          </w:tcPr>
          <w:p w14:paraId="6DC72463" w14:textId="77777777" w:rsidR="00AC62D9" w:rsidRPr="00AC62D9" w:rsidRDefault="00AC62D9" w:rsidP="00AC62D9">
            <w:pPr>
              <w:rPr>
                <w:lang w:eastAsia="en-IN"/>
              </w:rPr>
            </w:pPr>
            <w:r w:rsidRPr="00AC62D9">
              <w:rPr>
                <w:lang w:eastAsia="en-IN"/>
              </w:rPr>
              <w:t>India</w:t>
            </w:r>
          </w:p>
        </w:tc>
        <w:tc>
          <w:tcPr>
            <w:tcW w:w="927" w:type="dxa"/>
            <w:noWrap/>
            <w:vAlign w:val="bottom"/>
            <w:hideMark/>
          </w:tcPr>
          <w:p w14:paraId="0BCBE3E0" w14:textId="77777777" w:rsidR="00AC62D9" w:rsidRPr="00AC62D9" w:rsidRDefault="00AC62D9" w:rsidP="00AC62D9">
            <w:pPr>
              <w:rPr>
                <w:lang w:eastAsia="en-IN"/>
              </w:rPr>
            </w:pPr>
            <w:r w:rsidRPr="00AC62D9">
              <w:rPr>
                <w:lang w:eastAsia="en-IN"/>
              </w:rPr>
              <w:t>Asia</w:t>
            </w:r>
          </w:p>
        </w:tc>
        <w:tc>
          <w:tcPr>
            <w:tcW w:w="957" w:type="dxa"/>
            <w:noWrap/>
            <w:vAlign w:val="bottom"/>
            <w:hideMark/>
          </w:tcPr>
          <w:p w14:paraId="27F1D03C" w14:textId="77777777" w:rsidR="00AC62D9" w:rsidRPr="00AC62D9" w:rsidRDefault="00AC62D9" w:rsidP="00AC62D9">
            <w:pPr>
              <w:rPr>
                <w:lang w:eastAsia="en-IN"/>
              </w:rPr>
            </w:pPr>
            <w:r w:rsidRPr="00AC62D9">
              <w:rPr>
                <w:lang w:eastAsia="en-IN"/>
              </w:rPr>
              <w:t>1</w:t>
            </w:r>
          </w:p>
        </w:tc>
        <w:tc>
          <w:tcPr>
            <w:tcW w:w="1276" w:type="dxa"/>
            <w:noWrap/>
            <w:vAlign w:val="bottom"/>
            <w:hideMark/>
          </w:tcPr>
          <w:p w14:paraId="02CE48B2" w14:textId="77777777" w:rsidR="00AC62D9" w:rsidRPr="00AC62D9" w:rsidRDefault="00AC62D9" w:rsidP="00AC62D9">
            <w:pPr>
              <w:rPr>
                <w:lang w:eastAsia="en-IN"/>
              </w:rPr>
            </w:pPr>
            <w:r w:rsidRPr="00AC62D9">
              <w:rPr>
                <w:lang w:eastAsia="en-IN"/>
              </w:rPr>
              <w:t>9993</w:t>
            </w:r>
          </w:p>
        </w:tc>
        <w:tc>
          <w:tcPr>
            <w:tcW w:w="1842" w:type="dxa"/>
            <w:noWrap/>
            <w:vAlign w:val="bottom"/>
            <w:hideMark/>
          </w:tcPr>
          <w:p w14:paraId="3EC77F4C" w14:textId="3D3E35AB" w:rsidR="00AC62D9" w:rsidRPr="00AC62D9" w:rsidRDefault="00DC321A" w:rsidP="00AC62D9">
            <w:pPr>
              <w:rPr>
                <w:lang w:eastAsia="en-IN"/>
              </w:rPr>
            </w:pPr>
            <w:r>
              <w:rPr>
                <w:lang w:eastAsia="en-IN"/>
              </w:rPr>
              <w:t>850</w:t>
            </w:r>
            <w:r w:rsidR="00AC62D9" w:rsidRPr="00AC62D9">
              <w:rPr>
                <w:lang w:eastAsia="en-IN"/>
              </w:rPr>
              <w:t xml:space="preserve"> </w:t>
            </w:r>
          </w:p>
        </w:tc>
        <w:tc>
          <w:tcPr>
            <w:tcW w:w="1701" w:type="dxa"/>
            <w:noWrap/>
            <w:vAlign w:val="bottom"/>
            <w:hideMark/>
          </w:tcPr>
          <w:p w14:paraId="066B6E04" w14:textId="32AC0885" w:rsidR="00AC62D9" w:rsidRPr="00AC62D9" w:rsidRDefault="00AC62D9" w:rsidP="00AC62D9">
            <w:pPr>
              <w:rPr>
                <w:lang w:eastAsia="en-IN"/>
              </w:rPr>
            </w:pPr>
            <w:r w:rsidRPr="00AC62D9">
              <w:rPr>
                <w:lang w:eastAsia="en-IN"/>
              </w:rPr>
              <w:t>8</w:t>
            </w:r>
            <w:r w:rsidR="00DC321A">
              <w:rPr>
                <w:lang w:eastAsia="en-IN"/>
              </w:rPr>
              <w:t>545</w:t>
            </w:r>
          </w:p>
        </w:tc>
      </w:tr>
      <w:tr w:rsidR="00AC62D9" w:rsidRPr="00AC62D9" w14:paraId="39D0DAD0" w14:textId="77777777" w:rsidTr="00CF66A6">
        <w:trPr>
          <w:trHeight w:val="330"/>
        </w:trPr>
        <w:tc>
          <w:tcPr>
            <w:tcW w:w="1126" w:type="dxa"/>
            <w:noWrap/>
            <w:vAlign w:val="bottom"/>
            <w:hideMark/>
          </w:tcPr>
          <w:p w14:paraId="566084AC" w14:textId="77777777" w:rsidR="00AC62D9" w:rsidRPr="00AC62D9" w:rsidRDefault="00AC62D9" w:rsidP="00AC62D9">
            <w:pPr>
              <w:rPr>
                <w:lang w:eastAsia="en-IN"/>
              </w:rPr>
            </w:pPr>
            <w:r w:rsidRPr="00AC62D9">
              <w:rPr>
                <w:lang w:eastAsia="en-IN"/>
              </w:rPr>
              <w:t>Buenos Aires</w:t>
            </w:r>
          </w:p>
        </w:tc>
        <w:tc>
          <w:tcPr>
            <w:tcW w:w="1238" w:type="dxa"/>
            <w:noWrap/>
            <w:vAlign w:val="bottom"/>
            <w:hideMark/>
          </w:tcPr>
          <w:p w14:paraId="4FCEA6FB" w14:textId="77777777" w:rsidR="00AC62D9" w:rsidRPr="00AC62D9" w:rsidRDefault="00AC62D9" w:rsidP="00AC62D9">
            <w:pPr>
              <w:rPr>
                <w:lang w:eastAsia="en-IN"/>
              </w:rPr>
            </w:pPr>
            <w:r w:rsidRPr="00AC62D9">
              <w:rPr>
                <w:lang w:eastAsia="en-IN"/>
              </w:rPr>
              <w:t>Argentina</w:t>
            </w:r>
          </w:p>
        </w:tc>
        <w:tc>
          <w:tcPr>
            <w:tcW w:w="927" w:type="dxa"/>
            <w:noWrap/>
            <w:vAlign w:val="bottom"/>
            <w:hideMark/>
          </w:tcPr>
          <w:p w14:paraId="45E8C59F" w14:textId="77777777" w:rsidR="00AC62D9" w:rsidRPr="00AC62D9" w:rsidRDefault="00AC62D9" w:rsidP="00AC62D9">
            <w:pPr>
              <w:rPr>
                <w:lang w:eastAsia="en-IN"/>
              </w:rPr>
            </w:pPr>
            <w:r w:rsidRPr="00AC62D9">
              <w:rPr>
                <w:lang w:eastAsia="en-IN"/>
              </w:rPr>
              <w:t>LAC</w:t>
            </w:r>
          </w:p>
        </w:tc>
        <w:tc>
          <w:tcPr>
            <w:tcW w:w="957" w:type="dxa"/>
            <w:noWrap/>
            <w:vAlign w:val="bottom"/>
            <w:hideMark/>
          </w:tcPr>
          <w:p w14:paraId="0DF247D2" w14:textId="77777777" w:rsidR="00AC62D9" w:rsidRPr="00AC62D9" w:rsidRDefault="00AC62D9" w:rsidP="00AC62D9">
            <w:pPr>
              <w:rPr>
                <w:lang w:eastAsia="en-IN"/>
              </w:rPr>
            </w:pPr>
            <w:r w:rsidRPr="00AC62D9">
              <w:rPr>
                <w:lang w:eastAsia="en-IN"/>
              </w:rPr>
              <w:t>3</w:t>
            </w:r>
          </w:p>
        </w:tc>
        <w:tc>
          <w:tcPr>
            <w:tcW w:w="1276" w:type="dxa"/>
            <w:noWrap/>
            <w:vAlign w:val="bottom"/>
            <w:hideMark/>
          </w:tcPr>
          <w:p w14:paraId="22B9FBB6" w14:textId="77777777" w:rsidR="00AC62D9" w:rsidRPr="00AC62D9" w:rsidRDefault="00AC62D9" w:rsidP="00AC62D9">
            <w:pPr>
              <w:rPr>
                <w:lang w:eastAsia="en-IN"/>
              </w:rPr>
            </w:pPr>
            <w:r w:rsidRPr="00AC62D9">
              <w:rPr>
                <w:lang w:eastAsia="en-IN"/>
              </w:rPr>
              <w:t>15672</w:t>
            </w:r>
          </w:p>
        </w:tc>
        <w:tc>
          <w:tcPr>
            <w:tcW w:w="1842" w:type="dxa"/>
            <w:noWrap/>
            <w:vAlign w:val="bottom"/>
            <w:hideMark/>
          </w:tcPr>
          <w:p w14:paraId="53FA4657" w14:textId="62F1FC8C" w:rsidR="00AC62D9" w:rsidRPr="00AC62D9" w:rsidRDefault="00AC62D9" w:rsidP="00AC62D9">
            <w:pPr>
              <w:rPr>
                <w:lang w:eastAsia="en-IN"/>
              </w:rPr>
            </w:pPr>
            <w:r w:rsidRPr="00AC62D9">
              <w:rPr>
                <w:lang w:eastAsia="en-IN"/>
              </w:rPr>
              <w:t>8</w:t>
            </w:r>
            <w:r w:rsidR="00300430">
              <w:rPr>
                <w:lang w:eastAsia="en-IN"/>
              </w:rPr>
              <w:t>54</w:t>
            </w:r>
            <w:r w:rsidRPr="00AC62D9">
              <w:rPr>
                <w:lang w:eastAsia="en-IN"/>
              </w:rPr>
              <w:t xml:space="preserve"> </w:t>
            </w:r>
          </w:p>
        </w:tc>
        <w:tc>
          <w:tcPr>
            <w:tcW w:w="1701" w:type="dxa"/>
            <w:noWrap/>
            <w:vAlign w:val="bottom"/>
            <w:hideMark/>
          </w:tcPr>
          <w:p w14:paraId="43694D8C" w14:textId="773D9107" w:rsidR="00AC62D9" w:rsidRPr="00AC62D9" w:rsidRDefault="00AC62D9" w:rsidP="00AC62D9">
            <w:pPr>
              <w:rPr>
                <w:lang w:eastAsia="en-IN"/>
              </w:rPr>
            </w:pPr>
            <w:r w:rsidRPr="00AC62D9">
              <w:rPr>
                <w:lang w:eastAsia="en-IN"/>
              </w:rPr>
              <w:t>145</w:t>
            </w:r>
            <w:r w:rsidR="00300430">
              <w:rPr>
                <w:lang w:eastAsia="en-IN"/>
              </w:rPr>
              <w:t>79</w:t>
            </w:r>
          </w:p>
        </w:tc>
      </w:tr>
      <w:tr w:rsidR="00AC62D9" w:rsidRPr="00AC62D9" w14:paraId="4FA7409E" w14:textId="77777777" w:rsidTr="00CF66A6">
        <w:trPr>
          <w:trHeight w:val="330"/>
        </w:trPr>
        <w:tc>
          <w:tcPr>
            <w:tcW w:w="1126" w:type="dxa"/>
            <w:noWrap/>
            <w:vAlign w:val="bottom"/>
            <w:hideMark/>
          </w:tcPr>
          <w:p w14:paraId="1C672712" w14:textId="77777777" w:rsidR="00AC62D9" w:rsidRPr="00AC62D9" w:rsidRDefault="00AC62D9" w:rsidP="00AC62D9">
            <w:pPr>
              <w:rPr>
                <w:lang w:eastAsia="en-IN"/>
              </w:rPr>
            </w:pPr>
            <w:r w:rsidRPr="00AC62D9">
              <w:rPr>
                <w:lang w:eastAsia="en-IN"/>
              </w:rPr>
              <w:lastRenderedPageBreak/>
              <w:t>Medellin</w:t>
            </w:r>
          </w:p>
        </w:tc>
        <w:tc>
          <w:tcPr>
            <w:tcW w:w="1238" w:type="dxa"/>
            <w:noWrap/>
            <w:vAlign w:val="bottom"/>
            <w:hideMark/>
          </w:tcPr>
          <w:p w14:paraId="3C529849" w14:textId="77777777" w:rsidR="00AC62D9" w:rsidRPr="00AC62D9" w:rsidRDefault="00AC62D9" w:rsidP="00AC62D9">
            <w:pPr>
              <w:rPr>
                <w:lang w:eastAsia="en-IN"/>
              </w:rPr>
            </w:pPr>
            <w:r w:rsidRPr="00AC62D9">
              <w:rPr>
                <w:lang w:eastAsia="en-IN"/>
              </w:rPr>
              <w:t>Colombia</w:t>
            </w:r>
          </w:p>
        </w:tc>
        <w:tc>
          <w:tcPr>
            <w:tcW w:w="927" w:type="dxa"/>
            <w:noWrap/>
            <w:vAlign w:val="bottom"/>
            <w:hideMark/>
          </w:tcPr>
          <w:p w14:paraId="47A8EB95" w14:textId="77777777" w:rsidR="00AC62D9" w:rsidRPr="00AC62D9" w:rsidRDefault="00AC62D9" w:rsidP="00AC62D9">
            <w:pPr>
              <w:rPr>
                <w:lang w:eastAsia="en-IN"/>
              </w:rPr>
            </w:pPr>
            <w:r w:rsidRPr="00AC62D9">
              <w:rPr>
                <w:lang w:eastAsia="en-IN"/>
              </w:rPr>
              <w:t>LAC</w:t>
            </w:r>
          </w:p>
        </w:tc>
        <w:tc>
          <w:tcPr>
            <w:tcW w:w="957" w:type="dxa"/>
            <w:noWrap/>
            <w:vAlign w:val="bottom"/>
            <w:hideMark/>
          </w:tcPr>
          <w:p w14:paraId="36627C69" w14:textId="77777777" w:rsidR="00AC62D9" w:rsidRPr="00AC62D9" w:rsidRDefault="00AC62D9" w:rsidP="00AC62D9">
            <w:pPr>
              <w:rPr>
                <w:lang w:eastAsia="en-IN"/>
              </w:rPr>
            </w:pPr>
            <w:r w:rsidRPr="00AC62D9">
              <w:rPr>
                <w:lang w:eastAsia="en-IN"/>
              </w:rPr>
              <w:t>3</w:t>
            </w:r>
          </w:p>
        </w:tc>
        <w:tc>
          <w:tcPr>
            <w:tcW w:w="1276" w:type="dxa"/>
            <w:noWrap/>
            <w:vAlign w:val="bottom"/>
            <w:hideMark/>
          </w:tcPr>
          <w:p w14:paraId="7B4B9458" w14:textId="77777777" w:rsidR="00AC62D9" w:rsidRPr="00AC62D9" w:rsidRDefault="00AC62D9" w:rsidP="00AC62D9">
            <w:pPr>
              <w:rPr>
                <w:lang w:eastAsia="en-IN"/>
              </w:rPr>
            </w:pPr>
            <w:r w:rsidRPr="00AC62D9">
              <w:rPr>
                <w:lang w:eastAsia="en-IN"/>
              </w:rPr>
              <w:t>2444</w:t>
            </w:r>
          </w:p>
        </w:tc>
        <w:tc>
          <w:tcPr>
            <w:tcW w:w="1842" w:type="dxa"/>
            <w:noWrap/>
            <w:vAlign w:val="bottom"/>
            <w:hideMark/>
          </w:tcPr>
          <w:p w14:paraId="1D86E9C2" w14:textId="085146A4" w:rsidR="00AC62D9" w:rsidRPr="00AC62D9" w:rsidRDefault="00AC62D9" w:rsidP="00AC62D9">
            <w:pPr>
              <w:rPr>
                <w:lang w:eastAsia="en-IN"/>
              </w:rPr>
            </w:pPr>
            <w:r w:rsidRPr="00AC62D9">
              <w:rPr>
                <w:lang w:eastAsia="en-IN"/>
              </w:rPr>
              <w:t>2</w:t>
            </w:r>
            <w:r w:rsidR="00DC321A">
              <w:rPr>
                <w:lang w:eastAsia="en-IN"/>
              </w:rPr>
              <w:t>49</w:t>
            </w:r>
            <w:r w:rsidRPr="00AC62D9">
              <w:rPr>
                <w:lang w:eastAsia="en-IN"/>
              </w:rPr>
              <w:t xml:space="preserve"> </w:t>
            </w:r>
          </w:p>
        </w:tc>
        <w:tc>
          <w:tcPr>
            <w:tcW w:w="1701" w:type="dxa"/>
            <w:noWrap/>
            <w:vAlign w:val="bottom"/>
            <w:hideMark/>
          </w:tcPr>
          <w:p w14:paraId="5BC27FA2" w14:textId="17763249" w:rsidR="00AC62D9" w:rsidRPr="00AC62D9" w:rsidRDefault="00AC62D9" w:rsidP="00AC62D9">
            <w:pPr>
              <w:rPr>
                <w:lang w:eastAsia="en-IN"/>
              </w:rPr>
            </w:pPr>
            <w:r w:rsidRPr="00AC62D9">
              <w:rPr>
                <w:lang w:eastAsia="en-IN"/>
              </w:rPr>
              <w:t>215</w:t>
            </w:r>
            <w:r w:rsidR="00DC321A">
              <w:rPr>
                <w:lang w:eastAsia="en-IN"/>
              </w:rPr>
              <w:t>4</w:t>
            </w:r>
          </w:p>
        </w:tc>
      </w:tr>
      <w:tr w:rsidR="00AC62D9" w:rsidRPr="00AC62D9" w14:paraId="3801E108" w14:textId="77777777" w:rsidTr="00CF66A6">
        <w:trPr>
          <w:trHeight w:val="330"/>
        </w:trPr>
        <w:tc>
          <w:tcPr>
            <w:tcW w:w="1126" w:type="dxa"/>
            <w:noWrap/>
            <w:vAlign w:val="bottom"/>
            <w:hideMark/>
          </w:tcPr>
          <w:p w14:paraId="5E66D446" w14:textId="77777777" w:rsidR="00AC62D9" w:rsidRPr="00AC62D9" w:rsidRDefault="00AC62D9" w:rsidP="00AC62D9">
            <w:pPr>
              <w:rPr>
                <w:lang w:eastAsia="en-IN"/>
              </w:rPr>
            </w:pPr>
            <w:r w:rsidRPr="00AC62D9">
              <w:rPr>
                <w:lang w:eastAsia="en-IN"/>
              </w:rPr>
              <w:t>Mexico City</w:t>
            </w:r>
          </w:p>
        </w:tc>
        <w:tc>
          <w:tcPr>
            <w:tcW w:w="1238" w:type="dxa"/>
            <w:noWrap/>
            <w:vAlign w:val="bottom"/>
            <w:hideMark/>
          </w:tcPr>
          <w:p w14:paraId="29EA6A55" w14:textId="77777777" w:rsidR="00AC62D9" w:rsidRPr="00AC62D9" w:rsidRDefault="00AC62D9" w:rsidP="00AC62D9">
            <w:pPr>
              <w:rPr>
                <w:lang w:eastAsia="en-IN"/>
              </w:rPr>
            </w:pPr>
            <w:r w:rsidRPr="00AC62D9">
              <w:rPr>
                <w:lang w:eastAsia="en-IN"/>
              </w:rPr>
              <w:t>Mexico</w:t>
            </w:r>
          </w:p>
        </w:tc>
        <w:tc>
          <w:tcPr>
            <w:tcW w:w="927" w:type="dxa"/>
            <w:noWrap/>
            <w:vAlign w:val="bottom"/>
            <w:hideMark/>
          </w:tcPr>
          <w:p w14:paraId="20FDFDBF" w14:textId="77777777" w:rsidR="00AC62D9" w:rsidRPr="00AC62D9" w:rsidRDefault="00AC62D9" w:rsidP="00AC62D9">
            <w:pPr>
              <w:rPr>
                <w:lang w:eastAsia="en-IN"/>
              </w:rPr>
            </w:pPr>
            <w:r w:rsidRPr="00AC62D9">
              <w:rPr>
                <w:lang w:eastAsia="en-IN"/>
              </w:rPr>
              <w:t>LAC</w:t>
            </w:r>
          </w:p>
        </w:tc>
        <w:tc>
          <w:tcPr>
            <w:tcW w:w="957" w:type="dxa"/>
            <w:noWrap/>
            <w:vAlign w:val="bottom"/>
            <w:hideMark/>
          </w:tcPr>
          <w:p w14:paraId="4AFC4B13" w14:textId="77777777" w:rsidR="00AC62D9" w:rsidRPr="00AC62D9" w:rsidRDefault="00AC62D9" w:rsidP="00AC62D9">
            <w:pPr>
              <w:rPr>
                <w:lang w:eastAsia="en-IN"/>
              </w:rPr>
            </w:pPr>
            <w:r w:rsidRPr="00AC62D9">
              <w:rPr>
                <w:lang w:eastAsia="en-IN"/>
              </w:rPr>
              <w:t>3</w:t>
            </w:r>
          </w:p>
        </w:tc>
        <w:tc>
          <w:tcPr>
            <w:tcW w:w="1276" w:type="dxa"/>
            <w:noWrap/>
            <w:vAlign w:val="bottom"/>
            <w:hideMark/>
          </w:tcPr>
          <w:p w14:paraId="4BD8E4B4" w14:textId="77777777" w:rsidR="00AC62D9" w:rsidRPr="00AC62D9" w:rsidRDefault="00AC62D9" w:rsidP="00AC62D9">
            <w:pPr>
              <w:rPr>
                <w:lang w:eastAsia="en-IN"/>
              </w:rPr>
            </w:pPr>
            <w:r w:rsidRPr="00AC62D9">
              <w:rPr>
                <w:lang w:eastAsia="en-IN"/>
              </w:rPr>
              <w:t>16769</w:t>
            </w:r>
          </w:p>
        </w:tc>
        <w:tc>
          <w:tcPr>
            <w:tcW w:w="1842" w:type="dxa"/>
            <w:noWrap/>
            <w:vAlign w:val="bottom"/>
            <w:hideMark/>
          </w:tcPr>
          <w:p w14:paraId="5ACAAE32" w14:textId="19A0A976" w:rsidR="00AC62D9" w:rsidRPr="00AC62D9" w:rsidRDefault="00DC321A" w:rsidP="00AC62D9">
            <w:pPr>
              <w:rPr>
                <w:lang w:eastAsia="en-IN"/>
              </w:rPr>
            </w:pPr>
            <w:r>
              <w:rPr>
                <w:lang w:eastAsia="en-IN"/>
              </w:rPr>
              <w:t>563</w:t>
            </w:r>
            <w:r w:rsidR="00AC62D9" w:rsidRPr="00AC62D9">
              <w:rPr>
                <w:lang w:eastAsia="en-IN"/>
              </w:rPr>
              <w:t xml:space="preserve"> </w:t>
            </w:r>
          </w:p>
        </w:tc>
        <w:tc>
          <w:tcPr>
            <w:tcW w:w="1701" w:type="dxa"/>
            <w:noWrap/>
            <w:vAlign w:val="bottom"/>
            <w:hideMark/>
          </w:tcPr>
          <w:p w14:paraId="2C89A814" w14:textId="04A7E1B8" w:rsidR="00AC62D9" w:rsidRPr="00AC62D9" w:rsidRDefault="00AC62D9" w:rsidP="00AC62D9">
            <w:pPr>
              <w:rPr>
                <w:lang w:eastAsia="en-IN"/>
              </w:rPr>
            </w:pPr>
            <w:r w:rsidRPr="00AC62D9">
              <w:rPr>
                <w:lang w:eastAsia="en-IN"/>
              </w:rPr>
              <w:t>11</w:t>
            </w:r>
            <w:r w:rsidR="00DC321A">
              <w:rPr>
                <w:lang w:eastAsia="en-IN"/>
              </w:rPr>
              <w:t>901</w:t>
            </w:r>
          </w:p>
        </w:tc>
      </w:tr>
      <w:tr w:rsidR="00AC62D9" w:rsidRPr="00AC62D9" w14:paraId="2C2E389C" w14:textId="77777777" w:rsidTr="00CF66A6">
        <w:trPr>
          <w:trHeight w:val="330"/>
        </w:trPr>
        <w:tc>
          <w:tcPr>
            <w:tcW w:w="1126" w:type="dxa"/>
            <w:noWrap/>
            <w:vAlign w:val="bottom"/>
            <w:hideMark/>
          </w:tcPr>
          <w:p w14:paraId="3B22BA9C" w14:textId="77777777" w:rsidR="00AC62D9" w:rsidRPr="00AC62D9" w:rsidRDefault="00AC62D9" w:rsidP="00AC62D9">
            <w:pPr>
              <w:rPr>
                <w:lang w:eastAsia="en-IN"/>
              </w:rPr>
            </w:pPr>
            <w:r w:rsidRPr="00AC62D9">
              <w:rPr>
                <w:lang w:eastAsia="en-IN"/>
              </w:rPr>
              <w:t>Salvador</w:t>
            </w:r>
          </w:p>
        </w:tc>
        <w:tc>
          <w:tcPr>
            <w:tcW w:w="1238" w:type="dxa"/>
            <w:noWrap/>
            <w:vAlign w:val="bottom"/>
            <w:hideMark/>
          </w:tcPr>
          <w:p w14:paraId="3E5DD02F" w14:textId="77777777" w:rsidR="00AC62D9" w:rsidRPr="00AC62D9" w:rsidRDefault="00AC62D9" w:rsidP="00AC62D9">
            <w:pPr>
              <w:rPr>
                <w:lang w:eastAsia="en-IN"/>
              </w:rPr>
            </w:pPr>
            <w:r w:rsidRPr="00AC62D9">
              <w:rPr>
                <w:lang w:eastAsia="en-IN"/>
              </w:rPr>
              <w:t>Brazil</w:t>
            </w:r>
          </w:p>
        </w:tc>
        <w:tc>
          <w:tcPr>
            <w:tcW w:w="927" w:type="dxa"/>
            <w:noWrap/>
            <w:vAlign w:val="bottom"/>
            <w:hideMark/>
          </w:tcPr>
          <w:p w14:paraId="300868ED" w14:textId="77777777" w:rsidR="00AC62D9" w:rsidRPr="00AC62D9" w:rsidRDefault="00AC62D9" w:rsidP="00AC62D9">
            <w:pPr>
              <w:rPr>
                <w:lang w:eastAsia="en-IN"/>
              </w:rPr>
            </w:pPr>
            <w:r w:rsidRPr="00AC62D9">
              <w:rPr>
                <w:lang w:eastAsia="en-IN"/>
              </w:rPr>
              <w:t>LAC</w:t>
            </w:r>
          </w:p>
        </w:tc>
        <w:tc>
          <w:tcPr>
            <w:tcW w:w="957" w:type="dxa"/>
            <w:noWrap/>
            <w:vAlign w:val="bottom"/>
            <w:hideMark/>
          </w:tcPr>
          <w:p w14:paraId="4DAE1B5F" w14:textId="77777777" w:rsidR="00AC62D9" w:rsidRPr="00AC62D9" w:rsidRDefault="00AC62D9" w:rsidP="00AC62D9">
            <w:pPr>
              <w:rPr>
                <w:lang w:eastAsia="en-IN"/>
              </w:rPr>
            </w:pPr>
            <w:r w:rsidRPr="00AC62D9">
              <w:rPr>
                <w:lang w:eastAsia="en-IN"/>
              </w:rPr>
              <w:t>3</w:t>
            </w:r>
          </w:p>
        </w:tc>
        <w:tc>
          <w:tcPr>
            <w:tcW w:w="1276" w:type="dxa"/>
            <w:noWrap/>
            <w:vAlign w:val="bottom"/>
            <w:hideMark/>
          </w:tcPr>
          <w:p w14:paraId="2B5CEC19" w14:textId="77777777" w:rsidR="00AC62D9" w:rsidRPr="00AC62D9" w:rsidRDefault="00AC62D9" w:rsidP="00AC62D9">
            <w:pPr>
              <w:rPr>
                <w:lang w:eastAsia="en-IN"/>
              </w:rPr>
            </w:pPr>
            <w:r w:rsidRPr="00AC62D9">
              <w:rPr>
                <w:lang w:eastAsia="en-IN"/>
              </w:rPr>
              <w:t>2037</w:t>
            </w:r>
          </w:p>
        </w:tc>
        <w:tc>
          <w:tcPr>
            <w:tcW w:w="1842" w:type="dxa"/>
            <w:noWrap/>
            <w:vAlign w:val="bottom"/>
            <w:hideMark/>
          </w:tcPr>
          <w:p w14:paraId="26DA33BB" w14:textId="353FC0DB" w:rsidR="00AC62D9" w:rsidRPr="00AC62D9" w:rsidRDefault="00DC321A" w:rsidP="00AC62D9">
            <w:pPr>
              <w:rPr>
                <w:lang w:eastAsia="en-IN"/>
              </w:rPr>
            </w:pPr>
            <w:r>
              <w:rPr>
                <w:lang w:eastAsia="en-IN"/>
              </w:rPr>
              <w:t>729</w:t>
            </w:r>
            <w:r w:rsidR="00AC62D9" w:rsidRPr="00AC62D9">
              <w:rPr>
                <w:lang w:eastAsia="en-IN"/>
              </w:rPr>
              <w:t xml:space="preserve"> </w:t>
            </w:r>
          </w:p>
        </w:tc>
        <w:tc>
          <w:tcPr>
            <w:tcW w:w="1701" w:type="dxa"/>
            <w:noWrap/>
            <w:vAlign w:val="bottom"/>
            <w:hideMark/>
          </w:tcPr>
          <w:p w14:paraId="1BFF4CB3" w14:textId="777AA900" w:rsidR="00AC62D9" w:rsidRPr="00AC62D9" w:rsidRDefault="00DC321A" w:rsidP="00AC62D9">
            <w:pPr>
              <w:rPr>
                <w:lang w:eastAsia="en-IN"/>
              </w:rPr>
            </w:pPr>
            <w:r>
              <w:rPr>
                <w:lang w:eastAsia="en-IN"/>
              </w:rPr>
              <w:t>1080</w:t>
            </w:r>
          </w:p>
        </w:tc>
      </w:tr>
      <w:tr w:rsidR="00AC62D9" w:rsidRPr="00AC62D9" w14:paraId="47F09BB3" w14:textId="77777777" w:rsidTr="00CF66A6">
        <w:trPr>
          <w:trHeight w:val="330"/>
        </w:trPr>
        <w:tc>
          <w:tcPr>
            <w:tcW w:w="4248" w:type="dxa"/>
            <w:gridSpan w:val="4"/>
            <w:noWrap/>
            <w:vAlign w:val="bottom"/>
            <w:hideMark/>
          </w:tcPr>
          <w:p w14:paraId="043E7A63" w14:textId="77777777" w:rsidR="00AC62D9" w:rsidRPr="00AC62D9" w:rsidRDefault="00AC62D9" w:rsidP="00AC62D9">
            <w:pPr>
              <w:rPr>
                <w:lang w:eastAsia="en-IN"/>
              </w:rPr>
            </w:pPr>
            <w:r w:rsidRPr="00AC62D9">
              <w:rPr>
                <w:lang w:eastAsia="en-IN"/>
              </w:rPr>
              <w:t>Total</w:t>
            </w:r>
          </w:p>
        </w:tc>
        <w:tc>
          <w:tcPr>
            <w:tcW w:w="1276" w:type="dxa"/>
            <w:noWrap/>
            <w:vAlign w:val="bottom"/>
            <w:hideMark/>
          </w:tcPr>
          <w:p w14:paraId="6BE9E6E7" w14:textId="77777777" w:rsidR="00AC62D9" w:rsidRPr="00AC62D9" w:rsidRDefault="00AC62D9" w:rsidP="00AC62D9">
            <w:pPr>
              <w:rPr>
                <w:lang w:eastAsia="en-IN"/>
              </w:rPr>
            </w:pPr>
            <w:r w:rsidRPr="00AC62D9">
              <w:rPr>
                <w:lang w:eastAsia="en-IN"/>
              </w:rPr>
              <w:t>74358</w:t>
            </w:r>
          </w:p>
        </w:tc>
        <w:tc>
          <w:tcPr>
            <w:tcW w:w="1842" w:type="dxa"/>
            <w:noWrap/>
            <w:vAlign w:val="bottom"/>
            <w:hideMark/>
          </w:tcPr>
          <w:p w14:paraId="074C1BF1" w14:textId="522417E5" w:rsidR="00AC62D9" w:rsidRPr="00AC62D9" w:rsidRDefault="00AC62D9" w:rsidP="00AC62D9">
            <w:pPr>
              <w:rPr>
                <w:lang w:eastAsia="en-IN"/>
              </w:rPr>
            </w:pPr>
            <w:r w:rsidRPr="00AC62D9">
              <w:rPr>
                <w:lang w:eastAsia="en-IN"/>
              </w:rPr>
              <w:t>5</w:t>
            </w:r>
            <w:r w:rsidR="00DC321A">
              <w:rPr>
                <w:lang w:eastAsia="en-IN"/>
              </w:rPr>
              <w:t>185</w:t>
            </w:r>
            <w:r w:rsidRPr="00AC62D9">
              <w:rPr>
                <w:lang w:eastAsia="en-IN"/>
              </w:rPr>
              <w:t xml:space="preserve"> </w:t>
            </w:r>
          </w:p>
        </w:tc>
        <w:tc>
          <w:tcPr>
            <w:tcW w:w="1701" w:type="dxa"/>
            <w:noWrap/>
            <w:vAlign w:val="bottom"/>
            <w:hideMark/>
          </w:tcPr>
          <w:p w14:paraId="0DD88EF2" w14:textId="4BD1F9B7" w:rsidR="00AC62D9" w:rsidRPr="00AC62D9" w:rsidRDefault="00DC321A" w:rsidP="00AC62D9">
            <w:pPr>
              <w:rPr>
                <w:lang w:eastAsia="en-IN"/>
              </w:rPr>
            </w:pPr>
            <w:r>
              <w:rPr>
                <w:lang w:eastAsia="en-IN"/>
              </w:rPr>
              <w:t>60439</w:t>
            </w:r>
          </w:p>
        </w:tc>
      </w:tr>
    </w:tbl>
    <w:p w14:paraId="3B114111" w14:textId="77777777" w:rsidR="005E1512" w:rsidRDefault="005E1512" w:rsidP="005E1512">
      <w:pPr>
        <w:spacing w:line="360" w:lineRule="auto"/>
      </w:pPr>
    </w:p>
    <w:p w14:paraId="65ECFF1C" w14:textId="4DEDD56F" w:rsidR="00AC62D9" w:rsidRDefault="00AC62D9" w:rsidP="00AC62D9">
      <w:pPr>
        <w:pStyle w:val="Heading2"/>
      </w:pPr>
      <w:bookmarkStart w:id="2" w:name="_Toc214016742"/>
      <w:r>
        <w:t>1.2 Feature selection (VSURF)</w:t>
      </w:r>
      <w:bookmarkEnd w:id="2"/>
    </w:p>
    <w:p w14:paraId="041964AD" w14:textId="71275DB1" w:rsidR="00AC62D9" w:rsidRDefault="00AC62D9" w:rsidP="00AC62D9">
      <w:pPr>
        <w:spacing w:line="360" w:lineRule="auto"/>
        <w:rPr>
          <w:color w:val="000000"/>
        </w:rPr>
      </w:pPr>
      <w:r>
        <w:t xml:space="preserve">We ran VSURF </w:t>
      </w:r>
      <w:sdt>
        <w:sdtPr>
          <w:rPr>
            <w:color w:val="000000"/>
          </w:rPr>
          <w:tag w:val="MENDELEY_CITATION_v3_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"/>
          <w:id w:val="-1882158022"/>
          <w:placeholder>
            <w:docPart w:val="DefaultPlaceholder_-1854013440"/>
          </w:placeholder>
        </w:sdtPr>
        <w:sdtEndPr/>
        <w:sdtContent>
          <w:r w:rsidR="00A10281" w:rsidRPr="00A10281">
            <w:rPr>
              <w:color w:val="000000"/>
            </w:rPr>
            <w:t>(</w:t>
          </w:r>
          <w:proofErr w:type="spellStart"/>
          <w:r w:rsidR="00A10281" w:rsidRPr="00A10281">
            <w:rPr>
              <w:color w:val="000000"/>
            </w:rPr>
            <w:t>Genuer</w:t>
          </w:r>
          <w:proofErr w:type="spellEnd"/>
          <w:r w:rsidR="00A10281" w:rsidRPr="00A10281">
            <w:rPr>
              <w:color w:val="000000"/>
            </w:rPr>
            <w:t xml:space="preserve"> et al., 2015)</w:t>
          </w:r>
        </w:sdtContent>
      </w:sdt>
      <w:r>
        <w:rPr>
          <w:color w:val="000000"/>
        </w:rPr>
        <w:t xml:space="preserve"> on full candidate set (21 indicators + REG1_GHSL) to identify a stable, parsimonious predictor subset. To reduce single-run instability, VSURF was executed three times with different forest sizes (</w:t>
      </w:r>
      <w:proofErr w:type="spellStart"/>
      <w:r>
        <w:rPr>
          <w:color w:val="000000"/>
        </w:rPr>
        <w:t>ntree</w:t>
      </w:r>
      <w:proofErr w:type="spellEnd"/>
      <w:r>
        <w:rPr>
          <w:color w:val="000000"/>
        </w:rPr>
        <w:t xml:space="preserve"> = 800, 1000, 1200) while keeping all other defaults and a fixed seed (42). For each run we recorded both selection stages (</w:t>
      </w:r>
      <w:proofErr w:type="spellStart"/>
      <w:proofErr w:type="gramStart"/>
      <w:r>
        <w:rPr>
          <w:color w:val="000000"/>
        </w:rPr>
        <w:t>varselect.pred</w:t>
      </w:r>
      <w:proofErr w:type="spellEnd"/>
      <w:proofErr w:type="gramEnd"/>
      <w:r>
        <w:rPr>
          <w:color w:val="000000"/>
        </w:rPr>
        <w:t xml:space="preserve">, </w:t>
      </w:r>
      <w:proofErr w:type="spellStart"/>
      <w:proofErr w:type="gramStart"/>
      <w:r>
        <w:rPr>
          <w:color w:val="000000"/>
        </w:rPr>
        <w:t>varselect.interp</w:t>
      </w:r>
      <w:proofErr w:type="spellEnd"/>
      <w:proofErr w:type="gramEnd"/>
      <w:r>
        <w:rPr>
          <w:color w:val="000000"/>
        </w:rPr>
        <w:t xml:space="preserve">). The final predictor set is the intersection of the three </w:t>
      </w:r>
      <w:proofErr w:type="spellStart"/>
      <w:proofErr w:type="gramStart"/>
      <w:r>
        <w:rPr>
          <w:color w:val="000000"/>
        </w:rPr>
        <w:t>varselect.pred</w:t>
      </w:r>
      <w:proofErr w:type="spellEnd"/>
      <w:proofErr w:type="gramEnd"/>
      <w:r>
        <w:rPr>
          <w:color w:val="000000"/>
        </w:rPr>
        <w:t xml:space="preserve"> lists (i.e., variables consistently retained for prediction across </w:t>
      </w:r>
      <w:proofErr w:type="spellStart"/>
      <w:r>
        <w:rPr>
          <w:color w:val="000000"/>
        </w:rPr>
        <w:t>ntree</w:t>
      </w:r>
      <w:proofErr w:type="spellEnd"/>
      <w:r>
        <w:rPr>
          <w:color w:val="000000"/>
        </w:rPr>
        <w:t xml:space="preserve"> settings).</w:t>
      </w:r>
    </w:p>
    <w:p w14:paraId="325013FB" w14:textId="57833497" w:rsidR="00AC62D9" w:rsidRDefault="00AC62D9" w:rsidP="00672B99">
      <w:pPr>
        <w:spacing w:line="360" w:lineRule="auto"/>
        <w:rPr>
          <w:color w:val="000000"/>
        </w:rPr>
      </w:pPr>
      <w:r>
        <w:rPr>
          <w:color w:val="000000"/>
        </w:rPr>
        <w:t xml:space="preserve">Taking the overlap across </w:t>
      </w:r>
      <w:proofErr w:type="spellStart"/>
      <w:r>
        <w:rPr>
          <w:color w:val="000000"/>
        </w:rPr>
        <w:t>ntree</w:t>
      </w:r>
      <w:proofErr w:type="spellEnd"/>
      <w:r>
        <w:rPr>
          <w:color w:val="000000"/>
        </w:rPr>
        <w:t xml:space="preserve"> settings favours variables that are consistently informative, improving robustness without inflating dimensionality. We keep REG1_GHSL to capture broad regional context while preserving a single global model. </w:t>
      </w:r>
      <w:r w:rsidR="00672B99">
        <w:rPr>
          <w:color w:val="000000"/>
        </w:rPr>
        <w:t>The 1</w:t>
      </w:r>
      <w:r w:rsidR="00DC321A">
        <w:rPr>
          <w:color w:val="000000"/>
        </w:rPr>
        <w:t>0</w:t>
      </w:r>
      <w:r w:rsidR="00672B99">
        <w:rPr>
          <w:color w:val="000000"/>
        </w:rPr>
        <w:t xml:space="preserve"> selected predictors are </w:t>
      </w:r>
      <w:r w:rsidR="00672B99" w:rsidRPr="00672B99">
        <w:rPr>
          <w:color w:val="000000"/>
        </w:rPr>
        <w:t>i5_par_</w:t>
      </w:r>
      <w:proofErr w:type="gramStart"/>
      <w:r w:rsidR="00672B99" w:rsidRPr="00672B99">
        <w:rPr>
          <w:color w:val="000000"/>
        </w:rPr>
        <w:t>area</w:t>
      </w:r>
      <w:r w:rsidR="00672B99">
        <w:rPr>
          <w:color w:val="000000"/>
        </w:rPr>
        <w:t xml:space="preserve">; </w:t>
      </w:r>
      <w:r w:rsidR="00DC321A">
        <w:rPr>
          <w:color w:val="000000"/>
        </w:rPr>
        <w:t xml:space="preserve"> i</w:t>
      </w:r>
      <w:proofErr w:type="gramEnd"/>
      <w:r w:rsidR="00DC321A">
        <w:rPr>
          <w:color w:val="000000"/>
        </w:rPr>
        <w:t xml:space="preserve">1_pop_area; B_AVG_SEG; i9_roads_par; i6_paru_area; i8_paru_par; PARU_A_SEG; B_AREA_SEG; B_CV_SEG; </w:t>
      </w:r>
      <w:r w:rsidR="00672B99" w:rsidRPr="00672B99">
        <w:rPr>
          <w:color w:val="000000"/>
        </w:rPr>
        <w:t>REG1_GHSL</w:t>
      </w:r>
      <w:r w:rsidR="00672B99">
        <w:rPr>
          <w:color w:val="000000"/>
        </w:rPr>
        <w:t>.</w:t>
      </w:r>
    </w:p>
    <w:p w14:paraId="240BF055" w14:textId="78F4B675" w:rsidR="00672B99" w:rsidRDefault="00672B99" w:rsidP="00672B99">
      <w:pPr>
        <w:pStyle w:val="Heading2"/>
      </w:pPr>
      <w:bookmarkStart w:id="3" w:name="_Toc214016743"/>
      <w:r>
        <w:t>1.3 Model tuning and final parameters</w:t>
      </w:r>
      <w:bookmarkEnd w:id="3"/>
    </w:p>
    <w:p w14:paraId="0AA71DB1" w14:textId="25393BEA" w:rsidR="00672B99" w:rsidRDefault="00672B99" w:rsidP="00672B99">
      <w:pPr>
        <w:spacing w:line="360" w:lineRule="auto"/>
      </w:pPr>
      <w:r>
        <w:t>We tuned a scikit-learn Random Forest classifier over the following range:</w:t>
      </w:r>
    </w:p>
    <w:p w14:paraId="16E3F61D" w14:textId="6AE3BEE7" w:rsidR="00672B99" w:rsidRDefault="00672B99" w:rsidP="00672B99">
      <w:pPr>
        <w:pStyle w:val="ListParagraph"/>
        <w:numPr>
          <w:ilvl w:val="0"/>
          <w:numId w:val="14"/>
        </w:numPr>
        <w:spacing w:line="360" w:lineRule="auto"/>
      </w:pPr>
      <w:proofErr w:type="spellStart"/>
      <w:r>
        <w:t>n_estimators</w:t>
      </w:r>
      <w:proofErr w:type="spellEnd"/>
      <w:r>
        <w:t>: 150-2000</w:t>
      </w:r>
    </w:p>
    <w:p w14:paraId="5BDD250F" w14:textId="4E4343E9" w:rsidR="00672B99" w:rsidRDefault="00672B99" w:rsidP="00672B99">
      <w:pPr>
        <w:pStyle w:val="ListParagraph"/>
        <w:numPr>
          <w:ilvl w:val="0"/>
          <w:numId w:val="14"/>
        </w:numPr>
        <w:spacing w:line="360" w:lineRule="auto"/>
      </w:pPr>
      <w:proofErr w:type="spellStart"/>
      <w:r>
        <w:t>max_depth</w:t>
      </w:r>
      <w:proofErr w:type="spellEnd"/>
      <w:r>
        <w:t>: 10-25</w:t>
      </w:r>
    </w:p>
    <w:p w14:paraId="2A1D5E20" w14:textId="06C2ECDD" w:rsidR="00672B99" w:rsidRDefault="00672B99" w:rsidP="00672B99">
      <w:pPr>
        <w:pStyle w:val="ListParagraph"/>
        <w:numPr>
          <w:ilvl w:val="0"/>
          <w:numId w:val="14"/>
        </w:numPr>
        <w:spacing w:line="360" w:lineRule="auto"/>
      </w:pPr>
      <w:proofErr w:type="spellStart"/>
      <w:r>
        <w:t>min_samples_leaf</w:t>
      </w:r>
      <w:proofErr w:type="spellEnd"/>
      <w:r>
        <w:t>: 1-10</w:t>
      </w:r>
    </w:p>
    <w:p w14:paraId="147AF3BD" w14:textId="441119E5" w:rsidR="00672B99" w:rsidRDefault="00672B99" w:rsidP="00672B99">
      <w:pPr>
        <w:pStyle w:val="ListParagraph"/>
        <w:numPr>
          <w:ilvl w:val="0"/>
          <w:numId w:val="14"/>
        </w:numPr>
        <w:spacing w:line="360" w:lineRule="auto"/>
      </w:pPr>
      <w:proofErr w:type="spellStart"/>
      <w:r>
        <w:t>min_samples_split</w:t>
      </w:r>
      <w:proofErr w:type="spellEnd"/>
      <w:r>
        <w:t>: 2-11</w:t>
      </w:r>
    </w:p>
    <w:p w14:paraId="31801B15" w14:textId="00E80320" w:rsidR="00672B99" w:rsidRDefault="00672B99" w:rsidP="00672B99">
      <w:pPr>
        <w:pStyle w:val="ListParagraph"/>
        <w:numPr>
          <w:ilvl w:val="0"/>
          <w:numId w:val="14"/>
        </w:numPr>
        <w:spacing w:line="360" w:lineRule="auto"/>
      </w:pPr>
      <w:proofErr w:type="spellStart"/>
      <w:r>
        <w:t>max_features</w:t>
      </w:r>
      <w:proofErr w:type="spellEnd"/>
      <w:r>
        <w:t>: {“sqrt”, 0.5}</w:t>
      </w:r>
    </w:p>
    <w:p w14:paraId="43FB13E6" w14:textId="11F77FDB" w:rsidR="00672B99" w:rsidRDefault="00672B99" w:rsidP="00672B99">
      <w:pPr>
        <w:pStyle w:val="ListParagraph"/>
        <w:numPr>
          <w:ilvl w:val="0"/>
          <w:numId w:val="14"/>
        </w:numPr>
        <w:spacing w:line="360" w:lineRule="auto"/>
      </w:pPr>
      <w:r>
        <w:t>bootstrap: {True, False}</w:t>
      </w:r>
    </w:p>
    <w:p w14:paraId="54C6AC46" w14:textId="4804746D" w:rsidR="00672B99" w:rsidRDefault="00672B99" w:rsidP="00672B99">
      <w:pPr>
        <w:pStyle w:val="ListParagraph"/>
        <w:numPr>
          <w:ilvl w:val="0"/>
          <w:numId w:val="14"/>
        </w:numPr>
        <w:spacing w:line="360" w:lineRule="auto"/>
      </w:pPr>
      <w:proofErr w:type="spellStart"/>
      <w:r>
        <w:t>class_weight</w:t>
      </w:r>
      <w:proofErr w:type="spellEnd"/>
      <w:r>
        <w:t>: {“balanced”, “</w:t>
      </w:r>
      <w:proofErr w:type="spellStart"/>
      <w:r>
        <w:t>balanced_subsample</w:t>
      </w:r>
      <w:proofErr w:type="spellEnd"/>
      <w:r>
        <w:t>”}</w:t>
      </w:r>
    </w:p>
    <w:p w14:paraId="296D7187" w14:textId="7AB02623" w:rsidR="00672B99" w:rsidRDefault="00672B99" w:rsidP="00672B99">
      <w:pPr>
        <w:spacing w:line="360" w:lineRule="auto"/>
      </w:pPr>
      <w:r>
        <w:lastRenderedPageBreak/>
        <w:t>All other parameters used library defaults.</w:t>
      </w:r>
    </w:p>
    <w:p w14:paraId="5CD9CDBA" w14:textId="7FF41157" w:rsidR="00672B99" w:rsidRDefault="00672B99" w:rsidP="00672B99">
      <w:pPr>
        <w:spacing w:line="360" w:lineRule="auto"/>
      </w:pPr>
      <w:r>
        <w:t xml:space="preserve">Data were split once (with </w:t>
      </w:r>
      <w:proofErr w:type="spellStart"/>
      <w:r>
        <w:t>random_state</w:t>
      </w:r>
      <w:proofErr w:type="spellEnd"/>
      <w:r>
        <w:t xml:space="preserve">=42) into an 80/20 train-holdout. With the 80% training set, we ran a randomized/grid search with stratified 5-fold CV and fixed seeds. Model selection criterion was mean ROC-AUC across CV folds. The selected model was refit on the </w:t>
      </w:r>
      <w:r w:rsidR="00AA0C66">
        <w:t>full 80% training data and then evaluated on the untouched 20% holdout for all reported metrics and curves.</w:t>
      </w:r>
    </w:p>
    <w:p w14:paraId="34AD24E3" w14:textId="4C271084" w:rsidR="00AA0C66" w:rsidRDefault="00AA0C66" w:rsidP="00AA0C66">
      <w:pPr>
        <w:spacing w:line="360" w:lineRule="auto"/>
      </w:pPr>
      <w:r>
        <w:t xml:space="preserve">The final configuration is stored in a </w:t>
      </w:r>
      <w:proofErr w:type="spellStart"/>
      <w:r>
        <w:t>json</w:t>
      </w:r>
      <w:proofErr w:type="spellEnd"/>
      <w:r>
        <w:t xml:space="preserve"> file; the parameters </w:t>
      </w:r>
      <w:proofErr w:type="gramStart"/>
      <w:r>
        <w:t>are:</w:t>
      </w:r>
      <w:proofErr w:type="gramEnd"/>
      <w:r>
        <w:t xml:space="preserve"> </w:t>
      </w:r>
      <w:proofErr w:type="spellStart"/>
      <w:r>
        <w:t>n_estimators</w:t>
      </w:r>
      <w:proofErr w:type="spellEnd"/>
      <w:r>
        <w:t xml:space="preserve">: 1350; </w:t>
      </w:r>
      <w:proofErr w:type="spellStart"/>
      <w:r>
        <w:t>max_depth</w:t>
      </w:r>
      <w:proofErr w:type="spellEnd"/>
      <w:r>
        <w:t xml:space="preserve">: </w:t>
      </w:r>
      <w:r w:rsidR="00DC321A">
        <w:t>16</w:t>
      </w:r>
      <w:r>
        <w:t xml:space="preserve">; </w:t>
      </w:r>
      <w:proofErr w:type="spellStart"/>
      <w:r>
        <w:t>min_samples_leaf</w:t>
      </w:r>
      <w:proofErr w:type="spellEnd"/>
      <w:r>
        <w:t xml:space="preserve">: </w:t>
      </w:r>
      <w:r w:rsidR="00DC321A">
        <w:t>9</w:t>
      </w:r>
      <w:r>
        <w:t xml:space="preserve">; </w:t>
      </w:r>
      <w:proofErr w:type="spellStart"/>
      <w:r>
        <w:t>min_samples_split</w:t>
      </w:r>
      <w:proofErr w:type="spellEnd"/>
      <w:r>
        <w:t xml:space="preserve">: </w:t>
      </w:r>
      <w:r w:rsidR="00DC321A">
        <w:t>8</w:t>
      </w:r>
      <w:r>
        <w:t xml:space="preserve">; </w:t>
      </w:r>
      <w:proofErr w:type="spellStart"/>
      <w:r>
        <w:t>max_features</w:t>
      </w:r>
      <w:proofErr w:type="spellEnd"/>
      <w:r>
        <w:t xml:space="preserve">: “sqrt”; bootstrap: True; </w:t>
      </w:r>
      <w:proofErr w:type="spellStart"/>
      <w:r>
        <w:t>class_weight</w:t>
      </w:r>
      <w:proofErr w:type="spellEnd"/>
      <w:r>
        <w:t>: “balanced”. Figure 1 shows the ROC curve on the true holdout (Area Under Curve (AUC) = 0.87</w:t>
      </w:r>
      <w:r w:rsidR="00867B3E">
        <w:t>4</w:t>
      </w:r>
      <w:r>
        <w:t>).</w:t>
      </w:r>
    </w:p>
    <w:p w14:paraId="25F04A8A" w14:textId="77777777" w:rsidR="00AA0C66" w:rsidRDefault="00AA0C66" w:rsidP="00AA0C66">
      <w:pPr>
        <w:keepNext/>
        <w:spacing w:line="360" w:lineRule="auto"/>
      </w:pPr>
      <w:r w:rsidRPr="00AA0C66">
        <w:rPr>
          <w:noProof/>
        </w:rPr>
        <w:drawing>
          <wp:inline distT="0" distB="0" distL="0" distR="0" wp14:anchorId="7795BA26" wp14:editId="589D3231">
            <wp:extent cx="4534574" cy="3778811"/>
            <wp:effectExtent l="0" t="0" r="0" b="0"/>
            <wp:docPr id="5" name="Picture 4">
              <a:extLst xmlns:a="http://schemas.openxmlformats.org/drawingml/2006/main">
                <a:ext uri="{FF2B5EF4-FFF2-40B4-BE49-F238E27FC236}">
                  <a16:creationId xmlns:a16="http://schemas.microsoft.com/office/drawing/2014/main" id="{BF1A3601-07E6-8EEB-D335-530737A4B1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F1A3601-07E6-8EEB-D335-530737A4B17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34574" cy="3778811"/>
                    </a:xfrm>
                    <a:prstGeom prst="rect">
                      <a:avLst/>
                    </a:prstGeom>
                  </pic:spPr>
                </pic:pic>
              </a:graphicData>
            </a:graphic>
          </wp:inline>
        </w:drawing>
      </w:r>
    </w:p>
    <w:p w14:paraId="799A6D85" w14:textId="5F0380AA" w:rsidR="00AA0C66" w:rsidRDefault="00AA0C66" w:rsidP="00AA0C66">
      <w:pPr>
        <w:pStyle w:val="Caption"/>
      </w:pPr>
      <w:r>
        <w:t xml:space="preserve">Figure </w:t>
      </w:r>
      <w:fldSimple w:instr=" SEQ Figure \* ARABIC ">
        <w:r w:rsidR="006356F3">
          <w:rPr>
            <w:noProof/>
          </w:rPr>
          <w:t>1</w:t>
        </w:r>
      </w:fldSimple>
      <w:r>
        <w:t>: ROC curve on the true holdout (AUC = 0.87</w:t>
      </w:r>
      <w:r w:rsidR="00300430">
        <w:t>4</w:t>
      </w:r>
      <w:r>
        <w:t>)</w:t>
      </w:r>
    </w:p>
    <w:p w14:paraId="249332A3" w14:textId="7B93BF1A" w:rsidR="00AA0C66" w:rsidRDefault="007C4561" w:rsidP="007C4561">
      <w:pPr>
        <w:pStyle w:val="Heading2"/>
      </w:pPr>
      <w:bookmarkStart w:id="4" w:name="_Toc214016744"/>
      <w:r>
        <w:t>1.4 Threshold selection</w:t>
      </w:r>
      <w:bookmarkEnd w:id="4"/>
      <w:r>
        <w:t xml:space="preserve"> </w:t>
      </w:r>
    </w:p>
    <w:p w14:paraId="2FFDC41F" w14:textId="27E64384" w:rsidR="007C4561" w:rsidRDefault="007C4561" w:rsidP="007C4561">
      <w:pPr>
        <w:spacing w:line="360" w:lineRule="auto"/>
      </w:pPr>
      <w:r>
        <w:t>The Random Forest (RF) outputs a probability for the ‘</w:t>
      </w:r>
      <w:r w:rsidR="008E1B29">
        <w:t xml:space="preserve">morphologically </w:t>
      </w:r>
      <w:r>
        <w:t xml:space="preserve">deprived-like’ class per segment. Because missed detections are more costly than false alarms in this application, we prioritized recall while limiting losses in precision/F1. We swept the decision threshold from 0 to 1 in steps of 0.01 on the true holdout and inspected the </w:t>
      </w:r>
      <w:r>
        <w:lastRenderedPageBreak/>
        <w:t>metric curves. The curves (Figure 2) show the expected precision-recall trade-off. We selected the threshold of 0.4 for headline results as a pragmatic balance near the F1 plateau where recall is high without excessive drop in precision. Confusion matrix at threshold of 0.4 (Figure 3) reports the 2 x 2 counts on the untouched holdout, providing the operating point used throughout the main text.</w:t>
      </w:r>
    </w:p>
    <w:p w14:paraId="607E7B5B" w14:textId="77777777" w:rsidR="007C4561" w:rsidRDefault="007C4561" w:rsidP="007C4561">
      <w:pPr>
        <w:keepNext/>
        <w:spacing w:line="360" w:lineRule="auto"/>
      </w:pPr>
      <w:r w:rsidRPr="007C4561">
        <w:rPr>
          <w:noProof/>
        </w:rPr>
        <w:drawing>
          <wp:inline distT="0" distB="0" distL="0" distR="0" wp14:anchorId="619E607E" wp14:editId="3E3447D5">
            <wp:extent cx="4814339" cy="3008962"/>
            <wp:effectExtent l="0" t="0" r="5715" b="1270"/>
            <wp:docPr id="8" name="Picture 7">
              <a:extLst xmlns:a="http://schemas.openxmlformats.org/drawingml/2006/main">
                <a:ext uri="{FF2B5EF4-FFF2-40B4-BE49-F238E27FC236}">
                  <a16:creationId xmlns:a16="http://schemas.microsoft.com/office/drawing/2014/main" id="{0BAE249C-5A69-2B4A-F227-B9E16D730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BAE249C-5A69-2B4A-F227-B9E16D730E5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4339" cy="3008962"/>
                    </a:xfrm>
                    <a:prstGeom prst="rect">
                      <a:avLst/>
                    </a:prstGeom>
                  </pic:spPr>
                </pic:pic>
              </a:graphicData>
            </a:graphic>
          </wp:inline>
        </w:drawing>
      </w:r>
    </w:p>
    <w:p w14:paraId="46E8EF1E" w14:textId="4DAEC066" w:rsidR="007C4561" w:rsidRDefault="007C4561" w:rsidP="007C4561">
      <w:pPr>
        <w:pStyle w:val="Caption"/>
      </w:pPr>
      <w:r>
        <w:t xml:space="preserve">Figure </w:t>
      </w:r>
      <w:fldSimple w:instr=" SEQ Figure \* ARABIC ">
        <w:r w:rsidR="006356F3">
          <w:rPr>
            <w:noProof/>
          </w:rPr>
          <w:t>2</w:t>
        </w:r>
      </w:fldSimple>
      <w:r>
        <w:t>: Precision/Recall/F1 vs decision threshold (holdout)</w:t>
      </w:r>
    </w:p>
    <w:p w14:paraId="130DA8CA" w14:textId="77777777" w:rsidR="007C4561" w:rsidRDefault="007C4561" w:rsidP="007C4561">
      <w:pPr>
        <w:keepNext/>
      </w:pPr>
      <w:r w:rsidRPr="007C4561">
        <w:rPr>
          <w:noProof/>
        </w:rPr>
        <w:drawing>
          <wp:inline distT="0" distB="0" distL="0" distR="0" wp14:anchorId="69218A5E" wp14:editId="4FDCA780">
            <wp:extent cx="4127239" cy="3439366"/>
            <wp:effectExtent l="0" t="0" r="6985" b="8890"/>
            <wp:docPr id="3" name="Picture 2">
              <a:extLst xmlns:a="http://schemas.openxmlformats.org/drawingml/2006/main">
                <a:ext uri="{FF2B5EF4-FFF2-40B4-BE49-F238E27FC236}">
                  <a16:creationId xmlns:a16="http://schemas.microsoft.com/office/drawing/2014/main" id="{723F9BA9-64D2-EDB0-6ECF-074D1BE95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3F9BA9-64D2-EDB0-6ECF-074D1BE95E5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7239" cy="3439366"/>
                    </a:xfrm>
                    <a:prstGeom prst="rect">
                      <a:avLst/>
                    </a:prstGeom>
                  </pic:spPr>
                </pic:pic>
              </a:graphicData>
            </a:graphic>
          </wp:inline>
        </w:drawing>
      </w:r>
    </w:p>
    <w:p w14:paraId="659C9B23" w14:textId="14123A8E" w:rsidR="007C4561" w:rsidRDefault="007C4561" w:rsidP="007C4561">
      <w:pPr>
        <w:pStyle w:val="Caption"/>
      </w:pPr>
      <w:r>
        <w:t xml:space="preserve">Figure </w:t>
      </w:r>
      <w:fldSimple w:instr=" SEQ Figure \* ARABIC ">
        <w:r w:rsidR="006356F3">
          <w:rPr>
            <w:noProof/>
          </w:rPr>
          <w:t>3</w:t>
        </w:r>
      </w:fldSimple>
      <w:r>
        <w:t>: Confusion matrix on the true holdout at threshold of 0.4.</w:t>
      </w:r>
    </w:p>
    <w:p w14:paraId="01683BC8" w14:textId="16B55C07" w:rsidR="007C4561" w:rsidRDefault="007C4561" w:rsidP="007C4561">
      <w:pPr>
        <w:spacing w:line="360" w:lineRule="auto"/>
      </w:pPr>
      <w:r>
        <w:lastRenderedPageBreak/>
        <w:t xml:space="preserve">Our dataset is class-imbalanced (non-deprived &gt;&gt; deprived segments). To examine behaviour under balanced prevalence, we performed a </w:t>
      </w:r>
      <w:r w:rsidR="00FC6D3D">
        <w:t xml:space="preserve">balanced evaluation. In this evaluation, for each of 50 repeats, we kept all deprived holdout samples and randomly sampled an equal number of non-deprived samples. We computed metrics per repeat and averaged the results. Figure 4 shows the averaged confusion matrix at threshold of 0.4. The balanced performance metrics are (mean </w:t>
      </w:r>
      <w:r w:rsidR="00FC6D3D" w:rsidRPr="00FC6D3D">
        <w:t>±</w:t>
      </w:r>
      <w:r w:rsidR="00FC6D3D">
        <w:t xml:space="preserve"> SD):</w:t>
      </w:r>
    </w:p>
    <w:p w14:paraId="5A0DE8C2" w14:textId="0CBE43A6" w:rsidR="00FC6D3D" w:rsidRDefault="00FC6D3D" w:rsidP="00FC6D3D">
      <w:pPr>
        <w:pStyle w:val="ListParagraph"/>
        <w:numPr>
          <w:ilvl w:val="0"/>
          <w:numId w:val="15"/>
        </w:numPr>
        <w:spacing w:line="240" w:lineRule="auto"/>
      </w:pPr>
      <w:r>
        <w:t>Precision: 0.8</w:t>
      </w:r>
      <w:r w:rsidR="00867B3E">
        <w:t>6</w:t>
      </w:r>
      <w:r>
        <w:t xml:space="preserve"> </w:t>
      </w:r>
      <w:r w:rsidRPr="00FC6D3D">
        <w:t>±</w:t>
      </w:r>
      <w:r>
        <w:t xml:space="preserve"> 0.01</w:t>
      </w:r>
    </w:p>
    <w:p w14:paraId="1B714D4B" w14:textId="17D1D1A4" w:rsidR="00FC6D3D" w:rsidRDefault="00FC6D3D" w:rsidP="00FC6D3D">
      <w:pPr>
        <w:pStyle w:val="ListParagraph"/>
        <w:numPr>
          <w:ilvl w:val="0"/>
          <w:numId w:val="15"/>
        </w:numPr>
        <w:spacing w:line="240" w:lineRule="auto"/>
      </w:pPr>
      <w:r>
        <w:t>Recall: 0.6</w:t>
      </w:r>
      <w:r w:rsidR="00867B3E">
        <w:t>7</w:t>
      </w:r>
      <w:r>
        <w:t xml:space="preserve"> </w:t>
      </w:r>
      <w:r w:rsidRPr="00FC6D3D">
        <w:t>±</w:t>
      </w:r>
      <w:r>
        <w:t xml:space="preserve"> 0</w:t>
      </w:r>
      <w:r w:rsidR="00867B3E">
        <w:t>.00</w:t>
      </w:r>
    </w:p>
    <w:p w14:paraId="107CE374" w14:textId="44F409EA" w:rsidR="00FC6D3D" w:rsidRDefault="00FC6D3D" w:rsidP="00FC6D3D">
      <w:pPr>
        <w:pStyle w:val="ListParagraph"/>
        <w:numPr>
          <w:ilvl w:val="0"/>
          <w:numId w:val="15"/>
        </w:numPr>
        <w:spacing w:line="240" w:lineRule="auto"/>
      </w:pPr>
      <w:r>
        <w:t>F1: 0.7</w:t>
      </w:r>
      <w:r w:rsidR="00867B3E">
        <w:t>5</w:t>
      </w:r>
      <w:r>
        <w:t xml:space="preserve"> </w:t>
      </w:r>
      <w:r w:rsidRPr="00FC6D3D">
        <w:t>±</w:t>
      </w:r>
      <w:r>
        <w:t xml:space="preserve"> 0.00</w:t>
      </w:r>
    </w:p>
    <w:p w14:paraId="391D47C7" w14:textId="4B737E5B" w:rsidR="00FC6D3D" w:rsidRDefault="00FC6D3D" w:rsidP="00FC6D3D">
      <w:pPr>
        <w:pStyle w:val="ListParagraph"/>
        <w:numPr>
          <w:ilvl w:val="0"/>
          <w:numId w:val="15"/>
        </w:numPr>
        <w:spacing w:line="240" w:lineRule="auto"/>
      </w:pPr>
      <w:r>
        <w:t>Accuracy: 0.7</w:t>
      </w:r>
      <w:r w:rsidR="00867B3E">
        <w:t>8</w:t>
      </w:r>
      <w:r>
        <w:t xml:space="preserve"> </w:t>
      </w:r>
      <w:r w:rsidRPr="00FC6D3D">
        <w:t>±</w:t>
      </w:r>
      <w:r>
        <w:t xml:space="preserve"> 0.00</w:t>
      </w:r>
    </w:p>
    <w:p w14:paraId="47EB03F9" w14:textId="5B17B30C" w:rsidR="00FC6D3D" w:rsidRDefault="00FC6D3D" w:rsidP="00FC6D3D">
      <w:pPr>
        <w:pStyle w:val="ListParagraph"/>
        <w:numPr>
          <w:ilvl w:val="0"/>
          <w:numId w:val="15"/>
        </w:numPr>
        <w:spacing w:line="240" w:lineRule="auto"/>
      </w:pPr>
      <w:r>
        <w:t>Specificity: 0.</w:t>
      </w:r>
      <w:r w:rsidR="00867B3E">
        <w:t>89</w:t>
      </w:r>
      <w:r>
        <w:t xml:space="preserve"> </w:t>
      </w:r>
      <w:r w:rsidRPr="00FC6D3D">
        <w:t>±</w:t>
      </w:r>
      <w:r>
        <w:t xml:space="preserve"> 0.0</w:t>
      </w:r>
      <w:r w:rsidR="00867B3E">
        <w:t>1</w:t>
      </w:r>
    </w:p>
    <w:p w14:paraId="67B5F996" w14:textId="643205FA" w:rsidR="00FC6D3D" w:rsidRDefault="00FC6D3D" w:rsidP="00FC6D3D">
      <w:pPr>
        <w:spacing w:line="360" w:lineRule="auto"/>
      </w:pPr>
      <w:r>
        <w:t>MCC (Mathews Correlation Coefficient) is 0.56 indicating a moderate-strong predictive relationship when classes are equally represented.</w:t>
      </w:r>
    </w:p>
    <w:p w14:paraId="7E887D01" w14:textId="77777777" w:rsidR="00FC6D3D" w:rsidRDefault="00FC6D3D" w:rsidP="00FC6D3D">
      <w:pPr>
        <w:keepNext/>
        <w:spacing w:line="360" w:lineRule="auto"/>
      </w:pPr>
      <w:r w:rsidRPr="00FC6D3D">
        <w:rPr>
          <w:noProof/>
        </w:rPr>
        <w:drawing>
          <wp:inline distT="0" distB="0" distL="0" distR="0" wp14:anchorId="09678E99" wp14:editId="0F7A0C63">
            <wp:extent cx="3849226" cy="3207689"/>
            <wp:effectExtent l="0" t="0" r="0" b="0"/>
            <wp:docPr id="4" name="Picture 3">
              <a:extLst xmlns:a="http://schemas.openxmlformats.org/drawingml/2006/main">
                <a:ext uri="{FF2B5EF4-FFF2-40B4-BE49-F238E27FC236}">
                  <a16:creationId xmlns:a16="http://schemas.microsoft.com/office/drawing/2014/main" id="{956A5E60-8B7C-39F0-E708-6B5EB83055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A5E60-8B7C-39F0-E708-6B5EB83055D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49226" cy="3207689"/>
                    </a:xfrm>
                    <a:prstGeom prst="rect">
                      <a:avLst/>
                    </a:prstGeom>
                  </pic:spPr>
                </pic:pic>
              </a:graphicData>
            </a:graphic>
          </wp:inline>
        </w:drawing>
      </w:r>
    </w:p>
    <w:p w14:paraId="272088C7" w14:textId="6B501A1C" w:rsidR="00FC6D3D" w:rsidRDefault="00FC6D3D" w:rsidP="00FC6D3D">
      <w:pPr>
        <w:pStyle w:val="Caption"/>
      </w:pPr>
      <w:r>
        <w:t xml:space="preserve">Figure </w:t>
      </w:r>
      <w:fldSimple w:instr=" SEQ Figure \* ARABIC ">
        <w:r w:rsidR="006356F3">
          <w:rPr>
            <w:noProof/>
          </w:rPr>
          <w:t>4</w:t>
        </w:r>
      </w:fldSimple>
      <w:r>
        <w:t>: Averaged confusion matrix over 50 balanced draws at threshold of 0.4.</w:t>
      </w:r>
    </w:p>
    <w:p w14:paraId="3A11F175" w14:textId="1E76DC8C" w:rsidR="00FC6D3D" w:rsidRDefault="00FC6D3D" w:rsidP="00FC6D3D">
      <w:pPr>
        <w:pStyle w:val="Heading2"/>
      </w:pPr>
      <w:bookmarkStart w:id="5" w:name="_Toc214016745"/>
      <w:r>
        <w:t xml:space="preserve">1.5 </w:t>
      </w:r>
      <w:r w:rsidR="009121FA">
        <w:t>Feature importance</w:t>
      </w:r>
      <w:bookmarkEnd w:id="5"/>
    </w:p>
    <w:p w14:paraId="2D55BF2F" w14:textId="7CB0BB50" w:rsidR="00FC6D3D" w:rsidRDefault="009121FA" w:rsidP="009121FA">
      <w:pPr>
        <w:spacing w:line="360" w:lineRule="auto"/>
      </w:pPr>
      <w:r>
        <w:t>We report mean decrease in impurity (MDI) importances from the final RF model (Figure 5), averaged across trees and normalized to sum to 1. This provides a stable, model-internal ranking of predictors used in splits.</w:t>
      </w:r>
    </w:p>
    <w:p w14:paraId="060EE361" w14:textId="77777777" w:rsidR="009121FA" w:rsidRDefault="00FC6D3D" w:rsidP="009121FA">
      <w:pPr>
        <w:keepNext/>
      </w:pPr>
      <w:r w:rsidRPr="00FC6D3D">
        <w:rPr>
          <w:noProof/>
        </w:rPr>
        <w:lastRenderedPageBreak/>
        <w:drawing>
          <wp:inline distT="0" distB="0" distL="0" distR="0" wp14:anchorId="0659D119" wp14:editId="00D775B2">
            <wp:extent cx="5731256" cy="3582035"/>
            <wp:effectExtent l="0" t="0" r="3175" b="0"/>
            <wp:docPr id="1303632728" name="Picture 2">
              <a:extLst xmlns:a="http://schemas.openxmlformats.org/drawingml/2006/main">
                <a:ext uri="{FF2B5EF4-FFF2-40B4-BE49-F238E27FC236}">
                  <a16:creationId xmlns:a16="http://schemas.microsoft.com/office/drawing/2014/main" id="{C41EF8ED-BBA1-405B-8674-A26AE0D7D7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32728" name="Picture 2">
                      <a:extLst>
                        <a:ext uri="{FF2B5EF4-FFF2-40B4-BE49-F238E27FC236}">
                          <a16:creationId xmlns:a16="http://schemas.microsoft.com/office/drawing/2014/main" id="{C41EF8ED-BBA1-405B-8674-A26AE0D7D71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256" cy="3582035"/>
                    </a:xfrm>
                    <a:prstGeom prst="rect">
                      <a:avLst/>
                    </a:prstGeom>
                  </pic:spPr>
                </pic:pic>
              </a:graphicData>
            </a:graphic>
          </wp:inline>
        </w:drawing>
      </w:r>
    </w:p>
    <w:p w14:paraId="38D9904C" w14:textId="72F0E556" w:rsidR="00FC6D3D" w:rsidRDefault="009121FA" w:rsidP="009121FA">
      <w:pPr>
        <w:pStyle w:val="Caption"/>
      </w:pPr>
      <w:r>
        <w:t xml:space="preserve">Figure </w:t>
      </w:r>
      <w:fldSimple w:instr=" SEQ Figure \* ARABIC ">
        <w:r w:rsidR="006356F3">
          <w:rPr>
            <w:noProof/>
          </w:rPr>
          <w:t>5</w:t>
        </w:r>
      </w:fldSimple>
      <w:r>
        <w:t>: Feature importance ranking</w:t>
      </w:r>
    </w:p>
    <w:p w14:paraId="103E02E3" w14:textId="360165F4" w:rsidR="00CF66A6" w:rsidRDefault="00CF66A6">
      <w:pPr>
        <w:jc w:val="left"/>
      </w:pPr>
      <w:r>
        <w:br w:type="page"/>
      </w:r>
    </w:p>
    <w:p w14:paraId="10617C46" w14:textId="15E56AB7" w:rsidR="009A51B4" w:rsidRDefault="007C417F" w:rsidP="000F3251">
      <w:pPr>
        <w:pStyle w:val="Heading1"/>
      </w:pPr>
      <w:bookmarkStart w:id="6" w:name="_Toc214016746"/>
      <w:r>
        <w:lastRenderedPageBreak/>
        <w:t>2</w:t>
      </w:r>
      <w:r w:rsidR="009A51B4">
        <w:t xml:space="preserve">. </w:t>
      </w:r>
      <w:r w:rsidR="000F3251">
        <w:t>Comparative analyses</w:t>
      </w:r>
      <w:bookmarkEnd w:id="6"/>
    </w:p>
    <w:p w14:paraId="278BCD36" w14:textId="1508B6EF" w:rsidR="00220374" w:rsidRDefault="007C417F" w:rsidP="00220374">
      <w:pPr>
        <w:pStyle w:val="Heading2"/>
      </w:pPr>
      <w:bookmarkStart w:id="7" w:name="_Toc214016747"/>
      <w:r>
        <w:t>2</w:t>
      </w:r>
      <w:r w:rsidR="00220374">
        <w:t>.1 Purpose and scope</w:t>
      </w:r>
      <w:bookmarkEnd w:id="7"/>
    </w:p>
    <w:p w14:paraId="2E53DBB0" w14:textId="60F72A7F" w:rsidR="00220374" w:rsidRDefault="00220374" w:rsidP="00220374">
      <w:pPr>
        <w:spacing w:line="360" w:lineRule="auto"/>
      </w:pPr>
      <w:r>
        <w:t xml:space="preserve">This section reports the comparative analyses performed between our </w:t>
      </w:r>
      <w:r w:rsidR="008E1B29">
        <w:t>CSMD</w:t>
      </w:r>
      <w:r>
        <w:t xml:space="preserve"> (City Segment </w:t>
      </w:r>
      <w:r w:rsidR="008E1B29">
        <w:t xml:space="preserve">Morphological </w:t>
      </w:r>
      <w:r>
        <w:t>Deprivation) model outputs and three independent references datasets representing different conceptual dimensions of urban deprivation, (</w:t>
      </w:r>
      <w:proofErr w:type="spellStart"/>
      <w:r>
        <w:t>i</w:t>
      </w:r>
      <w:proofErr w:type="spellEnd"/>
      <w:r>
        <w:t>) the Slum Severity Index (SSI) which is a service related deprivation model, (ii) the Million Neighbourhoods (MN) which is an infrastructure-access indicator based on building-to-street connectivity, and (iii) the World Resources Institute (WRI) Urban Land-Use dataset v1 which is a morphology based land-use classification derived from Sentinel-2 imagery.</w:t>
      </w:r>
    </w:p>
    <w:p w14:paraId="5AE7281A" w14:textId="661B3E5C" w:rsidR="00220374" w:rsidRDefault="00220374" w:rsidP="00220374">
      <w:pPr>
        <w:spacing w:line="360" w:lineRule="auto"/>
      </w:pPr>
      <w:r>
        <w:t xml:space="preserve">The objective of these comparisons is to quantify the level of spatial correspondence between the binary </w:t>
      </w:r>
      <w:r w:rsidR="008E1B29">
        <w:t xml:space="preserve">morphological </w:t>
      </w:r>
      <w:r>
        <w:t xml:space="preserve">deprivation labels produced by our </w:t>
      </w:r>
      <w:r w:rsidR="008E1B29">
        <w:t>CSMD</w:t>
      </w:r>
      <w:r>
        <w:t xml:space="preserve"> model and those derived from each external dataset, using identical segment-level units. The analyses are contextual rather than validation exercises, as each dataset captures different underlying dimensions (service access, infrastructure connectivity, or physical form).</w:t>
      </w:r>
    </w:p>
    <w:p w14:paraId="02D52657" w14:textId="37102544" w:rsidR="00220374" w:rsidRDefault="00220374" w:rsidP="00220374">
      <w:pPr>
        <w:spacing w:line="360" w:lineRule="auto"/>
      </w:pPr>
      <w:r>
        <w:t xml:space="preserve">All comparisons were executed at the city-segment level, restricted to countries and segments with valid data in both </w:t>
      </w:r>
      <w:r w:rsidR="008E1B29">
        <w:t>CSMD</w:t>
      </w:r>
      <w:r>
        <w:t xml:space="preserve"> and the external source. For each country-dataset pair, deprivation labels were aligned spatially, and standard classification metrics like precision, recall, F1-score, and balanced accuracy were computed. The results are reported as country-level boxplots and global pooled summaries in section </w:t>
      </w:r>
      <w:r w:rsidR="00A36B60">
        <w:t>2</w:t>
      </w:r>
      <w:r w:rsidRPr="00FF57EE">
        <w:t xml:space="preserve">.3 to </w:t>
      </w:r>
      <w:r w:rsidR="00A36B60">
        <w:t>2</w:t>
      </w:r>
      <w:r w:rsidRPr="00FF57EE">
        <w:t>.5</w:t>
      </w:r>
      <w:r>
        <w:t xml:space="preserve">. Methodological steps common to all three datasets, including data alignment, thresholding, and metric computation, are described in section </w:t>
      </w:r>
      <w:r w:rsidR="00A36B60">
        <w:t>2</w:t>
      </w:r>
      <w:r>
        <w:t>.2.</w:t>
      </w:r>
    </w:p>
    <w:p w14:paraId="60B18168" w14:textId="6FC98480" w:rsidR="00220374" w:rsidRDefault="007C417F" w:rsidP="00220374">
      <w:pPr>
        <w:pStyle w:val="Heading2"/>
      </w:pPr>
      <w:bookmarkStart w:id="8" w:name="_Toc214016748"/>
      <w:r>
        <w:t>2</w:t>
      </w:r>
      <w:r w:rsidR="00220374">
        <w:t>.2 Common workflow shared across all comparisons</w:t>
      </w:r>
      <w:bookmarkEnd w:id="8"/>
    </w:p>
    <w:p w14:paraId="1F22B951" w14:textId="1D34551D" w:rsidR="00220374" w:rsidRDefault="00220374" w:rsidP="00220374">
      <w:pPr>
        <w:spacing w:line="360" w:lineRule="auto"/>
      </w:pPr>
      <w:r>
        <w:t>External products (</w:t>
      </w:r>
      <w:proofErr w:type="gramStart"/>
      <w:r w:rsidR="00A36B60">
        <w:t>raster’s</w:t>
      </w:r>
      <w:proofErr w:type="gramEnd"/>
      <w:r>
        <w:t xml:space="preserve"> or block polygons) were spatially aligned to the city segments v1 units. For raster sources, per-pixel values were clipped to segment boundaries and summarised at segment level; for block-type sources, block attributes were overlaid and aggregated to segments. All layers were harmonized to WGS84 for overlay and to EPSG:</w:t>
      </w:r>
      <w:r w:rsidR="00796EC8">
        <w:t xml:space="preserve">6933 (equal-area) for any area-weighted computations. Invalid/self-intersecting geometries were repaired using a buffer-based fix prior to overlay. Mutual-coverage </w:t>
      </w:r>
      <w:r w:rsidR="00796EC8">
        <w:lastRenderedPageBreak/>
        <w:t xml:space="preserve">masks were applied so that metrics are computed only where both the external dataset and the </w:t>
      </w:r>
      <w:r w:rsidR="008E1B29">
        <w:t>CSMD</w:t>
      </w:r>
      <w:r w:rsidR="00796EC8">
        <w:t xml:space="preserve"> labels have valid data (dataset-specific masking policies are detailed in each subsection).</w:t>
      </w:r>
    </w:p>
    <w:p w14:paraId="350BA03F" w14:textId="07813030" w:rsidR="00796EC8" w:rsidRDefault="00796EC8" w:rsidP="00220374">
      <w:pPr>
        <w:spacing w:line="360" w:lineRule="auto"/>
      </w:pPr>
      <w:r>
        <w:t>Only segments with valid overlap with the external dataset were retained. Country-level reporting required a minimum sample size; where applicable (e.g., SSI), countries with &lt; 250 intersecting segments were excluded from per-country summaries, while pooled statistics used the union of retained countries.</w:t>
      </w:r>
    </w:p>
    <w:p w14:paraId="7B2BBAA6" w14:textId="3A967BFC" w:rsidR="00796EC8" w:rsidRDefault="00796EC8" w:rsidP="00796EC8">
      <w:pPr>
        <w:spacing w:line="360" w:lineRule="auto"/>
      </w:pPr>
      <w:r>
        <w:t xml:space="preserve">Continuous or fractional indicators derived from external datasets were converted to binary segment labels using a proportion-threshold rule of the form ‘proportion ≥ τ’. Unless otherwise stated in the dataset-specific sections, thresholds were explored over τ </w:t>
      </w:r>
      <w:r w:rsidRPr="00796EC8">
        <w:rPr>
          <w:rFonts w:ascii="Cambria Math" w:hAnsi="Cambria Math" w:cs="Cambria Math"/>
        </w:rPr>
        <w:t>∈</w:t>
      </w:r>
      <w:r>
        <w:rPr>
          <w:rFonts w:ascii="Cambria Math" w:hAnsi="Cambria Math" w:cs="Cambria Math"/>
        </w:rPr>
        <w:t xml:space="preserve"> {0.1, 0.2, 0.3} </w:t>
      </w:r>
      <w:r>
        <w:t xml:space="preserve">to assess stability under inclusive (0.1), moderate (0.2), and conservative (0.3) cut-offs. Dataset-specific variants (e.g., MN block-level </w:t>
      </w:r>
      <w:r>
        <w:rPr>
          <w:i/>
          <w:iCs/>
        </w:rPr>
        <w:t xml:space="preserve">k </w:t>
      </w:r>
      <w:r>
        <w:t>thresholds and segment-level majority rules; WRI informality indicators; SSI mean vs element-based summaries) are defined in their respective sections.</w:t>
      </w:r>
    </w:p>
    <w:p w14:paraId="5A022ED5" w14:textId="76DDE6BB" w:rsidR="00796EC8" w:rsidRDefault="00796EC8" w:rsidP="00796EC8">
      <w:pPr>
        <w:spacing w:line="360" w:lineRule="auto"/>
      </w:pPr>
      <w:r>
        <w:t xml:space="preserve">For each country-dataset pair, </w:t>
      </w:r>
      <w:r w:rsidR="008E1B29">
        <w:t>CSMD</w:t>
      </w:r>
      <w:r>
        <w:t xml:space="preserve"> (reference) and external (comparison) binary labels were cross-tabulated at the segment level to obtain TP</w:t>
      </w:r>
      <w:r w:rsidR="00250E51">
        <w:t xml:space="preserve"> (True Positives)</w:t>
      </w:r>
      <w:r>
        <w:t>, FP</w:t>
      </w:r>
      <w:r w:rsidR="00250E51">
        <w:t xml:space="preserve"> (False Positives)</w:t>
      </w:r>
      <w:r>
        <w:t>, TN</w:t>
      </w:r>
      <w:r w:rsidR="00250E51">
        <w:t xml:space="preserve"> (True Negatives)</w:t>
      </w:r>
      <w:r>
        <w:t>, FN</w:t>
      </w:r>
      <w:r w:rsidR="00250E51">
        <w:t xml:space="preserve"> (False Negatives)</w:t>
      </w:r>
      <w:r>
        <w:t>. From these we report:</w:t>
      </w:r>
    </w:p>
    <w:p w14:paraId="7587DE97" w14:textId="209E6EA2" w:rsidR="00796EC8" w:rsidRDefault="00796EC8" w:rsidP="00796EC8">
      <w:pPr>
        <w:pStyle w:val="ListParagraph"/>
        <w:numPr>
          <w:ilvl w:val="0"/>
          <w:numId w:val="17"/>
        </w:numPr>
        <w:spacing w:line="360" w:lineRule="auto"/>
      </w:pPr>
      <w:r>
        <w:t>Precision = TP / (TP + FP)</w:t>
      </w:r>
    </w:p>
    <w:p w14:paraId="1DEA8DE6" w14:textId="6F16971F" w:rsidR="00796EC8" w:rsidRDefault="00796EC8" w:rsidP="00796EC8">
      <w:pPr>
        <w:pStyle w:val="ListParagraph"/>
        <w:numPr>
          <w:ilvl w:val="0"/>
          <w:numId w:val="17"/>
        </w:numPr>
        <w:spacing w:line="360" w:lineRule="auto"/>
      </w:pPr>
      <w:r>
        <w:t>Recall = TP / (TP + FN)</w:t>
      </w:r>
    </w:p>
    <w:p w14:paraId="1AE76D77" w14:textId="6572EDA9" w:rsidR="00796EC8" w:rsidRDefault="00796EC8" w:rsidP="00796EC8">
      <w:pPr>
        <w:pStyle w:val="ListParagraph"/>
        <w:numPr>
          <w:ilvl w:val="0"/>
          <w:numId w:val="17"/>
        </w:numPr>
        <w:spacing w:line="360" w:lineRule="auto"/>
      </w:pPr>
      <w:r>
        <w:t>F1 = harmonic mean of precision and recall</w:t>
      </w:r>
    </w:p>
    <w:p w14:paraId="7C4EA208" w14:textId="745E6D78" w:rsidR="00796EC8" w:rsidRDefault="00796EC8" w:rsidP="00796EC8">
      <w:pPr>
        <w:pStyle w:val="ListParagraph"/>
        <w:numPr>
          <w:ilvl w:val="0"/>
          <w:numId w:val="17"/>
        </w:numPr>
        <w:spacing w:line="360" w:lineRule="auto"/>
      </w:pPr>
      <w:r>
        <w:t>Balanced accuracy = average of recall for positives and recall for negatives</w:t>
      </w:r>
    </w:p>
    <w:p w14:paraId="5BCC64B7" w14:textId="3F909C3B" w:rsidR="00250E51" w:rsidRDefault="007C417F" w:rsidP="004B5693">
      <w:pPr>
        <w:pStyle w:val="Heading2"/>
      </w:pPr>
      <w:bookmarkStart w:id="9" w:name="_Toc214016749"/>
      <w:r>
        <w:t>2</w:t>
      </w:r>
      <w:r w:rsidR="004B5693">
        <w:t>.3 Slum Severity Index (SSI)</w:t>
      </w:r>
      <w:bookmarkEnd w:id="9"/>
    </w:p>
    <w:p w14:paraId="2D171CDC" w14:textId="39907CA1" w:rsidR="004B5693" w:rsidRDefault="007C417F" w:rsidP="004B5693">
      <w:pPr>
        <w:pStyle w:val="Heading3"/>
      </w:pPr>
      <w:bookmarkStart w:id="10" w:name="_Toc214016750"/>
      <w:r>
        <w:t>2</w:t>
      </w:r>
      <w:r w:rsidR="004B5693">
        <w:t>.3.1 Data and coverage</w:t>
      </w:r>
      <w:bookmarkEnd w:id="10"/>
    </w:p>
    <w:p w14:paraId="1D44075A" w14:textId="34EF1145" w:rsidR="004B5693" w:rsidRDefault="004B5693" w:rsidP="004B5693">
      <w:pPr>
        <w:spacing w:line="360" w:lineRule="auto"/>
        <w:rPr>
          <w:color w:val="000000"/>
        </w:rPr>
      </w:pPr>
      <w:r>
        <w:t xml:space="preserve">We used the Slum Severity Index (SSI) data </w:t>
      </w:r>
      <w:sdt>
        <w:sdtPr>
          <w:rPr>
            <w:color w:val="000000"/>
          </w:rPr>
          <w:tag w:val="MENDELEY_CITATION_v3_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"/>
          <w:id w:val="-1403135944"/>
          <w:placeholder>
            <w:docPart w:val="DefaultPlaceholder_-1854013440"/>
          </w:placeholder>
        </w:sdtPr>
        <w:sdtEndPr/>
        <w:sdtContent>
          <w:r w:rsidR="00A10281" w:rsidRPr="00A10281">
            <w:rPr>
              <w:color w:val="000000"/>
            </w:rPr>
            <w:t>(Li et al., 2025)</w:t>
          </w:r>
        </w:sdtContent>
      </w:sdt>
      <w:r>
        <w:rPr>
          <w:color w:val="000000"/>
        </w:rPr>
        <w:t xml:space="preserve"> which operationalizes the four UN-Habitat slum indicators; water, sanitation, housing durability, and living space adequacy (</w:t>
      </w:r>
      <w:proofErr w:type="spellStart"/>
      <w:r>
        <w:rPr>
          <w:color w:val="000000"/>
        </w:rPr>
        <w:t>SpaceDef</w:t>
      </w:r>
      <w:proofErr w:type="spellEnd"/>
      <w:r>
        <w:rPr>
          <w:color w:val="000000"/>
        </w:rPr>
        <w:t xml:space="preserve">) and a combined SSI index (0-4) at 100m resolution across sub-Saharan Africa (SSA). Source </w:t>
      </w:r>
      <w:proofErr w:type="gramStart"/>
      <w:r w:rsidR="00A36B60">
        <w:rPr>
          <w:color w:val="000000"/>
        </w:rPr>
        <w:t>raster’s</w:t>
      </w:r>
      <w:proofErr w:type="gramEnd"/>
      <w:r>
        <w:rPr>
          <w:color w:val="000000"/>
        </w:rPr>
        <w:t xml:space="preserve"> were accessed via Google Earth Engine / </w:t>
      </w:r>
      <w:proofErr w:type="spellStart"/>
      <w:r>
        <w:rPr>
          <w:color w:val="000000"/>
        </w:rPr>
        <w:t>Zenodo</w:t>
      </w:r>
      <w:proofErr w:type="spellEnd"/>
      <w:r>
        <w:rPr>
          <w:color w:val="000000"/>
        </w:rPr>
        <w:t xml:space="preserve"> and exported per country as 5-band </w:t>
      </w:r>
      <w:proofErr w:type="spellStart"/>
      <w:r>
        <w:rPr>
          <w:color w:val="000000"/>
        </w:rPr>
        <w:t>GeoTIFFs</w:t>
      </w:r>
      <w:proofErr w:type="spellEnd"/>
      <w:r>
        <w:rPr>
          <w:color w:val="000000"/>
        </w:rPr>
        <w:t xml:space="preserve"> (bands: water, sanitation, housing, </w:t>
      </w:r>
      <w:proofErr w:type="spellStart"/>
      <w:r>
        <w:rPr>
          <w:color w:val="000000"/>
        </w:rPr>
        <w:lastRenderedPageBreak/>
        <w:t>SpaceDef</w:t>
      </w:r>
      <w:proofErr w:type="spellEnd"/>
      <w:r>
        <w:rPr>
          <w:color w:val="000000"/>
        </w:rPr>
        <w:t xml:space="preserve">, combined SSI), organized into country folders aligned with our city </w:t>
      </w:r>
      <w:proofErr w:type="gramStart"/>
      <w:r>
        <w:rPr>
          <w:color w:val="000000"/>
        </w:rPr>
        <w:t>segments</w:t>
      </w:r>
      <w:proofErr w:type="gramEnd"/>
      <w:r>
        <w:rPr>
          <w:color w:val="000000"/>
        </w:rPr>
        <w:t xml:space="preserve"> structure. </w:t>
      </w:r>
    </w:p>
    <w:p w14:paraId="3533AEC8" w14:textId="552EC6DF" w:rsidR="004B5693" w:rsidRDefault="007C417F" w:rsidP="004B5693">
      <w:pPr>
        <w:pStyle w:val="Heading3"/>
      </w:pPr>
      <w:bookmarkStart w:id="11" w:name="_Toc214016751"/>
      <w:r>
        <w:t>2</w:t>
      </w:r>
      <w:r w:rsidR="004B5693">
        <w:t>.3.2 Method</w:t>
      </w:r>
      <w:bookmarkEnd w:id="11"/>
    </w:p>
    <w:p w14:paraId="6B7C7223" w14:textId="71EA6EE1" w:rsidR="004B5693" w:rsidRDefault="004B5693" w:rsidP="004B5693">
      <w:pPr>
        <w:spacing w:line="360" w:lineRule="auto"/>
      </w:pPr>
      <w:r>
        <w:t xml:space="preserve">SSI country </w:t>
      </w:r>
      <w:r w:rsidR="00A36B60">
        <w:t>raster’s</w:t>
      </w:r>
      <w:r>
        <w:t xml:space="preserve"> (5 bands: water, sanitation, housing, </w:t>
      </w:r>
      <w:proofErr w:type="spellStart"/>
      <w:r>
        <w:t>SpaceDef</w:t>
      </w:r>
      <w:proofErr w:type="spellEnd"/>
      <w:r>
        <w:t xml:space="preserve">, combined SSI; 100m) were exported and stacked per country, then clipped to the union of the city segments. We applied a signal-policy mask: retain a segment only if it contains ≥ 1 valid SSI pixel (to avoid treating no-coverage as non-deprived). All layers were harmonized in WGS84; invalid geometries were repaired prior to overlay. Countries </w:t>
      </w:r>
      <w:r w:rsidR="004D78E1">
        <w:t>with &lt; 250 retained segments were excluded from country-level reporting. For each retained segment we computed:</w:t>
      </w:r>
    </w:p>
    <w:p w14:paraId="2AB69C09" w14:textId="1F3D233D" w:rsidR="004D78E1" w:rsidRDefault="004D78E1" w:rsidP="004D78E1">
      <w:pPr>
        <w:pStyle w:val="ListParagraph"/>
        <w:numPr>
          <w:ilvl w:val="0"/>
          <w:numId w:val="18"/>
        </w:numPr>
        <w:spacing w:line="360" w:lineRule="auto"/>
      </w:pPr>
      <w:proofErr w:type="spellStart"/>
      <w:r>
        <w:t>p_any</w:t>
      </w:r>
      <w:proofErr w:type="spellEnd"/>
      <w:r>
        <w:t>: share of valid pixels with SSI ≥ 1 (any deprivation present)</w:t>
      </w:r>
    </w:p>
    <w:p w14:paraId="78B8BF28" w14:textId="4F609332" w:rsidR="004D78E1" w:rsidRDefault="004D78E1" w:rsidP="004D78E1">
      <w:pPr>
        <w:pStyle w:val="ListParagraph"/>
        <w:numPr>
          <w:ilvl w:val="0"/>
          <w:numId w:val="18"/>
        </w:numPr>
        <w:spacing w:line="360" w:lineRule="auto"/>
      </w:pPr>
      <w:proofErr w:type="spellStart"/>
      <w:r>
        <w:t>m_ssi</w:t>
      </w:r>
      <w:proofErr w:type="spellEnd"/>
      <w:r>
        <w:t>: mean SSI (0-4)</w:t>
      </w:r>
    </w:p>
    <w:p w14:paraId="465672F2" w14:textId="3CAA6A6F" w:rsidR="004D78E1" w:rsidRDefault="004D78E1" w:rsidP="004D78E1">
      <w:pPr>
        <w:pStyle w:val="ListParagraph"/>
        <w:numPr>
          <w:ilvl w:val="0"/>
          <w:numId w:val="18"/>
        </w:numPr>
        <w:spacing w:line="360" w:lineRule="auto"/>
      </w:pPr>
      <w:proofErr w:type="spellStart"/>
      <w:r>
        <w:t>p_space</w:t>
      </w:r>
      <w:proofErr w:type="spellEnd"/>
      <w:r>
        <w:t xml:space="preserve">: share of valid pixels with </w:t>
      </w:r>
      <w:proofErr w:type="spellStart"/>
      <w:r>
        <w:t>SpaceDef</w:t>
      </w:r>
      <w:proofErr w:type="spellEnd"/>
      <w:r>
        <w:t xml:space="preserve"> &gt; 0</w:t>
      </w:r>
    </w:p>
    <w:p w14:paraId="5A27069F" w14:textId="4A9D2ABF" w:rsidR="004D78E1" w:rsidRDefault="004D78E1" w:rsidP="004D78E1">
      <w:pPr>
        <w:pStyle w:val="ListParagraph"/>
        <w:numPr>
          <w:ilvl w:val="0"/>
          <w:numId w:val="18"/>
        </w:numPr>
        <w:spacing w:line="360" w:lineRule="auto"/>
      </w:pPr>
      <w:proofErr w:type="spellStart"/>
      <w:r>
        <w:t>valid_px</w:t>
      </w:r>
      <w:proofErr w:type="spellEnd"/>
      <w:r>
        <w:t>: count of valid SSI pixels used for quality control</w:t>
      </w:r>
    </w:p>
    <w:p w14:paraId="133420E0" w14:textId="2333B39B" w:rsidR="004D78E1" w:rsidRDefault="004D78E1" w:rsidP="004D78E1">
      <w:pPr>
        <w:spacing w:line="360" w:lineRule="auto"/>
        <w:rPr>
          <w:rFonts w:ascii="Cambria Math" w:hAnsi="Cambria Math" w:cs="Cambria Math"/>
        </w:rPr>
      </w:pPr>
      <w:r>
        <w:t xml:space="preserve">Each summary was converted to a binary SSI derived label using τ </w:t>
      </w:r>
      <w:r w:rsidRPr="00796EC8">
        <w:rPr>
          <w:rFonts w:ascii="Cambria Math" w:hAnsi="Cambria Math" w:cs="Cambria Math"/>
        </w:rPr>
        <w:t>∈</w:t>
      </w:r>
      <w:r>
        <w:rPr>
          <w:rFonts w:ascii="Cambria Math" w:hAnsi="Cambria Math" w:cs="Cambria Math"/>
        </w:rPr>
        <w:t xml:space="preserve"> {0.1, 0.2, 0.3}:</w:t>
      </w:r>
    </w:p>
    <w:p w14:paraId="3E25CA75" w14:textId="03C53A98" w:rsidR="004D78E1" w:rsidRDefault="004D78E1" w:rsidP="004D78E1">
      <w:pPr>
        <w:pStyle w:val="ListParagraph"/>
        <w:numPr>
          <w:ilvl w:val="0"/>
          <w:numId w:val="19"/>
        </w:numPr>
        <w:spacing w:line="360" w:lineRule="auto"/>
      </w:pPr>
      <w:r>
        <w:t xml:space="preserve">Any-pixel rule: segment is positive if </w:t>
      </w:r>
      <w:proofErr w:type="spellStart"/>
      <w:r>
        <w:t>p_any</w:t>
      </w:r>
      <w:proofErr w:type="spellEnd"/>
      <w:r>
        <w:t xml:space="preserve"> ≥ τ</w:t>
      </w:r>
    </w:p>
    <w:p w14:paraId="15573D5F" w14:textId="22BADCDB" w:rsidR="004D78E1" w:rsidRDefault="004D78E1" w:rsidP="004D78E1">
      <w:pPr>
        <w:pStyle w:val="ListParagraph"/>
        <w:numPr>
          <w:ilvl w:val="0"/>
          <w:numId w:val="19"/>
        </w:numPr>
        <w:spacing w:line="360" w:lineRule="auto"/>
      </w:pPr>
      <w:r>
        <w:t xml:space="preserve">Mean-SSI rule: segment is positive if </w:t>
      </w:r>
      <w:proofErr w:type="spellStart"/>
      <w:r>
        <w:t>m_ssi</w:t>
      </w:r>
      <w:proofErr w:type="spellEnd"/>
      <w:r>
        <w:t xml:space="preserve"> ≥ τ</w:t>
      </w:r>
    </w:p>
    <w:p w14:paraId="1AEB0743" w14:textId="67723554" w:rsidR="004D78E1" w:rsidRDefault="004D78E1" w:rsidP="004D78E1">
      <w:pPr>
        <w:pStyle w:val="ListParagraph"/>
        <w:numPr>
          <w:ilvl w:val="0"/>
          <w:numId w:val="19"/>
        </w:numPr>
        <w:spacing w:line="360" w:lineRule="auto"/>
      </w:pPr>
      <w:proofErr w:type="spellStart"/>
      <w:r>
        <w:t>SpaceDef</w:t>
      </w:r>
      <w:proofErr w:type="spellEnd"/>
      <w:r>
        <w:t xml:space="preserve">-only rule: segment is positive if </w:t>
      </w:r>
      <w:proofErr w:type="spellStart"/>
      <w:r>
        <w:t>p_space</w:t>
      </w:r>
      <w:proofErr w:type="spellEnd"/>
      <w:r>
        <w:t xml:space="preserve"> ≥ τ</w:t>
      </w:r>
    </w:p>
    <w:p w14:paraId="50EF88C5" w14:textId="4F1EA8E5" w:rsidR="004D78E1" w:rsidRDefault="004D78E1" w:rsidP="004D78E1">
      <w:pPr>
        <w:spacing w:line="360" w:lineRule="auto"/>
      </w:pPr>
      <w:r>
        <w:t xml:space="preserve">Thresholds were evaluated separately for each rule. SSI-derived binary labels were spatially aligned to </w:t>
      </w:r>
      <w:r w:rsidR="008E1B29">
        <w:t>CSMD</w:t>
      </w:r>
      <w:r>
        <w:t xml:space="preserve"> segment labels. For each country x rule x τ, we computed the metrics defined in section 3.2.</w:t>
      </w:r>
    </w:p>
    <w:p w14:paraId="31FB7606" w14:textId="7C1B70F4" w:rsidR="004D78E1" w:rsidRDefault="007C417F" w:rsidP="00E613D0">
      <w:pPr>
        <w:pStyle w:val="Heading3"/>
      </w:pPr>
      <w:bookmarkStart w:id="12" w:name="_Toc214016752"/>
      <w:r>
        <w:t>2</w:t>
      </w:r>
      <w:r w:rsidR="00BF59E0">
        <w:t>.3.3 Results</w:t>
      </w:r>
      <w:bookmarkEnd w:id="12"/>
    </w:p>
    <w:p w14:paraId="2AA48938" w14:textId="49A471FB" w:rsidR="00BF59E0" w:rsidRDefault="0091724B" w:rsidP="00BF59E0">
      <w:pPr>
        <w:spacing w:line="360" w:lineRule="auto"/>
      </w:pPr>
      <w:r>
        <w:t xml:space="preserve">Figure </w:t>
      </w:r>
      <w:r w:rsidR="00500C53">
        <w:t>6</w:t>
      </w:r>
      <w:r>
        <w:t xml:space="preserve"> shows the country-level distributions of precision, recall, and F1 for the three SSI-derived labelling rules; Mean-SSI, </w:t>
      </w:r>
      <w:proofErr w:type="spellStart"/>
      <w:r>
        <w:t>SpaceDef</w:t>
      </w:r>
      <w:proofErr w:type="spellEnd"/>
      <w:r>
        <w:t xml:space="preserve">, and Any-pixel, evaluated at three thresholds. Results are highly consistent across thresholds, indicating that the comparative alignment is stable to changes in τ. Median recall remains high for all rules (~0.94-0.96 for Mean-SSI and Any-pixel, ~0.86-0.88 for </w:t>
      </w:r>
      <w:proofErr w:type="spellStart"/>
      <w:r>
        <w:t>SpaceDef</w:t>
      </w:r>
      <w:proofErr w:type="spellEnd"/>
      <w:r>
        <w:t>), while precision and F1 differ more noticeably.</w:t>
      </w:r>
    </w:p>
    <w:p w14:paraId="2E54B872" w14:textId="6DB1598E" w:rsidR="0091724B" w:rsidRPr="00BF59E0" w:rsidRDefault="0091724B" w:rsidP="00BF59E0">
      <w:pPr>
        <w:spacing w:line="360" w:lineRule="auto"/>
      </w:pPr>
      <w:r>
        <w:lastRenderedPageBreak/>
        <w:t xml:space="preserve">The </w:t>
      </w:r>
      <w:proofErr w:type="spellStart"/>
      <w:r>
        <w:t>SpaceDef</w:t>
      </w:r>
      <w:proofErr w:type="spellEnd"/>
      <w:r>
        <w:t xml:space="preserve"> rule achieves higher precision (0.</w:t>
      </w:r>
      <w:r w:rsidR="00500C53">
        <w:t>59</w:t>
      </w:r>
      <w:r>
        <w:t>-0.</w:t>
      </w:r>
      <w:r w:rsidR="00500C53">
        <w:t>61</w:t>
      </w:r>
      <w:r>
        <w:t>) and F1 (0.</w:t>
      </w:r>
      <w:r w:rsidR="00500C53">
        <w:t>66</w:t>
      </w:r>
      <w:r>
        <w:t>-0.6</w:t>
      </w:r>
      <w:r w:rsidR="00500C53">
        <w:t>8</w:t>
      </w:r>
      <w:r>
        <w:t>) than either Mean-SSI or Any-pixel (precision = 0.3</w:t>
      </w:r>
      <w:r w:rsidR="00500C53">
        <w:t>7</w:t>
      </w:r>
      <w:r>
        <w:t>-0.3</w:t>
      </w:r>
      <w:r w:rsidR="00500C53">
        <w:t>9</w:t>
      </w:r>
      <w:r>
        <w:t>; F1 = 0.</w:t>
      </w:r>
      <w:r w:rsidR="00500C53">
        <w:t>53</w:t>
      </w:r>
      <w:r>
        <w:t>-0.5</w:t>
      </w:r>
      <w:r w:rsidR="00500C53">
        <w:t>5</w:t>
      </w:r>
      <w:r>
        <w:t xml:space="preserve">). The stronger alignment arises because both the </w:t>
      </w:r>
      <w:r w:rsidR="008E1B29">
        <w:t>CSMD</w:t>
      </w:r>
      <w:r>
        <w:t xml:space="preserve"> model and </w:t>
      </w:r>
      <w:proofErr w:type="spellStart"/>
      <w:r>
        <w:t>SpaceDef</w:t>
      </w:r>
      <w:proofErr w:type="spellEnd"/>
      <w:r>
        <w:t xml:space="preserve"> dimension emphasize morphological compactness and density patterns, whereas Mean-SSI or Any-pixel incorporate broader service-related deprivations (e.g., water, sanitation), which extend beyond the spatial </w:t>
      </w:r>
      <w:r w:rsidR="00D936D8">
        <w:t xml:space="preserve">characteristics captured by the </w:t>
      </w:r>
      <w:r w:rsidR="008E1B29">
        <w:t>CSMD</w:t>
      </w:r>
      <w:r w:rsidR="00D936D8">
        <w:t xml:space="preserve"> framework.</w:t>
      </w:r>
    </w:p>
    <w:p w14:paraId="755B0D62" w14:textId="77777777" w:rsidR="00BF59E0" w:rsidRDefault="00BF59E0" w:rsidP="00BF59E0">
      <w:pPr>
        <w:keepNext/>
      </w:pPr>
      <w:r w:rsidRPr="00BF59E0">
        <w:rPr>
          <w:noProof/>
        </w:rPr>
        <w:drawing>
          <wp:inline distT="0" distB="0" distL="0" distR="0" wp14:anchorId="134A4DDE" wp14:editId="73744DE1">
            <wp:extent cx="5731352" cy="4442460"/>
            <wp:effectExtent l="0" t="0" r="3175" b="0"/>
            <wp:docPr id="50363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35354"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352" cy="4442460"/>
                    </a:xfrm>
                    <a:prstGeom prst="rect">
                      <a:avLst/>
                    </a:prstGeom>
                  </pic:spPr>
                </pic:pic>
              </a:graphicData>
            </a:graphic>
          </wp:inline>
        </w:drawing>
      </w:r>
    </w:p>
    <w:p w14:paraId="4A81197C" w14:textId="02B82796" w:rsidR="00BF59E0" w:rsidRDefault="00BF59E0" w:rsidP="00BF59E0">
      <w:pPr>
        <w:pStyle w:val="Caption"/>
      </w:pPr>
      <w:r>
        <w:t xml:space="preserve">Figure </w:t>
      </w:r>
      <w:fldSimple w:instr=" SEQ Figure \* ARABIC ">
        <w:r w:rsidR="00500C53">
          <w:rPr>
            <w:noProof/>
          </w:rPr>
          <w:t>6</w:t>
        </w:r>
      </w:fldSimple>
      <w:r>
        <w:t>:</w:t>
      </w:r>
      <w:r w:rsidR="0091724B">
        <w:t xml:space="preserve"> Country-level alignment of SSI with </w:t>
      </w:r>
      <w:r w:rsidR="008E1B29">
        <w:t>CSMD</w:t>
      </w:r>
      <w:r w:rsidR="0091724B">
        <w:t xml:space="preserve"> under three rules (rows) and thresholds (columns). Boxes show interquartile ranges with medians annotated; dots represent per-country values. </w:t>
      </w:r>
    </w:p>
    <w:p w14:paraId="392469D6" w14:textId="77777777" w:rsidR="00BD66F6" w:rsidRDefault="00BD66F6" w:rsidP="00BD66F6"/>
    <w:p w14:paraId="509B3310" w14:textId="5E962473" w:rsidR="0091724B" w:rsidRDefault="0091724B" w:rsidP="0091724B">
      <w:pPr>
        <w:pStyle w:val="Caption"/>
        <w:keepNext/>
      </w:pPr>
      <w:r>
        <w:t xml:space="preserve">Table </w:t>
      </w:r>
      <w:fldSimple w:instr=" SEQ Table \* ARABIC ">
        <w:r w:rsidR="00500C53">
          <w:rPr>
            <w:noProof/>
          </w:rPr>
          <w:t>2</w:t>
        </w:r>
      </w:fldSimple>
      <w:r>
        <w:t xml:space="preserve">: All (n= 33) segment and population coverage of SSI rules compared with </w:t>
      </w:r>
      <w:r w:rsidR="008E1B29">
        <w:t>CSMD</w:t>
      </w:r>
    </w:p>
    <w:tbl>
      <w:tblPr>
        <w:tblStyle w:val="TableGrid"/>
        <w:tblW w:w="0" w:type="auto"/>
        <w:tblLayout w:type="fixed"/>
        <w:tblLook w:val="04A0" w:firstRow="1" w:lastRow="0" w:firstColumn="1" w:lastColumn="0" w:noHBand="0" w:noVBand="1"/>
      </w:tblPr>
      <w:tblGrid>
        <w:gridCol w:w="609"/>
        <w:gridCol w:w="617"/>
        <w:gridCol w:w="818"/>
        <w:gridCol w:w="916"/>
        <w:gridCol w:w="863"/>
        <w:gridCol w:w="862"/>
        <w:gridCol w:w="1043"/>
        <w:gridCol w:w="1119"/>
        <w:gridCol w:w="1046"/>
        <w:gridCol w:w="1123"/>
      </w:tblGrid>
      <w:tr w:rsidR="00BD66F6" w:rsidRPr="00BD66F6" w14:paraId="320BADE3" w14:textId="77777777" w:rsidTr="0091724B">
        <w:trPr>
          <w:trHeight w:val="576"/>
        </w:trPr>
        <w:tc>
          <w:tcPr>
            <w:tcW w:w="609" w:type="dxa"/>
            <w:noWrap/>
            <w:hideMark/>
          </w:tcPr>
          <w:p w14:paraId="734F4C83" w14:textId="77777777" w:rsidR="00BD66F6" w:rsidRPr="00BD66F6" w:rsidRDefault="00BD66F6" w:rsidP="00BD66F6">
            <w:pPr>
              <w:rPr>
                <w:sz w:val="18"/>
                <w:szCs w:val="18"/>
              </w:rPr>
            </w:pPr>
            <w:r w:rsidRPr="00BD66F6">
              <w:rPr>
                <w:sz w:val="18"/>
                <w:szCs w:val="18"/>
              </w:rPr>
              <w:t>Rule</w:t>
            </w:r>
          </w:p>
        </w:tc>
        <w:tc>
          <w:tcPr>
            <w:tcW w:w="617" w:type="dxa"/>
            <w:hideMark/>
          </w:tcPr>
          <w:p w14:paraId="4437382C" w14:textId="77777777" w:rsidR="00BD66F6" w:rsidRPr="00BD66F6" w:rsidRDefault="00BD66F6">
            <w:pPr>
              <w:rPr>
                <w:sz w:val="18"/>
                <w:szCs w:val="18"/>
              </w:rPr>
            </w:pPr>
            <w:r w:rsidRPr="00BD66F6">
              <w:rPr>
                <w:sz w:val="18"/>
                <w:szCs w:val="18"/>
              </w:rPr>
              <w:t>Threshold</w:t>
            </w:r>
          </w:p>
        </w:tc>
        <w:tc>
          <w:tcPr>
            <w:tcW w:w="818" w:type="dxa"/>
            <w:hideMark/>
          </w:tcPr>
          <w:p w14:paraId="1572D01F" w14:textId="3C4C782F" w:rsidR="00BD66F6" w:rsidRPr="00BD66F6" w:rsidRDefault="00BD66F6">
            <w:pPr>
              <w:rPr>
                <w:sz w:val="18"/>
                <w:szCs w:val="18"/>
              </w:rPr>
            </w:pPr>
            <w:proofErr w:type="spellStart"/>
            <w:r w:rsidRPr="00BD66F6">
              <w:rPr>
                <w:sz w:val="18"/>
                <w:szCs w:val="18"/>
              </w:rPr>
              <w:t>Total</w:t>
            </w:r>
            <w:r w:rsidR="00C73D5A">
              <w:rPr>
                <w:sz w:val="18"/>
                <w:szCs w:val="18"/>
              </w:rPr>
              <w:t>_</w:t>
            </w:r>
            <w:r w:rsidRPr="00BD66F6">
              <w:rPr>
                <w:sz w:val="18"/>
                <w:szCs w:val="18"/>
              </w:rPr>
              <w:t>Segments</w:t>
            </w:r>
            <w:proofErr w:type="spellEnd"/>
          </w:p>
        </w:tc>
        <w:tc>
          <w:tcPr>
            <w:tcW w:w="916" w:type="dxa"/>
            <w:hideMark/>
          </w:tcPr>
          <w:p w14:paraId="70A6EA75" w14:textId="77777777" w:rsidR="00BD66F6" w:rsidRPr="00BD66F6" w:rsidRDefault="00BD66F6">
            <w:pPr>
              <w:rPr>
                <w:sz w:val="18"/>
                <w:szCs w:val="18"/>
              </w:rPr>
            </w:pPr>
            <w:proofErr w:type="spellStart"/>
            <w:r w:rsidRPr="00BD66F6">
              <w:rPr>
                <w:sz w:val="18"/>
                <w:szCs w:val="18"/>
              </w:rPr>
              <w:t>RF_Deprived_Seg</w:t>
            </w:r>
            <w:proofErr w:type="spellEnd"/>
          </w:p>
        </w:tc>
        <w:tc>
          <w:tcPr>
            <w:tcW w:w="863" w:type="dxa"/>
            <w:hideMark/>
          </w:tcPr>
          <w:p w14:paraId="4E7D895B" w14:textId="77777777" w:rsidR="00BD66F6" w:rsidRPr="00BD66F6" w:rsidRDefault="00BD66F6">
            <w:pPr>
              <w:rPr>
                <w:sz w:val="18"/>
                <w:szCs w:val="18"/>
              </w:rPr>
            </w:pPr>
            <w:proofErr w:type="spellStart"/>
            <w:r w:rsidRPr="00BD66F6">
              <w:rPr>
                <w:sz w:val="18"/>
                <w:szCs w:val="18"/>
              </w:rPr>
              <w:t>Rule_Deprived_Seg</w:t>
            </w:r>
            <w:proofErr w:type="spellEnd"/>
          </w:p>
        </w:tc>
        <w:tc>
          <w:tcPr>
            <w:tcW w:w="862" w:type="dxa"/>
            <w:hideMark/>
          </w:tcPr>
          <w:p w14:paraId="410B55D4" w14:textId="77777777" w:rsidR="00BD66F6" w:rsidRPr="00BD66F6" w:rsidRDefault="00BD66F6">
            <w:pPr>
              <w:rPr>
                <w:sz w:val="18"/>
                <w:szCs w:val="18"/>
              </w:rPr>
            </w:pPr>
            <w:proofErr w:type="spellStart"/>
            <w:r w:rsidRPr="00BD66F6">
              <w:rPr>
                <w:sz w:val="18"/>
                <w:szCs w:val="18"/>
              </w:rPr>
              <w:t>Total_Pop_M</w:t>
            </w:r>
            <w:proofErr w:type="spellEnd"/>
          </w:p>
        </w:tc>
        <w:tc>
          <w:tcPr>
            <w:tcW w:w="1043" w:type="dxa"/>
            <w:hideMark/>
          </w:tcPr>
          <w:p w14:paraId="6AE883D3" w14:textId="77777777" w:rsidR="00BD66F6" w:rsidRPr="00BD66F6" w:rsidRDefault="00BD66F6">
            <w:pPr>
              <w:rPr>
                <w:sz w:val="18"/>
                <w:szCs w:val="18"/>
              </w:rPr>
            </w:pPr>
            <w:proofErr w:type="spellStart"/>
            <w:r w:rsidRPr="00BD66F6">
              <w:rPr>
                <w:sz w:val="18"/>
                <w:szCs w:val="18"/>
              </w:rPr>
              <w:t>RF_Deprived_Pop_M</w:t>
            </w:r>
            <w:proofErr w:type="spellEnd"/>
          </w:p>
        </w:tc>
        <w:tc>
          <w:tcPr>
            <w:tcW w:w="1119" w:type="dxa"/>
            <w:hideMark/>
          </w:tcPr>
          <w:p w14:paraId="75161F60" w14:textId="77777777" w:rsidR="00BD66F6" w:rsidRPr="00BD66F6" w:rsidRDefault="00BD66F6">
            <w:pPr>
              <w:rPr>
                <w:sz w:val="18"/>
                <w:szCs w:val="18"/>
              </w:rPr>
            </w:pPr>
            <w:proofErr w:type="spellStart"/>
            <w:r w:rsidRPr="00BD66F6">
              <w:rPr>
                <w:sz w:val="18"/>
                <w:szCs w:val="18"/>
              </w:rPr>
              <w:t>Rule_Deprived_Pop_M</w:t>
            </w:r>
            <w:proofErr w:type="spellEnd"/>
          </w:p>
        </w:tc>
        <w:tc>
          <w:tcPr>
            <w:tcW w:w="1046" w:type="dxa"/>
            <w:hideMark/>
          </w:tcPr>
          <w:p w14:paraId="6CBE8B1A" w14:textId="77777777" w:rsidR="00BD66F6" w:rsidRPr="00BD66F6" w:rsidRDefault="00BD66F6">
            <w:pPr>
              <w:rPr>
                <w:sz w:val="18"/>
                <w:szCs w:val="18"/>
              </w:rPr>
            </w:pPr>
            <w:proofErr w:type="spellStart"/>
            <w:r w:rsidRPr="00BD66F6">
              <w:rPr>
                <w:sz w:val="18"/>
                <w:szCs w:val="18"/>
              </w:rPr>
              <w:t>RF_Deprived_Pop</w:t>
            </w:r>
            <w:proofErr w:type="spellEnd"/>
            <w:r w:rsidRPr="00BD66F6">
              <w:rPr>
                <w:sz w:val="18"/>
                <w:szCs w:val="18"/>
              </w:rPr>
              <w:t>_%</w:t>
            </w:r>
          </w:p>
        </w:tc>
        <w:tc>
          <w:tcPr>
            <w:tcW w:w="1123" w:type="dxa"/>
            <w:hideMark/>
          </w:tcPr>
          <w:p w14:paraId="64EB4D91" w14:textId="77777777" w:rsidR="00BD66F6" w:rsidRPr="00BD66F6" w:rsidRDefault="00BD66F6">
            <w:pPr>
              <w:rPr>
                <w:sz w:val="18"/>
                <w:szCs w:val="18"/>
              </w:rPr>
            </w:pPr>
            <w:proofErr w:type="spellStart"/>
            <w:r w:rsidRPr="00BD66F6">
              <w:rPr>
                <w:sz w:val="18"/>
                <w:szCs w:val="18"/>
              </w:rPr>
              <w:t>Rule_Deprived_Pop</w:t>
            </w:r>
            <w:proofErr w:type="spellEnd"/>
            <w:r w:rsidRPr="00BD66F6">
              <w:rPr>
                <w:sz w:val="18"/>
                <w:szCs w:val="18"/>
              </w:rPr>
              <w:t>_%</w:t>
            </w:r>
          </w:p>
        </w:tc>
      </w:tr>
      <w:tr w:rsidR="00500C53" w:rsidRPr="00BD66F6" w14:paraId="1181CC3C" w14:textId="77777777" w:rsidTr="00994DEC">
        <w:trPr>
          <w:trHeight w:val="288"/>
        </w:trPr>
        <w:tc>
          <w:tcPr>
            <w:tcW w:w="609" w:type="dxa"/>
            <w:vMerge w:val="restart"/>
            <w:noWrap/>
            <w:hideMark/>
          </w:tcPr>
          <w:p w14:paraId="051A9AC3" w14:textId="75EC849D" w:rsidR="00500C53" w:rsidRPr="00BD66F6" w:rsidRDefault="00500C53" w:rsidP="00500C53">
            <w:pPr>
              <w:rPr>
                <w:sz w:val="18"/>
                <w:szCs w:val="18"/>
              </w:rPr>
            </w:pPr>
            <w:r w:rsidRPr="00BD66F6">
              <w:rPr>
                <w:sz w:val="18"/>
                <w:szCs w:val="18"/>
              </w:rPr>
              <w:t>Mean-SSI</w:t>
            </w:r>
          </w:p>
        </w:tc>
        <w:tc>
          <w:tcPr>
            <w:tcW w:w="617" w:type="dxa"/>
            <w:noWrap/>
            <w:hideMark/>
          </w:tcPr>
          <w:p w14:paraId="68AFCE47" w14:textId="107068CF" w:rsidR="00500C53" w:rsidRPr="00BD66F6" w:rsidRDefault="00500C53" w:rsidP="00500C53">
            <w:pPr>
              <w:rPr>
                <w:sz w:val="18"/>
                <w:szCs w:val="18"/>
              </w:rPr>
            </w:pPr>
            <w:r w:rsidRPr="00BD66F6">
              <w:rPr>
                <w:sz w:val="18"/>
                <w:szCs w:val="18"/>
              </w:rPr>
              <w:t>0.1</w:t>
            </w:r>
          </w:p>
        </w:tc>
        <w:tc>
          <w:tcPr>
            <w:tcW w:w="818" w:type="dxa"/>
            <w:noWrap/>
            <w:vAlign w:val="bottom"/>
            <w:hideMark/>
          </w:tcPr>
          <w:p w14:paraId="3B8976C6" w14:textId="05FE7DBE"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hideMark/>
          </w:tcPr>
          <w:p w14:paraId="239E62DF" w14:textId="6E297304"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hideMark/>
          </w:tcPr>
          <w:p w14:paraId="0E43CFCB" w14:textId="582AEB31" w:rsidR="00500C53" w:rsidRPr="00500C53" w:rsidRDefault="00500C53" w:rsidP="00500C53">
            <w:pPr>
              <w:rPr>
                <w:sz w:val="18"/>
                <w:szCs w:val="18"/>
              </w:rPr>
            </w:pPr>
            <w:r w:rsidRPr="00500C53">
              <w:rPr>
                <w:rFonts w:ascii="Aptos Narrow" w:hAnsi="Aptos Narrow"/>
                <w:color w:val="000000"/>
                <w:sz w:val="18"/>
                <w:szCs w:val="18"/>
              </w:rPr>
              <w:t>252245</w:t>
            </w:r>
          </w:p>
        </w:tc>
        <w:tc>
          <w:tcPr>
            <w:tcW w:w="862" w:type="dxa"/>
            <w:noWrap/>
            <w:vAlign w:val="bottom"/>
            <w:hideMark/>
          </w:tcPr>
          <w:p w14:paraId="5A875CDC" w14:textId="31B8B54F"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hideMark/>
          </w:tcPr>
          <w:p w14:paraId="16025404" w14:textId="0CBE9C64"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hideMark/>
          </w:tcPr>
          <w:p w14:paraId="725DED19" w14:textId="30FE58F1" w:rsidR="00500C53" w:rsidRPr="00500C53" w:rsidRDefault="00500C53" w:rsidP="00500C53">
            <w:pPr>
              <w:rPr>
                <w:sz w:val="18"/>
                <w:szCs w:val="18"/>
              </w:rPr>
            </w:pPr>
            <w:r w:rsidRPr="00500C53">
              <w:rPr>
                <w:rFonts w:ascii="Aptos Narrow" w:hAnsi="Aptos Narrow"/>
                <w:color w:val="000000"/>
                <w:sz w:val="18"/>
                <w:szCs w:val="18"/>
              </w:rPr>
              <w:t>342.74</w:t>
            </w:r>
          </w:p>
        </w:tc>
        <w:tc>
          <w:tcPr>
            <w:tcW w:w="1046" w:type="dxa"/>
            <w:noWrap/>
            <w:vAlign w:val="bottom"/>
            <w:hideMark/>
          </w:tcPr>
          <w:p w14:paraId="185DDB82" w14:textId="25C0A202"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hideMark/>
          </w:tcPr>
          <w:p w14:paraId="63BAD4C7" w14:textId="1A2ED5E4" w:rsidR="00500C53" w:rsidRPr="00500C53" w:rsidRDefault="00500C53" w:rsidP="00500C53">
            <w:pPr>
              <w:rPr>
                <w:sz w:val="18"/>
                <w:szCs w:val="18"/>
              </w:rPr>
            </w:pPr>
            <w:r w:rsidRPr="00500C53">
              <w:rPr>
                <w:rFonts w:ascii="Aptos Narrow" w:hAnsi="Aptos Narrow"/>
                <w:color w:val="000000"/>
                <w:sz w:val="18"/>
                <w:szCs w:val="18"/>
              </w:rPr>
              <w:t>77.62</w:t>
            </w:r>
          </w:p>
        </w:tc>
      </w:tr>
      <w:tr w:rsidR="00500C53" w:rsidRPr="00BD66F6" w14:paraId="6392F8E7" w14:textId="77777777" w:rsidTr="00994DEC">
        <w:trPr>
          <w:trHeight w:val="288"/>
        </w:trPr>
        <w:tc>
          <w:tcPr>
            <w:tcW w:w="609" w:type="dxa"/>
            <w:vMerge/>
            <w:noWrap/>
            <w:hideMark/>
          </w:tcPr>
          <w:p w14:paraId="3B84C987" w14:textId="61C7EC92" w:rsidR="00500C53" w:rsidRPr="00BD66F6" w:rsidRDefault="00500C53" w:rsidP="00500C53">
            <w:pPr>
              <w:rPr>
                <w:sz w:val="18"/>
                <w:szCs w:val="18"/>
              </w:rPr>
            </w:pPr>
          </w:p>
        </w:tc>
        <w:tc>
          <w:tcPr>
            <w:tcW w:w="617" w:type="dxa"/>
            <w:noWrap/>
            <w:hideMark/>
          </w:tcPr>
          <w:p w14:paraId="70340E91" w14:textId="5A16D48A" w:rsidR="00500C53" w:rsidRPr="00BD66F6" w:rsidRDefault="00500C53" w:rsidP="00500C53">
            <w:pPr>
              <w:rPr>
                <w:sz w:val="18"/>
                <w:szCs w:val="18"/>
              </w:rPr>
            </w:pPr>
            <w:r w:rsidRPr="00BD66F6">
              <w:rPr>
                <w:sz w:val="18"/>
                <w:szCs w:val="18"/>
              </w:rPr>
              <w:t>0.2</w:t>
            </w:r>
          </w:p>
        </w:tc>
        <w:tc>
          <w:tcPr>
            <w:tcW w:w="818" w:type="dxa"/>
            <w:noWrap/>
            <w:vAlign w:val="bottom"/>
            <w:hideMark/>
          </w:tcPr>
          <w:p w14:paraId="181FB84E" w14:textId="01271653"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hideMark/>
          </w:tcPr>
          <w:p w14:paraId="13EE43E8" w14:textId="5C9A8152"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hideMark/>
          </w:tcPr>
          <w:p w14:paraId="36AFDE45" w14:textId="3893FDA8" w:rsidR="00500C53" w:rsidRPr="00500C53" w:rsidRDefault="00500C53" w:rsidP="00500C53">
            <w:pPr>
              <w:rPr>
                <w:sz w:val="18"/>
                <w:szCs w:val="18"/>
              </w:rPr>
            </w:pPr>
            <w:r w:rsidRPr="00500C53">
              <w:rPr>
                <w:rFonts w:ascii="Aptos Narrow" w:hAnsi="Aptos Narrow"/>
                <w:color w:val="000000"/>
                <w:sz w:val="18"/>
                <w:szCs w:val="18"/>
              </w:rPr>
              <w:t>244079</w:t>
            </w:r>
          </w:p>
        </w:tc>
        <w:tc>
          <w:tcPr>
            <w:tcW w:w="862" w:type="dxa"/>
            <w:noWrap/>
            <w:vAlign w:val="bottom"/>
            <w:hideMark/>
          </w:tcPr>
          <w:p w14:paraId="13EEBF62" w14:textId="0A453912"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hideMark/>
          </w:tcPr>
          <w:p w14:paraId="4930BC90" w14:textId="6D4EE211"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hideMark/>
          </w:tcPr>
          <w:p w14:paraId="6DBEAF5C" w14:textId="6C5E2877" w:rsidR="00500C53" w:rsidRPr="00500C53" w:rsidRDefault="00500C53" w:rsidP="00500C53">
            <w:pPr>
              <w:rPr>
                <w:sz w:val="18"/>
                <w:szCs w:val="18"/>
              </w:rPr>
            </w:pPr>
            <w:r w:rsidRPr="00500C53">
              <w:rPr>
                <w:rFonts w:ascii="Aptos Narrow" w:hAnsi="Aptos Narrow"/>
                <w:color w:val="000000"/>
                <w:sz w:val="18"/>
                <w:szCs w:val="18"/>
              </w:rPr>
              <w:t>327.71</w:t>
            </w:r>
          </w:p>
        </w:tc>
        <w:tc>
          <w:tcPr>
            <w:tcW w:w="1046" w:type="dxa"/>
            <w:noWrap/>
            <w:vAlign w:val="bottom"/>
            <w:hideMark/>
          </w:tcPr>
          <w:p w14:paraId="475A4E76" w14:textId="78E5EE58"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hideMark/>
          </w:tcPr>
          <w:p w14:paraId="6E80F063" w14:textId="13E3CF88" w:rsidR="00500C53" w:rsidRPr="00500C53" w:rsidRDefault="00500C53" w:rsidP="00500C53">
            <w:pPr>
              <w:rPr>
                <w:sz w:val="18"/>
                <w:szCs w:val="18"/>
              </w:rPr>
            </w:pPr>
            <w:r w:rsidRPr="00500C53">
              <w:rPr>
                <w:rFonts w:ascii="Aptos Narrow" w:hAnsi="Aptos Narrow"/>
                <w:color w:val="000000"/>
                <w:sz w:val="18"/>
                <w:szCs w:val="18"/>
              </w:rPr>
              <w:t>74.22</w:t>
            </w:r>
          </w:p>
        </w:tc>
      </w:tr>
      <w:tr w:rsidR="00500C53" w:rsidRPr="00BD66F6" w14:paraId="21E87193" w14:textId="77777777" w:rsidTr="00994DEC">
        <w:trPr>
          <w:trHeight w:val="288"/>
        </w:trPr>
        <w:tc>
          <w:tcPr>
            <w:tcW w:w="609" w:type="dxa"/>
            <w:vMerge/>
            <w:noWrap/>
            <w:hideMark/>
          </w:tcPr>
          <w:p w14:paraId="1863A856" w14:textId="1F64A59F" w:rsidR="00500C53" w:rsidRPr="00BD66F6" w:rsidRDefault="00500C53" w:rsidP="00500C53">
            <w:pPr>
              <w:rPr>
                <w:sz w:val="18"/>
                <w:szCs w:val="18"/>
              </w:rPr>
            </w:pPr>
          </w:p>
        </w:tc>
        <w:tc>
          <w:tcPr>
            <w:tcW w:w="617" w:type="dxa"/>
            <w:noWrap/>
            <w:hideMark/>
          </w:tcPr>
          <w:p w14:paraId="423DACBB" w14:textId="59BB4685" w:rsidR="00500C53" w:rsidRPr="00BD66F6" w:rsidRDefault="00500C53" w:rsidP="00500C53">
            <w:pPr>
              <w:rPr>
                <w:sz w:val="18"/>
                <w:szCs w:val="18"/>
              </w:rPr>
            </w:pPr>
            <w:r w:rsidRPr="00BD66F6">
              <w:rPr>
                <w:sz w:val="18"/>
                <w:szCs w:val="18"/>
              </w:rPr>
              <w:t>0.3</w:t>
            </w:r>
          </w:p>
        </w:tc>
        <w:tc>
          <w:tcPr>
            <w:tcW w:w="818" w:type="dxa"/>
            <w:noWrap/>
            <w:vAlign w:val="bottom"/>
            <w:hideMark/>
          </w:tcPr>
          <w:p w14:paraId="53185255" w14:textId="1D7C9F0B"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hideMark/>
          </w:tcPr>
          <w:p w14:paraId="671B5CE5" w14:textId="5CD7DC52"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hideMark/>
          </w:tcPr>
          <w:p w14:paraId="1FC7AB1D" w14:textId="192ED952" w:rsidR="00500C53" w:rsidRPr="00500C53" w:rsidRDefault="00500C53" w:rsidP="00500C53">
            <w:pPr>
              <w:rPr>
                <w:sz w:val="18"/>
                <w:szCs w:val="18"/>
              </w:rPr>
            </w:pPr>
            <w:r w:rsidRPr="00500C53">
              <w:rPr>
                <w:rFonts w:ascii="Aptos Narrow" w:hAnsi="Aptos Narrow"/>
                <w:color w:val="000000"/>
                <w:sz w:val="18"/>
                <w:szCs w:val="18"/>
              </w:rPr>
              <w:t>232409</w:t>
            </w:r>
          </w:p>
        </w:tc>
        <w:tc>
          <w:tcPr>
            <w:tcW w:w="862" w:type="dxa"/>
            <w:noWrap/>
            <w:vAlign w:val="bottom"/>
            <w:hideMark/>
          </w:tcPr>
          <w:p w14:paraId="49FC3CEB" w14:textId="6F00867B"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hideMark/>
          </w:tcPr>
          <w:p w14:paraId="6CB9E4DA" w14:textId="2179427E"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hideMark/>
          </w:tcPr>
          <w:p w14:paraId="328D6519" w14:textId="322F0C55" w:rsidR="00500C53" w:rsidRPr="00500C53" w:rsidRDefault="00500C53" w:rsidP="00500C53">
            <w:pPr>
              <w:rPr>
                <w:sz w:val="18"/>
                <w:szCs w:val="18"/>
              </w:rPr>
            </w:pPr>
            <w:r w:rsidRPr="00500C53">
              <w:rPr>
                <w:rFonts w:ascii="Aptos Narrow" w:hAnsi="Aptos Narrow"/>
                <w:color w:val="000000"/>
                <w:sz w:val="18"/>
                <w:szCs w:val="18"/>
              </w:rPr>
              <w:t>307.91</w:t>
            </w:r>
          </w:p>
        </w:tc>
        <w:tc>
          <w:tcPr>
            <w:tcW w:w="1046" w:type="dxa"/>
            <w:noWrap/>
            <w:vAlign w:val="bottom"/>
            <w:hideMark/>
          </w:tcPr>
          <w:p w14:paraId="756C4B1E" w14:textId="5256FEA0"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hideMark/>
          </w:tcPr>
          <w:p w14:paraId="568AB256" w14:textId="506D2DC4" w:rsidR="00500C53" w:rsidRPr="00500C53" w:rsidRDefault="00500C53" w:rsidP="00500C53">
            <w:pPr>
              <w:rPr>
                <w:sz w:val="18"/>
                <w:szCs w:val="18"/>
              </w:rPr>
            </w:pPr>
            <w:r w:rsidRPr="00500C53">
              <w:rPr>
                <w:rFonts w:ascii="Aptos Narrow" w:hAnsi="Aptos Narrow"/>
                <w:color w:val="000000"/>
                <w:sz w:val="18"/>
                <w:szCs w:val="18"/>
              </w:rPr>
              <w:t>69.74</w:t>
            </w:r>
          </w:p>
        </w:tc>
      </w:tr>
      <w:tr w:rsidR="00500C53" w:rsidRPr="00BD66F6" w14:paraId="0EB5A6CF" w14:textId="77777777" w:rsidTr="007E7995">
        <w:trPr>
          <w:trHeight w:val="288"/>
        </w:trPr>
        <w:tc>
          <w:tcPr>
            <w:tcW w:w="609" w:type="dxa"/>
            <w:vMerge w:val="restart"/>
            <w:noWrap/>
          </w:tcPr>
          <w:p w14:paraId="30C1DD74" w14:textId="77777777" w:rsidR="00500C53" w:rsidRPr="00BD66F6" w:rsidRDefault="00500C53" w:rsidP="00500C53">
            <w:pPr>
              <w:rPr>
                <w:sz w:val="18"/>
                <w:szCs w:val="18"/>
              </w:rPr>
            </w:pPr>
            <w:proofErr w:type="spellStart"/>
            <w:r w:rsidRPr="00BD66F6">
              <w:rPr>
                <w:sz w:val="18"/>
                <w:szCs w:val="18"/>
              </w:rPr>
              <w:t>SpaceDef</w:t>
            </w:r>
            <w:proofErr w:type="spellEnd"/>
          </w:p>
          <w:p w14:paraId="6D59D031" w14:textId="12EE1667" w:rsidR="00500C53" w:rsidRPr="00BD66F6" w:rsidRDefault="00500C53" w:rsidP="00500C53">
            <w:pPr>
              <w:rPr>
                <w:sz w:val="18"/>
                <w:szCs w:val="18"/>
              </w:rPr>
            </w:pPr>
          </w:p>
        </w:tc>
        <w:tc>
          <w:tcPr>
            <w:tcW w:w="617" w:type="dxa"/>
            <w:noWrap/>
          </w:tcPr>
          <w:p w14:paraId="2994E60F" w14:textId="18597938" w:rsidR="00500C53" w:rsidRPr="00BD66F6" w:rsidRDefault="00500C53" w:rsidP="00500C53">
            <w:pPr>
              <w:rPr>
                <w:sz w:val="18"/>
                <w:szCs w:val="18"/>
              </w:rPr>
            </w:pPr>
            <w:r w:rsidRPr="00BD66F6">
              <w:rPr>
                <w:sz w:val="18"/>
                <w:szCs w:val="18"/>
              </w:rPr>
              <w:lastRenderedPageBreak/>
              <w:t>0.1</w:t>
            </w:r>
          </w:p>
        </w:tc>
        <w:tc>
          <w:tcPr>
            <w:tcW w:w="818" w:type="dxa"/>
            <w:noWrap/>
            <w:vAlign w:val="bottom"/>
          </w:tcPr>
          <w:p w14:paraId="504A8379" w14:textId="11E2F0FF"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55A2915F" w14:textId="30154E71"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58AFD03D" w14:textId="0EC73994" w:rsidR="00500C53" w:rsidRPr="00500C53" w:rsidRDefault="00500C53" w:rsidP="00500C53">
            <w:pPr>
              <w:rPr>
                <w:sz w:val="18"/>
                <w:szCs w:val="18"/>
              </w:rPr>
            </w:pPr>
            <w:r w:rsidRPr="00500C53">
              <w:rPr>
                <w:rFonts w:ascii="Aptos Narrow" w:hAnsi="Aptos Narrow"/>
                <w:color w:val="000000"/>
                <w:sz w:val="18"/>
                <w:szCs w:val="18"/>
              </w:rPr>
              <w:t>147859</w:t>
            </w:r>
          </w:p>
        </w:tc>
        <w:tc>
          <w:tcPr>
            <w:tcW w:w="862" w:type="dxa"/>
            <w:noWrap/>
            <w:vAlign w:val="bottom"/>
          </w:tcPr>
          <w:p w14:paraId="6BD48F1F" w14:textId="5DF8940B"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548385BB" w14:textId="517306A0"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54AE3F4F" w14:textId="4ACFADCE" w:rsidR="00500C53" w:rsidRPr="00500C53" w:rsidRDefault="00500C53" w:rsidP="00500C53">
            <w:pPr>
              <w:rPr>
                <w:sz w:val="18"/>
                <w:szCs w:val="18"/>
              </w:rPr>
            </w:pPr>
            <w:r w:rsidRPr="00500C53">
              <w:rPr>
                <w:rFonts w:ascii="Aptos Narrow" w:hAnsi="Aptos Narrow"/>
                <w:color w:val="000000"/>
                <w:sz w:val="18"/>
                <w:szCs w:val="18"/>
              </w:rPr>
              <w:t>187.93</w:t>
            </w:r>
          </w:p>
        </w:tc>
        <w:tc>
          <w:tcPr>
            <w:tcW w:w="1046" w:type="dxa"/>
            <w:noWrap/>
            <w:vAlign w:val="bottom"/>
          </w:tcPr>
          <w:p w14:paraId="3BBF9483" w14:textId="17C1E6CF"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3FB14520" w14:textId="63272132" w:rsidR="00500C53" w:rsidRPr="00500C53" w:rsidRDefault="00500C53" w:rsidP="00500C53">
            <w:pPr>
              <w:rPr>
                <w:sz w:val="18"/>
                <w:szCs w:val="18"/>
              </w:rPr>
            </w:pPr>
            <w:r w:rsidRPr="00500C53">
              <w:rPr>
                <w:rFonts w:ascii="Aptos Narrow" w:hAnsi="Aptos Narrow"/>
                <w:color w:val="000000"/>
                <w:sz w:val="18"/>
                <w:szCs w:val="18"/>
              </w:rPr>
              <w:t>42.56</w:t>
            </w:r>
          </w:p>
        </w:tc>
      </w:tr>
      <w:tr w:rsidR="00500C53" w:rsidRPr="00BD66F6" w14:paraId="03D160FC" w14:textId="77777777" w:rsidTr="007E7995">
        <w:trPr>
          <w:trHeight w:val="288"/>
        </w:trPr>
        <w:tc>
          <w:tcPr>
            <w:tcW w:w="609" w:type="dxa"/>
            <w:vMerge/>
            <w:noWrap/>
          </w:tcPr>
          <w:p w14:paraId="69CCFFEE" w14:textId="75FF93AE" w:rsidR="00500C53" w:rsidRPr="00BD66F6" w:rsidRDefault="00500C53" w:rsidP="00500C53">
            <w:pPr>
              <w:rPr>
                <w:sz w:val="18"/>
                <w:szCs w:val="18"/>
              </w:rPr>
            </w:pPr>
          </w:p>
        </w:tc>
        <w:tc>
          <w:tcPr>
            <w:tcW w:w="617" w:type="dxa"/>
            <w:noWrap/>
          </w:tcPr>
          <w:p w14:paraId="78833828" w14:textId="1105E499" w:rsidR="00500C53" w:rsidRPr="00BD66F6" w:rsidRDefault="00500C53" w:rsidP="00500C53">
            <w:pPr>
              <w:rPr>
                <w:sz w:val="18"/>
                <w:szCs w:val="18"/>
              </w:rPr>
            </w:pPr>
            <w:r w:rsidRPr="00BD66F6">
              <w:rPr>
                <w:sz w:val="18"/>
                <w:szCs w:val="18"/>
              </w:rPr>
              <w:t>0.2</w:t>
            </w:r>
          </w:p>
        </w:tc>
        <w:tc>
          <w:tcPr>
            <w:tcW w:w="818" w:type="dxa"/>
            <w:noWrap/>
            <w:vAlign w:val="bottom"/>
          </w:tcPr>
          <w:p w14:paraId="5D0E498B" w14:textId="5299B8E8"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082852CF" w14:textId="2BAEDCB2"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0DFD859A" w14:textId="5BDAB5C8" w:rsidR="00500C53" w:rsidRPr="00500C53" w:rsidRDefault="00500C53" w:rsidP="00500C53">
            <w:pPr>
              <w:rPr>
                <w:sz w:val="18"/>
                <w:szCs w:val="18"/>
              </w:rPr>
            </w:pPr>
            <w:r w:rsidRPr="00500C53">
              <w:rPr>
                <w:rFonts w:ascii="Aptos Narrow" w:hAnsi="Aptos Narrow"/>
                <w:color w:val="000000"/>
                <w:sz w:val="18"/>
                <w:szCs w:val="18"/>
              </w:rPr>
              <w:t>140411</w:t>
            </w:r>
          </w:p>
        </w:tc>
        <w:tc>
          <w:tcPr>
            <w:tcW w:w="862" w:type="dxa"/>
            <w:noWrap/>
            <w:vAlign w:val="bottom"/>
          </w:tcPr>
          <w:p w14:paraId="51FB137A" w14:textId="75CBC576"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28270172" w14:textId="6ACECD98"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7B6F28E2" w14:textId="42D16765" w:rsidR="00500C53" w:rsidRPr="00500C53" w:rsidRDefault="00500C53" w:rsidP="00500C53">
            <w:pPr>
              <w:rPr>
                <w:sz w:val="18"/>
                <w:szCs w:val="18"/>
              </w:rPr>
            </w:pPr>
            <w:r w:rsidRPr="00500C53">
              <w:rPr>
                <w:rFonts w:ascii="Aptos Narrow" w:hAnsi="Aptos Narrow"/>
                <w:color w:val="000000"/>
                <w:sz w:val="18"/>
                <w:szCs w:val="18"/>
              </w:rPr>
              <w:t>169.83</w:t>
            </w:r>
          </w:p>
        </w:tc>
        <w:tc>
          <w:tcPr>
            <w:tcW w:w="1046" w:type="dxa"/>
            <w:noWrap/>
            <w:vAlign w:val="bottom"/>
          </w:tcPr>
          <w:p w14:paraId="72806853" w14:textId="01F2578F"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432F2CAA" w14:textId="62CAA92F" w:rsidR="00500C53" w:rsidRPr="00500C53" w:rsidRDefault="00500C53" w:rsidP="00500C53">
            <w:pPr>
              <w:rPr>
                <w:sz w:val="18"/>
                <w:szCs w:val="18"/>
              </w:rPr>
            </w:pPr>
            <w:r w:rsidRPr="00500C53">
              <w:rPr>
                <w:rFonts w:ascii="Aptos Narrow" w:hAnsi="Aptos Narrow"/>
                <w:color w:val="000000"/>
                <w:sz w:val="18"/>
                <w:szCs w:val="18"/>
              </w:rPr>
              <w:t>38.46</w:t>
            </w:r>
          </w:p>
        </w:tc>
      </w:tr>
      <w:tr w:rsidR="00500C53" w:rsidRPr="00BD66F6" w14:paraId="77D7D111" w14:textId="77777777" w:rsidTr="007E7995">
        <w:trPr>
          <w:trHeight w:val="288"/>
        </w:trPr>
        <w:tc>
          <w:tcPr>
            <w:tcW w:w="609" w:type="dxa"/>
            <w:vMerge/>
            <w:noWrap/>
          </w:tcPr>
          <w:p w14:paraId="12825441" w14:textId="07FE1DDE" w:rsidR="00500C53" w:rsidRPr="00BD66F6" w:rsidRDefault="00500C53" w:rsidP="00500C53">
            <w:pPr>
              <w:rPr>
                <w:sz w:val="18"/>
                <w:szCs w:val="18"/>
              </w:rPr>
            </w:pPr>
          </w:p>
        </w:tc>
        <w:tc>
          <w:tcPr>
            <w:tcW w:w="617" w:type="dxa"/>
            <w:noWrap/>
          </w:tcPr>
          <w:p w14:paraId="2CE6F7A3" w14:textId="06712F1F" w:rsidR="00500C53" w:rsidRPr="00BD66F6" w:rsidRDefault="00500C53" w:rsidP="00500C53">
            <w:pPr>
              <w:rPr>
                <w:sz w:val="18"/>
                <w:szCs w:val="18"/>
              </w:rPr>
            </w:pPr>
            <w:r w:rsidRPr="00BD66F6">
              <w:rPr>
                <w:sz w:val="18"/>
                <w:szCs w:val="18"/>
              </w:rPr>
              <w:t>0.3</w:t>
            </w:r>
          </w:p>
        </w:tc>
        <w:tc>
          <w:tcPr>
            <w:tcW w:w="818" w:type="dxa"/>
            <w:noWrap/>
            <w:vAlign w:val="bottom"/>
          </w:tcPr>
          <w:p w14:paraId="33B700A2" w14:textId="2D58F9D8"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0EA00738" w14:textId="3F9E02DE"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2C41A3F2" w14:textId="6AC731A0" w:rsidR="00500C53" w:rsidRPr="00500C53" w:rsidRDefault="00500C53" w:rsidP="00500C53">
            <w:pPr>
              <w:rPr>
                <w:sz w:val="18"/>
                <w:szCs w:val="18"/>
              </w:rPr>
            </w:pPr>
            <w:r w:rsidRPr="00500C53">
              <w:rPr>
                <w:rFonts w:ascii="Aptos Narrow" w:hAnsi="Aptos Narrow"/>
                <w:color w:val="000000"/>
                <w:sz w:val="18"/>
                <w:szCs w:val="18"/>
              </w:rPr>
              <w:t>133358</w:t>
            </w:r>
          </w:p>
        </w:tc>
        <w:tc>
          <w:tcPr>
            <w:tcW w:w="862" w:type="dxa"/>
            <w:noWrap/>
            <w:vAlign w:val="bottom"/>
          </w:tcPr>
          <w:p w14:paraId="6D3B4205" w14:textId="65CFBA5F"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1560A21F" w14:textId="0EB9B2AD"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37382CBE" w14:textId="2C120D10" w:rsidR="00500C53" w:rsidRPr="00500C53" w:rsidRDefault="00500C53" w:rsidP="00500C53">
            <w:pPr>
              <w:rPr>
                <w:sz w:val="18"/>
                <w:szCs w:val="18"/>
              </w:rPr>
            </w:pPr>
            <w:r w:rsidRPr="00500C53">
              <w:rPr>
                <w:rFonts w:ascii="Aptos Narrow" w:hAnsi="Aptos Narrow"/>
                <w:color w:val="000000"/>
                <w:sz w:val="18"/>
                <w:szCs w:val="18"/>
              </w:rPr>
              <w:t>154.75</w:t>
            </w:r>
          </w:p>
        </w:tc>
        <w:tc>
          <w:tcPr>
            <w:tcW w:w="1046" w:type="dxa"/>
            <w:noWrap/>
            <w:vAlign w:val="bottom"/>
          </w:tcPr>
          <w:p w14:paraId="011958AF" w14:textId="5447AAE8"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446BD504" w14:textId="7A55B760" w:rsidR="00500C53" w:rsidRPr="00500C53" w:rsidRDefault="00500C53" w:rsidP="00500C53">
            <w:pPr>
              <w:rPr>
                <w:sz w:val="18"/>
                <w:szCs w:val="18"/>
              </w:rPr>
            </w:pPr>
            <w:r w:rsidRPr="00500C53">
              <w:rPr>
                <w:rFonts w:ascii="Aptos Narrow" w:hAnsi="Aptos Narrow"/>
                <w:color w:val="000000"/>
                <w:sz w:val="18"/>
                <w:szCs w:val="18"/>
              </w:rPr>
              <w:t>35.05</w:t>
            </w:r>
          </w:p>
        </w:tc>
      </w:tr>
      <w:tr w:rsidR="00500C53" w:rsidRPr="00BD66F6" w14:paraId="326903DC" w14:textId="77777777" w:rsidTr="00643E38">
        <w:trPr>
          <w:trHeight w:val="288"/>
        </w:trPr>
        <w:tc>
          <w:tcPr>
            <w:tcW w:w="609" w:type="dxa"/>
            <w:vMerge w:val="restart"/>
            <w:noWrap/>
          </w:tcPr>
          <w:p w14:paraId="2D7C83F2" w14:textId="488D8B2B" w:rsidR="00500C53" w:rsidRPr="00BD66F6" w:rsidRDefault="00500C53" w:rsidP="00500C53">
            <w:pPr>
              <w:rPr>
                <w:sz w:val="18"/>
                <w:szCs w:val="18"/>
              </w:rPr>
            </w:pPr>
            <w:r>
              <w:rPr>
                <w:sz w:val="18"/>
                <w:szCs w:val="18"/>
              </w:rPr>
              <w:t>Any-pixel</w:t>
            </w:r>
          </w:p>
        </w:tc>
        <w:tc>
          <w:tcPr>
            <w:tcW w:w="617" w:type="dxa"/>
            <w:noWrap/>
            <w:vAlign w:val="bottom"/>
          </w:tcPr>
          <w:p w14:paraId="1CDE9DAD" w14:textId="38BEFD6B" w:rsidR="00500C53" w:rsidRPr="0091724B" w:rsidRDefault="00500C53" w:rsidP="00500C53">
            <w:pPr>
              <w:rPr>
                <w:sz w:val="18"/>
                <w:szCs w:val="18"/>
              </w:rPr>
            </w:pPr>
            <w:r w:rsidRPr="0091724B">
              <w:rPr>
                <w:rFonts w:ascii="Aptos Narrow" w:hAnsi="Aptos Narrow"/>
                <w:color w:val="000000"/>
                <w:sz w:val="18"/>
                <w:szCs w:val="18"/>
              </w:rPr>
              <w:t>0.1</w:t>
            </w:r>
          </w:p>
        </w:tc>
        <w:tc>
          <w:tcPr>
            <w:tcW w:w="818" w:type="dxa"/>
            <w:noWrap/>
            <w:vAlign w:val="bottom"/>
          </w:tcPr>
          <w:p w14:paraId="2353C99F" w14:textId="3E6605DE"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606A8F15" w14:textId="5EE5B728"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73000CEA" w14:textId="63CE0EE7" w:rsidR="00500C53" w:rsidRPr="00500C53" w:rsidRDefault="00500C53" w:rsidP="00500C53">
            <w:pPr>
              <w:rPr>
                <w:sz w:val="18"/>
                <w:szCs w:val="18"/>
              </w:rPr>
            </w:pPr>
            <w:r w:rsidRPr="00500C53">
              <w:rPr>
                <w:rFonts w:ascii="Aptos Narrow" w:hAnsi="Aptos Narrow"/>
                <w:color w:val="000000"/>
                <w:sz w:val="18"/>
                <w:szCs w:val="18"/>
              </w:rPr>
              <w:t>251861</w:t>
            </w:r>
          </w:p>
        </w:tc>
        <w:tc>
          <w:tcPr>
            <w:tcW w:w="862" w:type="dxa"/>
            <w:noWrap/>
            <w:vAlign w:val="bottom"/>
          </w:tcPr>
          <w:p w14:paraId="63FC699D" w14:textId="774AD079"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656C8892" w14:textId="26A24456"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0FC02F65" w14:textId="2207B055" w:rsidR="00500C53" w:rsidRPr="00500C53" w:rsidRDefault="00500C53" w:rsidP="00500C53">
            <w:pPr>
              <w:rPr>
                <w:sz w:val="18"/>
                <w:szCs w:val="18"/>
              </w:rPr>
            </w:pPr>
            <w:r w:rsidRPr="00500C53">
              <w:rPr>
                <w:rFonts w:ascii="Aptos Narrow" w:hAnsi="Aptos Narrow"/>
                <w:color w:val="000000"/>
                <w:sz w:val="18"/>
                <w:szCs w:val="18"/>
              </w:rPr>
              <w:t>341.55</w:t>
            </w:r>
          </w:p>
        </w:tc>
        <w:tc>
          <w:tcPr>
            <w:tcW w:w="1046" w:type="dxa"/>
            <w:noWrap/>
            <w:vAlign w:val="bottom"/>
          </w:tcPr>
          <w:p w14:paraId="5AE6EDD0" w14:textId="6ED1B627"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683E2046" w14:textId="5843C34C" w:rsidR="00500C53" w:rsidRPr="00500C53" w:rsidRDefault="00500C53" w:rsidP="00500C53">
            <w:pPr>
              <w:rPr>
                <w:sz w:val="18"/>
                <w:szCs w:val="18"/>
              </w:rPr>
            </w:pPr>
            <w:r w:rsidRPr="00500C53">
              <w:rPr>
                <w:rFonts w:ascii="Aptos Narrow" w:hAnsi="Aptos Narrow"/>
                <w:color w:val="000000"/>
                <w:sz w:val="18"/>
                <w:szCs w:val="18"/>
              </w:rPr>
              <w:t>77.35</w:t>
            </w:r>
          </w:p>
        </w:tc>
      </w:tr>
      <w:tr w:rsidR="00500C53" w:rsidRPr="00BD66F6" w14:paraId="64BCFBE3" w14:textId="77777777" w:rsidTr="00643E38">
        <w:trPr>
          <w:trHeight w:val="288"/>
        </w:trPr>
        <w:tc>
          <w:tcPr>
            <w:tcW w:w="609" w:type="dxa"/>
            <w:vMerge/>
            <w:noWrap/>
          </w:tcPr>
          <w:p w14:paraId="01C5CE04" w14:textId="727E0387" w:rsidR="00500C53" w:rsidRPr="00BD66F6" w:rsidRDefault="00500C53" w:rsidP="00500C53">
            <w:pPr>
              <w:rPr>
                <w:sz w:val="18"/>
                <w:szCs w:val="18"/>
              </w:rPr>
            </w:pPr>
          </w:p>
        </w:tc>
        <w:tc>
          <w:tcPr>
            <w:tcW w:w="617" w:type="dxa"/>
            <w:noWrap/>
            <w:vAlign w:val="bottom"/>
          </w:tcPr>
          <w:p w14:paraId="1C7D20AF" w14:textId="1F76845F" w:rsidR="00500C53" w:rsidRPr="0091724B" w:rsidRDefault="00500C53" w:rsidP="00500C53">
            <w:pPr>
              <w:rPr>
                <w:sz w:val="18"/>
                <w:szCs w:val="18"/>
              </w:rPr>
            </w:pPr>
            <w:r w:rsidRPr="0091724B">
              <w:rPr>
                <w:rFonts w:ascii="Aptos Narrow" w:hAnsi="Aptos Narrow"/>
                <w:color w:val="000000"/>
                <w:sz w:val="18"/>
                <w:szCs w:val="18"/>
              </w:rPr>
              <w:t>0.2</w:t>
            </w:r>
          </w:p>
        </w:tc>
        <w:tc>
          <w:tcPr>
            <w:tcW w:w="818" w:type="dxa"/>
            <w:noWrap/>
            <w:vAlign w:val="bottom"/>
          </w:tcPr>
          <w:p w14:paraId="075B9A05" w14:textId="5D30D0EE"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60305E06" w14:textId="1769BAA9"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3A93EC77" w14:textId="54BE6318" w:rsidR="00500C53" w:rsidRPr="00500C53" w:rsidRDefault="00500C53" w:rsidP="00500C53">
            <w:pPr>
              <w:rPr>
                <w:sz w:val="18"/>
                <w:szCs w:val="18"/>
              </w:rPr>
            </w:pPr>
            <w:r w:rsidRPr="00500C53">
              <w:rPr>
                <w:rFonts w:ascii="Aptos Narrow" w:hAnsi="Aptos Narrow"/>
                <w:color w:val="000000"/>
                <w:sz w:val="18"/>
                <w:szCs w:val="18"/>
              </w:rPr>
              <w:t>242526</w:t>
            </w:r>
          </w:p>
        </w:tc>
        <w:tc>
          <w:tcPr>
            <w:tcW w:w="862" w:type="dxa"/>
            <w:noWrap/>
            <w:vAlign w:val="bottom"/>
          </w:tcPr>
          <w:p w14:paraId="57E3545D" w14:textId="58C80B88"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47286A66" w14:textId="7FF4CABA"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74869322" w14:textId="6F6F6650" w:rsidR="00500C53" w:rsidRPr="00500C53" w:rsidRDefault="00500C53" w:rsidP="00500C53">
            <w:pPr>
              <w:rPr>
                <w:sz w:val="18"/>
                <w:szCs w:val="18"/>
              </w:rPr>
            </w:pPr>
            <w:r w:rsidRPr="00500C53">
              <w:rPr>
                <w:rFonts w:ascii="Aptos Narrow" w:hAnsi="Aptos Narrow"/>
                <w:color w:val="000000"/>
                <w:sz w:val="18"/>
                <w:szCs w:val="18"/>
              </w:rPr>
              <w:t>323.98</w:t>
            </w:r>
          </w:p>
        </w:tc>
        <w:tc>
          <w:tcPr>
            <w:tcW w:w="1046" w:type="dxa"/>
            <w:noWrap/>
            <w:vAlign w:val="bottom"/>
          </w:tcPr>
          <w:p w14:paraId="69C77583" w14:textId="7E924C0D"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23F40DAA" w14:textId="3E644D31" w:rsidR="00500C53" w:rsidRPr="00500C53" w:rsidRDefault="00500C53" w:rsidP="00500C53">
            <w:pPr>
              <w:rPr>
                <w:sz w:val="18"/>
                <w:szCs w:val="18"/>
              </w:rPr>
            </w:pPr>
            <w:r w:rsidRPr="00500C53">
              <w:rPr>
                <w:rFonts w:ascii="Aptos Narrow" w:hAnsi="Aptos Narrow"/>
                <w:color w:val="000000"/>
                <w:sz w:val="18"/>
                <w:szCs w:val="18"/>
              </w:rPr>
              <w:t>73.38</w:t>
            </w:r>
          </w:p>
        </w:tc>
      </w:tr>
      <w:tr w:rsidR="00500C53" w:rsidRPr="00BD66F6" w14:paraId="1956BAA9" w14:textId="77777777" w:rsidTr="00643E38">
        <w:trPr>
          <w:trHeight w:val="288"/>
        </w:trPr>
        <w:tc>
          <w:tcPr>
            <w:tcW w:w="609" w:type="dxa"/>
            <w:vMerge/>
            <w:noWrap/>
          </w:tcPr>
          <w:p w14:paraId="41181818" w14:textId="7A91B382" w:rsidR="00500C53" w:rsidRPr="00BD66F6" w:rsidRDefault="00500C53" w:rsidP="00500C53">
            <w:pPr>
              <w:rPr>
                <w:sz w:val="18"/>
                <w:szCs w:val="18"/>
              </w:rPr>
            </w:pPr>
          </w:p>
        </w:tc>
        <w:tc>
          <w:tcPr>
            <w:tcW w:w="617" w:type="dxa"/>
            <w:noWrap/>
            <w:vAlign w:val="bottom"/>
          </w:tcPr>
          <w:p w14:paraId="54612862" w14:textId="0A5A37E5" w:rsidR="00500C53" w:rsidRPr="0091724B" w:rsidRDefault="00500C53" w:rsidP="00500C53">
            <w:pPr>
              <w:rPr>
                <w:sz w:val="18"/>
                <w:szCs w:val="18"/>
              </w:rPr>
            </w:pPr>
            <w:r w:rsidRPr="0091724B">
              <w:rPr>
                <w:rFonts w:ascii="Aptos Narrow" w:hAnsi="Aptos Narrow"/>
                <w:color w:val="000000"/>
                <w:sz w:val="18"/>
                <w:szCs w:val="18"/>
              </w:rPr>
              <w:t>0.3</w:t>
            </w:r>
          </w:p>
        </w:tc>
        <w:tc>
          <w:tcPr>
            <w:tcW w:w="818" w:type="dxa"/>
            <w:noWrap/>
            <w:vAlign w:val="bottom"/>
          </w:tcPr>
          <w:p w14:paraId="2E57255F" w14:textId="6E54BBFF" w:rsidR="00500C53" w:rsidRPr="00500C53" w:rsidRDefault="00500C53" w:rsidP="00500C53">
            <w:pPr>
              <w:rPr>
                <w:sz w:val="18"/>
                <w:szCs w:val="18"/>
              </w:rPr>
            </w:pPr>
            <w:r w:rsidRPr="00500C53">
              <w:rPr>
                <w:rFonts w:ascii="Aptos Narrow" w:hAnsi="Aptos Narrow"/>
                <w:color w:val="000000"/>
                <w:sz w:val="18"/>
                <w:szCs w:val="18"/>
              </w:rPr>
              <w:t>342602</w:t>
            </w:r>
          </w:p>
        </w:tc>
        <w:tc>
          <w:tcPr>
            <w:tcW w:w="916" w:type="dxa"/>
            <w:noWrap/>
            <w:vAlign w:val="bottom"/>
          </w:tcPr>
          <w:p w14:paraId="60418B52" w14:textId="48537272" w:rsidR="00500C53" w:rsidRPr="00500C53" w:rsidRDefault="00500C53" w:rsidP="00500C53">
            <w:pPr>
              <w:rPr>
                <w:sz w:val="18"/>
                <w:szCs w:val="18"/>
              </w:rPr>
            </w:pPr>
            <w:r w:rsidRPr="00500C53">
              <w:rPr>
                <w:rFonts w:ascii="Aptos Narrow" w:hAnsi="Aptos Narrow"/>
                <w:color w:val="000000"/>
                <w:sz w:val="18"/>
                <w:szCs w:val="18"/>
              </w:rPr>
              <w:t>121181</w:t>
            </w:r>
          </w:p>
        </w:tc>
        <w:tc>
          <w:tcPr>
            <w:tcW w:w="863" w:type="dxa"/>
            <w:noWrap/>
            <w:vAlign w:val="bottom"/>
          </w:tcPr>
          <w:p w14:paraId="4D8AB283" w14:textId="57169BB1" w:rsidR="00500C53" w:rsidRPr="00500C53" w:rsidRDefault="00500C53" w:rsidP="00500C53">
            <w:pPr>
              <w:rPr>
                <w:sz w:val="18"/>
                <w:szCs w:val="18"/>
              </w:rPr>
            </w:pPr>
            <w:r w:rsidRPr="00500C53">
              <w:rPr>
                <w:rFonts w:ascii="Aptos Narrow" w:hAnsi="Aptos Narrow"/>
                <w:color w:val="000000"/>
                <w:sz w:val="18"/>
                <w:szCs w:val="18"/>
              </w:rPr>
              <w:t>229057</w:t>
            </w:r>
          </w:p>
        </w:tc>
        <w:tc>
          <w:tcPr>
            <w:tcW w:w="862" w:type="dxa"/>
            <w:noWrap/>
            <w:vAlign w:val="bottom"/>
          </w:tcPr>
          <w:p w14:paraId="5CEF30BE" w14:textId="094A0D2C" w:rsidR="00500C53" w:rsidRPr="00500C53" w:rsidRDefault="00500C53" w:rsidP="00500C53">
            <w:pPr>
              <w:rPr>
                <w:sz w:val="18"/>
                <w:szCs w:val="18"/>
              </w:rPr>
            </w:pPr>
            <w:r w:rsidRPr="00500C53">
              <w:rPr>
                <w:rFonts w:ascii="Aptos Narrow" w:hAnsi="Aptos Narrow"/>
                <w:color w:val="000000"/>
                <w:sz w:val="18"/>
                <w:szCs w:val="18"/>
              </w:rPr>
              <w:t>441.54</w:t>
            </w:r>
          </w:p>
        </w:tc>
        <w:tc>
          <w:tcPr>
            <w:tcW w:w="1043" w:type="dxa"/>
            <w:noWrap/>
            <w:vAlign w:val="bottom"/>
          </w:tcPr>
          <w:p w14:paraId="5F2DCB1A" w14:textId="796D041D" w:rsidR="00500C53" w:rsidRPr="00500C53" w:rsidRDefault="00500C53" w:rsidP="00500C53">
            <w:pPr>
              <w:rPr>
                <w:sz w:val="18"/>
                <w:szCs w:val="18"/>
              </w:rPr>
            </w:pPr>
            <w:r w:rsidRPr="00500C53">
              <w:rPr>
                <w:rFonts w:ascii="Aptos Narrow" w:hAnsi="Aptos Narrow"/>
                <w:color w:val="000000"/>
                <w:sz w:val="18"/>
                <w:szCs w:val="18"/>
              </w:rPr>
              <w:t>135.19</w:t>
            </w:r>
          </w:p>
        </w:tc>
        <w:tc>
          <w:tcPr>
            <w:tcW w:w="1119" w:type="dxa"/>
            <w:noWrap/>
            <w:vAlign w:val="bottom"/>
          </w:tcPr>
          <w:p w14:paraId="7AD59BBA" w14:textId="4E522B9A" w:rsidR="00500C53" w:rsidRPr="00500C53" w:rsidRDefault="00500C53" w:rsidP="00500C53">
            <w:pPr>
              <w:rPr>
                <w:sz w:val="18"/>
                <w:szCs w:val="18"/>
              </w:rPr>
            </w:pPr>
            <w:r w:rsidRPr="00500C53">
              <w:rPr>
                <w:rFonts w:ascii="Aptos Narrow" w:hAnsi="Aptos Narrow"/>
                <w:color w:val="000000"/>
                <w:sz w:val="18"/>
                <w:szCs w:val="18"/>
              </w:rPr>
              <w:t>300.11</w:t>
            </w:r>
          </w:p>
        </w:tc>
        <w:tc>
          <w:tcPr>
            <w:tcW w:w="1046" w:type="dxa"/>
            <w:noWrap/>
            <w:vAlign w:val="bottom"/>
          </w:tcPr>
          <w:p w14:paraId="6FC4355D" w14:textId="09F0A976" w:rsidR="00500C53" w:rsidRPr="00500C53" w:rsidRDefault="00500C53" w:rsidP="00500C53">
            <w:pPr>
              <w:rPr>
                <w:sz w:val="18"/>
                <w:szCs w:val="18"/>
              </w:rPr>
            </w:pPr>
            <w:r w:rsidRPr="00500C53">
              <w:rPr>
                <w:rFonts w:ascii="Aptos Narrow" w:hAnsi="Aptos Narrow"/>
                <w:color w:val="000000"/>
                <w:sz w:val="18"/>
                <w:szCs w:val="18"/>
              </w:rPr>
              <w:t>30.62</w:t>
            </w:r>
          </w:p>
        </w:tc>
        <w:tc>
          <w:tcPr>
            <w:tcW w:w="1123" w:type="dxa"/>
            <w:noWrap/>
            <w:vAlign w:val="bottom"/>
          </w:tcPr>
          <w:p w14:paraId="5540284B" w14:textId="0B26D899" w:rsidR="00500C53" w:rsidRPr="00500C53" w:rsidRDefault="00500C53" w:rsidP="00500C53">
            <w:pPr>
              <w:rPr>
                <w:sz w:val="18"/>
                <w:szCs w:val="18"/>
              </w:rPr>
            </w:pPr>
            <w:r w:rsidRPr="00500C53">
              <w:rPr>
                <w:rFonts w:ascii="Aptos Narrow" w:hAnsi="Aptos Narrow"/>
                <w:color w:val="000000"/>
                <w:sz w:val="18"/>
                <w:szCs w:val="18"/>
              </w:rPr>
              <w:t>67.97</w:t>
            </w:r>
          </w:p>
        </w:tc>
      </w:tr>
    </w:tbl>
    <w:p w14:paraId="38CE7431" w14:textId="6904466E" w:rsidR="00BD66F6" w:rsidRPr="00BD66F6" w:rsidRDefault="00D936D8" w:rsidP="00BD66F6">
      <w:r>
        <w:t>Population reported in millions.</w:t>
      </w:r>
    </w:p>
    <w:p w14:paraId="2B77BDC5" w14:textId="6735C695" w:rsidR="00BF59E0" w:rsidRDefault="00D936D8" w:rsidP="00D936D8">
      <w:pPr>
        <w:spacing w:line="360" w:lineRule="auto"/>
      </w:pPr>
      <w:r>
        <w:t xml:space="preserve">Table </w:t>
      </w:r>
      <w:r w:rsidR="00500C53">
        <w:t>2</w:t>
      </w:r>
      <w:r>
        <w:t xml:space="preserve"> summarizes the corresponding segment and population coverage for each rule and threshold. While Mean-SSI and Any-pixel flag roughly three-quarters of the total population as deprived, </w:t>
      </w:r>
      <w:proofErr w:type="spellStart"/>
      <w:r>
        <w:t>SpaceDef</w:t>
      </w:r>
      <w:proofErr w:type="spellEnd"/>
      <w:r>
        <w:t xml:space="preserve"> identifies a smaller but more selective subset (~35-43% of total population), consistent with its higher precision and closer spatial correspondence to the </w:t>
      </w:r>
      <w:r w:rsidR="008E1B29">
        <w:t>CSMD</w:t>
      </w:r>
      <w:r>
        <w:t xml:space="preserve"> labels.</w:t>
      </w:r>
    </w:p>
    <w:p w14:paraId="555276B5" w14:textId="17261A1F" w:rsidR="00E613D0" w:rsidRDefault="007C417F" w:rsidP="00E613D0">
      <w:pPr>
        <w:pStyle w:val="Heading2"/>
      </w:pPr>
      <w:bookmarkStart w:id="13" w:name="_Toc214016753"/>
      <w:r>
        <w:t>2</w:t>
      </w:r>
      <w:r w:rsidR="00E613D0">
        <w:t xml:space="preserve">.4 </w:t>
      </w:r>
      <w:proofErr w:type="gramStart"/>
      <w:r w:rsidR="00E613D0">
        <w:t>Million</w:t>
      </w:r>
      <w:proofErr w:type="gramEnd"/>
      <w:r w:rsidR="00E613D0">
        <w:t xml:space="preserve"> Neighbourhoods (MN)</w:t>
      </w:r>
      <w:bookmarkEnd w:id="13"/>
    </w:p>
    <w:p w14:paraId="21E609F5" w14:textId="377D2804" w:rsidR="00E613D0" w:rsidRDefault="007C417F" w:rsidP="00E613D0">
      <w:pPr>
        <w:pStyle w:val="Heading3"/>
      </w:pPr>
      <w:bookmarkStart w:id="14" w:name="_Toc214016754"/>
      <w:r>
        <w:t>2</w:t>
      </w:r>
      <w:r w:rsidR="00E613D0">
        <w:t>.4.1 Data and coverage</w:t>
      </w:r>
      <w:bookmarkEnd w:id="14"/>
    </w:p>
    <w:p w14:paraId="6E6D2FBA" w14:textId="37A36F50" w:rsidR="00E613D0" w:rsidRDefault="00B20B07" w:rsidP="00E613D0">
      <w:pPr>
        <w:spacing w:line="360" w:lineRule="auto"/>
        <w:rPr>
          <w:color w:val="000000"/>
        </w:rPr>
      </w:pPr>
      <w:r>
        <w:t xml:space="preserve">We used the Million Neighbourhoods (MN) </w:t>
      </w:r>
      <w:sdt>
        <w:sdtPr>
          <w:rPr>
            <w:color w:val="000000"/>
          </w:rPr>
          <w:tag w:val="MENDELEY_CITATION_v3_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"/>
          <w:id w:val="178705288"/>
          <w:placeholder>
            <w:docPart w:val="DefaultPlaceholder_-1854013440"/>
          </w:placeholder>
        </w:sdtPr>
        <w:sdtEndPr/>
        <w:sdtContent>
          <w:r w:rsidR="00A10281" w:rsidRPr="00A10281">
            <w:rPr>
              <w:rFonts w:eastAsia="Times New Roman"/>
              <w:color w:val="000000"/>
            </w:rPr>
            <w:t>(Bettencourt &amp; Marchio, 2025)</w:t>
          </w:r>
        </w:sdtContent>
      </w:sdt>
      <w:r>
        <w:rPr>
          <w:color w:val="000000"/>
        </w:rPr>
        <w:t xml:space="preserve"> dataset, a block-level characterization of settlement form and infrastructure access for sub-Saharan </w:t>
      </w:r>
      <w:r w:rsidR="003B5FA0">
        <w:rPr>
          <w:color w:val="000000"/>
        </w:rPr>
        <w:t>Africa (</w:t>
      </w:r>
      <w:r>
        <w:rPr>
          <w:color w:val="000000"/>
        </w:rPr>
        <w:t xml:space="preserve">SSA). MN defines blocks as polygons bounded by mapped streets and assigns each block a k-complexity index (depth of access from buildings to the street network), with higher </w:t>
      </w:r>
      <w:r>
        <w:rPr>
          <w:i/>
          <w:iCs/>
          <w:color w:val="000000"/>
        </w:rPr>
        <w:t xml:space="preserve">k </w:t>
      </w:r>
      <w:r>
        <w:rPr>
          <w:color w:val="000000"/>
        </w:rPr>
        <w:t xml:space="preserve">indicating progressively poorer access (e.g., </w:t>
      </w:r>
      <w:r>
        <w:rPr>
          <w:i/>
          <w:iCs/>
          <w:color w:val="000000"/>
        </w:rPr>
        <w:t xml:space="preserve">k </w:t>
      </w:r>
      <w:r>
        <w:rPr>
          <w:color w:val="000000"/>
        </w:rPr>
        <w:t xml:space="preserve">&gt; 3). The dataset was built from </w:t>
      </w:r>
      <w:proofErr w:type="spellStart"/>
      <w:r>
        <w:rPr>
          <w:color w:val="000000"/>
        </w:rPr>
        <w:t>Ecopia</w:t>
      </w:r>
      <w:proofErr w:type="spellEnd"/>
      <w:r>
        <w:rPr>
          <w:color w:val="000000"/>
        </w:rPr>
        <w:t xml:space="preserve"> building footprints (2022), OpenStreetMap roads, and auxiliary population/household sources (</w:t>
      </w:r>
      <w:proofErr w:type="spellStart"/>
      <w:r>
        <w:rPr>
          <w:color w:val="000000"/>
        </w:rPr>
        <w:t>LandScan</w:t>
      </w:r>
      <w:proofErr w:type="spellEnd"/>
      <w:r>
        <w:rPr>
          <w:color w:val="000000"/>
        </w:rPr>
        <w:t xml:space="preserve">, </w:t>
      </w:r>
      <w:proofErr w:type="spellStart"/>
      <w:r>
        <w:rPr>
          <w:color w:val="000000"/>
        </w:rPr>
        <w:t>WorldPop</w:t>
      </w:r>
      <w:proofErr w:type="spellEnd"/>
      <w:r>
        <w:rPr>
          <w:color w:val="000000"/>
        </w:rPr>
        <w:t xml:space="preserve">, DHS). Coverage spans ~9.8 million blocks, &gt;415 million buildings, ~50 nations, and 2,190 urban areas in SSA. </w:t>
      </w:r>
    </w:p>
    <w:p w14:paraId="07CA2B32" w14:textId="6D97BFFE" w:rsidR="00B20B07" w:rsidRDefault="00B20B07" w:rsidP="00E613D0">
      <w:pPr>
        <w:spacing w:line="360" w:lineRule="auto"/>
        <w:rPr>
          <w:color w:val="000000"/>
        </w:rPr>
      </w:pPr>
      <w:r>
        <w:rPr>
          <w:color w:val="000000"/>
        </w:rPr>
        <w:t>Data were obtained from the MN download portal (</w:t>
      </w:r>
      <w:hyperlink r:id="rId14" w:history="1">
        <w:r w:rsidRPr="00642FAC">
          <w:rPr>
            <w:rStyle w:val="Hyperlink"/>
          </w:rPr>
          <w:t>https://www.millionneighborhoods.africa/download</w:t>
        </w:r>
      </w:hyperlink>
      <w:r>
        <w:rPr>
          <w:color w:val="000000"/>
        </w:rPr>
        <w:t xml:space="preserve">) as Parquet files and converted to per-country </w:t>
      </w:r>
      <w:proofErr w:type="spellStart"/>
      <w:r>
        <w:rPr>
          <w:color w:val="000000"/>
        </w:rPr>
        <w:t>GeoPackages</w:t>
      </w:r>
      <w:proofErr w:type="spellEnd"/>
      <w:r>
        <w:rPr>
          <w:color w:val="000000"/>
        </w:rPr>
        <w:t xml:space="preserve"> (GPKG) for processing. We retained identifiers (</w:t>
      </w:r>
      <w:proofErr w:type="spellStart"/>
      <w:r>
        <w:rPr>
          <w:color w:val="000000"/>
        </w:rPr>
        <w:t>country_name</w:t>
      </w:r>
      <w:proofErr w:type="spellEnd"/>
      <w:r>
        <w:rPr>
          <w:color w:val="000000"/>
        </w:rPr>
        <w:t xml:space="preserve">, </w:t>
      </w:r>
      <w:proofErr w:type="spellStart"/>
      <w:r>
        <w:rPr>
          <w:color w:val="000000"/>
        </w:rPr>
        <w:t>urban_id</w:t>
      </w:r>
      <w:proofErr w:type="spellEnd"/>
      <w:r>
        <w:rPr>
          <w:color w:val="000000"/>
        </w:rPr>
        <w:t xml:space="preserve">), block geometry, </w:t>
      </w:r>
      <w:proofErr w:type="spellStart"/>
      <w:r>
        <w:rPr>
          <w:color w:val="000000"/>
        </w:rPr>
        <w:t>k_complexity</w:t>
      </w:r>
      <w:proofErr w:type="spellEnd"/>
      <w:r>
        <w:rPr>
          <w:color w:val="000000"/>
        </w:rPr>
        <w:t xml:space="preserve">, and related attributes; all layers were harmonized to WGS84 and geometries validated/repaired prior to overlay. For this study, we included 45 SSA countries that overlap our city segments, restricting analysis to MN blocks within the city segment extent (blocks outside were discarded). </w:t>
      </w:r>
    </w:p>
    <w:p w14:paraId="2765F46C" w14:textId="3A4FC6A8" w:rsidR="0086524A" w:rsidRDefault="007C417F" w:rsidP="00C73D5A">
      <w:pPr>
        <w:pStyle w:val="Heading3"/>
      </w:pPr>
      <w:bookmarkStart w:id="15" w:name="_Toc214016755"/>
      <w:r>
        <w:t>2</w:t>
      </w:r>
      <w:r w:rsidR="0086524A">
        <w:t>.4.2 Method</w:t>
      </w:r>
      <w:bookmarkEnd w:id="15"/>
    </w:p>
    <w:p w14:paraId="0F167E85" w14:textId="2C2C50FC" w:rsidR="0086524A" w:rsidRDefault="0086524A" w:rsidP="0086524A">
      <w:pPr>
        <w:spacing w:line="360" w:lineRule="auto"/>
      </w:pPr>
      <w:r>
        <w:t xml:space="preserve">Each MN block carries a k-complexity index representing the number of successive ‘building layers’ separating the most inaccessible building from the nearest mapped street. Blocks were assigned a binary deprived label when </w:t>
      </w:r>
      <w:r>
        <w:rPr>
          <w:i/>
          <w:iCs/>
        </w:rPr>
        <w:t xml:space="preserve">k </w:t>
      </w:r>
      <w:r>
        <w:t xml:space="preserve">exceeded a defined </w:t>
      </w:r>
      <w:r>
        <w:lastRenderedPageBreak/>
        <w:t xml:space="preserve">threshold. Two block-level thresholds were tested: </w:t>
      </w:r>
      <w:r>
        <w:rPr>
          <w:i/>
          <w:iCs/>
        </w:rPr>
        <w:t xml:space="preserve">k </w:t>
      </w:r>
      <w:r>
        <w:t xml:space="preserve">&gt; 0.3 (moderate access deficit) and </w:t>
      </w:r>
      <w:r>
        <w:rPr>
          <w:i/>
          <w:iCs/>
        </w:rPr>
        <w:t xml:space="preserve">k </w:t>
      </w:r>
      <w:r>
        <w:t>&gt; 0.5 (severe access deficit). These thresholds correspond to the mid- and upper-range cut-offs used in the MN framework to delineate poor street access and infrastructural exclusion.</w:t>
      </w:r>
    </w:p>
    <w:p w14:paraId="13E434F2" w14:textId="13BB36CD" w:rsidR="0086524A" w:rsidRDefault="0086524A" w:rsidP="0086524A">
      <w:pPr>
        <w:spacing w:line="360" w:lineRule="auto"/>
      </w:pPr>
      <w:r>
        <w:t>Because MN blocks and city segments differ spatially, block-level deprivation labels were aggregated to the segment scale using a three-step rule set:</w:t>
      </w:r>
    </w:p>
    <w:p w14:paraId="6ECAD1DF" w14:textId="79E70AD0" w:rsidR="0086524A" w:rsidRDefault="0086524A" w:rsidP="0086524A">
      <w:pPr>
        <w:pStyle w:val="ListParagraph"/>
        <w:numPr>
          <w:ilvl w:val="0"/>
          <w:numId w:val="20"/>
        </w:numPr>
        <w:spacing w:line="360" w:lineRule="auto"/>
      </w:pPr>
      <w:r>
        <w:t>Full-cover rule: if a single block covers ≥ 90% of a segments area, the segment inherits that block’s label.</w:t>
      </w:r>
    </w:p>
    <w:p w14:paraId="46D6B028" w14:textId="0621B873" w:rsidR="0086524A" w:rsidRDefault="0086524A" w:rsidP="0086524A">
      <w:pPr>
        <w:pStyle w:val="ListParagraph"/>
        <w:numPr>
          <w:ilvl w:val="0"/>
          <w:numId w:val="20"/>
        </w:numPr>
        <w:spacing w:line="360" w:lineRule="auto"/>
      </w:pPr>
      <w:r>
        <w:t>Centroid-majority rule (default): if multiple blocks intersect, all blocks whose centroids fall inside the segment are counted; the share of high-</w:t>
      </w:r>
      <w:r>
        <w:rPr>
          <w:i/>
          <w:iCs/>
        </w:rPr>
        <w:t xml:space="preserve">k </w:t>
      </w:r>
      <w:r>
        <w:t>(deprived) blocks is computed.</w:t>
      </w:r>
    </w:p>
    <w:p w14:paraId="6548C8B2" w14:textId="4F98171D" w:rsidR="0086524A" w:rsidRDefault="0086524A" w:rsidP="0086524A">
      <w:pPr>
        <w:pStyle w:val="ListParagraph"/>
        <w:numPr>
          <w:ilvl w:val="0"/>
          <w:numId w:val="20"/>
        </w:numPr>
        <w:spacing w:line="360" w:lineRule="auto"/>
      </w:pPr>
      <w:r>
        <w:t>Coverage-share fallback: if no centroids fall within or if a tie occurs, an area-weighted share of deprived blocks is calculated.</w:t>
      </w:r>
    </w:p>
    <w:p w14:paraId="6C5402C1" w14:textId="0AEF4F3A" w:rsidR="0086524A" w:rsidRDefault="0086524A" w:rsidP="0086524A">
      <w:pPr>
        <w:spacing w:line="360" w:lineRule="auto"/>
      </w:pPr>
      <w:r>
        <w:t>This hierarchy ensures consistent results across segments that overlap one or multiple MN blocks, accounting for spatial misalignments between the two units.</w:t>
      </w:r>
    </w:p>
    <w:p w14:paraId="51593A27" w14:textId="041ED7F5" w:rsidR="0086524A" w:rsidRDefault="0086524A" w:rsidP="0086524A">
      <w:pPr>
        <w:spacing w:line="360" w:lineRule="auto"/>
      </w:pPr>
      <w:r>
        <w:t xml:space="preserve">After aggregation, a segment was labelled deprived if the proportion of deprived blocks within it exceeded a majority threshold (τ). Three thresholds were evaluated: τ </w:t>
      </w:r>
      <w:r w:rsidRPr="00796EC8">
        <w:rPr>
          <w:rFonts w:ascii="Cambria Math" w:hAnsi="Cambria Math" w:cs="Cambria Math"/>
        </w:rPr>
        <w:t>∈</w:t>
      </w:r>
      <w:r>
        <w:rPr>
          <w:rFonts w:ascii="Cambria Math" w:hAnsi="Cambria Math" w:cs="Cambria Math"/>
        </w:rPr>
        <w:t xml:space="preserve"> {0.1, 0.2, 0.3}. </w:t>
      </w:r>
      <w:r>
        <w:t xml:space="preserve">Combined with the two block-level </w:t>
      </w:r>
      <w:r>
        <w:rPr>
          <w:i/>
          <w:iCs/>
        </w:rPr>
        <w:t xml:space="preserve">k </w:t>
      </w:r>
      <w:r>
        <w:t>thresholds, this yielded six parameter combinations for comparison.</w:t>
      </w:r>
    </w:p>
    <w:p w14:paraId="6CFFBB1A" w14:textId="03B30C33" w:rsidR="00C73D5A" w:rsidRDefault="007C417F" w:rsidP="00C73D5A">
      <w:pPr>
        <w:pStyle w:val="Heading3"/>
      </w:pPr>
      <w:bookmarkStart w:id="16" w:name="_Toc214016756"/>
      <w:r>
        <w:t>2</w:t>
      </w:r>
      <w:r w:rsidR="00C73D5A">
        <w:t>.4.3 Results</w:t>
      </w:r>
      <w:bookmarkEnd w:id="16"/>
    </w:p>
    <w:p w14:paraId="6AACB844" w14:textId="04E43ED7" w:rsidR="00C73D5A" w:rsidRDefault="001D1007" w:rsidP="001D1007">
      <w:pPr>
        <w:spacing w:line="360" w:lineRule="auto"/>
      </w:pPr>
      <w:r>
        <w:t xml:space="preserve">Figure </w:t>
      </w:r>
      <w:r w:rsidR="00500C53">
        <w:t>7</w:t>
      </w:r>
      <w:r>
        <w:t xml:space="preserve"> reports country-level precision, recall, and F1 for MN-derived segment labels under two block-level cut offs (k &gt; 0.3 and k &gt; 0.5) and three segment majority thresholds (τ = 0.1, 0.2, 0.3). Medians are annotated in each box. For k &gt; 0.3, median precision is 0.3</w:t>
      </w:r>
      <w:r w:rsidR="00500C53">
        <w:t>9</w:t>
      </w:r>
      <w:r>
        <w:t>-0.</w:t>
      </w:r>
      <w:r w:rsidR="00500C53">
        <w:t>41</w:t>
      </w:r>
      <w:r>
        <w:t>, recall decreases from 0.3</w:t>
      </w:r>
      <w:r w:rsidR="00500C53">
        <w:t>2</w:t>
      </w:r>
      <w:r>
        <w:t xml:space="preserve"> to 0.2</w:t>
      </w:r>
      <w:r w:rsidR="00500C53">
        <w:t>2</w:t>
      </w:r>
      <w:r>
        <w:t xml:space="preserve"> as τ increases, and F1 is 0.28-0.</w:t>
      </w:r>
      <w:r w:rsidR="00500C53">
        <w:t>30</w:t>
      </w:r>
      <w:r>
        <w:t>. For k &gt; 0.5, median precision is around 0.</w:t>
      </w:r>
      <w:r w:rsidR="00500C53">
        <w:t>40</w:t>
      </w:r>
      <w:r>
        <w:t xml:space="preserve">, recall around 0.05, and F1 around 0.10 across τ. Distributions are broadly similar across τ within each k-level. Table </w:t>
      </w:r>
      <w:r w:rsidR="00500C53">
        <w:t>3</w:t>
      </w:r>
      <w:r>
        <w:t xml:space="preserve"> provides the corresponding global scale and population coverage for each parameter combination.</w:t>
      </w:r>
    </w:p>
    <w:p w14:paraId="2D6BF276" w14:textId="658DD634" w:rsidR="00C73D5A" w:rsidRDefault="00C73D5A" w:rsidP="00C73D5A"/>
    <w:p w14:paraId="384E13E5" w14:textId="77777777" w:rsidR="001D1007" w:rsidRDefault="00C73D5A" w:rsidP="001D1007">
      <w:pPr>
        <w:keepNext/>
      </w:pPr>
      <w:r w:rsidRPr="00C73D5A">
        <w:rPr>
          <w:noProof/>
        </w:rPr>
        <w:lastRenderedPageBreak/>
        <w:drawing>
          <wp:inline distT="0" distB="0" distL="0" distR="0" wp14:anchorId="68D9D83B" wp14:editId="7FE79CB8">
            <wp:extent cx="5731195" cy="3230880"/>
            <wp:effectExtent l="0" t="0" r="3175" b="7620"/>
            <wp:docPr id="120976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66813"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195" cy="3230880"/>
                    </a:xfrm>
                    <a:prstGeom prst="rect">
                      <a:avLst/>
                    </a:prstGeom>
                  </pic:spPr>
                </pic:pic>
              </a:graphicData>
            </a:graphic>
          </wp:inline>
        </w:drawing>
      </w:r>
    </w:p>
    <w:p w14:paraId="61DB34F9" w14:textId="28E7E9EB" w:rsidR="00C73D5A" w:rsidRDefault="001D1007" w:rsidP="001D1007">
      <w:pPr>
        <w:pStyle w:val="Caption"/>
      </w:pPr>
      <w:r>
        <w:t xml:space="preserve">Figure </w:t>
      </w:r>
      <w:fldSimple w:instr=" SEQ Figure \* ARABIC ">
        <w:r w:rsidR="00500C53">
          <w:rPr>
            <w:noProof/>
          </w:rPr>
          <w:t>7</w:t>
        </w:r>
      </w:fldSimple>
      <w:r>
        <w:t xml:space="preserve">: Country-level alignment of MN with </w:t>
      </w:r>
      <w:r w:rsidR="008E1B29">
        <w:t>CSMD</w:t>
      </w:r>
      <w:r>
        <w:t xml:space="preserve"> across thresholds at two k-levels (rows). Boxes show interquartile ranges with medians annotated; dots are per-country values.</w:t>
      </w:r>
    </w:p>
    <w:p w14:paraId="619AC280" w14:textId="77777777" w:rsidR="001D1007" w:rsidRPr="001D1007" w:rsidRDefault="001D1007" w:rsidP="001D1007"/>
    <w:p w14:paraId="52AD7117" w14:textId="48771AF2" w:rsidR="001D1007" w:rsidRDefault="001D1007" w:rsidP="001D1007">
      <w:pPr>
        <w:pStyle w:val="Caption"/>
        <w:keepNext/>
      </w:pPr>
      <w:r>
        <w:t xml:space="preserve">Table </w:t>
      </w:r>
      <w:fldSimple w:instr=" SEQ Table \* ARABIC ">
        <w:r w:rsidR="00500C53">
          <w:rPr>
            <w:noProof/>
          </w:rPr>
          <w:t>3</w:t>
        </w:r>
      </w:fldSimple>
      <w:r>
        <w:t xml:space="preserve">: All (n=45) segment and population coverage for MN rules compared with </w:t>
      </w:r>
      <w:r w:rsidR="008E1B29">
        <w:t>CSMD</w:t>
      </w:r>
      <w:r>
        <w:t>.</w:t>
      </w:r>
    </w:p>
    <w:tbl>
      <w:tblPr>
        <w:tblStyle w:val="TableGrid"/>
        <w:tblW w:w="0" w:type="auto"/>
        <w:tblLayout w:type="fixed"/>
        <w:tblLook w:val="04A0" w:firstRow="1" w:lastRow="0" w:firstColumn="1" w:lastColumn="0" w:noHBand="0" w:noVBand="1"/>
      </w:tblPr>
      <w:tblGrid>
        <w:gridCol w:w="609"/>
        <w:gridCol w:w="617"/>
        <w:gridCol w:w="818"/>
        <w:gridCol w:w="916"/>
        <w:gridCol w:w="863"/>
        <w:gridCol w:w="862"/>
        <w:gridCol w:w="1043"/>
        <w:gridCol w:w="1119"/>
        <w:gridCol w:w="1046"/>
        <w:gridCol w:w="1123"/>
      </w:tblGrid>
      <w:tr w:rsidR="00C73D5A" w:rsidRPr="00BD66F6" w14:paraId="61BF5E2B" w14:textId="77777777" w:rsidTr="00E6524F">
        <w:trPr>
          <w:trHeight w:val="576"/>
        </w:trPr>
        <w:tc>
          <w:tcPr>
            <w:tcW w:w="609" w:type="dxa"/>
            <w:noWrap/>
            <w:hideMark/>
          </w:tcPr>
          <w:p w14:paraId="5342EE76" w14:textId="2D6A2C13" w:rsidR="00C73D5A" w:rsidRPr="00BD66F6" w:rsidRDefault="00C73D5A" w:rsidP="00E6524F">
            <w:pPr>
              <w:rPr>
                <w:sz w:val="18"/>
                <w:szCs w:val="18"/>
              </w:rPr>
            </w:pPr>
            <w:r>
              <w:rPr>
                <w:sz w:val="18"/>
                <w:szCs w:val="18"/>
              </w:rPr>
              <w:t>Rule</w:t>
            </w:r>
          </w:p>
        </w:tc>
        <w:tc>
          <w:tcPr>
            <w:tcW w:w="617" w:type="dxa"/>
            <w:hideMark/>
          </w:tcPr>
          <w:p w14:paraId="49C30A8B" w14:textId="77777777" w:rsidR="00C73D5A" w:rsidRPr="00BD66F6" w:rsidRDefault="00C73D5A" w:rsidP="00E6524F">
            <w:pPr>
              <w:rPr>
                <w:sz w:val="18"/>
                <w:szCs w:val="18"/>
              </w:rPr>
            </w:pPr>
            <w:r w:rsidRPr="00BD66F6">
              <w:rPr>
                <w:sz w:val="18"/>
                <w:szCs w:val="18"/>
              </w:rPr>
              <w:t>Threshold</w:t>
            </w:r>
          </w:p>
        </w:tc>
        <w:tc>
          <w:tcPr>
            <w:tcW w:w="818" w:type="dxa"/>
            <w:hideMark/>
          </w:tcPr>
          <w:p w14:paraId="5A7862FE" w14:textId="4756BE94" w:rsidR="00C73D5A" w:rsidRPr="00BD66F6" w:rsidRDefault="00C73D5A" w:rsidP="00E6524F">
            <w:pPr>
              <w:rPr>
                <w:sz w:val="18"/>
                <w:szCs w:val="18"/>
              </w:rPr>
            </w:pPr>
            <w:proofErr w:type="spellStart"/>
            <w:r w:rsidRPr="00BD66F6">
              <w:rPr>
                <w:sz w:val="18"/>
                <w:szCs w:val="18"/>
              </w:rPr>
              <w:t>Total</w:t>
            </w:r>
            <w:r>
              <w:rPr>
                <w:sz w:val="18"/>
                <w:szCs w:val="18"/>
              </w:rPr>
              <w:t>_</w:t>
            </w:r>
            <w:r w:rsidRPr="00BD66F6">
              <w:rPr>
                <w:sz w:val="18"/>
                <w:szCs w:val="18"/>
              </w:rPr>
              <w:t>Seg</w:t>
            </w:r>
            <w:r w:rsidR="003B5FA0">
              <w:rPr>
                <w:sz w:val="18"/>
                <w:szCs w:val="18"/>
              </w:rPr>
              <w:t>ments</w:t>
            </w:r>
            <w:proofErr w:type="spellEnd"/>
          </w:p>
        </w:tc>
        <w:tc>
          <w:tcPr>
            <w:tcW w:w="916" w:type="dxa"/>
            <w:hideMark/>
          </w:tcPr>
          <w:p w14:paraId="577A84B6" w14:textId="77777777" w:rsidR="00C73D5A" w:rsidRPr="00BD66F6" w:rsidRDefault="00C73D5A" w:rsidP="00E6524F">
            <w:pPr>
              <w:rPr>
                <w:sz w:val="18"/>
                <w:szCs w:val="18"/>
              </w:rPr>
            </w:pPr>
            <w:proofErr w:type="spellStart"/>
            <w:r w:rsidRPr="00BD66F6">
              <w:rPr>
                <w:sz w:val="18"/>
                <w:szCs w:val="18"/>
              </w:rPr>
              <w:t>RF_Deprived_Seg</w:t>
            </w:r>
            <w:proofErr w:type="spellEnd"/>
          </w:p>
        </w:tc>
        <w:tc>
          <w:tcPr>
            <w:tcW w:w="863" w:type="dxa"/>
            <w:hideMark/>
          </w:tcPr>
          <w:p w14:paraId="12421D2D" w14:textId="77777777" w:rsidR="00C73D5A" w:rsidRPr="00BD66F6" w:rsidRDefault="00C73D5A" w:rsidP="00E6524F">
            <w:pPr>
              <w:rPr>
                <w:sz w:val="18"/>
                <w:szCs w:val="18"/>
              </w:rPr>
            </w:pPr>
            <w:proofErr w:type="spellStart"/>
            <w:r w:rsidRPr="00BD66F6">
              <w:rPr>
                <w:sz w:val="18"/>
                <w:szCs w:val="18"/>
              </w:rPr>
              <w:t>Rule_Deprived_Seg</w:t>
            </w:r>
            <w:proofErr w:type="spellEnd"/>
          </w:p>
        </w:tc>
        <w:tc>
          <w:tcPr>
            <w:tcW w:w="862" w:type="dxa"/>
            <w:hideMark/>
          </w:tcPr>
          <w:p w14:paraId="0D65FFC6" w14:textId="77777777" w:rsidR="00C73D5A" w:rsidRPr="00BD66F6" w:rsidRDefault="00C73D5A" w:rsidP="00E6524F">
            <w:pPr>
              <w:rPr>
                <w:sz w:val="18"/>
                <w:szCs w:val="18"/>
              </w:rPr>
            </w:pPr>
            <w:proofErr w:type="spellStart"/>
            <w:r w:rsidRPr="00BD66F6">
              <w:rPr>
                <w:sz w:val="18"/>
                <w:szCs w:val="18"/>
              </w:rPr>
              <w:t>Total_Pop_M</w:t>
            </w:r>
            <w:proofErr w:type="spellEnd"/>
          </w:p>
        </w:tc>
        <w:tc>
          <w:tcPr>
            <w:tcW w:w="1043" w:type="dxa"/>
            <w:hideMark/>
          </w:tcPr>
          <w:p w14:paraId="1D11F9CB" w14:textId="77777777" w:rsidR="00C73D5A" w:rsidRPr="00BD66F6" w:rsidRDefault="00C73D5A" w:rsidP="00E6524F">
            <w:pPr>
              <w:rPr>
                <w:sz w:val="18"/>
                <w:szCs w:val="18"/>
              </w:rPr>
            </w:pPr>
            <w:proofErr w:type="spellStart"/>
            <w:r w:rsidRPr="00BD66F6">
              <w:rPr>
                <w:sz w:val="18"/>
                <w:szCs w:val="18"/>
              </w:rPr>
              <w:t>RF_Deprived_Pop_M</w:t>
            </w:r>
            <w:proofErr w:type="spellEnd"/>
          </w:p>
        </w:tc>
        <w:tc>
          <w:tcPr>
            <w:tcW w:w="1119" w:type="dxa"/>
            <w:hideMark/>
          </w:tcPr>
          <w:p w14:paraId="55A89053" w14:textId="77777777" w:rsidR="00C73D5A" w:rsidRPr="00BD66F6" w:rsidRDefault="00C73D5A" w:rsidP="00E6524F">
            <w:pPr>
              <w:rPr>
                <w:sz w:val="18"/>
                <w:szCs w:val="18"/>
              </w:rPr>
            </w:pPr>
            <w:proofErr w:type="spellStart"/>
            <w:r w:rsidRPr="00BD66F6">
              <w:rPr>
                <w:sz w:val="18"/>
                <w:szCs w:val="18"/>
              </w:rPr>
              <w:t>Rule_Deprived_Pop_M</w:t>
            </w:r>
            <w:proofErr w:type="spellEnd"/>
          </w:p>
        </w:tc>
        <w:tc>
          <w:tcPr>
            <w:tcW w:w="1046" w:type="dxa"/>
            <w:hideMark/>
          </w:tcPr>
          <w:p w14:paraId="3EB5A71B" w14:textId="77777777" w:rsidR="00C73D5A" w:rsidRPr="00BD66F6" w:rsidRDefault="00C73D5A" w:rsidP="00E6524F">
            <w:pPr>
              <w:rPr>
                <w:sz w:val="18"/>
                <w:szCs w:val="18"/>
              </w:rPr>
            </w:pPr>
            <w:proofErr w:type="spellStart"/>
            <w:r w:rsidRPr="00BD66F6">
              <w:rPr>
                <w:sz w:val="18"/>
                <w:szCs w:val="18"/>
              </w:rPr>
              <w:t>RF_Deprived_Pop</w:t>
            </w:r>
            <w:proofErr w:type="spellEnd"/>
            <w:r w:rsidRPr="00BD66F6">
              <w:rPr>
                <w:sz w:val="18"/>
                <w:szCs w:val="18"/>
              </w:rPr>
              <w:t>_%</w:t>
            </w:r>
          </w:p>
        </w:tc>
        <w:tc>
          <w:tcPr>
            <w:tcW w:w="1123" w:type="dxa"/>
            <w:hideMark/>
          </w:tcPr>
          <w:p w14:paraId="59D88050" w14:textId="77777777" w:rsidR="00C73D5A" w:rsidRPr="00BD66F6" w:rsidRDefault="00C73D5A" w:rsidP="00E6524F">
            <w:pPr>
              <w:rPr>
                <w:sz w:val="18"/>
                <w:szCs w:val="18"/>
              </w:rPr>
            </w:pPr>
            <w:proofErr w:type="spellStart"/>
            <w:r w:rsidRPr="00BD66F6">
              <w:rPr>
                <w:sz w:val="18"/>
                <w:szCs w:val="18"/>
              </w:rPr>
              <w:t>Rule_Deprived_Pop</w:t>
            </w:r>
            <w:proofErr w:type="spellEnd"/>
            <w:r w:rsidRPr="00BD66F6">
              <w:rPr>
                <w:sz w:val="18"/>
                <w:szCs w:val="18"/>
              </w:rPr>
              <w:t>_%</w:t>
            </w:r>
          </w:p>
        </w:tc>
      </w:tr>
      <w:tr w:rsidR="00500C53" w:rsidRPr="00BD66F6" w14:paraId="4E29E4CB" w14:textId="77777777" w:rsidTr="00670F95">
        <w:trPr>
          <w:trHeight w:val="288"/>
        </w:trPr>
        <w:tc>
          <w:tcPr>
            <w:tcW w:w="609" w:type="dxa"/>
            <w:vMerge w:val="restart"/>
            <w:noWrap/>
            <w:hideMark/>
          </w:tcPr>
          <w:p w14:paraId="058C810D" w14:textId="163DE1CA" w:rsidR="00500C53" w:rsidRPr="00BD66F6" w:rsidRDefault="00500C53" w:rsidP="00500C53">
            <w:pPr>
              <w:rPr>
                <w:sz w:val="18"/>
                <w:szCs w:val="18"/>
              </w:rPr>
            </w:pPr>
            <w:r>
              <w:rPr>
                <w:sz w:val="18"/>
                <w:szCs w:val="18"/>
              </w:rPr>
              <w:t>K &gt; 0.3</w:t>
            </w:r>
          </w:p>
        </w:tc>
        <w:tc>
          <w:tcPr>
            <w:tcW w:w="617" w:type="dxa"/>
            <w:noWrap/>
            <w:hideMark/>
          </w:tcPr>
          <w:p w14:paraId="7A3F72A3" w14:textId="77777777" w:rsidR="00500C53" w:rsidRPr="00BD66F6" w:rsidRDefault="00500C53" w:rsidP="00500C53">
            <w:pPr>
              <w:rPr>
                <w:sz w:val="18"/>
                <w:szCs w:val="18"/>
              </w:rPr>
            </w:pPr>
            <w:r w:rsidRPr="00BD66F6">
              <w:rPr>
                <w:sz w:val="18"/>
                <w:szCs w:val="18"/>
              </w:rPr>
              <w:t>0.1</w:t>
            </w:r>
          </w:p>
        </w:tc>
        <w:tc>
          <w:tcPr>
            <w:tcW w:w="818" w:type="dxa"/>
            <w:noWrap/>
            <w:vAlign w:val="bottom"/>
            <w:hideMark/>
          </w:tcPr>
          <w:p w14:paraId="6F1DC9C7" w14:textId="73957A58"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hideMark/>
          </w:tcPr>
          <w:p w14:paraId="64D2CD27" w14:textId="783F827D"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hideMark/>
          </w:tcPr>
          <w:p w14:paraId="061546BC" w14:textId="7663F86E" w:rsidR="00500C53" w:rsidRPr="00500C53" w:rsidRDefault="00500C53" w:rsidP="00500C53">
            <w:pPr>
              <w:rPr>
                <w:sz w:val="18"/>
                <w:szCs w:val="18"/>
              </w:rPr>
            </w:pPr>
            <w:r w:rsidRPr="00500C53">
              <w:rPr>
                <w:rFonts w:ascii="Aptos Narrow" w:hAnsi="Aptos Narrow"/>
                <w:color w:val="000000"/>
                <w:sz w:val="18"/>
                <w:szCs w:val="18"/>
              </w:rPr>
              <w:t>178754</w:t>
            </w:r>
          </w:p>
        </w:tc>
        <w:tc>
          <w:tcPr>
            <w:tcW w:w="862" w:type="dxa"/>
            <w:noWrap/>
            <w:vAlign w:val="bottom"/>
            <w:hideMark/>
          </w:tcPr>
          <w:p w14:paraId="79474D8B" w14:textId="20C0F5D5"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hideMark/>
          </w:tcPr>
          <w:p w14:paraId="3F76D6FD" w14:textId="1143E5B7"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hideMark/>
          </w:tcPr>
          <w:p w14:paraId="4D228DBD" w14:textId="79F4B3AF" w:rsidR="00500C53" w:rsidRPr="00500C53" w:rsidRDefault="00500C53" w:rsidP="00500C53">
            <w:pPr>
              <w:rPr>
                <w:sz w:val="18"/>
                <w:szCs w:val="18"/>
              </w:rPr>
            </w:pPr>
            <w:r w:rsidRPr="00500C53">
              <w:rPr>
                <w:rFonts w:ascii="Aptos Narrow" w:hAnsi="Aptos Narrow"/>
                <w:color w:val="000000"/>
                <w:sz w:val="18"/>
                <w:szCs w:val="18"/>
              </w:rPr>
              <w:t>317.31</w:t>
            </w:r>
          </w:p>
        </w:tc>
        <w:tc>
          <w:tcPr>
            <w:tcW w:w="1046" w:type="dxa"/>
            <w:noWrap/>
            <w:vAlign w:val="bottom"/>
            <w:hideMark/>
          </w:tcPr>
          <w:p w14:paraId="41A45FBB" w14:textId="42AED274"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hideMark/>
          </w:tcPr>
          <w:p w14:paraId="59F95B21" w14:textId="09B5FCF5" w:rsidR="00500C53" w:rsidRPr="00500C53" w:rsidRDefault="00500C53" w:rsidP="00500C53">
            <w:pPr>
              <w:rPr>
                <w:sz w:val="18"/>
                <w:szCs w:val="18"/>
              </w:rPr>
            </w:pPr>
            <w:r w:rsidRPr="00500C53">
              <w:rPr>
                <w:rFonts w:ascii="Aptos Narrow" w:hAnsi="Aptos Narrow"/>
                <w:color w:val="000000"/>
                <w:sz w:val="18"/>
                <w:szCs w:val="18"/>
              </w:rPr>
              <w:t>40.93</w:t>
            </w:r>
          </w:p>
        </w:tc>
      </w:tr>
      <w:tr w:rsidR="00500C53" w:rsidRPr="00BD66F6" w14:paraId="279C6F31" w14:textId="77777777" w:rsidTr="00670F95">
        <w:trPr>
          <w:trHeight w:val="288"/>
        </w:trPr>
        <w:tc>
          <w:tcPr>
            <w:tcW w:w="609" w:type="dxa"/>
            <w:vMerge/>
            <w:noWrap/>
            <w:hideMark/>
          </w:tcPr>
          <w:p w14:paraId="383B177D" w14:textId="77777777" w:rsidR="00500C53" w:rsidRPr="00BD66F6" w:rsidRDefault="00500C53" w:rsidP="00500C53">
            <w:pPr>
              <w:rPr>
                <w:sz w:val="18"/>
                <w:szCs w:val="18"/>
              </w:rPr>
            </w:pPr>
          </w:p>
        </w:tc>
        <w:tc>
          <w:tcPr>
            <w:tcW w:w="617" w:type="dxa"/>
            <w:noWrap/>
            <w:hideMark/>
          </w:tcPr>
          <w:p w14:paraId="4E00E4C9" w14:textId="77777777" w:rsidR="00500C53" w:rsidRPr="00BD66F6" w:rsidRDefault="00500C53" w:rsidP="00500C53">
            <w:pPr>
              <w:rPr>
                <w:sz w:val="18"/>
                <w:szCs w:val="18"/>
              </w:rPr>
            </w:pPr>
            <w:r w:rsidRPr="00BD66F6">
              <w:rPr>
                <w:sz w:val="18"/>
                <w:szCs w:val="18"/>
              </w:rPr>
              <w:t>0.2</w:t>
            </w:r>
          </w:p>
        </w:tc>
        <w:tc>
          <w:tcPr>
            <w:tcW w:w="818" w:type="dxa"/>
            <w:noWrap/>
            <w:vAlign w:val="bottom"/>
            <w:hideMark/>
          </w:tcPr>
          <w:p w14:paraId="1355CCB6" w14:textId="51A673E1"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hideMark/>
          </w:tcPr>
          <w:p w14:paraId="5D9B25DA" w14:textId="31D1846E"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hideMark/>
          </w:tcPr>
          <w:p w14:paraId="2407FDD4" w14:textId="12CB842C" w:rsidR="00500C53" w:rsidRPr="00500C53" w:rsidRDefault="00500C53" w:rsidP="00500C53">
            <w:pPr>
              <w:rPr>
                <w:sz w:val="18"/>
                <w:szCs w:val="18"/>
              </w:rPr>
            </w:pPr>
            <w:r w:rsidRPr="00500C53">
              <w:rPr>
                <w:rFonts w:ascii="Aptos Narrow" w:hAnsi="Aptos Narrow"/>
                <w:color w:val="000000"/>
                <w:sz w:val="18"/>
                <w:szCs w:val="18"/>
              </w:rPr>
              <w:t>140102</w:t>
            </w:r>
          </w:p>
        </w:tc>
        <w:tc>
          <w:tcPr>
            <w:tcW w:w="862" w:type="dxa"/>
            <w:noWrap/>
            <w:vAlign w:val="bottom"/>
            <w:hideMark/>
          </w:tcPr>
          <w:p w14:paraId="61A17B7D" w14:textId="4CAF6178"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hideMark/>
          </w:tcPr>
          <w:p w14:paraId="0B0B6393" w14:textId="19CBAC27"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hideMark/>
          </w:tcPr>
          <w:p w14:paraId="4EF7A6DD" w14:textId="255B8BC0" w:rsidR="00500C53" w:rsidRPr="00500C53" w:rsidRDefault="00500C53" w:rsidP="00500C53">
            <w:pPr>
              <w:rPr>
                <w:sz w:val="18"/>
                <w:szCs w:val="18"/>
              </w:rPr>
            </w:pPr>
            <w:r w:rsidRPr="00500C53">
              <w:rPr>
                <w:rFonts w:ascii="Aptos Narrow" w:hAnsi="Aptos Narrow"/>
                <w:color w:val="000000"/>
                <w:sz w:val="18"/>
                <w:szCs w:val="18"/>
              </w:rPr>
              <w:t>232.39</w:t>
            </w:r>
          </w:p>
        </w:tc>
        <w:tc>
          <w:tcPr>
            <w:tcW w:w="1046" w:type="dxa"/>
            <w:noWrap/>
            <w:vAlign w:val="bottom"/>
            <w:hideMark/>
          </w:tcPr>
          <w:p w14:paraId="0DC9496D" w14:textId="46279ADB"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hideMark/>
          </w:tcPr>
          <w:p w14:paraId="7E12859A" w14:textId="796C28E5" w:rsidR="00500C53" w:rsidRPr="00500C53" w:rsidRDefault="00500C53" w:rsidP="00500C53">
            <w:pPr>
              <w:rPr>
                <w:sz w:val="18"/>
                <w:szCs w:val="18"/>
              </w:rPr>
            </w:pPr>
            <w:r w:rsidRPr="00500C53">
              <w:rPr>
                <w:rFonts w:ascii="Aptos Narrow" w:hAnsi="Aptos Narrow"/>
                <w:color w:val="000000"/>
                <w:sz w:val="18"/>
                <w:szCs w:val="18"/>
              </w:rPr>
              <w:t>29.98</w:t>
            </w:r>
          </w:p>
        </w:tc>
      </w:tr>
      <w:tr w:rsidR="00500C53" w:rsidRPr="00BD66F6" w14:paraId="49DE4D5D" w14:textId="77777777" w:rsidTr="00670F95">
        <w:trPr>
          <w:trHeight w:val="288"/>
        </w:trPr>
        <w:tc>
          <w:tcPr>
            <w:tcW w:w="609" w:type="dxa"/>
            <w:vMerge/>
            <w:noWrap/>
            <w:hideMark/>
          </w:tcPr>
          <w:p w14:paraId="37626339" w14:textId="77777777" w:rsidR="00500C53" w:rsidRPr="00BD66F6" w:rsidRDefault="00500C53" w:rsidP="00500C53">
            <w:pPr>
              <w:rPr>
                <w:sz w:val="18"/>
                <w:szCs w:val="18"/>
              </w:rPr>
            </w:pPr>
          </w:p>
        </w:tc>
        <w:tc>
          <w:tcPr>
            <w:tcW w:w="617" w:type="dxa"/>
            <w:noWrap/>
            <w:hideMark/>
          </w:tcPr>
          <w:p w14:paraId="548552EE" w14:textId="77777777" w:rsidR="00500C53" w:rsidRPr="00BD66F6" w:rsidRDefault="00500C53" w:rsidP="00500C53">
            <w:pPr>
              <w:rPr>
                <w:sz w:val="18"/>
                <w:szCs w:val="18"/>
              </w:rPr>
            </w:pPr>
            <w:r w:rsidRPr="00BD66F6">
              <w:rPr>
                <w:sz w:val="18"/>
                <w:szCs w:val="18"/>
              </w:rPr>
              <w:t>0.3</w:t>
            </w:r>
          </w:p>
        </w:tc>
        <w:tc>
          <w:tcPr>
            <w:tcW w:w="818" w:type="dxa"/>
            <w:noWrap/>
            <w:vAlign w:val="bottom"/>
            <w:hideMark/>
          </w:tcPr>
          <w:p w14:paraId="19CB4A68" w14:textId="0A6F364D"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hideMark/>
          </w:tcPr>
          <w:p w14:paraId="26F2385F" w14:textId="23B92A7A"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hideMark/>
          </w:tcPr>
          <w:p w14:paraId="35695E04" w14:textId="2565E908" w:rsidR="00500C53" w:rsidRPr="00500C53" w:rsidRDefault="00500C53" w:rsidP="00500C53">
            <w:pPr>
              <w:rPr>
                <w:sz w:val="18"/>
                <w:szCs w:val="18"/>
              </w:rPr>
            </w:pPr>
            <w:r w:rsidRPr="00500C53">
              <w:rPr>
                <w:rFonts w:ascii="Aptos Narrow" w:hAnsi="Aptos Narrow"/>
                <w:color w:val="000000"/>
                <w:sz w:val="18"/>
                <w:szCs w:val="18"/>
              </w:rPr>
              <w:t>108982</w:t>
            </w:r>
          </w:p>
        </w:tc>
        <w:tc>
          <w:tcPr>
            <w:tcW w:w="862" w:type="dxa"/>
            <w:noWrap/>
            <w:vAlign w:val="bottom"/>
            <w:hideMark/>
          </w:tcPr>
          <w:p w14:paraId="2648A090" w14:textId="7559E676"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hideMark/>
          </w:tcPr>
          <w:p w14:paraId="4B44775F" w14:textId="1F678F27"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hideMark/>
          </w:tcPr>
          <w:p w14:paraId="1CA46728" w14:textId="02D8C9EA" w:rsidR="00500C53" w:rsidRPr="00500C53" w:rsidRDefault="00500C53" w:rsidP="00500C53">
            <w:pPr>
              <w:rPr>
                <w:sz w:val="18"/>
                <w:szCs w:val="18"/>
              </w:rPr>
            </w:pPr>
            <w:r w:rsidRPr="00500C53">
              <w:rPr>
                <w:rFonts w:ascii="Aptos Narrow" w:hAnsi="Aptos Narrow"/>
                <w:color w:val="000000"/>
                <w:sz w:val="18"/>
                <w:szCs w:val="18"/>
              </w:rPr>
              <w:t>179.24</w:t>
            </w:r>
          </w:p>
        </w:tc>
        <w:tc>
          <w:tcPr>
            <w:tcW w:w="1046" w:type="dxa"/>
            <w:noWrap/>
            <w:vAlign w:val="bottom"/>
            <w:hideMark/>
          </w:tcPr>
          <w:p w14:paraId="6A1635BB" w14:textId="523ACB13"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hideMark/>
          </w:tcPr>
          <w:p w14:paraId="71183CB8" w14:textId="319C1456" w:rsidR="00500C53" w:rsidRPr="00500C53" w:rsidRDefault="00500C53" w:rsidP="00500C53">
            <w:pPr>
              <w:rPr>
                <w:sz w:val="18"/>
                <w:szCs w:val="18"/>
              </w:rPr>
            </w:pPr>
            <w:r w:rsidRPr="00500C53">
              <w:rPr>
                <w:rFonts w:ascii="Aptos Narrow" w:hAnsi="Aptos Narrow"/>
                <w:color w:val="000000"/>
                <w:sz w:val="18"/>
                <w:szCs w:val="18"/>
              </w:rPr>
              <w:t>23.12</w:t>
            </w:r>
          </w:p>
        </w:tc>
      </w:tr>
      <w:tr w:rsidR="00500C53" w:rsidRPr="00BD66F6" w14:paraId="67D37250" w14:textId="77777777" w:rsidTr="00CB3809">
        <w:trPr>
          <w:trHeight w:val="288"/>
        </w:trPr>
        <w:tc>
          <w:tcPr>
            <w:tcW w:w="609" w:type="dxa"/>
            <w:vMerge w:val="restart"/>
            <w:noWrap/>
          </w:tcPr>
          <w:p w14:paraId="704ABFA0" w14:textId="555DCAB3" w:rsidR="00500C53" w:rsidRPr="00BD66F6" w:rsidRDefault="00500C53" w:rsidP="00500C53">
            <w:pPr>
              <w:rPr>
                <w:sz w:val="18"/>
                <w:szCs w:val="18"/>
              </w:rPr>
            </w:pPr>
            <w:r>
              <w:rPr>
                <w:sz w:val="18"/>
                <w:szCs w:val="18"/>
              </w:rPr>
              <w:t>K &gt; 0.5</w:t>
            </w:r>
          </w:p>
          <w:p w14:paraId="7EA64AF7" w14:textId="77777777" w:rsidR="00500C53" w:rsidRPr="00BD66F6" w:rsidRDefault="00500C53" w:rsidP="00500C53">
            <w:pPr>
              <w:rPr>
                <w:sz w:val="18"/>
                <w:szCs w:val="18"/>
              </w:rPr>
            </w:pPr>
          </w:p>
        </w:tc>
        <w:tc>
          <w:tcPr>
            <w:tcW w:w="617" w:type="dxa"/>
            <w:noWrap/>
          </w:tcPr>
          <w:p w14:paraId="4C96F106" w14:textId="77777777" w:rsidR="00500C53" w:rsidRPr="00BD66F6" w:rsidRDefault="00500C53" w:rsidP="00500C53">
            <w:pPr>
              <w:rPr>
                <w:sz w:val="18"/>
                <w:szCs w:val="18"/>
              </w:rPr>
            </w:pPr>
            <w:r w:rsidRPr="00BD66F6">
              <w:rPr>
                <w:sz w:val="18"/>
                <w:szCs w:val="18"/>
              </w:rPr>
              <w:t>0.1</w:t>
            </w:r>
          </w:p>
        </w:tc>
        <w:tc>
          <w:tcPr>
            <w:tcW w:w="818" w:type="dxa"/>
            <w:noWrap/>
            <w:vAlign w:val="bottom"/>
          </w:tcPr>
          <w:p w14:paraId="55A9406E" w14:textId="4784B072"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tcPr>
          <w:p w14:paraId="5919A037" w14:textId="510D8F20"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tcPr>
          <w:p w14:paraId="4724392B" w14:textId="65EA82A7" w:rsidR="00500C53" w:rsidRPr="00500C53" w:rsidRDefault="00500C53" w:rsidP="00500C53">
            <w:pPr>
              <w:rPr>
                <w:sz w:val="18"/>
                <w:szCs w:val="18"/>
              </w:rPr>
            </w:pPr>
            <w:r w:rsidRPr="00500C53">
              <w:rPr>
                <w:rFonts w:ascii="Aptos Narrow" w:hAnsi="Aptos Narrow"/>
                <w:color w:val="000000"/>
                <w:sz w:val="18"/>
                <w:szCs w:val="18"/>
              </w:rPr>
              <w:t>29150</w:t>
            </w:r>
          </w:p>
        </w:tc>
        <w:tc>
          <w:tcPr>
            <w:tcW w:w="862" w:type="dxa"/>
            <w:noWrap/>
            <w:vAlign w:val="bottom"/>
          </w:tcPr>
          <w:p w14:paraId="53B202A2" w14:textId="3CD5180B"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tcPr>
          <w:p w14:paraId="6F1BDCC9" w14:textId="1607CAC2"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tcPr>
          <w:p w14:paraId="1AF2065B" w14:textId="72A72199" w:rsidR="00500C53" w:rsidRPr="00500C53" w:rsidRDefault="00500C53" w:rsidP="00500C53">
            <w:pPr>
              <w:rPr>
                <w:sz w:val="18"/>
                <w:szCs w:val="18"/>
              </w:rPr>
            </w:pPr>
            <w:r w:rsidRPr="00500C53">
              <w:rPr>
                <w:rFonts w:ascii="Aptos Narrow" w:hAnsi="Aptos Narrow"/>
                <w:color w:val="000000"/>
                <w:sz w:val="18"/>
                <w:szCs w:val="18"/>
              </w:rPr>
              <w:t>93.99</w:t>
            </w:r>
          </w:p>
        </w:tc>
        <w:tc>
          <w:tcPr>
            <w:tcW w:w="1046" w:type="dxa"/>
            <w:noWrap/>
            <w:vAlign w:val="bottom"/>
          </w:tcPr>
          <w:p w14:paraId="51EA83EF" w14:textId="522487FA"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tcPr>
          <w:p w14:paraId="2CD44E7A" w14:textId="226CE22A" w:rsidR="00500C53" w:rsidRPr="00500C53" w:rsidRDefault="00500C53" w:rsidP="00500C53">
            <w:pPr>
              <w:rPr>
                <w:sz w:val="18"/>
                <w:szCs w:val="18"/>
              </w:rPr>
            </w:pPr>
            <w:r w:rsidRPr="00500C53">
              <w:rPr>
                <w:rFonts w:ascii="Aptos Narrow" w:hAnsi="Aptos Narrow"/>
                <w:color w:val="000000"/>
                <w:sz w:val="18"/>
                <w:szCs w:val="18"/>
              </w:rPr>
              <w:t>12.12</w:t>
            </w:r>
          </w:p>
        </w:tc>
      </w:tr>
      <w:tr w:rsidR="00500C53" w:rsidRPr="00BD66F6" w14:paraId="1273659C" w14:textId="77777777" w:rsidTr="00CB3809">
        <w:trPr>
          <w:trHeight w:val="288"/>
        </w:trPr>
        <w:tc>
          <w:tcPr>
            <w:tcW w:w="609" w:type="dxa"/>
            <w:vMerge/>
            <w:noWrap/>
          </w:tcPr>
          <w:p w14:paraId="35D558A8" w14:textId="77777777" w:rsidR="00500C53" w:rsidRPr="00BD66F6" w:rsidRDefault="00500C53" w:rsidP="00500C53">
            <w:pPr>
              <w:rPr>
                <w:sz w:val="18"/>
                <w:szCs w:val="18"/>
              </w:rPr>
            </w:pPr>
          </w:p>
        </w:tc>
        <w:tc>
          <w:tcPr>
            <w:tcW w:w="617" w:type="dxa"/>
            <w:noWrap/>
          </w:tcPr>
          <w:p w14:paraId="54B6E698" w14:textId="77777777" w:rsidR="00500C53" w:rsidRPr="00BD66F6" w:rsidRDefault="00500C53" w:rsidP="00500C53">
            <w:pPr>
              <w:rPr>
                <w:sz w:val="18"/>
                <w:szCs w:val="18"/>
              </w:rPr>
            </w:pPr>
            <w:r w:rsidRPr="00BD66F6">
              <w:rPr>
                <w:sz w:val="18"/>
                <w:szCs w:val="18"/>
              </w:rPr>
              <w:t>0.2</w:t>
            </w:r>
          </w:p>
        </w:tc>
        <w:tc>
          <w:tcPr>
            <w:tcW w:w="818" w:type="dxa"/>
            <w:noWrap/>
            <w:vAlign w:val="bottom"/>
          </w:tcPr>
          <w:p w14:paraId="07B92C97" w14:textId="4F1CE7CC"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tcPr>
          <w:p w14:paraId="65F04863" w14:textId="3CC16FA9"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tcPr>
          <w:p w14:paraId="4E15EC42" w14:textId="75A938A6" w:rsidR="00500C53" w:rsidRPr="00500C53" w:rsidRDefault="00500C53" w:rsidP="00500C53">
            <w:pPr>
              <w:rPr>
                <w:sz w:val="18"/>
                <w:szCs w:val="18"/>
              </w:rPr>
            </w:pPr>
            <w:r w:rsidRPr="00500C53">
              <w:rPr>
                <w:rFonts w:ascii="Aptos Narrow" w:hAnsi="Aptos Narrow"/>
                <w:color w:val="000000"/>
                <w:sz w:val="18"/>
                <w:szCs w:val="18"/>
              </w:rPr>
              <w:t>22610</w:t>
            </w:r>
          </w:p>
        </w:tc>
        <w:tc>
          <w:tcPr>
            <w:tcW w:w="862" w:type="dxa"/>
            <w:noWrap/>
            <w:vAlign w:val="bottom"/>
          </w:tcPr>
          <w:p w14:paraId="3A158834" w14:textId="2D215E87"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tcPr>
          <w:p w14:paraId="6716FFC4" w14:textId="0FFAE1D9"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tcPr>
          <w:p w14:paraId="785EE9FA" w14:textId="5790FF78" w:rsidR="00500C53" w:rsidRPr="00500C53" w:rsidRDefault="00500C53" w:rsidP="00500C53">
            <w:pPr>
              <w:rPr>
                <w:sz w:val="18"/>
                <w:szCs w:val="18"/>
              </w:rPr>
            </w:pPr>
            <w:r w:rsidRPr="00500C53">
              <w:rPr>
                <w:rFonts w:ascii="Aptos Narrow" w:hAnsi="Aptos Narrow"/>
                <w:color w:val="000000"/>
                <w:sz w:val="18"/>
                <w:szCs w:val="18"/>
              </w:rPr>
              <w:t>72.32</w:t>
            </w:r>
          </w:p>
        </w:tc>
        <w:tc>
          <w:tcPr>
            <w:tcW w:w="1046" w:type="dxa"/>
            <w:noWrap/>
            <w:vAlign w:val="bottom"/>
          </w:tcPr>
          <w:p w14:paraId="6C430B9C" w14:textId="18183FD8"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tcPr>
          <w:p w14:paraId="6321602C" w14:textId="7D01C0D3" w:rsidR="00500C53" w:rsidRPr="00500C53" w:rsidRDefault="00500C53" w:rsidP="00500C53">
            <w:pPr>
              <w:rPr>
                <w:sz w:val="18"/>
                <w:szCs w:val="18"/>
              </w:rPr>
            </w:pPr>
            <w:r w:rsidRPr="00500C53">
              <w:rPr>
                <w:rFonts w:ascii="Aptos Narrow" w:hAnsi="Aptos Narrow"/>
                <w:color w:val="000000"/>
                <w:sz w:val="18"/>
                <w:szCs w:val="18"/>
              </w:rPr>
              <w:t>9.33</w:t>
            </w:r>
          </w:p>
        </w:tc>
      </w:tr>
      <w:tr w:rsidR="00500C53" w:rsidRPr="00BD66F6" w14:paraId="57ABE18D" w14:textId="77777777" w:rsidTr="00CB3809">
        <w:trPr>
          <w:trHeight w:val="288"/>
        </w:trPr>
        <w:tc>
          <w:tcPr>
            <w:tcW w:w="609" w:type="dxa"/>
            <w:vMerge/>
            <w:noWrap/>
          </w:tcPr>
          <w:p w14:paraId="700DBB2E" w14:textId="77777777" w:rsidR="00500C53" w:rsidRPr="00BD66F6" w:rsidRDefault="00500C53" w:rsidP="00500C53">
            <w:pPr>
              <w:rPr>
                <w:sz w:val="18"/>
                <w:szCs w:val="18"/>
              </w:rPr>
            </w:pPr>
          </w:p>
        </w:tc>
        <w:tc>
          <w:tcPr>
            <w:tcW w:w="617" w:type="dxa"/>
            <w:noWrap/>
          </w:tcPr>
          <w:p w14:paraId="59D2C5AD" w14:textId="77777777" w:rsidR="00500C53" w:rsidRPr="00BD66F6" w:rsidRDefault="00500C53" w:rsidP="00500C53">
            <w:pPr>
              <w:rPr>
                <w:sz w:val="18"/>
                <w:szCs w:val="18"/>
              </w:rPr>
            </w:pPr>
            <w:r w:rsidRPr="00BD66F6">
              <w:rPr>
                <w:sz w:val="18"/>
                <w:szCs w:val="18"/>
              </w:rPr>
              <w:t>0.3</w:t>
            </w:r>
          </w:p>
        </w:tc>
        <w:tc>
          <w:tcPr>
            <w:tcW w:w="818" w:type="dxa"/>
            <w:noWrap/>
            <w:vAlign w:val="bottom"/>
          </w:tcPr>
          <w:p w14:paraId="05F66255" w14:textId="4B0248CA" w:rsidR="00500C53" w:rsidRPr="00500C53" w:rsidRDefault="00500C53" w:rsidP="00500C53">
            <w:pPr>
              <w:rPr>
                <w:sz w:val="18"/>
                <w:szCs w:val="18"/>
              </w:rPr>
            </w:pPr>
            <w:r w:rsidRPr="00500C53">
              <w:rPr>
                <w:rFonts w:ascii="Aptos Narrow" w:hAnsi="Aptos Narrow"/>
                <w:color w:val="000000"/>
                <w:sz w:val="18"/>
                <w:szCs w:val="18"/>
              </w:rPr>
              <w:t>600512</w:t>
            </w:r>
          </w:p>
        </w:tc>
        <w:tc>
          <w:tcPr>
            <w:tcW w:w="916" w:type="dxa"/>
            <w:noWrap/>
            <w:vAlign w:val="bottom"/>
          </w:tcPr>
          <w:p w14:paraId="5826FA3E" w14:textId="2ACDD895" w:rsidR="00500C53" w:rsidRPr="00500C53" w:rsidRDefault="00500C53" w:rsidP="00500C53">
            <w:pPr>
              <w:rPr>
                <w:sz w:val="18"/>
                <w:szCs w:val="18"/>
              </w:rPr>
            </w:pPr>
            <w:r w:rsidRPr="00500C53">
              <w:rPr>
                <w:rFonts w:ascii="Aptos Narrow" w:hAnsi="Aptos Narrow"/>
                <w:color w:val="000000"/>
                <w:sz w:val="18"/>
                <w:szCs w:val="18"/>
              </w:rPr>
              <w:t>213698</w:t>
            </w:r>
          </w:p>
        </w:tc>
        <w:tc>
          <w:tcPr>
            <w:tcW w:w="863" w:type="dxa"/>
            <w:noWrap/>
            <w:vAlign w:val="bottom"/>
          </w:tcPr>
          <w:p w14:paraId="6A5B1289" w14:textId="67937CBE" w:rsidR="00500C53" w:rsidRPr="00500C53" w:rsidRDefault="00500C53" w:rsidP="00500C53">
            <w:pPr>
              <w:rPr>
                <w:sz w:val="18"/>
                <w:szCs w:val="18"/>
              </w:rPr>
            </w:pPr>
            <w:r w:rsidRPr="00500C53">
              <w:rPr>
                <w:rFonts w:ascii="Aptos Narrow" w:hAnsi="Aptos Narrow"/>
                <w:color w:val="000000"/>
                <w:sz w:val="18"/>
                <w:szCs w:val="18"/>
              </w:rPr>
              <w:t>18410</w:t>
            </w:r>
          </w:p>
        </w:tc>
        <w:tc>
          <w:tcPr>
            <w:tcW w:w="862" w:type="dxa"/>
            <w:noWrap/>
            <w:vAlign w:val="bottom"/>
          </w:tcPr>
          <w:p w14:paraId="42E2EED5" w14:textId="598BFE37" w:rsidR="00500C53" w:rsidRPr="00500C53" w:rsidRDefault="00500C53" w:rsidP="00500C53">
            <w:pPr>
              <w:rPr>
                <w:sz w:val="18"/>
                <w:szCs w:val="18"/>
              </w:rPr>
            </w:pPr>
            <w:r w:rsidRPr="00500C53">
              <w:rPr>
                <w:rFonts w:ascii="Aptos Narrow" w:hAnsi="Aptos Narrow"/>
                <w:color w:val="000000"/>
                <w:sz w:val="18"/>
                <w:szCs w:val="18"/>
              </w:rPr>
              <w:t>775.21</w:t>
            </w:r>
          </w:p>
        </w:tc>
        <w:tc>
          <w:tcPr>
            <w:tcW w:w="1043" w:type="dxa"/>
            <w:noWrap/>
            <w:vAlign w:val="bottom"/>
          </w:tcPr>
          <w:p w14:paraId="16F12BC9" w14:textId="42A6C54F" w:rsidR="00500C53" w:rsidRPr="00500C53" w:rsidRDefault="00500C53" w:rsidP="00500C53">
            <w:pPr>
              <w:rPr>
                <w:sz w:val="18"/>
                <w:szCs w:val="18"/>
              </w:rPr>
            </w:pPr>
            <w:r w:rsidRPr="00500C53">
              <w:rPr>
                <w:rFonts w:ascii="Aptos Narrow" w:hAnsi="Aptos Narrow"/>
                <w:color w:val="000000"/>
                <w:sz w:val="18"/>
                <w:szCs w:val="18"/>
              </w:rPr>
              <w:t>244.8</w:t>
            </w:r>
          </w:p>
        </w:tc>
        <w:tc>
          <w:tcPr>
            <w:tcW w:w="1119" w:type="dxa"/>
            <w:noWrap/>
            <w:vAlign w:val="bottom"/>
          </w:tcPr>
          <w:p w14:paraId="3D297FA8" w14:textId="0CFFB848" w:rsidR="00500C53" w:rsidRPr="00500C53" w:rsidRDefault="00500C53" w:rsidP="00500C53">
            <w:pPr>
              <w:rPr>
                <w:sz w:val="18"/>
                <w:szCs w:val="18"/>
              </w:rPr>
            </w:pPr>
            <w:r w:rsidRPr="00500C53">
              <w:rPr>
                <w:rFonts w:ascii="Aptos Narrow" w:hAnsi="Aptos Narrow"/>
                <w:color w:val="000000"/>
                <w:sz w:val="18"/>
                <w:szCs w:val="18"/>
              </w:rPr>
              <w:t>61.11</w:t>
            </w:r>
          </w:p>
        </w:tc>
        <w:tc>
          <w:tcPr>
            <w:tcW w:w="1046" w:type="dxa"/>
            <w:noWrap/>
            <w:vAlign w:val="bottom"/>
          </w:tcPr>
          <w:p w14:paraId="7C132E5D" w14:textId="382B4A65" w:rsidR="00500C53" w:rsidRPr="00500C53" w:rsidRDefault="00500C53" w:rsidP="00500C53">
            <w:pPr>
              <w:rPr>
                <w:sz w:val="18"/>
                <w:szCs w:val="18"/>
              </w:rPr>
            </w:pPr>
            <w:r w:rsidRPr="00500C53">
              <w:rPr>
                <w:rFonts w:ascii="Aptos Narrow" w:hAnsi="Aptos Narrow"/>
                <w:color w:val="000000"/>
                <w:sz w:val="18"/>
                <w:szCs w:val="18"/>
              </w:rPr>
              <w:t>31.58</w:t>
            </w:r>
          </w:p>
        </w:tc>
        <w:tc>
          <w:tcPr>
            <w:tcW w:w="1123" w:type="dxa"/>
            <w:noWrap/>
            <w:vAlign w:val="bottom"/>
          </w:tcPr>
          <w:p w14:paraId="06E699EE" w14:textId="5DFD1F7D" w:rsidR="00500C53" w:rsidRPr="00500C53" w:rsidRDefault="00500C53" w:rsidP="00500C53">
            <w:pPr>
              <w:rPr>
                <w:sz w:val="18"/>
                <w:szCs w:val="18"/>
              </w:rPr>
            </w:pPr>
            <w:r w:rsidRPr="00500C53">
              <w:rPr>
                <w:rFonts w:ascii="Aptos Narrow" w:hAnsi="Aptos Narrow"/>
                <w:color w:val="000000"/>
                <w:sz w:val="18"/>
                <w:szCs w:val="18"/>
              </w:rPr>
              <w:t>7.88</w:t>
            </w:r>
          </w:p>
        </w:tc>
      </w:tr>
    </w:tbl>
    <w:p w14:paraId="550C486A" w14:textId="0D0429C0" w:rsidR="00C73D5A" w:rsidRDefault="006356F3" w:rsidP="00C73D5A">
      <w:r>
        <w:t>Population reported in millions</w:t>
      </w:r>
    </w:p>
    <w:p w14:paraId="242F79FF" w14:textId="7F5959E8" w:rsidR="00AE3832" w:rsidRDefault="007C417F" w:rsidP="00AE3832">
      <w:pPr>
        <w:pStyle w:val="Heading2"/>
      </w:pPr>
      <w:bookmarkStart w:id="17" w:name="_Toc214016757"/>
      <w:r>
        <w:t>2</w:t>
      </w:r>
      <w:r w:rsidR="00AE3832">
        <w:t>.5 World Resource Institute (WRI) Intra urban Land Use</w:t>
      </w:r>
      <w:bookmarkEnd w:id="17"/>
      <w:r w:rsidR="00AE3832">
        <w:t xml:space="preserve"> </w:t>
      </w:r>
    </w:p>
    <w:p w14:paraId="28F1E5A1" w14:textId="6C4B28EE" w:rsidR="00AE3832" w:rsidRDefault="007C417F" w:rsidP="00AE3832">
      <w:pPr>
        <w:pStyle w:val="Heading3"/>
      </w:pPr>
      <w:bookmarkStart w:id="18" w:name="_Toc214016758"/>
      <w:r>
        <w:t>2</w:t>
      </w:r>
      <w:r w:rsidR="00AE3832">
        <w:t>.5.1 Data and coverage</w:t>
      </w:r>
      <w:bookmarkEnd w:id="18"/>
    </w:p>
    <w:p w14:paraId="11D5F0E1" w14:textId="6097E284" w:rsidR="00AE3832" w:rsidRDefault="00AE3832" w:rsidP="00AE3832">
      <w:pPr>
        <w:spacing w:line="360" w:lineRule="auto"/>
        <w:rPr>
          <w:color w:val="000000"/>
        </w:rPr>
      </w:pPr>
      <w:r>
        <w:t xml:space="preserve">We used the WRI Urban Land-Use v1 dataset, a 5-m, Sentinel-2 derived, computer-vision classification delivered as per-city categorical </w:t>
      </w:r>
      <w:r w:rsidR="00A36B60">
        <w:t>raster’s</w:t>
      </w:r>
      <w:r>
        <w:t xml:space="preserve"> </w:t>
      </w:r>
      <w:sdt>
        <w:sdtPr>
          <w:rPr>
            <w:color w:val="000000"/>
          </w:rPr>
          <w:tag w:val="MENDELEY_CITATION_v3_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"/>
          <w:id w:val="1255710169"/>
          <w:placeholder>
            <w:docPart w:val="DefaultPlaceholder_-1854013440"/>
          </w:placeholder>
        </w:sdtPr>
        <w:sdtEndPr/>
        <w:sdtContent>
          <w:r w:rsidR="00A10281" w:rsidRPr="00A10281">
            <w:rPr>
              <w:color w:val="000000"/>
            </w:rPr>
            <w:t>(</w:t>
          </w:r>
          <w:proofErr w:type="spellStart"/>
          <w:r w:rsidR="00A10281" w:rsidRPr="00A10281">
            <w:rPr>
              <w:color w:val="000000"/>
            </w:rPr>
            <w:t>Guzder</w:t>
          </w:r>
          <w:proofErr w:type="spellEnd"/>
          <w:r w:rsidR="00A10281" w:rsidRPr="00A10281">
            <w:rPr>
              <w:color w:val="000000"/>
            </w:rPr>
            <w:t>-Williams et al., 2023)</w:t>
          </w:r>
        </w:sdtContent>
      </w:sdt>
      <w:r>
        <w:rPr>
          <w:color w:val="000000"/>
        </w:rPr>
        <w:t xml:space="preserve">. From its land-use/morphology classes, we retained only the two categories used as proxies for informal/deprived built form: informal subdivision and atomistic based on previous studies using this dataset </w:t>
      </w:r>
      <w:sdt>
        <w:sdtPr>
          <w:rPr>
            <w:color w:val="000000"/>
          </w:rPr>
          <w:tag w:val="MENDELEY_CITATION_v3_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"/>
          <w:id w:val="164907839"/>
          <w:placeholder>
            <w:docPart w:val="DefaultPlaceholder_-1854013440"/>
          </w:placeholder>
        </w:sdtPr>
        <w:sdtEndPr/>
        <w:sdtContent>
          <w:r w:rsidR="00A10281" w:rsidRPr="00A10281">
            <w:rPr>
              <w:color w:val="000000"/>
            </w:rPr>
            <w:t>(Friesen et al., 2025)</w:t>
          </w:r>
        </w:sdtContent>
      </w:sdt>
      <w:r>
        <w:rPr>
          <w:color w:val="000000"/>
        </w:rPr>
        <w:t xml:space="preserve">. Source tiles were accessed from the public Google Earth Engine collection and exported as </w:t>
      </w:r>
      <w:proofErr w:type="spellStart"/>
      <w:r>
        <w:rPr>
          <w:color w:val="000000"/>
        </w:rPr>
        <w:t>GeoTIFFs</w:t>
      </w:r>
      <w:proofErr w:type="spellEnd"/>
      <w:r>
        <w:rPr>
          <w:color w:val="000000"/>
        </w:rPr>
        <w:t xml:space="preserve">, then </w:t>
      </w:r>
      <w:r>
        <w:rPr>
          <w:color w:val="000000"/>
        </w:rPr>
        <w:lastRenderedPageBreak/>
        <w:t xml:space="preserve">mosaicked per country for processing in this study. All </w:t>
      </w:r>
      <w:proofErr w:type="gramStart"/>
      <w:r w:rsidR="00A36B60">
        <w:rPr>
          <w:color w:val="000000"/>
        </w:rPr>
        <w:t>raster’s</w:t>
      </w:r>
      <w:proofErr w:type="gramEnd"/>
      <w:r>
        <w:rPr>
          <w:color w:val="000000"/>
        </w:rPr>
        <w:t xml:space="preserve"> are in WGS84 and were organized into country folders mirroring the city </w:t>
      </w:r>
      <w:proofErr w:type="gramStart"/>
      <w:r>
        <w:rPr>
          <w:color w:val="000000"/>
        </w:rPr>
        <w:t>segments</w:t>
      </w:r>
      <w:proofErr w:type="gramEnd"/>
      <w:r>
        <w:rPr>
          <w:color w:val="000000"/>
        </w:rPr>
        <w:t xml:space="preserve"> structure.</w:t>
      </w:r>
    </w:p>
    <w:p w14:paraId="5CC3AE9B" w14:textId="01D65BD7" w:rsidR="00AE3832" w:rsidRDefault="00AE3832" w:rsidP="00AE3832">
      <w:pPr>
        <w:spacing w:line="360" w:lineRule="auto"/>
        <w:rPr>
          <w:color w:val="000000"/>
        </w:rPr>
      </w:pPr>
      <w:r>
        <w:rPr>
          <w:color w:val="000000"/>
        </w:rPr>
        <w:t>For our analysis, we included 4</w:t>
      </w:r>
      <w:r w:rsidR="00664BFB">
        <w:rPr>
          <w:color w:val="000000"/>
        </w:rPr>
        <w:t>8</w:t>
      </w:r>
      <w:r>
        <w:rPr>
          <w:color w:val="000000"/>
        </w:rPr>
        <w:t xml:space="preserve"> countries spanning around 100 cities across Africa, Asia, and Latin America and the Caribbean (limited to cities overlapping the city segments footprint). Segments were retained only where valid WRI pixels were present (mutual-coverage mask with </w:t>
      </w:r>
      <w:r w:rsidR="008E1B29">
        <w:rPr>
          <w:color w:val="000000"/>
        </w:rPr>
        <w:t>CSMD</w:t>
      </w:r>
      <w:r>
        <w:rPr>
          <w:color w:val="000000"/>
        </w:rPr>
        <w:t>), ensuring that country-level metrics reflect areas with data from both sources.</w:t>
      </w:r>
    </w:p>
    <w:p w14:paraId="7AF69C4F" w14:textId="0C02CA7A" w:rsidR="00AE3832" w:rsidRDefault="007C417F" w:rsidP="00AE3832">
      <w:pPr>
        <w:pStyle w:val="Heading3"/>
      </w:pPr>
      <w:bookmarkStart w:id="19" w:name="_Toc214016759"/>
      <w:r>
        <w:t>2</w:t>
      </w:r>
      <w:r w:rsidR="00AE3832">
        <w:t>.5.2 Method</w:t>
      </w:r>
      <w:bookmarkEnd w:id="19"/>
    </w:p>
    <w:p w14:paraId="28026B6B" w14:textId="7978F8F8" w:rsidR="00AE3832" w:rsidRDefault="00AE3832" w:rsidP="00AE3832">
      <w:pPr>
        <w:spacing w:line="360" w:lineRule="auto"/>
      </w:pPr>
      <w:r>
        <w:t xml:space="preserve">From the country mosaics, we computed </w:t>
      </w:r>
      <w:proofErr w:type="spellStart"/>
      <w:r>
        <w:t>p_informal</w:t>
      </w:r>
      <w:proofErr w:type="spellEnd"/>
      <w:r>
        <w:t xml:space="preserve"> for each city segment which is the share of valid 5-m pixels classified as (informal subdivision + atomistic) within the segment footprint. </w:t>
      </w:r>
      <w:proofErr w:type="gramStart"/>
      <w:r w:rsidR="00A36B60">
        <w:t>Raster’s</w:t>
      </w:r>
      <w:proofErr w:type="gramEnd"/>
      <w:r>
        <w:t xml:space="preserve"> and segments are harmonized in WGS84, with invalid geometries repaired prior to overlay.</w:t>
      </w:r>
    </w:p>
    <w:p w14:paraId="685C9BA8" w14:textId="3A719339" w:rsidR="00AE3832" w:rsidRDefault="00AE3832" w:rsidP="00AE3832">
      <w:pPr>
        <w:spacing w:line="360" w:lineRule="auto"/>
      </w:pPr>
      <w:r>
        <w:t xml:space="preserve">Segments were assigned a WRI-derived deprivation label using a proportion threshold </w:t>
      </w:r>
      <w:r w:rsidR="00FF57EE">
        <w:t xml:space="preserve">τ </w:t>
      </w:r>
      <w:r w:rsidR="00FF57EE" w:rsidRPr="00796EC8">
        <w:rPr>
          <w:rFonts w:ascii="Cambria Math" w:hAnsi="Cambria Math" w:cs="Cambria Math"/>
        </w:rPr>
        <w:t>∈</w:t>
      </w:r>
      <w:r w:rsidR="00FF57EE">
        <w:rPr>
          <w:rFonts w:ascii="Cambria Math" w:hAnsi="Cambria Math" w:cs="Cambria Math"/>
        </w:rPr>
        <w:t xml:space="preserve"> {0.1, 0.2, 0.3}: </w:t>
      </w:r>
      <w:r w:rsidR="00FF57EE">
        <w:t xml:space="preserve">a segment is labelled deprived if </w:t>
      </w:r>
      <w:proofErr w:type="spellStart"/>
      <w:r w:rsidR="00FF57EE">
        <w:t>p_informal</w:t>
      </w:r>
      <w:proofErr w:type="spellEnd"/>
      <w:r w:rsidR="00FF57EE">
        <w:t xml:space="preserve"> ≥ τ. Mutual-coverage masking was applied so that only segments with ≥ 1 valid WRI pixel and a valid </w:t>
      </w:r>
      <w:r w:rsidR="008E1B29">
        <w:t>CSMD</w:t>
      </w:r>
      <w:r w:rsidR="00FF57EE">
        <w:t xml:space="preserve"> label enter the comparison.</w:t>
      </w:r>
    </w:p>
    <w:p w14:paraId="274611A7" w14:textId="43A7B9C5" w:rsidR="00105EA6" w:rsidRDefault="007C417F" w:rsidP="00105EA6">
      <w:pPr>
        <w:pStyle w:val="Heading3"/>
      </w:pPr>
      <w:bookmarkStart w:id="20" w:name="_Toc214016760"/>
      <w:r>
        <w:t>2</w:t>
      </w:r>
      <w:r w:rsidR="00105EA6">
        <w:t>.5.3 Results</w:t>
      </w:r>
      <w:bookmarkEnd w:id="20"/>
    </w:p>
    <w:p w14:paraId="0BF20EBB" w14:textId="04C695D3" w:rsidR="006356F3" w:rsidRDefault="006356F3" w:rsidP="006356F3">
      <w:pPr>
        <w:spacing w:line="360" w:lineRule="auto"/>
      </w:pPr>
      <w:r>
        <w:t xml:space="preserve">Figure 11 shows the country-level distributions of precision, recall, and F1 for the WRI-derived </w:t>
      </w:r>
      <w:proofErr w:type="spellStart"/>
      <w:r>
        <w:t>p_informal</w:t>
      </w:r>
      <w:proofErr w:type="spellEnd"/>
      <w:r>
        <w:t xml:space="preserve"> rule at different thresholds. Results remain consistent across thresholds, indicating stable behaviour with respect to the proportion cut-off. Median precision is low (0.</w:t>
      </w:r>
      <w:r w:rsidR="00664BFB">
        <w:t>28</w:t>
      </w:r>
      <w:r>
        <w:t>-0.</w:t>
      </w:r>
      <w:r w:rsidR="00664BFB">
        <w:t>33</w:t>
      </w:r>
      <w:r>
        <w:t>), while recall is substantially higher (0.</w:t>
      </w:r>
      <w:r w:rsidR="00664BFB">
        <w:t>66</w:t>
      </w:r>
      <w:r>
        <w:t>-0.5</w:t>
      </w:r>
      <w:r w:rsidR="00664BFB">
        <w:t>0</w:t>
      </w:r>
      <w:r>
        <w:t>) and gradually decreases as τ increases. The resulting F1 medians range between 0.2</w:t>
      </w:r>
      <w:r w:rsidR="00664BFB">
        <w:t>8</w:t>
      </w:r>
      <w:r>
        <w:t xml:space="preserve"> and 0.</w:t>
      </w:r>
      <w:r w:rsidR="00664BFB">
        <w:t>31</w:t>
      </w:r>
      <w:r>
        <w:t xml:space="preserve">. Overall, the WRI-derived labels capture a larger share of areas classified as deprived by </w:t>
      </w:r>
      <w:r w:rsidR="008E1B29">
        <w:t>CSMD</w:t>
      </w:r>
      <w:r>
        <w:t xml:space="preserve">, producing high recall but comparatively low precision. Table </w:t>
      </w:r>
      <w:r w:rsidR="00664BFB">
        <w:t>4</w:t>
      </w:r>
      <w:r>
        <w:t xml:space="preserve"> summarises the corresponding global scale and population coverage for each threshold.</w:t>
      </w:r>
    </w:p>
    <w:p w14:paraId="675C3168" w14:textId="77777777" w:rsidR="006356F3" w:rsidRDefault="00105EA6" w:rsidP="006356F3">
      <w:pPr>
        <w:keepNext/>
      </w:pPr>
      <w:r w:rsidRPr="00105EA6">
        <w:rPr>
          <w:noProof/>
        </w:rPr>
        <w:lastRenderedPageBreak/>
        <w:drawing>
          <wp:inline distT="0" distB="0" distL="0" distR="0" wp14:anchorId="4CC761D6" wp14:editId="765D99F1">
            <wp:extent cx="5731510" cy="2176734"/>
            <wp:effectExtent l="0" t="0" r="2540" b="0"/>
            <wp:docPr id="812678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7854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176734"/>
                    </a:xfrm>
                    <a:prstGeom prst="rect">
                      <a:avLst/>
                    </a:prstGeom>
                  </pic:spPr>
                </pic:pic>
              </a:graphicData>
            </a:graphic>
          </wp:inline>
        </w:drawing>
      </w:r>
    </w:p>
    <w:p w14:paraId="62442B60" w14:textId="15ED2308" w:rsidR="00105EA6" w:rsidRPr="00105EA6" w:rsidRDefault="006356F3" w:rsidP="006356F3">
      <w:pPr>
        <w:pStyle w:val="Caption"/>
      </w:pPr>
      <w:r>
        <w:t xml:space="preserve">Figure </w:t>
      </w:r>
      <w:fldSimple w:instr=" SEQ Figure \* ARABIC ">
        <w:r w:rsidR="00500C53">
          <w:rPr>
            <w:noProof/>
          </w:rPr>
          <w:t>8</w:t>
        </w:r>
      </w:fldSimple>
      <w:r>
        <w:t>: Country-level alignment of WRI (</w:t>
      </w:r>
      <w:proofErr w:type="spellStart"/>
      <w:r>
        <w:t>p_informal</w:t>
      </w:r>
      <w:proofErr w:type="spellEnd"/>
      <w:r>
        <w:t xml:space="preserve">) with </w:t>
      </w:r>
      <w:r w:rsidR="008E1B29">
        <w:t>CSMD</w:t>
      </w:r>
      <w:r>
        <w:t xml:space="preserve"> across thresholds. Boxes represent interquartile ranges with medians annotated; dots are per-country values. </w:t>
      </w:r>
    </w:p>
    <w:p w14:paraId="3F480481" w14:textId="77777777" w:rsidR="00105EA6" w:rsidRDefault="00105EA6" w:rsidP="00AE3832">
      <w:pPr>
        <w:spacing w:line="360" w:lineRule="auto"/>
      </w:pPr>
    </w:p>
    <w:p w14:paraId="157D2009" w14:textId="6A10BF35" w:rsidR="006356F3" w:rsidRDefault="006356F3" w:rsidP="006356F3">
      <w:pPr>
        <w:pStyle w:val="Caption"/>
        <w:keepNext/>
      </w:pPr>
      <w:r>
        <w:t xml:space="preserve">Table </w:t>
      </w:r>
      <w:fldSimple w:instr=" SEQ Table \* ARABIC ">
        <w:r w:rsidR="00500C53">
          <w:rPr>
            <w:noProof/>
          </w:rPr>
          <w:t>4</w:t>
        </w:r>
      </w:fldSimple>
      <w:r>
        <w:t>: All (n=4</w:t>
      </w:r>
      <w:r w:rsidR="00500C53">
        <w:t>8</w:t>
      </w:r>
      <w:r>
        <w:t>) segment and population coverage for WRI (</w:t>
      </w:r>
      <w:proofErr w:type="spellStart"/>
      <w:r>
        <w:t>p_informal</w:t>
      </w:r>
      <w:proofErr w:type="spellEnd"/>
      <w:r>
        <w:t xml:space="preserve">) compared with </w:t>
      </w:r>
      <w:r w:rsidR="008E1B29">
        <w:t>CSMD</w:t>
      </w:r>
    </w:p>
    <w:tbl>
      <w:tblPr>
        <w:tblStyle w:val="TableGrid"/>
        <w:tblW w:w="0" w:type="auto"/>
        <w:tblLayout w:type="fixed"/>
        <w:tblLook w:val="04A0" w:firstRow="1" w:lastRow="0" w:firstColumn="1" w:lastColumn="0" w:noHBand="0" w:noVBand="1"/>
      </w:tblPr>
      <w:tblGrid>
        <w:gridCol w:w="609"/>
        <w:gridCol w:w="617"/>
        <w:gridCol w:w="818"/>
        <w:gridCol w:w="916"/>
        <w:gridCol w:w="863"/>
        <w:gridCol w:w="862"/>
        <w:gridCol w:w="1043"/>
        <w:gridCol w:w="1119"/>
        <w:gridCol w:w="1046"/>
        <w:gridCol w:w="1123"/>
      </w:tblGrid>
      <w:tr w:rsidR="00105EA6" w:rsidRPr="00BD66F6" w14:paraId="6AC03301" w14:textId="77777777" w:rsidTr="00E6524F">
        <w:trPr>
          <w:trHeight w:val="576"/>
        </w:trPr>
        <w:tc>
          <w:tcPr>
            <w:tcW w:w="609" w:type="dxa"/>
            <w:noWrap/>
            <w:hideMark/>
          </w:tcPr>
          <w:p w14:paraId="7D336221" w14:textId="77777777" w:rsidR="00105EA6" w:rsidRPr="00BD66F6" w:rsidRDefault="00105EA6" w:rsidP="00E6524F">
            <w:pPr>
              <w:rPr>
                <w:sz w:val="18"/>
                <w:szCs w:val="18"/>
              </w:rPr>
            </w:pPr>
            <w:r>
              <w:rPr>
                <w:sz w:val="18"/>
                <w:szCs w:val="18"/>
              </w:rPr>
              <w:t>Rule</w:t>
            </w:r>
          </w:p>
        </w:tc>
        <w:tc>
          <w:tcPr>
            <w:tcW w:w="617" w:type="dxa"/>
            <w:hideMark/>
          </w:tcPr>
          <w:p w14:paraId="37488FA3" w14:textId="77777777" w:rsidR="00105EA6" w:rsidRPr="00BD66F6" w:rsidRDefault="00105EA6" w:rsidP="00E6524F">
            <w:pPr>
              <w:rPr>
                <w:sz w:val="18"/>
                <w:szCs w:val="18"/>
              </w:rPr>
            </w:pPr>
            <w:r w:rsidRPr="00BD66F6">
              <w:rPr>
                <w:sz w:val="18"/>
                <w:szCs w:val="18"/>
              </w:rPr>
              <w:t>Threshold</w:t>
            </w:r>
          </w:p>
        </w:tc>
        <w:tc>
          <w:tcPr>
            <w:tcW w:w="818" w:type="dxa"/>
            <w:hideMark/>
          </w:tcPr>
          <w:p w14:paraId="75BB3F98" w14:textId="77777777" w:rsidR="00105EA6" w:rsidRPr="00BD66F6" w:rsidRDefault="00105EA6" w:rsidP="00E6524F">
            <w:pPr>
              <w:rPr>
                <w:sz w:val="18"/>
                <w:szCs w:val="18"/>
              </w:rPr>
            </w:pPr>
            <w:proofErr w:type="spellStart"/>
            <w:r w:rsidRPr="00BD66F6">
              <w:rPr>
                <w:sz w:val="18"/>
                <w:szCs w:val="18"/>
              </w:rPr>
              <w:t>Total</w:t>
            </w:r>
            <w:r>
              <w:rPr>
                <w:sz w:val="18"/>
                <w:szCs w:val="18"/>
              </w:rPr>
              <w:t>_</w:t>
            </w:r>
            <w:r w:rsidRPr="00BD66F6">
              <w:rPr>
                <w:sz w:val="18"/>
                <w:szCs w:val="18"/>
              </w:rPr>
              <w:t>Seg</w:t>
            </w:r>
            <w:r>
              <w:rPr>
                <w:sz w:val="18"/>
                <w:szCs w:val="18"/>
              </w:rPr>
              <w:t>ments</w:t>
            </w:r>
            <w:proofErr w:type="spellEnd"/>
          </w:p>
        </w:tc>
        <w:tc>
          <w:tcPr>
            <w:tcW w:w="916" w:type="dxa"/>
            <w:hideMark/>
          </w:tcPr>
          <w:p w14:paraId="2B83B330" w14:textId="77777777" w:rsidR="00105EA6" w:rsidRPr="00BD66F6" w:rsidRDefault="00105EA6" w:rsidP="00E6524F">
            <w:pPr>
              <w:rPr>
                <w:sz w:val="18"/>
                <w:szCs w:val="18"/>
              </w:rPr>
            </w:pPr>
            <w:proofErr w:type="spellStart"/>
            <w:r w:rsidRPr="00BD66F6">
              <w:rPr>
                <w:sz w:val="18"/>
                <w:szCs w:val="18"/>
              </w:rPr>
              <w:t>RF_Deprived_Seg</w:t>
            </w:r>
            <w:proofErr w:type="spellEnd"/>
          </w:p>
        </w:tc>
        <w:tc>
          <w:tcPr>
            <w:tcW w:w="863" w:type="dxa"/>
            <w:hideMark/>
          </w:tcPr>
          <w:p w14:paraId="767E13C6" w14:textId="77777777" w:rsidR="00105EA6" w:rsidRPr="00BD66F6" w:rsidRDefault="00105EA6" w:rsidP="00E6524F">
            <w:pPr>
              <w:rPr>
                <w:sz w:val="18"/>
                <w:szCs w:val="18"/>
              </w:rPr>
            </w:pPr>
            <w:proofErr w:type="spellStart"/>
            <w:r w:rsidRPr="00BD66F6">
              <w:rPr>
                <w:sz w:val="18"/>
                <w:szCs w:val="18"/>
              </w:rPr>
              <w:t>Rule_Deprived_Seg</w:t>
            </w:r>
            <w:proofErr w:type="spellEnd"/>
          </w:p>
        </w:tc>
        <w:tc>
          <w:tcPr>
            <w:tcW w:w="862" w:type="dxa"/>
            <w:hideMark/>
          </w:tcPr>
          <w:p w14:paraId="5DC97CE0" w14:textId="77777777" w:rsidR="00105EA6" w:rsidRPr="00BD66F6" w:rsidRDefault="00105EA6" w:rsidP="00E6524F">
            <w:pPr>
              <w:rPr>
                <w:sz w:val="18"/>
                <w:szCs w:val="18"/>
              </w:rPr>
            </w:pPr>
            <w:proofErr w:type="spellStart"/>
            <w:r w:rsidRPr="00BD66F6">
              <w:rPr>
                <w:sz w:val="18"/>
                <w:szCs w:val="18"/>
              </w:rPr>
              <w:t>Total_Pop_M</w:t>
            </w:r>
            <w:proofErr w:type="spellEnd"/>
          </w:p>
        </w:tc>
        <w:tc>
          <w:tcPr>
            <w:tcW w:w="1043" w:type="dxa"/>
            <w:hideMark/>
          </w:tcPr>
          <w:p w14:paraId="15C89796" w14:textId="77777777" w:rsidR="00105EA6" w:rsidRPr="00BD66F6" w:rsidRDefault="00105EA6" w:rsidP="00E6524F">
            <w:pPr>
              <w:rPr>
                <w:sz w:val="18"/>
                <w:szCs w:val="18"/>
              </w:rPr>
            </w:pPr>
            <w:proofErr w:type="spellStart"/>
            <w:r w:rsidRPr="00BD66F6">
              <w:rPr>
                <w:sz w:val="18"/>
                <w:szCs w:val="18"/>
              </w:rPr>
              <w:t>RF_Deprived_Pop_M</w:t>
            </w:r>
            <w:proofErr w:type="spellEnd"/>
          </w:p>
        </w:tc>
        <w:tc>
          <w:tcPr>
            <w:tcW w:w="1119" w:type="dxa"/>
            <w:hideMark/>
          </w:tcPr>
          <w:p w14:paraId="4B6C12C8" w14:textId="77777777" w:rsidR="00105EA6" w:rsidRPr="00BD66F6" w:rsidRDefault="00105EA6" w:rsidP="00E6524F">
            <w:pPr>
              <w:rPr>
                <w:sz w:val="18"/>
                <w:szCs w:val="18"/>
              </w:rPr>
            </w:pPr>
            <w:proofErr w:type="spellStart"/>
            <w:r w:rsidRPr="00BD66F6">
              <w:rPr>
                <w:sz w:val="18"/>
                <w:szCs w:val="18"/>
              </w:rPr>
              <w:t>Rule_Deprived_Pop_M</w:t>
            </w:r>
            <w:proofErr w:type="spellEnd"/>
          </w:p>
        </w:tc>
        <w:tc>
          <w:tcPr>
            <w:tcW w:w="1046" w:type="dxa"/>
            <w:hideMark/>
          </w:tcPr>
          <w:p w14:paraId="0C1972D4" w14:textId="77777777" w:rsidR="00105EA6" w:rsidRPr="00BD66F6" w:rsidRDefault="00105EA6" w:rsidP="00E6524F">
            <w:pPr>
              <w:rPr>
                <w:sz w:val="18"/>
                <w:szCs w:val="18"/>
              </w:rPr>
            </w:pPr>
            <w:proofErr w:type="spellStart"/>
            <w:r w:rsidRPr="00BD66F6">
              <w:rPr>
                <w:sz w:val="18"/>
                <w:szCs w:val="18"/>
              </w:rPr>
              <w:t>RF_Deprived_Pop</w:t>
            </w:r>
            <w:proofErr w:type="spellEnd"/>
            <w:r w:rsidRPr="00BD66F6">
              <w:rPr>
                <w:sz w:val="18"/>
                <w:szCs w:val="18"/>
              </w:rPr>
              <w:t>_%</w:t>
            </w:r>
          </w:p>
        </w:tc>
        <w:tc>
          <w:tcPr>
            <w:tcW w:w="1123" w:type="dxa"/>
            <w:hideMark/>
          </w:tcPr>
          <w:p w14:paraId="4756DF45" w14:textId="77777777" w:rsidR="00105EA6" w:rsidRPr="00BD66F6" w:rsidRDefault="00105EA6" w:rsidP="00E6524F">
            <w:pPr>
              <w:rPr>
                <w:sz w:val="18"/>
                <w:szCs w:val="18"/>
              </w:rPr>
            </w:pPr>
            <w:proofErr w:type="spellStart"/>
            <w:r w:rsidRPr="00BD66F6">
              <w:rPr>
                <w:sz w:val="18"/>
                <w:szCs w:val="18"/>
              </w:rPr>
              <w:t>Rule_Deprived_Pop</w:t>
            </w:r>
            <w:proofErr w:type="spellEnd"/>
            <w:r w:rsidRPr="00BD66F6">
              <w:rPr>
                <w:sz w:val="18"/>
                <w:szCs w:val="18"/>
              </w:rPr>
              <w:t>_%</w:t>
            </w:r>
          </w:p>
        </w:tc>
      </w:tr>
      <w:tr w:rsidR="00282C4D" w:rsidRPr="00BD66F6" w14:paraId="6F0A3A2F" w14:textId="77777777" w:rsidTr="00E6524F">
        <w:trPr>
          <w:trHeight w:val="288"/>
        </w:trPr>
        <w:tc>
          <w:tcPr>
            <w:tcW w:w="609" w:type="dxa"/>
            <w:vMerge w:val="restart"/>
            <w:noWrap/>
            <w:hideMark/>
          </w:tcPr>
          <w:p w14:paraId="6A719E81" w14:textId="715E45E0" w:rsidR="00282C4D" w:rsidRPr="00BD66F6" w:rsidRDefault="00282C4D" w:rsidP="00282C4D">
            <w:pPr>
              <w:rPr>
                <w:sz w:val="18"/>
                <w:szCs w:val="18"/>
              </w:rPr>
            </w:pPr>
            <w:proofErr w:type="spellStart"/>
            <w:r>
              <w:rPr>
                <w:sz w:val="18"/>
                <w:szCs w:val="18"/>
              </w:rPr>
              <w:t>p_informal</w:t>
            </w:r>
            <w:proofErr w:type="spellEnd"/>
          </w:p>
        </w:tc>
        <w:tc>
          <w:tcPr>
            <w:tcW w:w="617" w:type="dxa"/>
            <w:noWrap/>
            <w:hideMark/>
          </w:tcPr>
          <w:p w14:paraId="23DA9F58" w14:textId="77777777" w:rsidR="00282C4D" w:rsidRPr="00BD66F6" w:rsidRDefault="00282C4D" w:rsidP="00282C4D">
            <w:pPr>
              <w:rPr>
                <w:sz w:val="18"/>
                <w:szCs w:val="18"/>
              </w:rPr>
            </w:pPr>
            <w:r w:rsidRPr="00BD66F6">
              <w:rPr>
                <w:sz w:val="18"/>
                <w:szCs w:val="18"/>
              </w:rPr>
              <w:t>0.1</w:t>
            </w:r>
          </w:p>
        </w:tc>
        <w:tc>
          <w:tcPr>
            <w:tcW w:w="818" w:type="dxa"/>
            <w:noWrap/>
            <w:vAlign w:val="bottom"/>
            <w:hideMark/>
          </w:tcPr>
          <w:p w14:paraId="151FBCB3" w14:textId="02B07320" w:rsidR="00282C4D" w:rsidRPr="00282C4D" w:rsidRDefault="00282C4D" w:rsidP="00282C4D">
            <w:pPr>
              <w:rPr>
                <w:sz w:val="18"/>
                <w:szCs w:val="18"/>
              </w:rPr>
            </w:pPr>
            <w:r w:rsidRPr="00282C4D">
              <w:rPr>
                <w:rFonts w:ascii="Aptos Narrow" w:hAnsi="Aptos Narrow"/>
                <w:color w:val="000000"/>
                <w:sz w:val="18"/>
                <w:szCs w:val="18"/>
              </w:rPr>
              <w:t>335782</w:t>
            </w:r>
          </w:p>
        </w:tc>
        <w:tc>
          <w:tcPr>
            <w:tcW w:w="916" w:type="dxa"/>
            <w:noWrap/>
            <w:vAlign w:val="bottom"/>
            <w:hideMark/>
          </w:tcPr>
          <w:p w14:paraId="7D96EEAC" w14:textId="3735CAF1" w:rsidR="00282C4D" w:rsidRPr="00282C4D" w:rsidRDefault="00282C4D" w:rsidP="00282C4D">
            <w:pPr>
              <w:rPr>
                <w:sz w:val="18"/>
                <w:szCs w:val="18"/>
              </w:rPr>
            </w:pPr>
            <w:r w:rsidRPr="00282C4D">
              <w:rPr>
                <w:rFonts w:ascii="Aptos Narrow" w:hAnsi="Aptos Narrow"/>
                <w:color w:val="000000"/>
                <w:sz w:val="18"/>
                <w:szCs w:val="18"/>
              </w:rPr>
              <w:t>98492</w:t>
            </w:r>
          </w:p>
        </w:tc>
        <w:tc>
          <w:tcPr>
            <w:tcW w:w="863" w:type="dxa"/>
            <w:noWrap/>
            <w:vAlign w:val="bottom"/>
            <w:hideMark/>
          </w:tcPr>
          <w:p w14:paraId="224F3FE9" w14:textId="029A4949" w:rsidR="00282C4D" w:rsidRPr="00282C4D" w:rsidRDefault="00282C4D" w:rsidP="00282C4D">
            <w:pPr>
              <w:rPr>
                <w:sz w:val="18"/>
                <w:szCs w:val="18"/>
              </w:rPr>
            </w:pPr>
            <w:r w:rsidRPr="00282C4D">
              <w:rPr>
                <w:rFonts w:ascii="Aptos Narrow" w:hAnsi="Aptos Narrow"/>
                <w:color w:val="000000"/>
                <w:sz w:val="18"/>
                <w:szCs w:val="18"/>
              </w:rPr>
              <w:t>163248</w:t>
            </w:r>
          </w:p>
        </w:tc>
        <w:tc>
          <w:tcPr>
            <w:tcW w:w="862" w:type="dxa"/>
            <w:noWrap/>
            <w:vAlign w:val="bottom"/>
            <w:hideMark/>
          </w:tcPr>
          <w:p w14:paraId="55539832" w14:textId="5DC75E89" w:rsidR="00282C4D" w:rsidRPr="00282C4D" w:rsidRDefault="00282C4D" w:rsidP="00282C4D">
            <w:pPr>
              <w:rPr>
                <w:sz w:val="18"/>
                <w:szCs w:val="18"/>
              </w:rPr>
            </w:pPr>
            <w:r w:rsidRPr="00282C4D">
              <w:rPr>
                <w:rFonts w:ascii="Aptos Narrow" w:hAnsi="Aptos Narrow"/>
                <w:color w:val="000000"/>
                <w:sz w:val="18"/>
                <w:szCs w:val="18"/>
              </w:rPr>
              <w:t>477.58</w:t>
            </w:r>
          </w:p>
        </w:tc>
        <w:tc>
          <w:tcPr>
            <w:tcW w:w="1043" w:type="dxa"/>
            <w:noWrap/>
            <w:vAlign w:val="bottom"/>
            <w:hideMark/>
          </w:tcPr>
          <w:p w14:paraId="0302AC1B" w14:textId="60EF2271" w:rsidR="00282C4D" w:rsidRPr="00282C4D" w:rsidRDefault="00282C4D" w:rsidP="00282C4D">
            <w:pPr>
              <w:rPr>
                <w:sz w:val="18"/>
                <w:szCs w:val="18"/>
              </w:rPr>
            </w:pPr>
            <w:r w:rsidRPr="00282C4D">
              <w:rPr>
                <w:rFonts w:ascii="Aptos Narrow" w:hAnsi="Aptos Narrow"/>
                <w:color w:val="000000"/>
                <w:sz w:val="18"/>
                <w:szCs w:val="18"/>
              </w:rPr>
              <w:t>133.12</w:t>
            </w:r>
          </w:p>
        </w:tc>
        <w:tc>
          <w:tcPr>
            <w:tcW w:w="1119" w:type="dxa"/>
            <w:noWrap/>
            <w:vAlign w:val="bottom"/>
            <w:hideMark/>
          </w:tcPr>
          <w:p w14:paraId="1891378A" w14:textId="6A40EBD2" w:rsidR="00282C4D" w:rsidRPr="00282C4D" w:rsidRDefault="00282C4D" w:rsidP="00282C4D">
            <w:pPr>
              <w:rPr>
                <w:sz w:val="18"/>
                <w:szCs w:val="18"/>
              </w:rPr>
            </w:pPr>
            <w:r w:rsidRPr="00282C4D">
              <w:rPr>
                <w:rFonts w:ascii="Aptos Narrow" w:hAnsi="Aptos Narrow"/>
                <w:color w:val="000000"/>
                <w:sz w:val="18"/>
                <w:szCs w:val="18"/>
              </w:rPr>
              <w:t>220.8</w:t>
            </w:r>
          </w:p>
        </w:tc>
        <w:tc>
          <w:tcPr>
            <w:tcW w:w="1046" w:type="dxa"/>
            <w:noWrap/>
            <w:vAlign w:val="bottom"/>
            <w:hideMark/>
          </w:tcPr>
          <w:p w14:paraId="160C77AA" w14:textId="40E86CF7" w:rsidR="00282C4D" w:rsidRPr="00282C4D" w:rsidRDefault="00282C4D" w:rsidP="00282C4D">
            <w:pPr>
              <w:rPr>
                <w:sz w:val="18"/>
                <w:szCs w:val="18"/>
              </w:rPr>
            </w:pPr>
            <w:r w:rsidRPr="00282C4D">
              <w:rPr>
                <w:rFonts w:ascii="Aptos Narrow" w:hAnsi="Aptos Narrow"/>
                <w:color w:val="000000"/>
                <w:sz w:val="18"/>
                <w:szCs w:val="18"/>
              </w:rPr>
              <w:t>27.87</w:t>
            </w:r>
          </w:p>
        </w:tc>
        <w:tc>
          <w:tcPr>
            <w:tcW w:w="1123" w:type="dxa"/>
            <w:noWrap/>
            <w:vAlign w:val="bottom"/>
            <w:hideMark/>
          </w:tcPr>
          <w:p w14:paraId="775766A8" w14:textId="073AF136" w:rsidR="00282C4D" w:rsidRPr="00282C4D" w:rsidRDefault="00282C4D" w:rsidP="00282C4D">
            <w:pPr>
              <w:rPr>
                <w:sz w:val="18"/>
                <w:szCs w:val="18"/>
              </w:rPr>
            </w:pPr>
            <w:r w:rsidRPr="00282C4D">
              <w:rPr>
                <w:rFonts w:ascii="Aptos Narrow" w:hAnsi="Aptos Narrow"/>
                <w:color w:val="000000"/>
                <w:sz w:val="18"/>
                <w:szCs w:val="18"/>
              </w:rPr>
              <w:t>46.23</w:t>
            </w:r>
          </w:p>
        </w:tc>
      </w:tr>
      <w:tr w:rsidR="00282C4D" w:rsidRPr="00BD66F6" w14:paraId="30E9FDE2" w14:textId="77777777" w:rsidTr="00E6524F">
        <w:trPr>
          <w:trHeight w:val="288"/>
        </w:trPr>
        <w:tc>
          <w:tcPr>
            <w:tcW w:w="609" w:type="dxa"/>
            <w:vMerge/>
            <w:noWrap/>
            <w:hideMark/>
          </w:tcPr>
          <w:p w14:paraId="7667005A" w14:textId="77777777" w:rsidR="00282C4D" w:rsidRPr="00BD66F6" w:rsidRDefault="00282C4D" w:rsidP="00282C4D">
            <w:pPr>
              <w:rPr>
                <w:sz w:val="18"/>
                <w:szCs w:val="18"/>
              </w:rPr>
            </w:pPr>
          </w:p>
        </w:tc>
        <w:tc>
          <w:tcPr>
            <w:tcW w:w="617" w:type="dxa"/>
            <w:noWrap/>
            <w:hideMark/>
          </w:tcPr>
          <w:p w14:paraId="68857075" w14:textId="77777777" w:rsidR="00282C4D" w:rsidRPr="00BD66F6" w:rsidRDefault="00282C4D" w:rsidP="00282C4D">
            <w:pPr>
              <w:rPr>
                <w:sz w:val="18"/>
                <w:szCs w:val="18"/>
              </w:rPr>
            </w:pPr>
            <w:r w:rsidRPr="00BD66F6">
              <w:rPr>
                <w:sz w:val="18"/>
                <w:szCs w:val="18"/>
              </w:rPr>
              <w:t>0.2</w:t>
            </w:r>
          </w:p>
        </w:tc>
        <w:tc>
          <w:tcPr>
            <w:tcW w:w="818" w:type="dxa"/>
            <w:noWrap/>
            <w:vAlign w:val="bottom"/>
            <w:hideMark/>
          </w:tcPr>
          <w:p w14:paraId="62382AC5" w14:textId="09A94EBD" w:rsidR="00282C4D" w:rsidRPr="00282C4D" w:rsidRDefault="00282C4D" w:rsidP="00282C4D">
            <w:pPr>
              <w:rPr>
                <w:sz w:val="18"/>
                <w:szCs w:val="18"/>
              </w:rPr>
            </w:pPr>
            <w:r w:rsidRPr="00282C4D">
              <w:rPr>
                <w:rFonts w:ascii="Aptos Narrow" w:hAnsi="Aptos Narrow"/>
                <w:color w:val="000000"/>
                <w:sz w:val="18"/>
                <w:szCs w:val="18"/>
              </w:rPr>
              <w:t>335782</w:t>
            </w:r>
          </w:p>
        </w:tc>
        <w:tc>
          <w:tcPr>
            <w:tcW w:w="916" w:type="dxa"/>
            <w:noWrap/>
            <w:vAlign w:val="bottom"/>
            <w:hideMark/>
          </w:tcPr>
          <w:p w14:paraId="1FCDA17C" w14:textId="547312A1" w:rsidR="00282C4D" w:rsidRPr="00282C4D" w:rsidRDefault="00282C4D" w:rsidP="00282C4D">
            <w:pPr>
              <w:rPr>
                <w:sz w:val="18"/>
                <w:szCs w:val="18"/>
              </w:rPr>
            </w:pPr>
            <w:r w:rsidRPr="00282C4D">
              <w:rPr>
                <w:rFonts w:ascii="Aptos Narrow" w:hAnsi="Aptos Narrow"/>
                <w:color w:val="000000"/>
                <w:sz w:val="18"/>
                <w:szCs w:val="18"/>
              </w:rPr>
              <w:t>98492</w:t>
            </w:r>
          </w:p>
        </w:tc>
        <w:tc>
          <w:tcPr>
            <w:tcW w:w="863" w:type="dxa"/>
            <w:noWrap/>
            <w:vAlign w:val="bottom"/>
            <w:hideMark/>
          </w:tcPr>
          <w:p w14:paraId="2EB8C453" w14:textId="27F37D69" w:rsidR="00282C4D" w:rsidRPr="00282C4D" w:rsidRDefault="00282C4D" w:rsidP="00282C4D">
            <w:pPr>
              <w:rPr>
                <w:sz w:val="18"/>
                <w:szCs w:val="18"/>
              </w:rPr>
            </w:pPr>
            <w:r w:rsidRPr="00282C4D">
              <w:rPr>
                <w:rFonts w:ascii="Aptos Narrow" w:hAnsi="Aptos Narrow"/>
                <w:color w:val="000000"/>
                <w:sz w:val="18"/>
                <w:szCs w:val="18"/>
              </w:rPr>
              <w:t>146888</w:t>
            </w:r>
          </w:p>
        </w:tc>
        <w:tc>
          <w:tcPr>
            <w:tcW w:w="862" w:type="dxa"/>
            <w:noWrap/>
            <w:vAlign w:val="bottom"/>
            <w:hideMark/>
          </w:tcPr>
          <w:p w14:paraId="0150796D" w14:textId="13D60181" w:rsidR="00282C4D" w:rsidRPr="00282C4D" w:rsidRDefault="00282C4D" w:rsidP="00282C4D">
            <w:pPr>
              <w:rPr>
                <w:sz w:val="18"/>
                <w:szCs w:val="18"/>
              </w:rPr>
            </w:pPr>
            <w:r w:rsidRPr="00282C4D">
              <w:rPr>
                <w:rFonts w:ascii="Aptos Narrow" w:hAnsi="Aptos Narrow"/>
                <w:color w:val="000000"/>
                <w:sz w:val="18"/>
                <w:szCs w:val="18"/>
              </w:rPr>
              <w:t>477.58</w:t>
            </w:r>
          </w:p>
        </w:tc>
        <w:tc>
          <w:tcPr>
            <w:tcW w:w="1043" w:type="dxa"/>
            <w:noWrap/>
            <w:vAlign w:val="bottom"/>
            <w:hideMark/>
          </w:tcPr>
          <w:p w14:paraId="074EF2D7" w14:textId="06745A82" w:rsidR="00282C4D" w:rsidRPr="00282C4D" w:rsidRDefault="00282C4D" w:rsidP="00282C4D">
            <w:pPr>
              <w:rPr>
                <w:sz w:val="18"/>
                <w:szCs w:val="18"/>
              </w:rPr>
            </w:pPr>
            <w:r w:rsidRPr="00282C4D">
              <w:rPr>
                <w:rFonts w:ascii="Aptos Narrow" w:hAnsi="Aptos Narrow"/>
                <w:color w:val="000000"/>
                <w:sz w:val="18"/>
                <w:szCs w:val="18"/>
              </w:rPr>
              <w:t>133.12</w:t>
            </w:r>
          </w:p>
        </w:tc>
        <w:tc>
          <w:tcPr>
            <w:tcW w:w="1119" w:type="dxa"/>
            <w:noWrap/>
            <w:vAlign w:val="bottom"/>
            <w:hideMark/>
          </w:tcPr>
          <w:p w14:paraId="7AC6C3F9" w14:textId="5959B7FE" w:rsidR="00282C4D" w:rsidRPr="00282C4D" w:rsidRDefault="00282C4D" w:rsidP="00282C4D">
            <w:pPr>
              <w:rPr>
                <w:sz w:val="18"/>
                <w:szCs w:val="18"/>
              </w:rPr>
            </w:pPr>
            <w:r w:rsidRPr="00282C4D">
              <w:rPr>
                <w:rFonts w:ascii="Aptos Narrow" w:hAnsi="Aptos Narrow"/>
                <w:color w:val="000000"/>
                <w:sz w:val="18"/>
                <w:szCs w:val="18"/>
              </w:rPr>
              <w:t>186.23</w:t>
            </w:r>
          </w:p>
        </w:tc>
        <w:tc>
          <w:tcPr>
            <w:tcW w:w="1046" w:type="dxa"/>
            <w:noWrap/>
            <w:vAlign w:val="bottom"/>
            <w:hideMark/>
          </w:tcPr>
          <w:p w14:paraId="365910B2" w14:textId="7C0AEAD6" w:rsidR="00282C4D" w:rsidRPr="00282C4D" w:rsidRDefault="00282C4D" w:rsidP="00282C4D">
            <w:pPr>
              <w:rPr>
                <w:sz w:val="18"/>
                <w:szCs w:val="18"/>
              </w:rPr>
            </w:pPr>
            <w:r w:rsidRPr="00282C4D">
              <w:rPr>
                <w:rFonts w:ascii="Aptos Narrow" w:hAnsi="Aptos Narrow"/>
                <w:color w:val="000000"/>
                <w:sz w:val="18"/>
                <w:szCs w:val="18"/>
              </w:rPr>
              <w:t>27.87</w:t>
            </w:r>
          </w:p>
        </w:tc>
        <w:tc>
          <w:tcPr>
            <w:tcW w:w="1123" w:type="dxa"/>
            <w:noWrap/>
            <w:vAlign w:val="bottom"/>
            <w:hideMark/>
          </w:tcPr>
          <w:p w14:paraId="11E247D2" w14:textId="33560914" w:rsidR="00282C4D" w:rsidRPr="00282C4D" w:rsidRDefault="00282C4D" w:rsidP="00282C4D">
            <w:pPr>
              <w:rPr>
                <w:sz w:val="18"/>
                <w:szCs w:val="18"/>
              </w:rPr>
            </w:pPr>
            <w:r w:rsidRPr="00282C4D">
              <w:rPr>
                <w:rFonts w:ascii="Aptos Narrow" w:hAnsi="Aptos Narrow"/>
                <w:color w:val="000000"/>
                <w:sz w:val="18"/>
                <w:szCs w:val="18"/>
              </w:rPr>
              <w:t>38.99</w:t>
            </w:r>
          </w:p>
        </w:tc>
      </w:tr>
      <w:tr w:rsidR="00282C4D" w:rsidRPr="00BD66F6" w14:paraId="71B0B6D1" w14:textId="77777777" w:rsidTr="00E6524F">
        <w:trPr>
          <w:trHeight w:val="288"/>
        </w:trPr>
        <w:tc>
          <w:tcPr>
            <w:tcW w:w="609" w:type="dxa"/>
            <w:vMerge/>
            <w:noWrap/>
            <w:hideMark/>
          </w:tcPr>
          <w:p w14:paraId="1BBDA297" w14:textId="77777777" w:rsidR="00282C4D" w:rsidRPr="00BD66F6" w:rsidRDefault="00282C4D" w:rsidP="00282C4D">
            <w:pPr>
              <w:rPr>
                <w:sz w:val="18"/>
                <w:szCs w:val="18"/>
              </w:rPr>
            </w:pPr>
          </w:p>
        </w:tc>
        <w:tc>
          <w:tcPr>
            <w:tcW w:w="617" w:type="dxa"/>
            <w:noWrap/>
            <w:hideMark/>
          </w:tcPr>
          <w:p w14:paraId="55134C60" w14:textId="77777777" w:rsidR="00282C4D" w:rsidRPr="00BD66F6" w:rsidRDefault="00282C4D" w:rsidP="00282C4D">
            <w:pPr>
              <w:rPr>
                <w:sz w:val="18"/>
                <w:szCs w:val="18"/>
              </w:rPr>
            </w:pPr>
            <w:r w:rsidRPr="00BD66F6">
              <w:rPr>
                <w:sz w:val="18"/>
                <w:szCs w:val="18"/>
              </w:rPr>
              <w:t>0.3</w:t>
            </w:r>
          </w:p>
        </w:tc>
        <w:tc>
          <w:tcPr>
            <w:tcW w:w="818" w:type="dxa"/>
            <w:noWrap/>
            <w:vAlign w:val="bottom"/>
            <w:hideMark/>
          </w:tcPr>
          <w:p w14:paraId="6065F0B0" w14:textId="514105C0" w:rsidR="00282C4D" w:rsidRPr="00282C4D" w:rsidRDefault="00282C4D" w:rsidP="00282C4D">
            <w:pPr>
              <w:rPr>
                <w:sz w:val="18"/>
                <w:szCs w:val="18"/>
              </w:rPr>
            </w:pPr>
            <w:r w:rsidRPr="00282C4D">
              <w:rPr>
                <w:rFonts w:ascii="Aptos Narrow" w:hAnsi="Aptos Narrow"/>
                <w:color w:val="000000"/>
                <w:sz w:val="18"/>
                <w:szCs w:val="18"/>
              </w:rPr>
              <w:t>335782</w:t>
            </w:r>
          </w:p>
        </w:tc>
        <w:tc>
          <w:tcPr>
            <w:tcW w:w="916" w:type="dxa"/>
            <w:noWrap/>
            <w:vAlign w:val="bottom"/>
            <w:hideMark/>
          </w:tcPr>
          <w:p w14:paraId="41CF8CC5" w14:textId="3137E465" w:rsidR="00282C4D" w:rsidRPr="00282C4D" w:rsidRDefault="00282C4D" w:rsidP="00282C4D">
            <w:pPr>
              <w:rPr>
                <w:sz w:val="18"/>
                <w:szCs w:val="18"/>
              </w:rPr>
            </w:pPr>
            <w:r w:rsidRPr="00282C4D">
              <w:rPr>
                <w:rFonts w:ascii="Aptos Narrow" w:hAnsi="Aptos Narrow"/>
                <w:color w:val="000000"/>
                <w:sz w:val="18"/>
                <w:szCs w:val="18"/>
              </w:rPr>
              <w:t>98492</w:t>
            </w:r>
          </w:p>
        </w:tc>
        <w:tc>
          <w:tcPr>
            <w:tcW w:w="863" w:type="dxa"/>
            <w:noWrap/>
            <w:vAlign w:val="bottom"/>
            <w:hideMark/>
          </w:tcPr>
          <w:p w14:paraId="52582C92" w14:textId="1FAD65CC" w:rsidR="00282C4D" w:rsidRPr="00282C4D" w:rsidRDefault="00282C4D" w:rsidP="00282C4D">
            <w:pPr>
              <w:rPr>
                <w:sz w:val="18"/>
                <w:szCs w:val="18"/>
              </w:rPr>
            </w:pPr>
            <w:r w:rsidRPr="00282C4D">
              <w:rPr>
                <w:rFonts w:ascii="Aptos Narrow" w:hAnsi="Aptos Narrow"/>
                <w:color w:val="000000"/>
                <w:sz w:val="18"/>
                <w:szCs w:val="18"/>
              </w:rPr>
              <w:t>134506</w:t>
            </w:r>
          </w:p>
        </w:tc>
        <w:tc>
          <w:tcPr>
            <w:tcW w:w="862" w:type="dxa"/>
            <w:noWrap/>
            <w:vAlign w:val="bottom"/>
            <w:hideMark/>
          </w:tcPr>
          <w:p w14:paraId="1BB2B010" w14:textId="2535FA00" w:rsidR="00282C4D" w:rsidRPr="00282C4D" w:rsidRDefault="00282C4D" w:rsidP="00282C4D">
            <w:pPr>
              <w:rPr>
                <w:sz w:val="18"/>
                <w:szCs w:val="18"/>
              </w:rPr>
            </w:pPr>
            <w:r w:rsidRPr="00282C4D">
              <w:rPr>
                <w:rFonts w:ascii="Aptos Narrow" w:hAnsi="Aptos Narrow"/>
                <w:color w:val="000000"/>
                <w:sz w:val="18"/>
                <w:szCs w:val="18"/>
              </w:rPr>
              <w:t>477.58</w:t>
            </w:r>
          </w:p>
        </w:tc>
        <w:tc>
          <w:tcPr>
            <w:tcW w:w="1043" w:type="dxa"/>
            <w:noWrap/>
            <w:vAlign w:val="bottom"/>
            <w:hideMark/>
          </w:tcPr>
          <w:p w14:paraId="3119132E" w14:textId="6B7A65E0" w:rsidR="00282C4D" w:rsidRPr="00282C4D" w:rsidRDefault="00282C4D" w:rsidP="00282C4D">
            <w:pPr>
              <w:rPr>
                <w:sz w:val="18"/>
                <w:szCs w:val="18"/>
              </w:rPr>
            </w:pPr>
            <w:r w:rsidRPr="00282C4D">
              <w:rPr>
                <w:rFonts w:ascii="Aptos Narrow" w:hAnsi="Aptos Narrow"/>
                <w:color w:val="000000"/>
                <w:sz w:val="18"/>
                <w:szCs w:val="18"/>
              </w:rPr>
              <w:t>133.12</w:t>
            </w:r>
          </w:p>
        </w:tc>
        <w:tc>
          <w:tcPr>
            <w:tcW w:w="1119" w:type="dxa"/>
            <w:noWrap/>
            <w:vAlign w:val="bottom"/>
            <w:hideMark/>
          </w:tcPr>
          <w:p w14:paraId="2A019C7C" w14:textId="7A67112C" w:rsidR="00282C4D" w:rsidRPr="00282C4D" w:rsidRDefault="00282C4D" w:rsidP="00282C4D">
            <w:pPr>
              <w:rPr>
                <w:sz w:val="18"/>
                <w:szCs w:val="18"/>
              </w:rPr>
            </w:pPr>
            <w:r w:rsidRPr="00282C4D">
              <w:rPr>
                <w:rFonts w:ascii="Aptos Narrow" w:hAnsi="Aptos Narrow"/>
                <w:color w:val="000000"/>
                <w:sz w:val="18"/>
                <w:szCs w:val="18"/>
              </w:rPr>
              <w:t>163.2</w:t>
            </w:r>
          </w:p>
        </w:tc>
        <w:tc>
          <w:tcPr>
            <w:tcW w:w="1046" w:type="dxa"/>
            <w:noWrap/>
            <w:vAlign w:val="bottom"/>
            <w:hideMark/>
          </w:tcPr>
          <w:p w14:paraId="1ADD138C" w14:textId="3CE22140" w:rsidR="00282C4D" w:rsidRPr="00282C4D" w:rsidRDefault="00282C4D" w:rsidP="00282C4D">
            <w:pPr>
              <w:rPr>
                <w:sz w:val="18"/>
                <w:szCs w:val="18"/>
              </w:rPr>
            </w:pPr>
            <w:r w:rsidRPr="00282C4D">
              <w:rPr>
                <w:rFonts w:ascii="Aptos Narrow" w:hAnsi="Aptos Narrow"/>
                <w:color w:val="000000"/>
                <w:sz w:val="18"/>
                <w:szCs w:val="18"/>
              </w:rPr>
              <w:t>27.87</w:t>
            </w:r>
          </w:p>
        </w:tc>
        <w:tc>
          <w:tcPr>
            <w:tcW w:w="1123" w:type="dxa"/>
            <w:noWrap/>
            <w:vAlign w:val="bottom"/>
            <w:hideMark/>
          </w:tcPr>
          <w:p w14:paraId="2E4394D0" w14:textId="235F7721" w:rsidR="00282C4D" w:rsidRPr="00282C4D" w:rsidRDefault="00282C4D" w:rsidP="00282C4D">
            <w:pPr>
              <w:rPr>
                <w:sz w:val="18"/>
                <w:szCs w:val="18"/>
              </w:rPr>
            </w:pPr>
            <w:r w:rsidRPr="00282C4D">
              <w:rPr>
                <w:rFonts w:ascii="Aptos Narrow" w:hAnsi="Aptos Narrow"/>
                <w:color w:val="000000"/>
                <w:sz w:val="18"/>
                <w:szCs w:val="18"/>
              </w:rPr>
              <w:t>34.17</w:t>
            </w:r>
          </w:p>
        </w:tc>
      </w:tr>
    </w:tbl>
    <w:p w14:paraId="6E5FD87C" w14:textId="58D1C413" w:rsidR="00FF57EE" w:rsidRDefault="006356F3" w:rsidP="00AE3832">
      <w:pPr>
        <w:spacing w:line="360" w:lineRule="auto"/>
      </w:pPr>
      <w:r>
        <w:t>Population reported in millions</w:t>
      </w:r>
    </w:p>
    <w:p w14:paraId="70C500F1" w14:textId="292746CB" w:rsidR="005B7751" w:rsidRDefault="005B7751">
      <w:pPr>
        <w:jc w:val="left"/>
      </w:pPr>
      <w:r>
        <w:br w:type="page"/>
      </w:r>
    </w:p>
    <w:p w14:paraId="62D392EA" w14:textId="69C7E59C" w:rsidR="005B7751" w:rsidRDefault="005B7751" w:rsidP="005B7751">
      <w:pPr>
        <w:pStyle w:val="Heading1"/>
      </w:pPr>
      <w:bookmarkStart w:id="21" w:name="_Toc214016761"/>
      <w:r>
        <w:lastRenderedPageBreak/>
        <w:t>References</w:t>
      </w:r>
      <w:bookmarkEnd w:id="21"/>
    </w:p>
    <w:sdt>
      <w:sdtPr>
        <w:rPr>
          <w:color w:val="000000"/>
        </w:rPr>
        <w:tag w:val="MENDELEY_BIBLIOGRAPHY"/>
        <w:id w:val="-1490548575"/>
        <w:placeholder>
          <w:docPart w:val="DefaultPlaceholder_-1854013440"/>
        </w:placeholder>
      </w:sdtPr>
      <w:sdtEndPr/>
      <w:sdtContent>
        <w:p w14:paraId="49DF0E3A" w14:textId="77777777" w:rsidR="00A10281" w:rsidRDefault="00A10281">
          <w:pPr>
            <w:autoSpaceDE w:val="0"/>
            <w:autoSpaceDN w:val="0"/>
            <w:ind w:hanging="480"/>
            <w:divId w:val="964969363"/>
            <w:rPr>
              <w:rFonts w:eastAsia="Times New Roman"/>
              <w:szCs w:val="24"/>
              <w14:ligatures w14:val="none"/>
            </w:rPr>
          </w:pPr>
          <w:r>
            <w:rPr>
              <w:rFonts w:eastAsia="Times New Roman"/>
            </w:rPr>
            <w:t xml:space="preserve">Bettencourt, L. M. A., &amp; Marchio, N. (2025). Infrastructure deficits and informal settlements in sub-Saharan Africa. </w:t>
          </w:r>
          <w:r>
            <w:rPr>
              <w:rFonts w:eastAsia="Times New Roman"/>
              <w:i/>
              <w:iCs/>
            </w:rPr>
            <w:t>Nature</w:t>
          </w:r>
          <w:r>
            <w:rPr>
              <w:rFonts w:eastAsia="Times New Roman"/>
            </w:rPr>
            <w:t xml:space="preserve">, </w:t>
          </w:r>
          <w:r>
            <w:rPr>
              <w:rFonts w:eastAsia="Times New Roman"/>
              <w:i/>
              <w:iCs/>
            </w:rPr>
            <w:t>645</w:t>
          </w:r>
          <w:r>
            <w:rPr>
              <w:rFonts w:eastAsia="Times New Roman"/>
            </w:rPr>
            <w:t>(8080), 399–406. https://doi.org/10.1038/s41586-025-09465-2</w:t>
          </w:r>
        </w:p>
        <w:p w14:paraId="0D31B465" w14:textId="77777777" w:rsidR="00A10281" w:rsidRDefault="00A10281">
          <w:pPr>
            <w:autoSpaceDE w:val="0"/>
            <w:autoSpaceDN w:val="0"/>
            <w:ind w:hanging="480"/>
            <w:divId w:val="207886057"/>
            <w:rPr>
              <w:rFonts w:eastAsia="Times New Roman"/>
            </w:rPr>
          </w:pPr>
          <w:r>
            <w:rPr>
              <w:rFonts w:eastAsia="Times New Roman"/>
            </w:rPr>
            <w:t xml:space="preserve">Friesen, J., Georganos, S., &amp; Haas, J. (2025). Differences in walking access to healthcare facilities between formal and informal areas in 19 sub-Saharan African cities. </w:t>
          </w:r>
          <w:r>
            <w:rPr>
              <w:rFonts w:eastAsia="Times New Roman"/>
              <w:i/>
              <w:iCs/>
            </w:rPr>
            <w:t>Communications Medicine</w:t>
          </w:r>
          <w:r>
            <w:rPr>
              <w:rFonts w:eastAsia="Times New Roman"/>
            </w:rPr>
            <w:t xml:space="preserve">, </w:t>
          </w:r>
          <w:r>
            <w:rPr>
              <w:rFonts w:eastAsia="Times New Roman"/>
              <w:i/>
              <w:iCs/>
            </w:rPr>
            <w:t>5</w:t>
          </w:r>
          <w:r>
            <w:rPr>
              <w:rFonts w:eastAsia="Times New Roman"/>
            </w:rPr>
            <w:t>(1), 41. https://doi.org/10.1038/s43856-025-00746-5</w:t>
          </w:r>
        </w:p>
        <w:p w14:paraId="46E23AB1" w14:textId="77777777" w:rsidR="00A10281" w:rsidRDefault="00A10281">
          <w:pPr>
            <w:autoSpaceDE w:val="0"/>
            <w:autoSpaceDN w:val="0"/>
            <w:ind w:hanging="480"/>
            <w:divId w:val="1606498357"/>
            <w:rPr>
              <w:rFonts w:eastAsia="Times New Roman"/>
            </w:rPr>
          </w:pPr>
          <w:proofErr w:type="spellStart"/>
          <w:r>
            <w:rPr>
              <w:rFonts w:eastAsia="Times New Roman"/>
            </w:rPr>
            <w:t>Genuer</w:t>
          </w:r>
          <w:proofErr w:type="spellEnd"/>
          <w:r>
            <w:rPr>
              <w:rFonts w:eastAsia="Times New Roman"/>
            </w:rPr>
            <w:t>, R., Poggi, J.-M., Tuleau-</w:t>
          </w:r>
          <w:proofErr w:type="spellStart"/>
          <w:r>
            <w:rPr>
              <w:rFonts w:eastAsia="Times New Roman"/>
            </w:rPr>
            <w:t>Malot</w:t>
          </w:r>
          <w:proofErr w:type="spellEnd"/>
          <w:r>
            <w:rPr>
              <w:rFonts w:eastAsia="Times New Roman"/>
            </w:rPr>
            <w:t xml:space="preserve">, C., &amp; </w:t>
          </w:r>
          <w:proofErr w:type="spellStart"/>
          <w:r>
            <w:rPr>
              <w:rFonts w:eastAsia="Times New Roman"/>
            </w:rPr>
            <w:t>Tuleau</w:t>
          </w:r>
          <w:proofErr w:type="spellEnd"/>
          <w:r>
            <w:rPr>
              <w:rFonts w:eastAsia="Times New Roman"/>
            </w:rPr>
            <w:t xml:space="preserve">, C. (2015). VSURF: An R Package for Variable Selection Using Random Forests. </w:t>
          </w:r>
          <w:r>
            <w:rPr>
              <w:rFonts w:eastAsia="Times New Roman"/>
              <w:i/>
              <w:iCs/>
            </w:rPr>
            <w:t>The R Journal</w:t>
          </w:r>
          <w:r>
            <w:rPr>
              <w:rFonts w:eastAsia="Times New Roman"/>
            </w:rPr>
            <w:t xml:space="preserve">, </w:t>
          </w:r>
          <w:r>
            <w:rPr>
              <w:rFonts w:eastAsia="Times New Roman"/>
              <w:i/>
              <w:iCs/>
            </w:rPr>
            <w:t>7</w:t>
          </w:r>
          <w:r>
            <w:rPr>
              <w:rFonts w:eastAsia="Times New Roman"/>
            </w:rPr>
            <w:t>(2), 19–33. https://doi.org/10.34894/VQ1DJA</w:t>
          </w:r>
        </w:p>
        <w:p w14:paraId="6FF27463" w14:textId="77777777" w:rsidR="00A10281" w:rsidRDefault="00A10281">
          <w:pPr>
            <w:autoSpaceDE w:val="0"/>
            <w:autoSpaceDN w:val="0"/>
            <w:ind w:hanging="480"/>
            <w:divId w:val="1756586919"/>
            <w:rPr>
              <w:rFonts w:eastAsia="Times New Roman"/>
            </w:rPr>
          </w:pPr>
          <w:r>
            <w:rPr>
              <w:rFonts w:eastAsia="Times New Roman"/>
            </w:rPr>
            <w:t xml:space="preserve">Guzder-Williams, B., </w:t>
          </w:r>
          <w:proofErr w:type="spellStart"/>
          <w:r>
            <w:rPr>
              <w:rFonts w:eastAsia="Times New Roman"/>
            </w:rPr>
            <w:t>Mackres</w:t>
          </w:r>
          <w:proofErr w:type="spellEnd"/>
          <w:r>
            <w:rPr>
              <w:rFonts w:eastAsia="Times New Roman"/>
            </w:rPr>
            <w:t xml:space="preserve">, E., Angel, S., Blei, A. M., &amp; Lamson-Hall, P. (2023). Intra-urban land use maps for a global sample of cities from Sentinel-2 satellite imagery and computer vision. </w:t>
          </w:r>
          <w:r>
            <w:rPr>
              <w:rFonts w:eastAsia="Times New Roman"/>
              <w:i/>
              <w:iCs/>
            </w:rPr>
            <w:t>Computers, Environment and Urban Systems</w:t>
          </w:r>
          <w:r>
            <w:rPr>
              <w:rFonts w:eastAsia="Times New Roman"/>
            </w:rPr>
            <w:t xml:space="preserve">, </w:t>
          </w:r>
          <w:r>
            <w:rPr>
              <w:rFonts w:eastAsia="Times New Roman"/>
              <w:i/>
              <w:iCs/>
            </w:rPr>
            <w:t>100</w:t>
          </w:r>
          <w:r>
            <w:rPr>
              <w:rFonts w:eastAsia="Times New Roman"/>
            </w:rPr>
            <w:t>, 101917. https://doi.org/10.1016/j.compenvurbsys.2022.101917</w:t>
          </w:r>
        </w:p>
        <w:p w14:paraId="4367DCDF" w14:textId="77777777" w:rsidR="00A10281" w:rsidRDefault="00A10281">
          <w:pPr>
            <w:autoSpaceDE w:val="0"/>
            <w:autoSpaceDN w:val="0"/>
            <w:ind w:hanging="480"/>
            <w:divId w:val="1633750826"/>
            <w:rPr>
              <w:rFonts w:eastAsia="Times New Roman"/>
            </w:rPr>
          </w:pPr>
          <w:r>
            <w:rPr>
              <w:rFonts w:eastAsia="Times New Roman"/>
            </w:rPr>
            <w:t xml:space="preserve">Li, C., Yu, L., </w:t>
          </w:r>
          <w:proofErr w:type="spellStart"/>
          <w:r>
            <w:rPr>
              <w:rFonts w:eastAsia="Times New Roman"/>
            </w:rPr>
            <w:t>Ndugwa</w:t>
          </w:r>
          <w:proofErr w:type="spellEnd"/>
          <w:r>
            <w:rPr>
              <w:rFonts w:eastAsia="Times New Roman"/>
            </w:rPr>
            <w:t xml:space="preserve">, R., Bailey, A. J., Zhang, X., Oloo, F., </w:t>
          </w:r>
          <w:proofErr w:type="spellStart"/>
          <w:r>
            <w:rPr>
              <w:rFonts w:eastAsia="Times New Roman"/>
            </w:rPr>
            <w:t>Chimimba</w:t>
          </w:r>
          <w:proofErr w:type="spellEnd"/>
          <w:r>
            <w:rPr>
              <w:rFonts w:eastAsia="Times New Roman"/>
            </w:rPr>
            <w:t xml:space="preserve">, E. G., Deng, X., &amp; Wright, J. (2025). Mapping urban slums and their inequality in sub-Saharan Africa. </w:t>
          </w:r>
          <w:r>
            <w:rPr>
              <w:rFonts w:eastAsia="Times New Roman"/>
              <w:i/>
              <w:iCs/>
            </w:rPr>
            <w:t>Nature Cities</w:t>
          </w:r>
          <w:r>
            <w:rPr>
              <w:rFonts w:eastAsia="Times New Roman"/>
            </w:rPr>
            <w:t>, 1–12. https://doi.org/10.1038/s44284-025-00276-0</w:t>
          </w:r>
        </w:p>
        <w:p w14:paraId="3610BC29" w14:textId="029127DD" w:rsidR="005B7751" w:rsidRPr="005B7751" w:rsidRDefault="00A10281" w:rsidP="005B7751">
          <w:r>
            <w:rPr>
              <w:rFonts w:eastAsia="Times New Roman"/>
            </w:rPr>
            <w:t> </w:t>
          </w:r>
        </w:p>
      </w:sdtContent>
    </w:sdt>
    <w:sectPr w:rsidR="005B7751" w:rsidRPr="005B7751" w:rsidSect="00D60B1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6FEA" w14:textId="77777777" w:rsidR="00110669" w:rsidRDefault="00110669" w:rsidP="00110669">
      <w:pPr>
        <w:spacing w:after="0" w:line="240" w:lineRule="auto"/>
      </w:pPr>
      <w:r>
        <w:separator/>
      </w:r>
    </w:p>
  </w:endnote>
  <w:endnote w:type="continuationSeparator" w:id="0">
    <w:p w14:paraId="532AA8A3" w14:textId="77777777" w:rsidR="00110669" w:rsidRDefault="00110669" w:rsidP="0011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D624" w14:textId="77777777" w:rsidR="00110669" w:rsidRDefault="0011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57627"/>
      <w:docPartObj>
        <w:docPartGallery w:val="Page Numbers (Bottom of Page)"/>
        <w:docPartUnique/>
      </w:docPartObj>
    </w:sdtPr>
    <w:sdtEndPr>
      <w:rPr>
        <w:noProof/>
      </w:rPr>
    </w:sdtEndPr>
    <w:sdtContent>
      <w:p w14:paraId="03C9C5FA" w14:textId="515F4AA8" w:rsidR="00110669" w:rsidRDefault="001106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3D435" w14:textId="77777777" w:rsidR="00110669" w:rsidRDefault="00110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B21D" w14:textId="77777777" w:rsidR="00110669" w:rsidRDefault="0011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C873" w14:textId="77777777" w:rsidR="00110669" w:rsidRDefault="00110669" w:rsidP="00110669">
      <w:pPr>
        <w:spacing w:after="0" w:line="240" w:lineRule="auto"/>
      </w:pPr>
      <w:r>
        <w:separator/>
      </w:r>
    </w:p>
  </w:footnote>
  <w:footnote w:type="continuationSeparator" w:id="0">
    <w:p w14:paraId="554AD2D2" w14:textId="77777777" w:rsidR="00110669" w:rsidRDefault="00110669" w:rsidP="0011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2FDE" w14:textId="77777777" w:rsidR="00110669" w:rsidRDefault="0011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A7C" w14:textId="77777777" w:rsidR="00110669" w:rsidRDefault="0011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4353" w14:textId="77777777" w:rsidR="00110669" w:rsidRDefault="0011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4DD"/>
    <w:multiLevelType w:val="hybridMultilevel"/>
    <w:tmpl w:val="B28670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5C7593"/>
    <w:multiLevelType w:val="multilevel"/>
    <w:tmpl w:val="AFD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652C"/>
    <w:multiLevelType w:val="multilevel"/>
    <w:tmpl w:val="454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A10E9"/>
    <w:multiLevelType w:val="multilevel"/>
    <w:tmpl w:val="BEAC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419F"/>
    <w:multiLevelType w:val="hybridMultilevel"/>
    <w:tmpl w:val="98545D1A"/>
    <w:lvl w:ilvl="0" w:tplc="9564C4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672D9C"/>
    <w:multiLevelType w:val="multilevel"/>
    <w:tmpl w:val="C59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6270"/>
    <w:multiLevelType w:val="multilevel"/>
    <w:tmpl w:val="383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E1AF8"/>
    <w:multiLevelType w:val="multilevel"/>
    <w:tmpl w:val="98DCA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83B76"/>
    <w:multiLevelType w:val="multilevel"/>
    <w:tmpl w:val="B86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007AC"/>
    <w:multiLevelType w:val="hybridMultilevel"/>
    <w:tmpl w:val="04441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43C42AB"/>
    <w:multiLevelType w:val="multilevel"/>
    <w:tmpl w:val="A64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51FA7"/>
    <w:multiLevelType w:val="hybridMultilevel"/>
    <w:tmpl w:val="DEF2A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3A2663"/>
    <w:multiLevelType w:val="multilevel"/>
    <w:tmpl w:val="AE5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97243"/>
    <w:multiLevelType w:val="hybridMultilevel"/>
    <w:tmpl w:val="78C21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7419CB"/>
    <w:multiLevelType w:val="multilevel"/>
    <w:tmpl w:val="9114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1040D"/>
    <w:multiLevelType w:val="multilevel"/>
    <w:tmpl w:val="318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D7B79"/>
    <w:multiLevelType w:val="multilevel"/>
    <w:tmpl w:val="23FE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3120E"/>
    <w:multiLevelType w:val="multilevel"/>
    <w:tmpl w:val="9FD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87142"/>
    <w:multiLevelType w:val="hybridMultilevel"/>
    <w:tmpl w:val="99E0B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DE17B19"/>
    <w:multiLevelType w:val="hybridMultilevel"/>
    <w:tmpl w:val="63BA6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9196703">
    <w:abstractNumId w:val="1"/>
  </w:num>
  <w:num w:numId="2" w16cid:durableId="966282366">
    <w:abstractNumId w:val="16"/>
  </w:num>
  <w:num w:numId="3" w16cid:durableId="1253516669">
    <w:abstractNumId w:val="6"/>
  </w:num>
  <w:num w:numId="4" w16cid:durableId="2064718870">
    <w:abstractNumId w:val="10"/>
  </w:num>
  <w:num w:numId="5" w16cid:durableId="1870557907">
    <w:abstractNumId w:val="3"/>
  </w:num>
  <w:num w:numId="6" w16cid:durableId="1575242413">
    <w:abstractNumId w:val="14"/>
  </w:num>
  <w:num w:numId="7" w16cid:durableId="1008556419">
    <w:abstractNumId w:val="2"/>
  </w:num>
  <w:num w:numId="8" w16cid:durableId="881752925">
    <w:abstractNumId w:val="8"/>
  </w:num>
  <w:num w:numId="9" w16cid:durableId="1523085641">
    <w:abstractNumId w:val="17"/>
  </w:num>
  <w:num w:numId="10" w16cid:durableId="1966810980">
    <w:abstractNumId w:val="15"/>
  </w:num>
  <w:num w:numId="11" w16cid:durableId="2017540418">
    <w:abstractNumId w:val="12"/>
  </w:num>
  <w:num w:numId="12" w16cid:durableId="660162846">
    <w:abstractNumId w:val="7"/>
  </w:num>
  <w:num w:numId="13" w16cid:durableId="589121086">
    <w:abstractNumId w:val="5"/>
  </w:num>
  <w:num w:numId="14" w16cid:durableId="1957565259">
    <w:abstractNumId w:val="13"/>
  </w:num>
  <w:num w:numId="15" w16cid:durableId="187989462">
    <w:abstractNumId w:val="9"/>
  </w:num>
  <w:num w:numId="16" w16cid:durableId="1645891777">
    <w:abstractNumId w:val="4"/>
  </w:num>
  <w:num w:numId="17" w16cid:durableId="1138649834">
    <w:abstractNumId w:val="18"/>
  </w:num>
  <w:num w:numId="18" w16cid:durableId="115411844">
    <w:abstractNumId w:val="19"/>
  </w:num>
  <w:num w:numId="19" w16cid:durableId="1601791041">
    <w:abstractNumId w:val="11"/>
  </w:num>
  <w:num w:numId="20" w16cid:durableId="160911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E9"/>
    <w:rsid w:val="00046602"/>
    <w:rsid w:val="000F3251"/>
    <w:rsid w:val="00105EA6"/>
    <w:rsid w:val="00110669"/>
    <w:rsid w:val="001127C4"/>
    <w:rsid w:val="001D1007"/>
    <w:rsid w:val="001E151D"/>
    <w:rsid w:val="001E348B"/>
    <w:rsid w:val="00220374"/>
    <w:rsid w:val="00226968"/>
    <w:rsid w:val="002347B2"/>
    <w:rsid w:val="00250E51"/>
    <w:rsid w:val="002826C9"/>
    <w:rsid w:val="00282C4D"/>
    <w:rsid w:val="002D2236"/>
    <w:rsid w:val="002E4CD0"/>
    <w:rsid w:val="00300430"/>
    <w:rsid w:val="00304325"/>
    <w:rsid w:val="0031185B"/>
    <w:rsid w:val="00346521"/>
    <w:rsid w:val="003B5FA0"/>
    <w:rsid w:val="003E535D"/>
    <w:rsid w:val="00461949"/>
    <w:rsid w:val="004B5693"/>
    <w:rsid w:val="004D78E1"/>
    <w:rsid w:val="00500C53"/>
    <w:rsid w:val="00546A2B"/>
    <w:rsid w:val="005B7751"/>
    <w:rsid w:val="005E1512"/>
    <w:rsid w:val="005E75D3"/>
    <w:rsid w:val="006356F3"/>
    <w:rsid w:val="006357FC"/>
    <w:rsid w:val="0066186B"/>
    <w:rsid w:val="006640AE"/>
    <w:rsid w:val="00664BFB"/>
    <w:rsid w:val="00672B99"/>
    <w:rsid w:val="00702794"/>
    <w:rsid w:val="007115C5"/>
    <w:rsid w:val="007721F3"/>
    <w:rsid w:val="00784FF3"/>
    <w:rsid w:val="00796EC8"/>
    <w:rsid w:val="007C417F"/>
    <w:rsid w:val="007C4561"/>
    <w:rsid w:val="008537F6"/>
    <w:rsid w:val="0086524A"/>
    <w:rsid w:val="00867B3E"/>
    <w:rsid w:val="00882B19"/>
    <w:rsid w:val="00887E1D"/>
    <w:rsid w:val="008E1B29"/>
    <w:rsid w:val="008F2BE9"/>
    <w:rsid w:val="009121FA"/>
    <w:rsid w:val="0091724B"/>
    <w:rsid w:val="00962ED5"/>
    <w:rsid w:val="00977BA1"/>
    <w:rsid w:val="009A51B4"/>
    <w:rsid w:val="00A10281"/>
    <w:rsid w:val="00A36B60"/>
    <w:rsid w:val="00A718EA"/>
    <w:rsid w:val="00AA0C66"/>
    <w:rsid w:val="00AC62D9"/>
    <w:rsid w:val="00AD6D7B"/>
    <w:rsid w:val="00AE3832"/>
    <w:rsid w:val="00B20B07"/>
    <w:rsid w:val="00B36EC9"/>
    <w:rsid w:val="00B463BF"/>
    <w:rsid w:val="00B87921"/>
    <w:rsid w:val="00BD66F6"/>
    <w:rsid w:val="00BE4C43"/>
    <w:rsid w:val="00BF59E0"/>
    <w:rsid w:val="00C73D5A"/>
    <w:rsid w:val="00C83444"/>
    <w:rsid w:val="00CF4880"/>
    <w:rsid w:val="00CF66A6"/>
    <w:rsid w:val="00D10F56"/>
    <w:rsid w:val="00D50105"/>
    <w:rsid w:val="00D60B14"/>
    <w:rsid w:val="00D708E9"/>
    <w:rsid w:val="00D87CB2"/>
    <w:rsid w:val="00D936D8"/>
    <w:rsid w:val="00DB110B"/>
    <w:rsid w:val="00DC321A"/>
    <w:rsid w:val="00DC6C68"/>
    <w:rsid w:val="00E24D6B"/>
    <w:rsid w:val="00E53530"/>
    <w:rsid w:val="00E549D4"/>
    <w:rsid w:val="00E613D0"/>
    <w:rsid w:val="00E71F21"/>
    <w:rsid w:val="00ED3358"/>
    <w:rsid w:val="00F30148"/>
    <w:rsid w:val="00FC6D3D"/>
    <w:rsid w:val="00FE363F"/>
    <w:rsid w:val="00FF57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CB42"/>
  <w15:chartTrackingRefBased/>
  <w15:docId w15:val="{4BEBB421-9BFA-432E-AF4F-051FDDB9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E9"/>
    <w:pPr>
      <w:jc w:val="both"/>
    </w:pPr>
    <w:rPr>
      <w:sz w:val="24"/>
    </w:rPr>
  </w:style>
  <w:style w:type="paragraph" w:styleId="Heading1">
    <w:name w:val="heading 1"/>
    <w:basedOn w:val="Normal"/>
    <w:next w:val="Normal"/>
    <w:link w:val="Heading1Char"/>
    <w:uiPriority w:val="9"/>
    <w:qFormat/>
    <w:rsid w:val="00D708E9"/>
    <w:pPr>
      <w:keepNext/>
      <w:keepLines/>
      <w:spacing w:before="480" w:after="20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8E9"/>
    <w:pPr>
      <w:keepNext/>
      <w:keepLines/>
      <w:spacing w:before="28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8E9"/>
    <w:rPr>
      <w:rFonts w:eastAsiaTheme="majorEastAsia" w:cstheme="majorBidi"/>
      <w:color w:val="272727" w:themeColor="text1" w:themeTint="D8"/>
    </w:rPr>
  </w:style>
  <w:style w:type="paragraph" w:styleId="Title">
    <w:name w:val="Title"/>
    <w:basedOn w:val="Normal"/>
    <w:next w:val="Normal"/>
    <w:link w:val="TitleChar"/>
    <w:uiPriority w:val="10"/>
    <w:qFormat/>
    <w:rsid w:val="00D70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8E9"/>
    <w:pPr>
      <w:spacing w:before="160"/>
      <w:jc w:val="center"/>
    </w:pPr>
    <w:rPr>
      <w:i/>
      <w:iCs/>
      <w:color w:val="404040" w:themeColor="text1" w:themeTint="BF"/>
    </w:rPr>
  </w:style>
  <w:style w:type="character" w:customStyle="1" w:styleId="QuoteChar">
    <w:name w:val="Quote Char"/>
    <w:basedOn w:val="DefaultParagraphFont"/>
    <w:link w:val="Quote"/>
    <w:uiPriority w:val="29"/>
    <w:rsid w:val="00D708E9"/>
    <w:rPr>
      <w:i/>
      <w:iCs/>
      <w:color w:val="404040" w:themeColor="text1" w:themeTint="BF"/>
    </w:rPr>
  </w:style>
  <w:style w:type="paragraph" w:styleId="ListParagraph">
    <w:name w:val="List Paragraph"/>
    <w:basedOn w:val="Normal"/>
    <w:uiPriority w:val="34"/>
    <w:qFormat/>
    <w:rsid w:val="00D708E9"/>
    <w:pPr>
      <w:ind w:left="720"/>
      <w:contextualSpacing/>
    </w:pPr>
  </w:style>
  <w:style w:type="character" w:styleId="IntenseEmphasis">
    <w:name w:val="Intense Emphasis"/>
    <w:basedOn w:val="DefaultParagraphFont"/>
    <w:uiPriority w:val="21"/>
    <w:qFormat/>
    <w:rsid w:val="00D708E9"/>
    <w:rPr>
      <w:i/>
      <w:iCs/>
      <w:color w:val="0F4761" w:themeColor="accent1" w:themeShade="BF"/>
    </w:rPr>
  </w:style>
  <w:style w:type="paragraph" w:styleId="IntenseQuote">
    <w:name w:val="Intense Quote"/>
    <w:basedOn w:val="Normal"/>
    <w:next w:val="Normal"/>
    <w:link w:val="IntenseQuoteChar"/>
    <w:uiPriority w:val="30"/>
    <w:qFormat/>
    <w:rsid w:val="00D70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8E9"/>
    <w:rPr>
      <w:i/>
      <w:iCs/>
      <w:color w:val="0F4761" w:themeColor="accent1" w:themeShade="BF"/>
    </w:rPr>
  </w:style>
  <w:style w:type="character" w:styleId="IntenseReference">
    <w:name w:val="Intense Reference"/>
    <w:basedOn w:val="DefaultParagraphFont"/>
    <w:uiPriority w:val="32"/>
    <w:qFormat/>
    <w:rsid w:val="00D708E9"/>
    <w:rPr>
      <w:b/>
      <w:bCs/>
      <w:smallCaps/>
      <w:color w:val="0F4761" w:themeColor="accent1" w:themeShade="BF"/>
      <w:spacing w:val="5"/>
    </w:rPr>
  </w:style>
  <w:style w:type="paragraph" w:styleId="Caption">
    <w:name w:val="caption"/>
    <w:basedOn w:val="Normal"/>
    <w:next w:val="Normal"/>
    <w:uiPriority w:val="35"/>
    <w:unhideWhenUsed/>
    <w:qFormat/>
    <w:rsid w:val="00AC62D9"/>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AC62D9"/>
    <w:rPr>
      <w:color w:val="666666"/>
    </w:rPr>
  </w:style>
  <w:style w:type="paragraph" w:styleId="Header">
    <w:name w:val="header"/>
    <w:basedOn w:val="Normal"/>
    <w:link w:val="HeaderChar"/>
    <w:uiPriority w:val="99"/>
    <w:unhideWhenUsed/>
    <w:rsid w:val="00110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69"/>
    <w:rPr>
      <w:sz w:val="24"/>
    </w:rPr>
  </w:style>
  <w:style w:type="paragraph" w:styleId="Footer">
    <w:name w:val="footer"/>
    <w:basedOn w:val="Normal"/>
    <w:link w:val="FooterChar"/>
    <w:uiPriority w:val="99"/>
    <w:unhideWhenUsed/>
    <w:rsid w:val="00110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69"/>
    <w:rPr>
      <w:sz w:val="24"/>
    </w:rPr>
  </w:style>
  <w:style w:type="table" w:styleId="TableGrid">
    <w:name w:val="Table Grid"/>
    <w:basedOn w:val="TableNormal"/>
    <w:uiPriority w:val="39"/>
    <w:rsid w:val="003E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B07"/>
    <w:rPr>
      <w:color w:val="467886" w:themeColor="hyperlink"/>
      <w:u w:val="single"/>
    </w:rPr>
  </w:style>
  <w:style w:type="character" w:styleId="UnresolvedMention">
    <w:name w:val="Unresolved Mention"/>
    <w:basedOn w:val="DefaultParagraphFont"/>
    <w:uiPriority w:val="99"/>
    <w:semiHidden/>
    <w:unhideWhenUsed/>
    <w:rsid w:val="00B20B07"/>
    <w:rPr>
      <w:color w:val="605E5C"/>
      <w:shd w:val="clear" w:color="auto" w:fill="E1DFDD"/>
    </w:rPr>
  </w:style>
  <w:style w:type="paragraph" w:styleId="TOC1">
    <w:name w:val="toc 1"/>
    <w:basedOn w:val="Normal"/>
    <w:next w:val="Normal"/>
    <w:autoRedefine/>
    <w:uiPriority w:val="39"/>
    <w:unhideWhenUsed/>
    <w:rsid w:val="005B7751"/>
    <w:pPr>
      <w:spacing w:before="120" w:after="120"/>
      <w:jc w:val="left"/>
    </w:pPr>
    <w:rPr>
      <w:b/>
      <w:bCs/>
      <w:caps/>
      <w:sz w:val="20"/>
      <w:szCs w:val="20"/>
    </w:rPr>
  </w:style>
  <w:style w:type="paragraph" w:styleId="TOC2">
    <w:name w:val="toc 2"/>
    <w:basedOn w:val="Normal"/>
    <w:next w:val="Normal"/>
    <w:autoRedefine/>
    <w:uiPriority w:val="39"/>
    <w:unhideWhenUsed/>
    <w:rsid w:val="005B7751"/>
    <w:pPr>
      <w:spacing w:after="0"/>
      <w:ind w:left="240"/>
      <w:jc w:val="left"/>
    </w:pPr>
    <w:rPr>
      <w:smallCaps/>
      <w:sz w:val="20"/>
      <w:szCs w:val="20"/>
    </w:rPr>
  </w:style>
  <w:style w:type="paragraph" w:styleId="TOC3">
    <w:name w:val="toc 3"/>
    <w:basedOn w:val="Normal"/>
    <w:next w:val="Normal"/>
    <w:autoRedefine/>
    <w:uiPriority w:val="39"/>
    <w:unhideWhenUsed/>
    <w:rsid w:val="005B7751"/>
    <w:pPr>
      <w:spacing w:after="0"/>
      <w:ind w:left="480"/>
      <w:jc w:val="left"/>
    </w:pPr>
    <w:rPr>
      <w:i/>
      <w:iCs/>
      <w:sz w:val="20"/>
      <w:szCs w:val="20"/>
    </w:rPr>
  </w:style>
  <w:style w:type="paragraph" w:styleId="TOC4">
    <w:name w:val="toc 4"/>
    <w:basedOn w:val="Normal"/>
    <w:next w:val="Normal"/>
    <w:autoRedefine/>
    <w:uiPriority w:val="39"/>
    <w:unhideWhenUsed/>
    <w:rsid w:val="005B7751"/>
    <w:pPr>
      <w:spacing w:after="0"/>
      <w:ind w:left="720"/>
      <w:jc w:val="left"/>
    </w:pPr>
    <w:rPr>
      <w:sz w:val="18"/>
      <w:szCs w:val="18"/>
    </w:rPr>
  </w:style>
  <w:style w:type="paragraph" w:styleId="TOC5">
    <w:name w:val="toc 5"/>
    <w:basedOn w:val="Normal"/>
    <w:next w:val="Normal"/>
    <w:autoRedefine/>
    <w:uiPriority w:val="39"/>
    <w:unhideWhenUsed/>
    <w:rsid w:val="005B7751"/>
    <w:pPr>
      <w:spacing w:after="0"/>
      <w:ind w:left="960"/>
      <w:jc w:val="left"/>
    </w:pPr>
    <w:rPr>
      <w:sz w:val="18"/>
      <w:szCs w:val="18"/>
    </w:rPr>
  </w:style>
  <w:style w:type="paragraph" w:styleId="TOC6">
    <w:name w:val="toc 6"/>
    <w:basedOn w:val="Normal"/>
    <w:next w:val="Normal"/>
    <w:autoRedefine/>
    <w:uiPriority w:val="39"/>
    <w:unhideWhenUsed/>
    <w:rsid w:val="005B7751"/>
    <w:pPr>
      <w:spacing w:after="0"/>
      <w:ind w:left="1200"/>
      <w:jc w:val="left"/>
    </w:pPr>
    <w:rPr>
      <w:sz w:val="18"/>
      <w:szCs w:val="18"/>
    </w:rPr>
  </w:style>
  <w:style w:type="paragraph" w:styleId="TOC7">
    <w:name w:val="toc 7"/>
    <w:basedOn w:val="Normal"/>
    <w:next w:val="Normal"/>
    <w:autoRedefine/>
    <w:uiPriority w:val="39"/>
    <w:unhideWhenUsed/>
    <w:rsid w:val="005B7751"/>
    <w:pPr>
      <w:spacing w:after="0"/>
      <w:ind w:left="1440"/>
      <w:jc w:val="left"/>
    </w:pPr>
    <w:rPr>
      <w:sz w:val="18"/>
      <w:szCs w:val="18"/>
    </w:rPr>
  </w:style>
  <w:style w:type="paragraph" w:styleId="TOC8">
    <w:name w:val="toc 8"/>
    <w:basedOn w:val="Normal"/>
    <w:next w:val="Normal"/>
    <w:autoRedefine/>
    <w:uiPriority w:val="39"/>
    <w:unhideWhenUsed/>
    <w:rsid w:val="005B7751"/>
    <w:pPr>
      <w:spacing w:after="0"/>
      <w:ind w:left="1680"/>
      <w:jc w:val="left"/>
    </w:pPr>
    <w:rPr>
      <w:sz w:val="18"/>
      <w:szCs w:val="18"/>
    </w:rPr>
  </w:style>
  <w:style w:type="paragraph" w:styleId="TOC9">
    <w:name w:val="toc 9"/>
    <w:basedOn w:val="Normal"/>
    <w:next w:val="Normal"/>
    <w:autoRedefine/>
    <w:uiPriority w:val="39"/>
    <w:unhideWhenUsed/>
    <w:rsid w:val="005B7751"/>
    <w:pPr>
      <w:spacing w:after="0"/>
      <w:ind w:left="192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2684">
      <w:marLeft w:val="480"/>
      <w:marRight w:val="0"/>
      <w:marTop w:val="0"/>
      <w:marBottom w:val="0"/>
      <w:divBdr>
        <w:top w:val="none" w:sz="0" w:space="0" w:color="auto"/>
        <w:left w:val="none" w:sz="0" w:space="0" w:color="auto"/>
        <w:bottom w:val="none" w:sz="0" w:space="0" w:color="auto"/>
        <w:right w:val="none" w:sz="0" w:space="0" w:color="auto"/>
      </w:divBdr>
    </w:div>
    <w:div w:id="174199815">
      <w:marLeft w:val="480"/>
      <w:marRight w:val="0"/>
      <w:marTop w:val="0"/>
      <w:marBottom w:val="0"/>
      <w:divBdr>
        <w:top w:val="none" w:sz="0" w:space="0" w:color="auto"/>
        <w:left w:val="none" w:sz="0" w:space="0" w:color="auto"/>
        <w:bottom w:val="none" w:sz="0" w:space="0" w:color="auto"/>
        <w:right w:val="none" w:sz="0" w:space="0" w:color="auto"/>
      </w:divBdr>
    </w:div>
    <w:div w:id="207886057">
      <w:marLeft w:val="480"/>
      <w:marRight w:val="0"/>
      <w:marTop w:val="0"/>
      <w:marBottom w:val="0"/>
      <w:divBdr>
        <w:top w:val="none" w:sz="0" w:space="0" w:color="auto"/>
        <w:left w:val="none" w:sz="0" w:space="0" w:color="auto"/>
        <w:bottom w:val="none" w:sz="0" w:space="0" w:color="auto"/>
        <w:right w:val="none" w:sz="0" w:space="0" w:color="auto"/>
      </w:divBdr>
    </w:div>
    <w:div w:id="309483817">
      <w:marLeft w:val="480"/>
      <w:marRight w:val="0"/>
      <w:marTop w:val="0"/>
      <w:marBottom w:val="0"/>
      <w:divBdr>
        <w:top w:val="none" w:sz="0" w:space="0" w:color="auto"/>
        <w:left w:val="none" w:sz="0" w:space="0" w:color="auto"/>
        <w:bottom w:val="none" w:sz="0" w:space="0" w:color="auto"/>
        <w:right w:val="none" w:sz="0" w:space="0" w:color="auto"/>
      </w:divBdr>
    </w:div>
    <w:div w:id="344526172">
      <w:marLeft w:val="480"/>
      <w:marRight w:val="0"/>
      <w:marTop w:val="0"/>
      <w:marBottom w:val="0"/>
      <w:divBdr>
        <w:top w:val="none" w:sz="0" w:space="0" w:color="auto"/>
        <w:left w:val="none" w:sz="0" w:space="0" w:color="auto"/>
        <w:bottom w:val="none" w:sz="0" w:space="0" w:color="auto"/>
        <w:right w:val="none" w:sz="0" w:space="0" w:color="auto"/>
      </w:divBdr>
    </w:div>
    <w:div w:id="361057198">
      <w:marLeft w:val="480"/>
      <w:marRight w:val="0"/>
      <w:marTop w:val="0"/>
      <w:marBottom w:val="0"/>
      <w:divBdr>
        <w:top w:val="none" w:sz="0" w:space="0" w:color="auto"/>
        <w:left w:val="none" w:sz="0" w:space="0" w:color="auto"/>
        <w:bottom w:val="none" w:sz="0" w:space="0" w:color="auto"/>
        <w:right w:val="none" w:sz="0" w:space="0" w:color="auto"/>
      </w:divBdr>
    </w:div>
    <w:div w:id="394403318">
      <w:marLeft w:val="480"/>
      <w:marRight w:val="0"/>
      <w:marTop w:val="0"/>
      <w:marBottom w:val="0"/>
      <w:divBdr>
        <w:top w:val="none" w:sz="0" w:space="0" w:color="auto"/>
        <w:left w:val="none" w:sz="0" w:space="0" w:color="auto"/>
        <w:bottom w:val="none" w:sz="0" w:space="0" w:color="auto"/>
        <w:right w:val="none" w:sz="0" w:space="0" w:color="auto"/>
      </w:divBdr>
    </w:div>
    <w:div w:id="413672133">
      <w:marLeft w:val="480"/>
      <w:marRight w:val="0"/>
      <w:marTop w:val="0"/>
      <w:marBottom w:val="0"/>
      <w:divBdr>
        <w:top w:val="none" w:sz="0" w:space="0" w:color="auto"/>
        <w:left w:val="none" w:sz="0" w:space="0" w:color="auto"/>
        <w:bottom w:val="none" w:sz="0" w:space="0" w:color="auto"/>
        <w:right w:val="none" w:sz="0" w:space="0" w:color="auto"/>
      </w:divBdr>
    </w:div>
    <w:div w:id="429665806">
      <w:marLeft w:val="480"/>
      <w:marRight w:val="0"/>
      <w:marTop w:val="0"/>
      <w:marBottom w:val="0"/>
      <w:divBdr>
        <w:top w:val="none" w:sz="0" w:space="0" w:color="auto"/>
        <w:left w:val="none" w:sz="0" w:space="0" w:color="auto"/>
        <w:bottom w:val="none" w:sz="0" w:space="0" w:color="auto"/>
        <w:right w:val="none" w:sz="0" w:space="0" w:color="auto"/>
      </w:divBdr>
    </w:div>
    <w:div w:id="484591562">
      <w:marLeft w:val="480"/>
      <w:marRight w:val="0"/>
      <w:marTop w:val="0"/>
      <w:marBottom w:val="0"/>
      <w:divBdr>
        <w:top w:val="none" w:sz="0" w:space="0" w:color="auto"/>
        <w:left w:val="none" w:sz="0" w:space="0" w:color="auto"/>
        <w:bottom w:val="none" w:sz="0" w:space="0" w:color="auto"/>
        <w:right w:val="none" w:sz="0" w:space="0" w:color="auto"/>
      </w:divBdr>
    </w:div>
    <w:div w:id="614480693">
      <w:marLeft w:val="480"/>
      <w:marRight w:val="0"/>
      <w:marTop w:val="0"/>
      <w:marBottom w:val="0"/>
      <w:divBdr>
        <w:top w:val="none" w:sz="0" w:space="0" w:color="auto"/>
        <w:left w:val="none" w:sz="0" w:space="0" w:color="auto"/>
        <w:bottom w:val="none" w:sz="0" w:space="0" w:color="auto"/>
        <w:right w:val="none" w:sz="0" w:space="0" w:color="auto"/>
      </w:divBdr>
    </w:div>
    <w:div w:id="651641337">
      <w:marLeft w:val="480"/>
      <w:marRight w:val="0"/>
      <w:marTop w:val="0"/>
      <w:marBottom w:val="0"/>
      <w:divBdr>
        <w:top w:val="none" w:sz="0" w:space="0" w:color="auto"/>
        <w:left w:val="none" w:sz="0" w:space="0" w:color="auto"/>
        <w:bottom w:val="none" w:sz="0" w:space="0" w:color="auto"/>
        <w:right w:val="none" w:sz="0" w:space="0" w:color="auto"/>
      </w:divBdr>
    </w:div>
    <w:div w:id="674960141">
      <w:marLeft w:val="480"/>
      <w:marRight w:val="0"/>
      <w:marTop w:val="0"/>
      <w:marBottom w:val="0"/>
      <w:divBdr>
        <w:top w:val="none" w:sz="0" w:space="0" w:color="auto"/>
        <w:left w:val="none" w:sz="0" w:space="0" w:color="auto"/>
        <w:bottom w:val="none" w:sz="0" w:space="0" w:color="auto"/>
        <w:right w:val="none" w:sz="0" w:space="0" w:color="auto"/>
      </w:divBdr>
    </w:div>
    <w:div w:id="687606546">
      <w:marLeft w:val="480"/>
      <w:marRight w:val="0"/>
      <w:marTop w:val="0"/>
      <w:marBottom w:val="0"/>
      <w:divBdr>
        <w:top w:val="none" w:sz="0" w:space="0" w:color="auto"/>
        <w:left w:val="none" w:sz="0" w:space="0" w:color="auto"/>
        <w:bottom w:val="none" w:sz="0" w:space="0" w:color="auto"/>
        <w:right w:val="none" w:sz="0" w:space="0" w:color="auto"/>
      </w:divBdr>
    </w:div>
    <w:div w:id="692076592">
      <w:marLeft w:val="480"/>
      <w:marRight w:val="0"/>
      <w:marTop w:val="0"/>
      <w:marBottom w:val="0"/>
      <w:divBdr>
        <w:top w:val="none" w:sz="0" w:space="0" w:color="auto"/>
        <w:left w:val="none" w:sz="0" w:space="0" w:color="auto"/>
        <w:bottom w:val="none" w:sz="0" w:space="0" w:color="auto"/>
        <w:right w:val="none" w:sz="0" w:space="0" w:color="auto"/>
      </w:divBdr>
    </w:div>
    <w:div w:id="777213504">
      <w:marLeft w:val="480"/>
      <w:marRight w:val="0"/>
      <w:marTop w:val="0"/>
      <w:marBottom w:val="0"/>
      <w:divBdr>
        <w:top w:val="none" w:sz="0" w:space="0" w:color="auto"/>
        <w:left w:val="none" w:sz="0" w:space="0" w:color="auto"/>
        <w:bottom w:val="none" w:sz="0" w:space="0" w:color="auto"/>
        <w:right w:val="none" w:sz="0" w:space="0" w:color="auto"/>
      </w:divBdr>
    </w:div>
    <w:div w:id="819926142">
      <w:marLeft w:val="480"/>
      <w:marRight w:val="0"/>
      <w:marTop w:val="0"/>
      <w:marBottom w:val="0"/>
      <w:divBdr>
        <w:top w:val="none" w:sz="0" w:space="0" w:color="auto"/>
        <w:left w:val="none" w:sz="0" w:space="0" w:color="auto"/>
        <w:bottom w:val="none" w:sz="0" w:space="0" w:color="auto"/>
        <w:right w:val="none" w:sz="0" w:space="0" w:color="auto"/>
      </w:divBdr>
    </w:div>
    <w:div w:id="843788941">
      <w:marLeft w:val="480"/>
      <w:marRight w:val="0"/>
      <w:marTop w:val="0"/>
      <w:marBottom w:val="0"/>
      <w:divBdr>
        <w:top w:val="none" w:sz="0" w:space="0" w:color="auto"/>
        <w:left w:val="none" w:sz="0" w:space="0" w:color="auto"/>
        <w:bottom w:val="none" w:sz="0" w:space="0" w:color="auto"/>
        <w:right w:val="none" w:sz="0" w:space="0" w:color="auto"/>
      </w:divBdr>
    </w:div>
    <w:div w:id="881593930">
      <w:marLeft w:val="480"/>
      <w:marRight w:val="0"/>
      <w:marTop w:val="0"/>
      <w:marBottom w:val="0"/>
      <w:divBdr>
        <w:top w:val="none" w:sz="0" w:space="0" w:color="auto"/>
        <w:left w:val="none" w:sz="0" w:space="0" w:color="auto"/>
        <w:bottom w:val="none" w:sz="0" w:space="0" w:color="auto"/>
        <w:right w:val="none" w:sz="0" w:space="0" w:color="auto"/>
      </w:divBdr>
    </w:div>
    <w:div w:id="905411100">
      <w:marLeft w:val="480"/>
      <w:marRight w:val="0"/>
      <w:marTop w:val="0"/>
      <w:marBottom w:val="0"/>
      <w:divBdr>
        <w:top w:val="none" w:sz="0" w:space="0" w:color="auto"/>
        <w:left w:val="none" w:sz="0" w:space="0" w:color="auto"/>
        <w:bottom w:val="none" w:sz="0" w:space="0" w:color="auto"/>
        <w:right w:val="none" w:sz="0" w:space="0" w:color="auto"/>
      </w:divBdr>
    </w:div>
    <w:div w:id="914825704">
      <w:marLeft w:val="480"/>
      <w:marRight w:val="0"/>
      <w:marTop w:val="0"/>
      <w:marBottom w:val="0"/>
      <w:divBdr>
        <w:top w:val="none" w:sz="0" w:space="0" w:color="auto"/>
        <w:left w:val="none" w:sz="0" w:space="0" w:color="auto"/>
        <w:bottom w:val="none" w:sz="0" w:space="0" w:color="auto"/>
        <w:right w:val="none" w:sz="0" w:space="0" w:color="auto"/>
      </w:divBdr>
    </w:div>
    <w:div w:id="937103644">
      <w:marLeft w:val="480"/>
      <w:marRight w:val="0"/>
      <w:marTop w:val="0"/>
      <w:marBottom w:val="0"/>
      <w:divBdr>
        <w:top w:val="none" w:sz="0" w:space="0" w:color="auto"/>
        <w:left w:val="none" w:sz="0" w:space="0" w:color="auto"/>
        <w:bottom w:val="none" w:sz="0" w:space="0" w:color="auto"/>
        <w:right w:val="none" w:sz="0" w:space="0" w:color="auto"/>
      </w:divBdr>
    </w:div>
    <w:div w:id="944731959">
      <w:marLeft w:val="480"/>
      <w:marRight w:val="0"/>
      <w:marTop w:val="0"/>
      <w:marBottom w:val="0"/>
      <w:divBdr>
        <w:top w:val="none" w:sz="0" w:space="0" w:color="auto"/>
        <w:left w:val="none" w:sz="0" w:space="0" w:color="auto"/>
        <w:bottom w:val="none" w:sz="0" w:space="0" w:color="auto"/>
        <w:right w:val="none" w:sz="0" w:space="0" w:color="auto"/>
      </w:divBdr>
    </w:div>
    <w:div w:id="964969363">
      <w:marLeft w:val="480"/>
      <w:marRight w:val="0"/>
      <w:marTop w:val="0"/>
      <w:marBottom w:val="0"/>
      <w:divBdr>
        <w:top w:val="none" w:sz="0" w:space="0" w:color="auto"/>
        <w:left w:val="none" w:sz="0" w:space="0" w:color="auto"/>
        <w:bottom w:val="none" w:sz="0" w:space="0" w:color="auto"/>
        <w:right w:val="none" w:sz="0" w:space="0" w:color="auto"/>
      </w:divBdr>
    </w:div>
    <w:div w:id="1040789521">
      <w:marLeft w:val="480"/>
      <w:marRight w:val="0"/>
      <w:marTop w:val="0"/>
      <w:marBottom w:val="0"/>
      <w:divBdr>
        <w:top w:val="none" w:sz="0" w:space="0" w:color="auto"/>
        <w:left w:val="none" w:sz="0" w:space="0" w:color="auto"/>
        <w:bottom w:val="none" w:sz="0" w:space="0" w:color="auto"/>
        <w:right w:val="none" w:sz="0" w:space="0" w:color="auto"/>
      </w:divBdr>
    </w:div>
    <w:div w:id="1053695362">
      <w:marLeft w:val="480"/>
      <w:marRight w:val="0"/>
      <w:marTop w:val="0"/>
      <w:marBottom w:val="0"/>
      <w:divBdr>
        <w:top w:val="none" w:sz="0" w:space="0" w:color="auto"/>
        <w:left w:val="none" w:sz="0" w:space="0" w:color="auto"/>
        <w:bottom w:val="none" w:sz="0" w:space="0" w:color="auto"/>
        <w:right w:val="none" w:sz="0" w:space="0" w:color="auto"/>
      </w:divBdr>
    </w:div>
    <w:div w:id="1203593955">
      <w:marLeft w:val="480"/>
      <w:marRight w:val="0"/>
      <w:marTop w:val="0"/>
      <w:marBottom w:val="0"/>
      <w:divBdr>
        <w:top w:val="none" w:sz="0" w:space="0" w:color="auto"/>
        <w:left w:val="none" w:sz="0" w:space="0" w:color="auto"/>
        <w:bottom w:val="none" w:sz="0" w:space="0" w:color="auto"/>
        <w:right w:val="none" w:sz="0" w:space="0" w:color="auto"/>
      </w:divBdr>
    </w:div>
    <w:div w:id="1353072865">
      <w:marLeft w:val="480"/>
      <w:marRight w:val="0"/>
      <w:marTop w:val="0"/>
      <w:marBottom w:val="0"/>
      <w:divBdr>
        <w:top w:val="none" w:sz="0" w:space="0" w:color="auto"/>
        <w:left w:val="none" w:sz="0" w:space="0" w:color="auto"/>
        <w:bottom w:val="none" w:sz="0" w:space="0" w:color="auto"/>
        <w:right w:val="none" w:sz="0" w:space="0" w:color="auto"/>
      </w:divBdr>
    </w:div>
    <w:div w:id="1432433032">
      <w:marLeft w:val="480"/>
      <w:marRight w:val="0"/>
      <w:marTop w:val="0"/>
      <w:marBottom w:val="0"/>
      <w:divBdr>
        <w:top w:val="none" w:sz="0" w:space="0" w:color="auto"/>
        <w:left w:val="none" w:sz="0" w:space="0" w:color="auto"/>
        <w:bottom w:val="none" w:sz="0" w:space="0" w:color="auto"/>
        <w:right w:val="none" w:sz="0" w:space="0" w:color="auto"/>
      </w:divBdr>
    </w:div>
    <w:div w:id="1457412051">
      <w:marLeft w:val="480"/>
      <w:marRight w:val="0"/>
      <w:marTop w:val="0"/>
      <w:marBottom w:val="0"/>
      <w:divBdr>
        <w:top w:val="none" w:sz="0" w:space="0" w:color="auto"/>
        <w:left w:val="none" w:sz="0" w:space="0" w:color="auto"/>
        <w:bottom w:val="none" w:sz="0" w:space="0" w:color="auto"/>
        <w:right w:val="none" w:sz="0" w:space="0" w:color="auto"/>
      </w:divBdr>
    </w:div>
    <w:div w:id="1462918389">
      <w:marLeft w:val="480"/>
      <w:marRight w:val="0"/>
      <w:marTop w:val="0"/>
      <w:marBottom w:val="0"/>
      <w:divBdr>
        <w:top w:val="none" w:sz="0" w:space="0" w:color="auto"/>
        <w:left w:val="none" w:sz="0" w:space="0" w:color="auto"/>
        <w:bottom w:val="none" w:sz="0" w:space="0" w:color="auto"/>
        <w:right w:val="none" w:sz="0" w:space="0" w:color="auto"/>
      </w:divBdr>
    </w:div>
    <w:div w:id="1467819864">
      <w:marLeft w:val="480"/>
      <w:marRight w:val="0"/>
      <w:marTop w:val="0"/>
      <w:marBottom w:val="0"/>
      <w:divBdr>
        <w:top w:val="none" w:sz="0" w:space="0" w:color="auto"/>
        <w:left w:val="none" w:sz="0" w:space="0" w:color="auto"/>
        <w:bottom w:val="none" w:sz="0" w:space="0" w:color="auto"/>
        <w:right w:val="none" w:sz="0" w:space="0" w:color="auto"/>
      </w:divBdr>
    </w:div>
    <w:div w:id="1524392967">
      <w:marLeft w:val="480"/>
      <w:marRight w:val="0"/>
      <w:marTop w:val="0"/>
      <w:marBottom w:val="0"/>
      <w:divBdr>
        <w:top w:val="none" w:sz="0" w:space="0" w:color="auto"/>
        <w:left w:val="none" w:sz="0" w:space="0" w:color="auto"/>
        <w:bottom w:val="none" w:sz="0" w:space="0" w:color="auto"/>
        <w:right w:val="none" w:sz="0" w:space="0" w:color="auto"/>
      </w:divBdr>
    </w:div>
    <w:div w:id="1585603561">
      <w:marLeft w:val="480"/>
      <w:marRight w:val="0"/>
      <w:marTop w:val="0"/>
      <w:marBottom w:val="0"/>
      <w:divBdr>
        <w:top w:val="none" w:sz="0" w:space="0" w:color="auto"/>
        <w:left w:val="none" w:sz="0" w:space="0" w:color="auto"/>
        <w:bottom w:val="none" w:sz="0" w:space="0" w:color="auto"/>
        <w:right w:val="none" w:sz="0" w:space="0" w:color="auto"/>
      </w:divBdr>
    </w:div>
    <w:div w:id="1606498357">
      <w:marLeft w:val="480"/>
      <w:marRight w:val="0"/>
      <w:marTop w:val="0"/>
      <w:marBottom w:val="0"/>
      <w:divBdr>
        <w:top w:val="none" w:sz="0" w:space="0" w:color="auto"/>
        <w:left w:val="none" w:sz="0" w:space="0" w:color="auto"/>
        <w:bottom w:val="none" w:sz="0" w:space="0" w:color="auto"/>
        <w:right w:val="none" w:sz="0" w:space="0" w:color="auto"/>
      </w:divBdr>
    </w:div>
    <w:div w:id="1633750826">
      <w:marLeft w:val="480"/>
      <w:marRight w:val="0"/>
      <w:marTop w:val="0"/>
      <w:marBottom w:val="0"/>
      <w:divBdr>
        <w:top w:val="none" w:sz="0" w:space="0" w:color="auto"/>
        <w:left w:val="none" w:sz="0" w:space="0" w:color="auto"/>
        <w:bottom w:val="none" w:sz="0" w:space="0" w:color="auto"/>
        <w:right w:val="none" w:sz="0" w:space="0" w:color="auto"/>
      </w:divBdr>
    </w:div>
    <w:div w:id="1657958491">
      <w:marLeft w:val="480"/>
      <w:marRight w:val="0"/>
      <w:marTop w:val="0"/>
      <w:marBottom w:val="0"/>
      <w:divBdr>
        <w:top w:val="none" w:sz="0" w:space="0" w:color="auto"/>
        <w:left w:val="none" w:sz="0" w:space="0" w:color="auto"/>
        <w:bottom w:val="none" w:sz="0" w:space="0" w:color="auto"/>
        <w:right w:val="none" w:sz="0" w:space="0" w:color="auto"/>
      </w:divBdr>
    </w:div>
    <w:div w:id="1713993004">
      <w:marLeft w:val="480"/>
      <w:marRight w:val="0"/>
      <w:marTop w:val="0"/>
      <w:marBottom w:val="0"/>
      <w:divBdr>
        <w:top w:val="none" w:sz="0" w:space="0" w:color="auto"/>
        <w:left w:val="none" w:sz="0" w:space="0" w:color="auto"/>
        <w:bottom w:val="none" w:sz="0" w:space="0" w:color="auto"/>
        <w:right w:val="none" w:sz="0" w:space="0" w:color="auto"/>
      </w:divBdr>
    </w:div>
    <w:div w:id="1756586919">
      <w:marLeft w:val="480"/>
      <w:marRight w:val="0"/>
      <w:marTop w:val="0"/>
      <w:marBottom w:val="0"/>
      <w:divBdr>
        <w:top w:val="none" w:sz="0" w:space="0" w:color="auto"/>
        <w:left w:val="none" w:sz="0" w:space="0" w:color="auto"/>
        <w:bottom w:val="none" w:sz="0" w:space="0" w:color="auto"/>
        <w:right w:val="none" w:sz="0" w:space="0" w:color="auto"/>
      </w:divBdr>
    </w:div>
    <w:div w:id="1851411526">
      <w:marLeft w:val="480"/>
      <w:marRight w:val="0"/>
      <w:marTop w:val="0"/>
      <w:marBottom w:val="0"/>
      <w:divBdr>
        <w:top w:val="none" w:sz="0" w:space="0" w:color="auto"/>
        <w:left w:val="none" w:sz="0" w:space="0" w:color="auto"/>
        <w:bottom w:val="none" w:sz="0" w:space="0" w:color="auto"/>
        <w:right w:val="none" w:sz="0" w:space="0" w:color="auto"/>
      </w:divBdr>
    </w:div>
    <w:div w:id="1866286557">
      <w:marLeft w:val="480"/>
      <w:marRight w:val="0"/>
      <w:marTop w:val="0"/>
      <w:marBottom w:val="0"/>
      <w:divBdr>
        <w:top w:val="none" w:sz="0" w:space="0" w:color="auto"/>
        <w:left w:val="none" w:sz="0" w:space="0" w:color="auto"/>
        <w:bottom w:val="none" w:sz="0" w:space="0" w:color="auto"/>
        <w:right w:val="none" w:sz="0" w:space="0" w:color="auto"/>
      </w:divBdr>
    </w:div>
    <w:div w:id="1874809215">
      <w:marLeft w:val="480"/>
      <w:marRight w:val="0"/>
      <w:marTop w:val="0"/>
      <w:marBottom w:val="0"/>
      <w:divBdr>
        <w:top w:val="none" w:sz="0" w:space="0" w:color="auto"/>
        <w:left w:val="none" w:sz="0" w:space="0" w:color="auto"/>
        <w:bottom w:val="none" w:sz="0" w:space="0" w:color="auto"/>
        <w:right w:val="none" w:sz="0" w:space="0" w:color="auto"/>
      </w:divBdr>
    </w:div>
    <w:div w:id="2016883560">
      <w:marLeft w:val="480"/>
      <w:marRight w:val="0"/>
      <w:marTop w:val="0"/>
      <w:marBottom w:val="0"/>
      <w:divBdr>
        <w:top w:val="none" w:sz="0" w:space="0" w:color="auto"/>
        <w:left w:val="none" w:sz="0" w:space="0" w:color="auto"/>
        <w:bottom w:val="none" w:sz="0" w:space="0" w:color="auto"/>
        <w:right w:val="none" w:sz="0" w:space="0" w:color="auto"/>
      </w:divBdr>
    </w:div>
    <w:div w:id="2051295570">
      <w:marLeft w:val="480"/>
      <w:marRight w:val="0"/>
      <w:marTop w:val="0"/>
      <w:marBottom w:val="0"/>
      <w:divBdr>
        <w:top w:val="none" w:sz="0" w:space="0" w:color="auto"/>
        <w:left w:val="none" w:sz="0" w:space="0" w:color="auto"/>
        <w:bottom w:val="none" w:sz="0" w:space="0" w:color="auto"/>
        <w:right w:val="none" w:sz="0" w:space="0" w:color="auto"/>
      </w:divBdr>
    </w:div>
    <w:div w:id="207423009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llionneighborhoods.africa/download"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F2926F-848F-427F-98C1-50953EE42B16}"/>
      </w:docPartPr>
      <w:docPartBody>
        <w:p w:rsidR="005A4E02" w:rsidRDefault="005A4E02">
          <w:r w:rsidRPr="008868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02"/>
    <w:rsid w:val="001D1E48"/>
    <w:rsid w:val="005A4E02"/>
    <w:rsid w:val="006640AE"/>
    <w:rsid w:val="007721F3"/>
    <w:rsid w:val="00887E1D"/>
    <w:rsid w:val="00B36EC9"/>
    <w:rsid w:val="00CC63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3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D49123-46DE-4527-BD04-4702B25E331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021922132"/>
    <we:property name="MENDELEY_CITATIONS" value="[{&quot;citationID&quot;:&quot;MENDELEY_CITATION_7bc4f7d8-11d8-4c08-a48a-f153d12bdeca&quot;,&quot;properties&quot;:{&quot;noteIndex&quot;:0},&quot;isEdited&quot;:false,&quot;manualOverride&quot;:{&quot;isManuallyOverridden&quot;:false,&quot;citeprocText&quot;:&quot;(Genuer et al., 2015)&quot;,&quot;manualOverrideText&quot;:&quot;&quot;},&quot;citationTag&quot;:&quot;MENDELEY_CITATION_v3_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&quot;,&quot;citationItems&quot;:[{&quot;id&quot;:&quot;1ddf4172-afa6-3658-b0d3-fdd9999abab9&quot;,&quot;itemData&quot;:{&quot;type&quot;:&quot;article-journal&quot;,&quot;id&quot;:&quot;1ddf4172-afa6-3658-b0d3-fdd9999abab9&quot;,&quot;title&quot;:&quot;VSURF: An R Package for Variable Selection Using Random Forests&quot;,&quot;author&quot;:[{&quot;family&quot;:&quot;Genuer&quot;,&quot;given&quot;:&quot;Robin&quot;,&quot;parse-names&quot;:false,&quot;dropping-particle&quot;:&quot;&quot;,&quot;non-dropping-particle&quot;:&quot;&quot;},{&quot;family&quot;:&quot;Poggi&quot;,&quot;given&quot;:&quot;Jean-Michel&quot;,&quot;parse-names&quot;:false,&quot;dropping-particle&quot;:&quot;&quot;,&quot;non-dropping-particle&quot;:&quot;&quot;},{&quot;family&quot;:&quot;Tuleau-Malot&quot;,&quot;given&quot;:&quot;Christine&quot;,&quot;parse-names&quot;:false,&quot;dropping-particle&quot;:&quot;&quot;,&quot;non-dropping-particle&quot;:&quot;&quot;},{&quot;family&quot;:&quot;Tuleau&quot;,&quot;given&quot;:&quot;Christine&quot;,&quot;parse-names&quot;:false,&quot;dropping-particle&quot;:&quot;&quot;,&quot;non-dropping-particle&quot;:&quot;&quot;}],&quot;container-title&quot;:&quot;The R Journal&quot;,&quot;container-title-short&quot;:&quot;R J&quot;,&quot;accessed&quot;:{&quot;date-parts&quot;:[[2025,10,8]]},&quot;DOI&quot;:&quot;10.34894/VQ1DJA&quot;,&quot;URL&quot;:&quot;https://hal.science/hal-01251924&quot;,&quot;issued&quot;:{&quot;date-parts&quot;:[[2015]]},&quot;page&quot;:&quot;19-33&quot;,&quot;abstract&quot;:&quot;This paper describes the R package VSURF. Based on random forests, and for both regression and classification problems, it returns two subsets of variables. The first is a subset of important variables including   some redundancy which can be relevant for interpretation, and the second one is a smaller subset corresponding to a  model trying to avoid redundancy focusing more closely on prediction objective. The two-stage strategy is based on a preliminary ranking of the explanatory variables using the random forests permutation-based score of importance and proceeds using a stepwise forward strategy for variable introduction. The two proposals can be obtained automatically using data-driven default values, good enough to provide interesting  results, but can also be tuned by the user. The algorithm is illustrated on a simulated example and its applications to real datasets are presented.&quot;,&quot;publisher&quot;:&quot;Université de Limoges&quot;,&quot;issue&quot;:&quot;2&quot;,&quot;volume&quot;:&quot;7&quot;},&quot;isTemporary&quot;:false}]},{&quot;citationID&quot;:&quot;MENDELEY_CITATION_3a49f7f9-190a-438a-be47-c527e7b60200&quot;,&quot;properties&quot;:{&quot;noteIndex&quot;:0},&quot;isEdited&quot;:false,&quot;manualOverride&quot;:{&quot;isManuallyOverridden&quot;:false,&quot;citeprocText&quot;:&quot;(Li et al., 2025)&quot;,&quot;manualOverrideText&quot;:&quot;&quot;},&quot;citationTag&quot;:&quot;MENDELEY_CITATION_v3_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&quot;,&quot;citationItems&quot;:[{&quot;id&quot;:&quot;cd50e8ca-2fa2-3dbb-9a89-a4fc29528462&quot;,&quot;itemData&quot;:{&quot;type&quot;:&quot;article-journal&quot;,&quot;id&quot;:&quot;cd50e8ca-2fa2-3dbb-9a89-a4fc29528462&quot;,&quot;title&quot;:&quot;Mapping urban slums and their inequality in sub-Saharan Africa&quot;,&quot;author&quot;:[{&quot;family&quot;:&quot;Li&quot;,&quot;given&quot;:&quot;Chengxiu&quot;,&quot;parse-names&quot;:false,&quot;dropping-particle&quot;:&quot;&quot;,&quot;non-dropping-particle&quot;:&quot;&quot;},{&quot;family&quot;:&quot;Yu&quot;,&quot;given&quot;:&quot;Le&quot;,&quot;parse-names&quot;:false,&quot;dropping-particle&quot;:&quot;&quot;,&quot;non-dropping-particle&quot;:&quot;&quot;},{&quot;family&quot;:&quot;Ndugwa&quot;,&quot;given&quot;:&quot;Robert&quot;,&quot;parse-names&quot;:false,&quot;dropping-particle&quot;:&quot;&quot;,&quot;non-dropping-particle&quot;:&quot;&quot;},{&quot;family&quot;:&quot;Bailey&quot;,&quot;given&quot;:&quot;Adrian J.&quot;,&quot;parse-names&quot;:false,&quot;dropping-particle&quot;:&quot;&quot;,&quot;non-dropping-particle&quot;:&quot;&quot;},{&quot;family&quot;:&quot;Zhang&quot;,&quot;given&quot;:&quot;Xiaoling&quot;,&quot;parse-names&quot;:false,&quot;dropping-particle&quot;:&quot;&quot;,&quot;non-dropping-particle&quot;:&quot;&quot;},{&quot;family&quot;:&quot;Oloo&quot;,&quot;given&quot;:&quot;Francis&quot;,&quot;parse-names&quot;:false,&quot;dropping-particle&quot;:&quot;&quot;,&quot;non-dropping-particle&quot;:&quot;&quot;},{&quot;family&quot;:&quot;Chimimba&quot;,&quot;given&quot;:&quot;Ellasy Gulule&quot;,&quot;parse-names&quot;:false,&quot;dropping-particle&quot;:&quot;&quot;,&quot;non-dropping-particle&quot;:&quot;&quot;},{&quot;family&quot;:&quot;Deng&quot;,&quot;given&quot;:&quot;Xiangzhen&quot;,&quot;parse-names&quot;:false,&quot;dropping-particle&quot;:&quot;&quot;,&quot;non-dropping-particle&quot;:&quot;&quot;},{&quot;family&quot;:&quot;Wright&quot;,&quot;given&quot;:&quot;Jim&quot;,&quot;parse-names&quot;:false,&quot;dropping-particle&quot;:&quot;&quot;,&quot;non-dropping-particle&quot;:&quot;&quot;}],&quot;container-title&quot;:&quot;Nature Cities&quot;,&quot;accessed&quot;:{&quot;date-parts&quot;:[[2025,10,7]]},&quot;DOI&quot;:&quot;10.1038/s44284-025-00276-0&quot;,&quot;ISSN&quot;:&quot;2731-9997&quot;,&quot;URL&quot;:&quot;https://www.nature.com/articles/s44284-025-00276-0&quot;,&quot;issued&quot;:{&quot;date-parts&quot;:[[2025,8,8]]},&quot;page&quot;:&quot;1-12&quot;,&quot;abstract&quot;:&quot;Slums house nearly one-quarter of the global urban population, yet their spatial and socioeconomic dynamics remain poorly understood, hindering progress toward the United Nations’ commitment to ‘leave no one behind’. Here, focusing on sub-Saharan Africa, we integrate geospatial data with household surveys to map slum prevalence and asset-based wealth inequalities across 32 countries. We identify that 54.6% of the urban population in these countries live in slums, with lower wealth levels compared with non-slum areas. Despite a reduction in the proportion of slum populations over the past two decades, wealth inequalities have risen, especially in countries with substantial slum populations. This study highlights profound inequalities in urban essential services, living conditions and household wealth in sub-Saharan African countries, emphasizing the importance of fine-scale analysis of slum distributions and associated wealth inequalities to inform inclusive programs. Understanding who is being left behind, where and how is crucial to advancing the United Nations’ commitment to ‘leaving no one behind’. This study maps urban slums and wealth distribution across 32 sub-Saharan African countries, revealing a decreasing proportion of the population living in slums, yet a concerning rise in wealth inequality.&quot;,&quot;publisher&quot;:&quot;Nature Publishing Group&quot;,&quot;container-title-short&quot;:&quot;&quot;},&quot;isTemporary&quot;:false}]},{&quot;citationID&quot;:&quot;MENDELEY_CITATION_f8615812-4130-4177-97c4-ed8d4e236144&quot;,&quot;properties&quot;:{&quot;noteIndex&quot;:0},&quot;isEdited&quot;:false,&quot;manualOverride&quot;:{&quot;isManuallyOverridden&quot;:false,&quot;citeprocText&quot;:&quot;(Bettencourt &amp;#38; Marchio, 2025)&quot;,&quot;manualOverrideText&quot;:&quot;&quot;},&quot;citationTag&quot;:&quot;MENDELEY_CITATION_v3_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&quot;,&quot;citationItems&quot;:[{&quot;id&quot;:&quot;84a7402e-62e4-3f4e-b959-d9c8fa8139ee&quot;,&quot;itemData&quot;:{&quot;type&quot;:&quot;article-journal&quot;,&quot;id&quot;:&quot;84a7402e-62e4-3f4e-b959-d9c8fa8139ee&quot;,&quot;title&quot;:&quot;Infrastructure deficits and informal settlements in sub-Saharan Africa&quot;,&quot;author&quot;:[{&quot;family&quot;:&quot;Bettencourt&quot;,&quot;given&quot;:&quot;Luís M. A.&quot;,&quot;parse-names&quot;:false,&quot;dropping-particle&quot;:&quot;&quot;,&quot;non-dropping-particle&quot;:&quot;&quot;},{&quot;family&quot;:&quot;Marchio&quot;,&quot;given&quot;:&quot;Nicholas&quot;,&quot;parse-names&quot;:false,&quot;dropping-particle&quot;:&quot;&quot;,&quot;non-dropping-particle&quot;:&quot;&quot;}],&quot;container-title&quot;:&quot;Nature&quot;,&quot;container-title-short&quot;:&quot;Nature&quot;,&quot;accessed&quot;:{&quot;date-parts&quot;:[[2025,10,7]]},&quot;DOI&quot;:&quot;10.1038/s41586-025-09465-2&quot;,&quot;ISSN&quot;:&quot;0028-0836&quot;,&quot;URL&quot;:&quot;https://www.nature.com/articles/s41586-025-09465-2&quot;,&quot;issued&quot;:{&quot;date-parts&quot;:[[2025,9,11]]},&quot;page&quot;:&quot;399-406&quot;,&quot;abstract&quot;:&quot;Sustainable development is an imperative worldwide1, 2–3 but metrics and data on poverty and quality of life have remained too coarse and abstract to characterize challenges adequately and guide practical progress4,5. Nowhere is this challenge greater than in Africa4, 5–6, where we still know little about the spatial details of development3,7, 8–9. Here we leverage a comprehensive, high-precision dataset of building footprints to identify infrastructure deficits and infer informal settlements down to the street block level10, 11–12 everywhere in sub-Saharan Africa. We identify a general pattern of informality with cities showing, on average, greater access to infrastructure and services than rural and peri-urban areas. We show that such patterns of informality are characterized by consistent statistical distributions reflecting uneven local development2,13,14. We also show that these physical measures of informality are systematically associated with many indicators of human deprivation, which form a single principal component co-varying predictably with specific changes in street access to buildings. These results demonstrate that the localization of sustainable development is possible down to the street level at a continental scale and provide a general distributed strategy for accelerating progress in infrastructure and service expansion that taps local innovations in systematic, equitable and context-appropriate ways7,11,12,15.&quot;,&quot;publisher&quot;:&quot;Nature Research&quot;,&quot;issue&quot;:&quot;8080&quot;,&quot;volume&quot;:&quot;645&quot;},&quot;isTemporary&quot;:false}]},{&quot;citationID&quot;:&quot;MENDELEY_CITATION_89e52d0a-7d1d-4666-ae44-a138c350e0ca&quot;,&quot;properties&quot;:{&quot;noteIndex&quot;:0},&quot;isEdited&quot;:false,&quot;manualOverride&quot;:{&quot;isManuallyOverridden&quot;:false,&quot;citeprocText&quot;:&quot;(Guzder-Williams et al., 2023)&quot;,&quot;manualOverrideText&quot;:&quot;&quot;},&quot;citationTag&quot;:&quot;MENDELEY_CITATION_v3_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&quot;,&quot;citationItems&quot;:[{&quot;id&quot;:&quot;aaf463c1-efc0-3b42-8447-a07829d4c33c&quot;,&quot;itemData&quot;:{&quot;type&quot;:&quot;article-journal&quot;,&quot;id&quot;:&quot;aaf463c1-efc0-3b42-8447-a07829d4c33c&quot;,&quot;title&quot;:&quot;Intra-urban land use maps for a global sample of cities from Sentinel-2 satellite imagery and computer vision&quot;,&quot;author&quot;:[{&quot;family&quot;:&quot;Guzder-Williams&quot;,&quot;given&quot;:&quot;Brookie&quot;,&quot;parse-names&quot;:false,&quot;dropping-particle&quot;:&quot;&quot;,&quot;non-dropping-particle&quot;:&quot;&quot;},{&quot;family&quot;:&quot;Mackres&quot;,&quot;given&quot;:&quot;Eric&quot;,&quot;parse-names&quot;:false,&quot;dropping-particle&quot;:&quot;&quot;,&quot;non-dropping-particle&quot;:&quot;&quot;},{&quot;family&quot;:&quot;Angel&quot;,&quot;given&quot;:&quot;Shlomo&quot;,&quot;parse-names&quot;:false,&quot;dropping-particle&quot;:&quot;&quot;,&quot;non-dropping-particle&quot;:&quot;&quot;},{&quot;family&quot;:&quot;Blei&quot;,&quot;given&quot;:&quot;Alejandro M.&quot;,&quot;parse-names&quot;:false,&quot;dropping-particle&quot;:&quot;&quot;,&quot;non-dropping-particle&quot;:&quot;&quot;},{&quot;family&quot;:&quot;Lamson-Hall&quot;,&quot;given&quot;:&quot;Patrick&quot;,&quot;parse-names&quot;:false,&quot;dropping-particle&quot;:&quot;&quot;,&quot;non-dropping-particle&quot;:&quot;&quot;}],&quot;container-title&quot;:&quot;Computers, Environment and Urban Systems&quot;,&quot;container-title-short&quot;:&quot;Comput Environ Urban Syst&quot;,&quot;accessed&quot;:{&quot;date-parts&quot;:[[2025,10,7]]},&quot;DOI&quot;:&quot;10.1016/j.compenvurbsys.2022.101917&quot;,&quot;ISSN&quot;:&quot;01989715&quot;,&quot;URL&quot;:&quot;https://linkinghub.elsevier.com/retrieve/pii/S0198971522001612&quot;,&quot;issued&quot;:{&quot;date-parts&quot;:[[2023,3,1]]},&quot;page&quot;:&quot;101917&quot;,&quot;abstract&quot;:&quot;Intra-urban land use maps provide important information to urban planners and policymakers, but these maps are costly, time consuming to generate and are often unavailable in developing countries where most urban growth is now occurring. This paper reports on machine learning methods to automate the production of land use maps from cloud-free mosaics of Sentinel-2 imagery. We have trained a novel neural network architecture to produced 5 meter resolution land use maps for a global stratified sample of 200 cities. The sample includes all world regions, 78 countries, and a range of population sizes. The model architecture is roughly 1 to 2 orders of magnitude smaller than similar architectures such as UNet (Ronneberger, Fischer, &amp; Brox, 2015) and DeeplabV3+ (Chen, Zhu, Papandreou, Schroff, &amp; Adam, 2018), significantly lowering the cost and computational requirements to produce maps. We are in the process of generating land use maps for all 4,000 + cities and metropolitan areas in the world with populations exceeding 100,000. The resulting product will be the first, regularly updated, freely available, global intra-urban land use maps at 5 meter resolution. We present a 4-tier land use taxonomy which at its root distinguishes open-space from built-up area. At the second tier, it subdivides the built-up category into nonresidential and residential areas. The third tier distinguishes formal from informal residential land use, and the fourth tier further subdivides formal and informal residential land uses into more detailed categories. Accuracy scores at tier-1 and tier-2 were 86% and 79% respectively. Tiers 3 and 4 had an accuracy scores of 75% and 71% respectively. Additionally, we train a roads-only model and compare its output to the Atlas of Urban Expansion's Arterial Roads dataset and Open Street Map. As an example use case, we train an Informal Settlement Classifier, correctly classifying 87% of the settlements.&quot;,&quot;publisher&quot;:&quot;Pergamon&quot;,&quot;volume&quot;:&quot;100&quot;},&quot;isTemporary&quot;:false}]},{&quot;citationID&quot;:&quot;MENDELEY_CITATION_ef36063e-f43d-43e8-ad0a-d3c7b4692022&quot;,&quot;properties&quot;:{&quot;noteIndex&quot;:0},&quot;isEdited&quot;:false,&quot;manualOverride&quot;:{&quot;isManuallyOverridden&quot;:false,&quot;citeprocText&quot;:&quot;(Friesen et al., 2025)&quot;,&quot;manualOverrideText&quot;:&quot;&quot;},&quot;citationTag&quot;:&quot;MENDELEY_CITATION_v3_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&quot;,&quot;citationItems&quot;:[{&quot;id&quot;:&quot;3c8f9db8-cd81-3c30-97c4-8878b94b1c6a&quot;,&quot;itemData&quot;:{&quot;type&quot;:&quot;article-journal&quot;,&quot;id&quot;:&quot;3c8f9db8-cd81-3c30-97c4-8878b94b1c6a&quot;,&quot;title&quot;:&quot;Differences in walking access to healthcare facilities between formal and informal areas in 19 sub-Saharan African cities&quot;,&quot;author&quot;:[{&quot;family&quot;:&quot;Friesen&quot;,&quot;given&quot;:&quot;John&quot;,&quot;parse-names&quot;:false,&quot;dropping-particle&quot;:&quot;&quot;,&quot;non-dropping-particle&quot;:&quot;&quot;},{&quot;family&quot;:&quot;Georganos&quot;,&quot;given&quot;:&quot;Stefanos&quot;,&quot;parse-names&quot;:false,&quot;dropping-particle&quot;:&quot;&quot;,&quot;non-dropping-particle&quot;:&quot;&quot;},{&quot;family&quot;:&quot;Haas&quot;,&quot;given&quot;:&quot;Jan&quot;,&quot;parse-names&quot;:false,&quot;dropping-particle&quot;:&quot;&quot;,&quot;non-dropping-particle&quot;:&quot;&quot;}],&quot;container-title&quot;:&quot;Communications Medicine&quot;,&quot;accessed&quot;:{&quot;date-parts&quot;:[[2025,10,7]]},&quot;DOI&quot;:&quot;10.1038/s43856-025-00746-5&quot;,&quot;ISSN&quot;:&quot;2730-664X&quot;,&quot;URL&quot;:&quot;https://www.nature.com/articles/s43856-025-00746-5&quot;,&quot;issued&quot;:{&quot;date-parts&quot;:[[2025,2,14]]},&quot;page&quot;:&quot;41&quot;,&quot;abstract&quot;:&quot;Background: Spatial accessibility to healthcare is a critical factor in ensuring equitable health outcomes. While studies on a global, continental, and national level exist, our understanding of intra-urban differences, particularly between formal and informal areas within cities in sub-Saharan Africa, remains limited. Methods: This study integrates openly available datasets on land use in 19 sub-Saharan cities, healthcare facilities in the region, and street networks from OpenStreetMap. Using these datasets, we calculate service areas around hospitals, considering travel times ranging from 1 to 120 minutes with walking as the mode of travel. The resulting service areas are then merged with population data from WorldPop, allowing us to assess the proportion of the population with specific travel times to healthcare facilities from informal and formal residential areas. Results: Our analysis reveals that 33% of the urban population can reach hospitals within 15 minutes, 58% within 30 minutes, and 78% within 60 minutes. Importantly, for some cities, we observe significant differences between formal and informal areas, with informal areas experiencing a disadvantage in terms of spatial accessibility to healthcare facilities. The population in informal areas is particularly disadvantaged in medium-sized cities. Conclusions: This study sheds light on the spatial accessibility of healthcare facilities in sub-Saharan African cities, emphasizing the need to consider intra-urban disparities, particularly in informal areas. The findings underscore the importance of targeted interventions and urban planning strategies to address these disparities and ensure that healthcare services are accessible to all segments of the urban population.&quot;,&quot;publisher&quot;:&quot;Springer Nature&quot;,&quot;issue&quot;:&quot;1&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74FA-0925-45D5-AA0D-A93626A2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17</Pages>
  <Words>3404</Words>
  <Characters>21281</Characters>
  <Application>Microsoft Office Word</Application>
  <DocSecurity>0</DocSecurity>
  <Lines>348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Ganesh Veeravalli</dc:creator>
  <cp:keywords/>
  <dc:description/>
  <cp:lastModifiedBy>Sai Ganesh Veeravalli</cp:lastModifiedBy>
  <cp:revision>22</cp:revision>
  <dcterms:created xsi:type="dcterms:W3CDTF">2025-10-30T12:49:00Z</dcterms:created>
  <dcterms:modified xsi:type="dcterms:W3CDTF">2025-11-22T07:41:00Z</dcterms:modified>
</cp:coreProperties>
</file>