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EDFD7" w14:textId="77777777" w:rsidR="008C0AF9" w:rsidRPr="008C0AF9" w:rsidRDefault="008C0AF9" w:rsidP="008C0AF9">
      <w:pPr>
        <w:spacing w:line="480" w:lineRule="auto"/>
        <w:jc w:val="center"/>
        <w:rPr>
          <w:rFonts w:asciiTheme="majorBidi" w:hAnsiTheme="majorBidi" w:cstheme="majorBidi"/>
          <w:b/>
          <w:bCs/>
          <w:sz w:val="24"/>
          <w:szCs w:val="24"/>
        </w:rPr>
      </w:pPr>
      <w:proofErr w:type="gramStart"/>
      <w:r w:rsidRPr="008C0AF9">
        <w:rPr>
          <w:rFonts w:asciiTheme="majorBidi" w:hAnsiTheme="majorBidi" w:cstheme="majorBidi"/>
          <w:b/>
          <w:bCs/>
          <w:sz w:val="24"/>
          <w:szCs w:val="24"/>
        </w:rPr>
        <w:t>The Promise</w:t>
      </w:r>
      <w:proofErr w:type="gramEnd"/>
      <w:r w:rsidRPr="008C0AF9">
        <w:rPr>
          <w:rFonts w:asciiTheme="majorBidi" w:hAnsiTheme="majorBidi" w:cstheme="majorBidi"/>
          <w:b/>
          <w:bCs/>
          <w:sz w:val="24"/>
          <w:szCs w:val="24"/>
        </w:rPr>
        <w:t xml:space="preserve"> and the Paradox: Exploring Eating Disorder Discourse in Psychedelic Reddit Communities</w:t>
      </w:r>
    </w:p>
    <w:p w14:paraId="37CDFB78" w14:textId="77777777" w:rsidR="008C0AF9" w:rsidRPr="008C0AF9" w:rsidRDefault="008C0AF9" w:rsidP="008C0AF9">
      <w:pPr>
        <w:spacing w:line="480" w:lineRule="auto"/>
        <w:jc w:val="center"/>
        <w:rPr>
          <w:rFonts w:asciiTheme="majorBidi" w:eastAsia="Times New Roman" w:hAnsiTheme="majorBidi" w:cstheme="majorBidi"/>
          <w:bCs/>
          <w:color w:val="222222"/>
          <w:sz w:val="24"/>
          <w:szCs w:val="24"/>
          <w:shd w:val="clear" w:color="auto" w:fill="FFFFFF"/>
        </w:rPr>
      </w:pPr>
      <w:r w:rsidRPr="008C0AF9">
        <w:rPr>
          <w:rFonts w:asciiTheme="majorBidi" w:eastAsia="Times New Roman" w:hAnsiTheme="majorBidi" w:cstheme="majorBidi"/>
          <w:bCs/>
          <w:color w:val="222222"/>
          <w:sz w:val="24"/>
          <w:szCs w:val="24"/>
          <w:shd w:val="clear" w:color="auto" w:fill="FFFFFF"/>
        </w:rPr>
        <w:t>Fatiha Shannon</w:t>
      </w:r>
      <w:r w:rsidRPr="008C0AF9">
        <w:rPr>
          <w:rFonts w:asciiTheme="majorBidi" w:eastAsia="Times New Roman" w:hAnsiTheme="majorBidi" w:cstheme="majorBidi"/>
          <w:bCs/>
          <w:color w:val="222222"/>
          <w:sz w:val="24"/>
          <w:szCs w:val="24"/>
          <w:shd w:val="clear" w:color="auto" w:fill="FFFFFF"/>
          <w:vertAlign w:val="superscript"/>
        </w:rPr>
        <w:t>1</w:t>
      </w:r>
      <w:r w:rsidRPr="008C0AF9">
        <w:rPr>
          <w:rFonts w:asciiTheme="majorBidi" w:eastAsia="Times New Roman" w:hAnsiTheme="majorBidi" w:cstheme="majorBidi"/>
          <w:bCs/>
          <w:color w:val="222222"/>
          <w:sz w:val="24"/>
          <w:szCs w:val="24"/>
          <w:shd w:val="clear" w:color="auto" w:fill="FFFFFF"/>
        </w:rPr>
        <w:t xml:space="preserve"> and Cass Dykeman</w:t>
      </w:r>
      <w:r w:rsidRPr="008C0AF9">
        <w:rPr>
          <w:rFonts w:asciiTheme="majorBidi" w:eastAsia="Times New Roman" w:hAnsiTheme="majorBidi" w:cstheme="majorBidi"/>
          <w:bCs/>
          <w:color w:val="222222"/>
          <w:sz w:val="24"/>
          <w:szCs w:val="24"/>
          <w:shd w:val="clear" w:color="auto" w:fill="FFFFFF"/>
          <w:vertAlign w:val="superscript"/>
        </w:rPr>
        <w:t>1</w:t>
      </w:r>
    </w:p>
    <w:p w14:paraId="7435058E" w14:textId="77777777" w:rsidR="008C0AF9" w:rsidRPr="008C0AF9" w:rsidRDefault="008C0AF9" w:rsidP="008C0AF9">
      <w:pPr>
        <w:spacing w:line="480" w:lineRule="auto"/>
        <w:jc w:val="center"/>
        <w:rPr>
          <w:rFonts w:asciiTheme="majorBidi" w:eastAsia="Times New Roman" w:hAnsiTheme="majorBidi" w:cstheme="majorBidi"/>
          <w:bCs/>
          <w:color w:val="222222"/>
          <w:sz w:val="24"/>
          <w:szCs w:val="24"/>
          <w:shd w:val="clear" w:color="auto" w:fill="FFFFFF"/>
        </w:rPr>
      </w:pPr>
      <w:r w:rsidRPr="008C0AF9">
        <w:rPr>
          <w:rFonts w:asciiTheme="majorBidi" w:eastAsia="Times New Roman" w:hAnsiTheme="majorBidi" w:cstheme="majorBidi"/>
          <w:bCs/>
          <w:color w:val="222222"/>
          <w:sz w:val="24"/>
          <w:szCs w:val="24"/>
          <w:shd w:val="clear" w:color="auto" w:fill="FFFFFF"/>
          <w:vertAlign w:val="superscript"/>
        </w:rPr>
        <w:t>1</w:t>
      </w:r>
      <w:r w:rsidRPr="008C0AF9">
        <w:rPr>
          <w:rFonts w:asciiTheme="majorBidi" w:eastAsia="Times New Roman" w:hAnsiTheme="majorBidi" w:cstheme="majorBidi"/>
          <w:bCs/>
          <w:color w:val="222222"/>
          <w:sz w:val="24"/>
          <w:szCs w:val="24"/>
          <w:shd w:val="clear" w:color="auto" w:fill="FFFFFF"/>
        </w:rPr>
        <w:t>Oregon State University</w:t>
      </w:r>
    </w:p>
    <w:p w14:paraId="3123060F" w14:textId="77777777" w:rsidR="008C0AF9" w:rsidRPr="008C0AF9" w:rsidRDefault="008C0AF9" w:rsidP="008C0AF9">
      <w:pPr>
        <w:spacing w:line="480" w:lineRule="auto"/>
        <w:jc w:val="center"/>
        <w:rPr>
          <w:rFonts w:asciiTheme="majorBidi" w:eastAsia="Times New Roman" w:hAnsiTheme="majorBidi" w:cstheme="majorBidi"/>
          <w:bCs/>
          <w:color w:val="222222"/>
          <w:sz w:val="24"/>
          <w:szCs w:val="24"/>
          <w:shd w:val="clear" w:color="auto" w:fill="FFFFFF"/>
        </w:rPr>
      </w:pPr>
    </w:p>
    <w:p w14:paraId="27AC2F76" w14:textId="77777777" w:rsidR="008C0AF9" w:rsidRPr="008C0AF9" w:rsidRDefault="008C0AF9" w:rsidP="008C0AF9">
      <w:pPr>
        <w:spacing w:line="480" w:lineRule="auto"/>
        <w:rPr>
          <w:rFonts w:asciiTheme="majorBidi" w:hAnsiTheme="majorBidi" w:cstheme="majorBidi"/>
          <w:b/>
          <w:sz w:val="24"/>
          <w:szCs w:val="24"/>
        </w:rPr>
      </w:pPr>
    </w:p>
    <w:p w14:paraId="171DC0C6" w14:textId="00A8FA68" w:rsidR="008C0AF9" w:rsidRPr="004622A1" w:rsidRDefault="008C0AF9" w:rsidP="004622A1">
      <w:pPr>
        <w:spacing w:line="480" w:lineRule="auto"/>
        <w:jc w:val="center"/>
        <w:rPr>
          <w:rFonts w:asciiTheme="majorBidi" w:hAnsiTheme="majorBidi" w:cstheme="majorBidi"/>
          <w:b/>
          <w:sz w:val="24"/>
          <w:szCs w:val="24"/>
        </w:rPr>
      </w:pPr>
      <w:r w:rsidRPr="008C0AF9">
        <w:rPr>
          <w:rFonts w:asciiTheme="majorBidi" w:hAnsiTheme="majorBidi" w:cstheme="majorBidi"/>
          <w:noProof/>
          <w:sz w:val="24"/>
          <w:szCs w:val="24"/>
        </w:rPr>
        <w:drawing>
          <wp:inline distT="0" distB="0" distL="0" distR="0" wp14:anchorId="18C5CA48" wp14:editId="0E0AE713">
            <wp:extent cx="2112135" cy="566671"/>
            <wp:effectExtent l="0" t="0" r="0" b="5080"/>
            <wp:docPr id="5" name="image2.png" descr="A logo for a company  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2.png" descr="A logo for a company  AI-generated content may be incorrect."/>
                    <pic:cNvPicPr preferRelativeResize="0"/>
                  </pic:nvPicPr>
                  <pic:blipFill>
                    <a:blip r:embed="rId5"/>
                    <a:srcRect/>
                    <a:stretch>
                      <a:fillRect/>
                    </a:stretch>
                  </pic:blipFill>
                  <pic:spPr>
                    <a:xfrm>
                      <a:off x="0" y="0"/>
                      <a:ext cx="2124120" cy="569886"/>
                    </a:xfrm>
                    <a:prstGeom prst="rect">
                      <a:avLst/>
                    </a:prstGeom>
                    <a:ln/>
                  </pic:spPr>
                </pic:pic>
              </a:graphicData>
            </a:graphic>
          </wp:inline>
        </w:drawing>
      </w:r>
    </w:p>
    <w:p w14:paraId="6B793043" w14:textId="77777777" w:rsidR="008C0AF9" w:rsidRPr="008C0AF9" w:rsidRDefault="008C0AF9" w:rsidP="008C0AF9">
      <w:pPr>
        <w:spacing w:line="480" w:lineRule="auto"/>
        <w:jc w:val="center"/>
        <w:rPr>
          <w:rFonts w:asciiTheme="majorBidi" w:hAnsiTheme="majorBidi" w:cstheme="majorBidi"/>
          <w:b/>
          <w:bCs/>
          <w:sz w:val="24"/>
          <w:szCs w:val="24"/>
        </w:rPr>
      </w:pPr>
    </w:p>
    <w:p w14:paraId="233D6D5B" w14:textId="77777777" w:rsidR="008C0AF9" w:rsidRPr="008C0AF9" w:rsidRDefault="008C0AF9" w:rsidP="008C0AF9">
      <w:pPr>
        <w:spacing w:line="480" w:lineRule="auto"/>
        <w:jc w:val="center"/>
        <w:rPr>
          <w:rFonts w:asciiTheme="majorBidi" w:hAnsiTheme="majorBidi" w:cstheme="majorBidi"/>
          <w:b/>
          <w:bCs/>
          <w:sz w:val="24"/>
          <w:szCs w:val="24"/>
        </w:rPr>
      </w:pPr>
      <w:r w:rsidRPr="008C0AF9">
        <w:rPr>
          <w:rFonts w:asciiTheme="majorBidi" w:hAnsiTheme="majorBidi" w:cstheme="majorBidi"/>
          <w:b/>
          <w:bCs/>
          <w:sz w:val="24"/>
          <w:szCs w:val="24"/>
        </w:rPr>
        <w:t>Author Note</w:t>
      </w:r>
    </w:p>
    <w:p w14:paraId="06990F02" w14:textId="694E0B14" w:rsidR="008C0AF9" w:rsidRDefault="008C0AF9" w:rsidP="008C0AF9">
      <w:pPr>
        <w:snapToGrid w:val="0"/>
        <w:spacing w:line="480" w:lineRule="auto"/>
        <w:ind w:right="720"/>
        <w:rPr>
          <w:rFonts w:asciiTheme="majorBidi" w:hAnsiTheme="majorBidi" w:cstheme="majorBidi"/>
          <w:sz w:val="24"/>
          <w:szCs w:val="24"/>
        </w:rPr>
      </w:pPr>
      <w:r w:rsidRPr="008C0AF9">
        <w:rPr>
          <w:rFonts w:asciiTheme="majorBidi" w:hAnsiTheme="majorBidi" w:cstheme="majorBidi"/>
          <w:sz w:val="24"/>
          <w:szCs w:val="24"/>
        </w:rPr>
        <w:t xml:space="preserve">Fatiha Shannon </w:t>
      </w:r>
      <w:r w:rsidRPr="008C0AF9">
        <w:rPr>
          <w:rFonts w:asciiTheme="majorBidi" w:hAnsiTheme="majorBidi" w:cstheme="majorBidi"/>
          <w:noProof/>
          <w:sz w:val="24"/>
          <w:szCs w:val="24"/>
        </w:rPr>
        <w:drawing>
          <wp:inline distT="0" distB="0" distL="0" distR="0" wp14:anchorId="20B443FD" wp14:editId="3EA1052C">
            <wp:extent cx="140677" cy="140677"/>
            <wp:effectExtent l="0" t="0" r="0" b="0"/>
            <wp:docPr id="312245294" name="Picture 312245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flipV="1">
                      <a:off x="0" y="0"/>
                      <a:ext cx="147216" cy="147216"/>
                    </a:xfrm>
                    <a:prstGeom prst="rect">
                      <a:avLst/>
                    </a:prstGeom>
                  </pic:spPr>
                </pic:pic>
              </a:graphicData>
            </a:graphic>
          </wp:inline>
        </w:drawing>
      </w:r>
      <w:r w:rsidRPr="008C1006">
        <w:rPr>
          <w:rFonts w:asciiTheme="majorBidi" w:hAnsiTheme="majorBidi" w:cstheme="majorBidi"/>
          <w:sz w:val="24"/>
          <w:szCs w:val="24"/>
        </w:rPr>
        <w:t xml:space="preserve"> </w:t>
      </w:r>
      <w:hyperlink r:id="rId7" w:history="1">
        <w:r w:rsidR="007B6FFD" w:rsidRPr="008C1006">
          <w:rPr>
            <w:rStyle w:val="Hyperlink"/>
            <w:rFonts w:asciiTheme="majorBidi" w:hAnsiTheme="majorBidi" w:cstheme="majorBidi"/>
            <w:color w:val="auto"/>
            <w:sz w:val="24"/>
            <w:szCs w:val="24"/>
            <w:u w:val="none"/>
          </w:rPr>
          <w:t>https://orcid.org/0009-0009-3156-3707</w:t>
        </w:r>
      </w:hyperlink>
    </w:p>
    <w:p w14:paraId="08274482" w14:textId="1CF47723" w:rsidR="007B6FFD" w:rsidRPr="008C0AF9" w:rsidRDefault="008C1006" w:rsidP="008C0AF9">
      <w:pPr>
        <w:snapToGrid w:val="0"/>
        <w:spacing w:line="480" w:lineRule="auto"/>
        <w:ind w:right="720"/>
        <w:rPr>
          <w:rFonts w:asciiTheme="majorBidi" w:hAnsiTheme="majorBidi" w:cstheme="majorBidi"/>
          <w:color w:val="467886" w:themeColor="hyperlink"/>
          <w:sz w:val="24"/>
          <w:szCs w:val="24"/>
          <w:u w:val="single"/>
        </w:rPr>
      </w:pPr>
      <w:r>
        <w:rPr>
          <w:rFonts w:asciiTheme="majorBidi" w:hAnsiTheme="majorBidi" w:cstheme="majorBidi"/>
          <w:sz w:val="24"/>
          <w:szCs w:val="24"/>
        </w:rPr>
        <w:t>Orange County, California</w:t>
      </w:r>
      <w:r w:rsidR="002F374F">
        <w:rPr>
          <w:rFonts w:asciiTheme="majorBidi" w:hAnsiTheme="majorBidi" w:cstheme="majorBidi"/>
          <w:sz w:val="24"/>
          <w:szCs w:val="24"/>
        </w:rPr>
        <w:t>, United States</w:t>
      </w:r>
    </w:p>
    <w:p w14:paraId="38E17620" w14:textId="74E0888C" w:rsidR="008C0AF9" w:rsidRDefault="008C0AF9" w:rsidP="008C0AF9">
      <w:pPr>
        <w:spacing w:line="480" w:lineRule="auto"/>
        <w:rPr>
          <w:rFonts w:asciiTheme="majorBidi" w:hAnsiTheme="majorBidi" w:cstheme="majorBidi"/>
          <w:sz w:val="24"/>
          <w:szCs w:val="24"/>
        </w:rPr>
      </w:pPr>
      <w:r w:rsidRPr="008C0AF9">
        <w:rPr>
          <w:rFonts w:asciiTheme="majorBidi" w:hAnsiTheme="majorBidi" w:cstheme="majorBidi"/>
          <w:sz w:val="24"/>
          <w:szCs w:val="24"/>
        </w:rPr>
        <w:t xml:space="preserve">Cass Dykeman </w:t>
      </w:r>
      <w:r w:rsidRPr="008C0AF9">
        <w:rPr>
          <w:rFonts w:asciiTheme="majorBidi" w:hAnsiTheme="majorBidi" w:cstheme="majorBidi"/>
          <w:noProof/>
          <w:sz w:val="24"/>
          <w:szCs w:val="24"/>
        </w:rPr>
        <w:drawing>
          <wp:inline distT="0" distB="0" distL="0" distR="0" wp14:anchorId="42502EAB" wp14:editId="191B2D1E">
            <wp:extent cx="140677" cy="140677"/>
            <wp:effectExtent l="0" t="0" r="0" b="0"/>
            <wp:docPr id="1800014947" name="Picture 1800014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flipV="1">
                      <a:off x="0" y="0"/>
                      <a:ext cx="147216" cy="147216"/>
                    </a:xfrm>
                    <a:prstGeom prst="rect">
                      <a:avLst/>
                    </a:prstGeom>
                  </pic:spPr>
                </pic:pic>
              </a:graphicData>
            </a:graphic>
          </wp:inline>
        </w:drawing>
      </w:r>
      <w:r w:rsidRPr="008C0AF9">
        <w:rPr>
          <w:rFonts w:asciiTheme="majorBidi" w:hAnsiTheme="majorBidi" w:cstheme="majorBidi"/>
          <w:sz w:val="24"/>
          <w:szCs w:val="24"/>
        </w:rPr>
        <w:t xml:space="preserve"> </w:t>
      </w:r>
      <w:r w:rsidR="008C1006" w:rsidRPr="008C1006">
        <w:rPr>
          <w:rFonts w:asciiTheme="majorBidi" w:hAnsiTheme="majorBidi" w:cstheme="majorBidi"/>
          <w:sz w:val="24"/>
          <w:szCs w:val="24"/>
        </w:rPr>
        <w:t>https://orcid.org/0000-0001-7708-1409</w:t>
      </w:r>
    </w:p>
    <w:p w14:paraId="7A9D68DF" w14:textId="4DA67E1D" w:rsidR="008C1006" w:rsidRDefault="008C1006" w:rsidP="008C0AF9">
      <w:pPr>
        <w:spacing w:line="480" w:lineRule="auto"/>
        <w:rPr>
          <w:rFonts w:asciiTheme="majorBidi" w:hAnsiTheme="majorBidi" w:cstheme="majorBidi"/>
          <w:sz w:val="24"/>
          <w:szCs w:val="24"/>
        </w:rPr>
      </w:pPr>
      <w:r>
        <w:rPr>
          <w:rFonts w:asciiTheme="majorBidi" w:hAnsiTheme="majorBidi" w:cstheme="majorBidi"/>
          <w:sz w:val="24"/>
          <w:szCs w:val="24"/>
        </w:rPr>
        <w:t>Corvallis, Oregon</w:t>
      </w:r>
      <w:r w:rsidR="002F374F">
        <w:rPr>
          <w:rFonts w:asciiTheme="majorBidi" w:hAnsiTheme="majorBidi" w:cstheme="majorBidi"/>
          <w:sz w:val="24"/>
          <w:szCs w:val="24"/>
        </w:rPr>
        <w:t>, United States</w:t>
      </w:r>
    </w:p>
    <w:p w14:paraId="4DC28737" w14:textId="77777777" w:rsidR="000C4AFC" w:rsidRDefault="008C0AF9" w:rsidP="008C0AF9">
      <w:pPr>
        <w:spacing w:line="480" w:lineRule="auto"/>
        <w:ind w:firstLine="720"/>
        <w:rPr>
          <w:rFonts w:asciiTheme="majorBidi" w:hAnsiTheme="majorBidi" w:cstheme="majorBidi"/>
          <w:sz w:val="24"/>
          <w:szCs w:val="24"/>
        </w:rPr>
      </w:pPr>
      <w:r w:rsidRPr="008C0AF9">
        <w:rPr>
          <w:rFonts w:asciiTheme="majorBidi" w:hAnsiTheme="majorBidi" w:cstheme="majorBidi"/>
          <w:color w:val="000000" w:themeColor="text1"/>
          <w:sz w:val="24"/>
          <w:szCs w:val="24"/>
        </w:rPr>
        <w:t xml:space="preserve">The data contained in this manuscript was obtained from public and published sources and thus human subjects review was not required. </w:t>
      </w:r>
      <w:r w:rsidRPr="008C0AF9">
        <w:rPr>
          <w:rFonts w:asciiTheme="majorBidi" w:hAnsiTheme="majorBidi" w:cstheme="majorBidi"/>
          <w:sz w:val="24"/>
          <w:szCs w:val="24"/>
        </w:rPr>
        <w:t xml:space="preserve">Correspondence concerning this article should be addressed to </w:t>
      </w:r>
      <w:r w:rsidRPr="008C0AF9">
        <w:rPr>
          <w:rFonts w:asciiTheme="majorBidi" w:hAnsiTheme="majorBidi" w:cstheme="majorBidi"/>
          <w:color w:val="222222"/>
          <w:sz w:val="24"/>
          <w:szCs w:val="24"/>
        </w:rPr>
        <w:t>Fatiha Shannon</w:t>
      </w:r>
      <w:r w:rsidRPr="008C0AF9">
        <w:rPr>
          <w:rFonts w:asciiTheme="majorBidi" w:hAnsiTheme="majorBidi" w:cstheme="majorBidi"/>
          <w:sz w:val="24"/>
          <w:szCs w:val="24"/>
        </w:rPr>
        <w:t xml:space="preserve">, Counseling Academic Unit, Oregon State University, 104 Furman Hall, Corvallis, OR 97331-3502.  E-mail: shannonf@oregonstate.edu </w:t>
      </w:r>
    </w:p>
    <w:p w14:paraId="4F8E3019" w14:textId="423C6C17" w:rsidR="000C4AFC" w:rsidRPr="008C0AF9" w:rsidRDefault="000C4AFC" w:rsidP="000C4AFC">
      <w:pPr>
        <w:spacing w:line="480" w:lineRule="auto"/>
        <w:rPr>
          <w:rFonts w:asciiTheme="majorBidi" w:hAnsiTheme="majorBidi" w:cstheme="majorBidi"/>
          <w:sz w:val="24"/>
          <w:szCs w:val="24"/>
        </w:rPr>
      </w:pPr>
      <w:r>
        <w:rPr>
          <w:rFonts w:asciiTheme="majorBidi" w:hAnsiTheme="majorBidi" w:cstheme="majorBidi"/>
          <w:sz w:val="24"/>
          <w:szCs w:val="24"/>
        </w:rPr>
        <w:t xml:space="preserve">Corresponding Author: Fatiha Shannon, PhD, can be contacted at </w:t>
      </w:r>
      <w:hyperlink r:id="rId8" w:history="1">
        <w:r w:rsidRPr="000C4AFC">
          <w:rPr>
            <w:rStyle w:val="Hyperlink"/>
            <w:rFonts w:asciiTheme="majorBidi" w:hAnsiTheme="majorBidi" w:cstheme="majorBidi"/>
            <w:color w:val="auto"/>
            <w:sz w:val="24"/>
            <w:szCs w:val="24"/>
            <w:u w:val="none"/>
          </w:rPr>
          <w:t>shannonf@oregonstate.edu</w:t>
        </w:r>
      </w:hyperlink>
      <w:r>
        <w:rPr>
          <w:rFonts w:asciiTheme="majorBidi" w:hAnsiTheme="majorBidi" w:cstheme="majorBidi"/>
          <w:sz w:val="24"/>
          <w:szCs w:val="24"/>
        </w:rPr>
        <w:t xml:space="preserve"> or fatihashannon@yahoo.com</w:t>
      </w:r>
    </w:p>
    <w:p w14:paraId="3C7D7E85" w14:textId="76399462" w:rsidR="008C0AF9" w:rsidRPr="008C0AF9" w:rsidRDefault="008C0AF9" w:rsidP="008C0AF9">
      <w:pPr>
        <w:spacing w:line="480" w:lineRule="auto"/>
        <w:ind w:firstLine="720"/>
        <w:rPr>
          <w:rFonts w:asciiTheme="majorBidi" w:eastAsia="Times New Roman" w:hAnsiTheme="majorBidi" w:cstheme="majorBidi"/>
          <w:bCs/>
          <w:color w:val="222222"/>
          <w:sz w:val="24"/>
          <w:szCs w:val="24"/>
          <w:shd w:val="clear" w:color="auto" w:fill="FFFFFF"/>
        </w:rPr>
      </w:pPr>
      <w:r w:rsidRPr="008C0AF9">
        <w:rPr>
          <w:rFonts w:asciiTheme="majorBidi" w:eastAsia="Times New Roman" w:hAnsiTheme="majorBidi" w:cstheme="majorBidi"/>
          <w:bCs/>
          <w:color w:val="222222"/>
          <w:sz w:val="24"/>
          <w:szCs w:val="24"/>
          <w:shd w:val="clear" w:color="auto" w:fill="FFFFFF"/>
        </w:rPr>
        <w:lastRenderedPageBreak/>
        <w:br w:type="page"/>
      </w:r>
    </w:p>
    <w:p w14:paraId="356B8670" w14:textId="77777777" w:rsidR="008C0AF9" w:rsidRPr="008C0AF9" w:rsidRDefault="008C0AF9" w:rsidP="008C0AF9">
      <w:pPr>
        <w:pStyle w:val="Heading2"/>
        <w:jc w:val="center"/>
        <w:rPr>
          <w:rFonts w:asciiTheme="majorBidi" w:hAnsiTheme="majorBidi"/>
          <w:b/>
          <w:bCs/>
          <w:color w:val="auto"/>
          <w:sz w:val="24"/>
          <w:szCs w:val="24"/>
          <w:shd w:val="clear" w:color="auto" w:fill="FFFFFF"/>
        </w:rPr>
      </w:pPr>
      <w:bookmarkStart w:id="0" w:name="_Toc203736323"/>
      <w:bookmarkStart w:id="1" w:name="_Toc203736406"/>
      <w:bookmarkStart w:id="2" w:name="_Toc203736649"/>
      <w:r w:rsidRPr="008C0AF9">
        <w:rPr>
          <w:rFonts w:asciiTheme="majorBidi" w:hAnsiTheme="majorBidi"/>
          <w:b/>
          <w:bCs/>
          <w:color w:val="auto"/>
          <w:sz w:val="24"/>
          <w:szCs w:val="24"/>
          <w:shd w:val="clear" w:color="auto" w:fill="FFFFFF"/>
        </w:rPr>
        <w:lastRenderedPageBreak/>
        <w:t>Abstract</w:t>
      </w:r>
      <w:bookmarkEnd w:id="0"/>
      <w:bookmarkEnd w:id="1"/>
      <w:bookmarkEnd w:id="2"/>
    </w:p>
    <w:p w14:paraId="79115385" w14:textId="77777777" w:rsidR="008C0AF9" w:rsidRPr="008C0AF9" w:rsidRDefault="008C0AF9" w:rsidP="008C0AF9">
      <w:pPr>
        <w:tabs>
          <w:tab w:val="left" w:pos="1260"/>
        </w:tabs>
        <w:spacing w:after="0" w:line="480" w:lineRule="auto"/>
        <w:contextualSpacing/>
        <w:rPr>
          <w:rFonts w:asciiTheme="majorBidi" w:eastAsia="Times New Roman" w:hAnsiTheme="majorBidi" w:cstheme="majorBidi"/>
          <w:sz w:val="24"/>
          <w:szCs w:val="24"/>
        </w:rPr>
      </w:pPr>
      <w:r w:rsidRPr="008C0AF9">
        <w:rPr>
          <w:rFonts w:asciiTheme="majorBidi" w:eastAsia="Times New Roman" w:hAnsiTheme="majorBidi" w:cstheme="majorBidi"/>
          <w:sz w:val="24"/>
          <w:szCs w:val="24"/>
        </w:rPr>
        <w:t xml:space="preserve">Today, mental health is standing on a threshold of a new frontier—one that lies not just in the physical and neurobiological realms but also in the interflow of language and meaning making. While the current revival of psychedelic research is focused primarily on pilot and experimental studies to examine the potential therapeutic index of psychedelics, one cannot ignore how this opportunity also affords a wealth of linguistic data that could unearth profound insights into how the online community engages in psychedelic discourse and its therapeutic utility. </w:t>
      </w:r>
      <w:r w:rsidRPr="008C0AF9">
        <w:rPr>
          <w:rFonts w:asciiTheme="majorBidi" w:hAnsiTheme="majorBidi" w:cstheme="majorBidi"/>
          <w:sz w:val="24"/>
          <w:szCs w:val="24"/>
        </w:rPr>
        <w:t xml:space="preserve">This paper explored the intersection of language, the complexities of eating disorders (EDs), and the emerging role of psychedelics as a possible therapeutic praxis. Employing Linguistic Inquiry and Word Count (LIWC), a computer software program based on the theory of natural language, the authors extracted and analyzed linguistic cues in psychedelic subreddit comments written by individuals discussing eating-related issues and psychedelics. Language contains clues and patterns that </w:t>
      </w:r>
      <w:proofErr w:type="gramStart"/>
      <w:r w:rsidRPr="008C0AF9">
        <w:rPr>
          <w:rFonts w:asciiTheme="majorBidi" w:hAnsiTheme="majorBidi" w:cstheme="majorBidi"/>
          <w:sz w:val="24"/>
          <w:szCs w:val="24"/>
        </w:rPr>
        <w:t>are helpful in understanding</w:t>
      </w:r>
      <w:proofErr w:type="gramEnd"/>
      <w:r w:rsidRPr="008C0AF9">
        <w:rPr>
          <w:rFonts w:asciiTheme="majorBidi" w:hAnsiTheme="majorBidi" w:cstheme="majorBidi"/>
          <w:sz w:val="24"/>
          <w:szCs w:val="24"/>
        </w:rPr>
        <w:t xml:space="preserve"> personal experiences and narratives. This research sought to detect these clues and patterns and what they reflect in insight, cognitive complexity, and social engagement. The researchers found a language with heightened emotional awareness, suggesting a deeper level of self-insight. Possible explanations for these results may be associated with psychedelics’ potential to facilitate experiences that relate to changing one’s perception of their struggles including eating-related ones. With greater consideration, these results remain centered and parallel to ongoing discourse regarding psychedelics’ potential support for well-being and mental health. Ultimately, this study raises the therapeutic possibilities that lie in the intersection of internal subjective states accessed by language interpretation, EDs, and psychedelic integration.</w:t>
      </w:r>
    </w:p>
    <w:p w14:paraId="28BE178B" w14:textId="77777777" w:rsidR="008C0AF9" w:rsidRPr="008C0AF9" w:rsidRDefault="008C0AF9" w:rsidP="008C0AF9">
      <w:pPr>
        <w:spacing w:after="0" w:line="480" w:lineRule="auto"/>
        <w:ind w:firstLine="720"/>
        <w:rPr>
          <w:rFonts w:asciiTheme="majorBidi" w:eastAsia="Times New Roman" w:hAnsiTheme="majorBidi" w:cstheme="majorBidi"/>
          <w:bCs/>
          <w:color w:val="222222"/>
          <w:sz w:val="24"/>
          <w:szCs w:val="24"/>
          <w:shd w:val="clear" w:color="auto" w:fill="FFFFFF"/>
        </w:rPr>
      </w:pPr>
      <w:r w:rsidRPr="008C0AF9">
        <w:rPr>
          <w:rFonts w:asciiTheme="majorBidi" w:eastAsia="Times New Roman" w:hAnsiTheme="majorBidi" w:cstheme="majorBidi"/>
          <w:bCs/>
          <w:i/>
          <w:color w:val="222222"/>
          <w:sz w:val="24"/>
          <w:szCs w:val="24"/>
          <w:shd w:val="clear" w:color="auto" w:fill="FFFFFF"/>
        </w:rPr>
        <w:t xml:space="preserve">Keywords: </w:t>
      </w:r>
      <w:r w:rsidRPr="008C0AF9">
        <w:rPr>
          <w:rFonts w:asciiTheme="majorBidi" w:eastAsia="Times New Roman" w:hAnsiTheme="majorBidi" w:cstheme="majorBidi"/>
          <w:sz w:val="24"/>
          <w:szCs w:val="24"/>
          <w:shd w:val="clear" w:color="auto" w:fill="FFFFFF"/>
        </w:rPr>
        <w:t>eating disorders, EDs, LSD, ayahuasca, psilocybin, magic mushrooms, MDMA, ketamine, psychedelics</w:t>
      </w:r>
      <w:r w:rsidRPr="008C0AF9">
        <w:rPr>
          <w:rFonts w:asciiTheme="majorBidi" w:hAnsiTheme="majorBidi" w:cstheme="majorBidi"/>
          <w:sz w:val="24"/>
          <w:szCs w:val="24"/>
        </w:rPr>
        <w:t>, Reddit, social media, LIWC, corpus linguistics</w:t>
      </w:r>
      <w:r w:rsidRPr="008C0AF9">
        <w:rPr>
          <w:rFonts w:asciiTheme="majorBidi" w:eastAsia="Times New Roman" w:hAnsiTheme="majorBidi" w:cstheme="majorBidi"/>
          <w:bCs/>
          <w:color w:val="222222"/>
          <w:sz w:val="24"/>
          <w:szCs w:val="24"/>
          <w:shd w:val="clear" w:color="auto" w:fill="FFFFFF"/>
        </w:rPr>
        <w:br w:type="page"/>
      </w:r>
    </w:p>
    <w:p w14:paraId="1F99FDA6" w14:textId="77777777" w:rsidR="008C0AF9" w:rsidRPr="008C0AF9" w:rsidRDefault="008C0AF9" w:rsidP="008C0AF9">
      <w:pPr>
        <w:spacing w:after="0" w:line="480" w:lineRule="auto"/>
        <w:jc w:val="center"/>
        <w:rPr>
          <w:rFonts w:asciiTheme="majorBidi" w:hAnsiTheme="majorBidi" w:cstheme="majorBidi"/>
          <w:b/>
          <w:bCs/>
          <w:sz w:val="24"/>
          <w:szCs w:val="24"/>
        </w:rPr>
      </w:pPr>
      <w:proofErr w:type="gramStart"/>
      <w:r w:rsidRPr="008C0AF9">
        <w:rPr>
          <w:rFonts w:asciiTheme="majorBidi" w:hAnsiTheme="majorBidi" w:cstheme="majorBidi"/>
          <w:b/>
          <w:bCs/>
          <w:sz w:val="24"/>
          <w:szCs w:val="24"/>
        </w:rPr>
        <w:lastRenderedPageBreak/>
        <w:t>The Promise</w:t>
      </w:r>
      <w:proofErr w:type="gramEnd"/>
      <w:r w:rsidRPr="008C0AF9">
        <w:rPr>
          <w:rFonts w:asciiTheme="majorBidi" w:hAnsiTheme="majorBidi" w:cstheme="majorBidi"/>
          <w:b/>
          <w:bCs/>
          <w:sz w:val="24"/>
          <w:szCs w:val="24"/>
        </w:rPr>
        <w:t xml:space="preserve"> and the Paradox: Exploring Eating Disorder Discourse in Psychedelic Reddit Communities </w:t>
      </w:r>
    </w:p>
    <w:p w14:paraId="71A48E16" w14:textId="77777777" w:rsidR="008C0AF9" w:rsidRPr="008C0AF9" w:rsidRDefault="008C0AF9" w:rsidP="008C0AF9">
      <w:pPr>
        <w:shd w:val="clear" w:color="auto" w:fill="FFFFFF"/>
        <w:spacing w:after="0" w:line="480" w:lineRule="auto"/>
        <w:contextualSpacing/>
        <w:jc w:val="center"/>
        <w:rPr>
          <w:rFonts w:asciiTheme="majorBidi" w:hAnsiTheme="majorBidi" w:cstheme="majorBidi"/>
          <w:sz w:val="24"/>
          <w:szCs w:val="24"/>
        </w:rPr>
      </w:pPr>
      <w:r w:rsidRPr="008C0AF9">
        <w:rPr>
          <w:rFonts w:asciiTheme="majorBidi" w:hAnsiTheme="majorBidi" w:cstheme="majorBidi"/>
          <w:i/>
          <w:iCs/>
          <w:sz w:val="24"/>
          <w:szCs w:val="24"/>
        </w:rPr>
        <w:t xml:space="preserve">Experience is not what happens to </w:t>
      </w:r>
      <w:proofErr w:type="gramStart"/>
      <w:r w:rsidRPr="008C0AF9">
        <w:rPr>
          <w:rFonts w:asciiTheme="majorBidi" w:hAnsiTheme="majorBidi" w:cstheme="majorBidi"/>
          <w:i/>
          <w:iCs/>
          <w:sz w:val="24"/>
          <w:szCs w:val="24"/>
        </w:rPr>
        <w:t>you;</w:t>
      </w:r>
      <w:proofErr w:type="gramEnd"/>
      <w:r w:rsidRPr="008C0AF9">
        <w:rPr>
          <w:rFonts w:asciiTheme="majorBidi" w:hAnsiTheme="majorBidi" w:cstheme="majorBidi"/>
          <w:i/>
          <w:iCs/>
          <w:sz w:val="24"/>
          <w:szCs w:val="24"/>
        </w:rPr>
        <w:t> </w:t>
      </w:r>
    </w:p>
    <w:p w14:paraId="50EBD874" w14:textId="77777777" w:rsidR="008C0AF9" w:rsidRPr="008C0AF9" w:rsidRDefault="008C0AF9" w:rsidP="008C0AF9">
      <w:pPr>
        <w:shd w:val="clear" w:color="auto" w:fill="FFFFFF"/>
        <w:spacing w:after="0" w:line="480" w:lineRule="auto"/>
        <w:contextualSpacing/>
        <w:jc w:val="center"/>
        <w:rPr>
          <w:rFonts w:asciiTheme="majorBidi" w:hAnsiTheme="majorBidi" w:cstheme="majorBidi"/>
          <w:sz w:val="24"/>
          <w:szCs w:val="24"/>
        </w:rPr>
      </w:pPr>
      <w:proofErr w:type="gramStart"/>
      <w:r w:rsidRPr="008C0AF9">
        <w:rPr>
          <w:rFonts w:asciiTheme="majorBidi" w:hAnsiTheme="majorBidi" w:cstheme="majorBidi"/>
          <w:i/>
          <w:iCs/>
          <w:sz w:val="24"/>
          <w:szCs w:val="24"/>
        </w:rPr>
        <w:t>it’s</w:t>
      </w:r>
      <w:proofErr w:type="gramEnd"/>
      <w:r w:rsidRPr="008C0AF9">
        <w:rPr>
          <w:rFonts w:asciiTheme="majorBidi" w:hAnsiTheme="majorBidi" w:cstheme="majorBidi"/>
          <w:i/>
          <w:iCs/>
          <w:sz w:val="24"/>
          <w:szCs w:val="24"/>
        </w:rPr>
        <w:t xml:space="preserve"> what you do with what happens to you.</w:t>
      </w:r>
    </w:p>
    <w:p w14:paraId="02DBBABA" w14:textId="77777777" w:rsidR="008C0AF9" w:rsidRPr="008C0AF9" w:rsidRDefault="008C0AF9" w:rsidP="008C0AF9">
      <w:pPr>
        <w:shd w:val="clear" w:color="auto" w:fill="FFFFFF"/>
        <w:spacing w:after="0" w:line="480" w:lineRule="auto"/>
        <w:contextualSpacing/>
        <w:jc w:val="center"/>
        <w:rPr>
          <w:rFonts w:asciiTheme="majorBidi" w:hAnsiTheme="majorBidi" w:cstheme="majorBidi"/>
          <w:sz w:val="24"/>
          <w:szCs w:val="24"/>
        </w:rPr>
      </w:pPr>
      <w:r w:rsidRPr="008C0AF9">
        <w:rPr>
          <w:rFonts w:asciiTheme="majorBidi" w:hAnsiTheme="majorBidi" w:cstheme="majorBidi"/>
          <w:sz w:val="24"/>
          <w:szCs w:val="24"/>
        </w:rPr>
        <w:t xml:space="preserve"> Alfred Huxley, 1954</w:t>
      </w:r>
    </w:p>
    <w:p w14:paraId="42972A37"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shd w:val="clear" w:color="auto" w:fill="FFFFFF"/>
        </w:rPr>
        <w:t>Huxley’s quote describes the essence of why many people turn to psychedelics for exploration and meaning. The scientific community and the counterculture of the 1950s and 1960s put psychedelics on the Western map given their mind-altering properties and intense subjective experiences. Legal changes beginning in the 1970s shifted this interest into a dormant phase. More recently, both clinical and popular interest in psychedelics has rebounded. It is the focus of this current study to explore the nature of this resurged interest. </w:t>
      </w:r>
    </w:p>
    <w:p w14:paraId="3C3B661C" w14:textId="77777777" w:rsidR="008C0AF9" w:rsidRPr="008C0AF9" w:rsidRDefault="008C0AF9" w:rsidP="008C0AF9">
      <w:pPr>
        <w:pStyle w:val="NormalWeb"/>
        <w:shd w:val="clear" w:color="auto" w:fill="FFFFFF"/>
        <w:spacing w:before="0" w:beforeAutospacing="0" w:after="0" w:afterAutospacing="0" w:line="480" w:lineRule="auto"/>
        <w:ind w:firstLine="720"/>
        <w:rPr>
          <w:rFonts w:asciiTheme="majorBidi" w:hAnsiTheme="majorBidi" w:cstheme="majorBidi"/>
        </w:rPr>
      </w:pPr>
      <w:r w:rsidRPr="008C0AF9">
        <w:rPr>
          <w:rFonts w:asciiTheme="majorBidi" w:hAnsiTheme="majorBidi" w:cstheme="majorBidi"/>
        </w:rPr>
        <w:t>The goal of the current research was trifold. The first aim of this study was to bring more awareness and psychoeducation to EDs as this condition continues to be one of the most ambiguous and illusive mental health disorders facing the counseling field and the community as whole. EDs continue to be a misunderstood condition affecting individuals and their families (Hillege et al., 2006). Despite an ample amount of promising research on new and improved interventions, ED cases continue to grow and impact many people (</w:t>
      </w:r>
      <w:r w:rsidRPr="008C0AF9">
        <w:rPr>
          <w:rFonts w:asciiTheme="majorBidi" w:hAnsiTheme="majorBidi" w:cstheme="majorBidi"/>
          <w:shd w:val="clear" w:color="auto" w:fill="FFFFFF"/>
        </w:rPr>
        <w:t>Güler &amp; Özgörüş, 2022)</w:t>
      </w:r>
      <w:r w:rsidRPr="008C0AF9">
        <w:rPr>
          <w:rFonts w:asciiTheme="majorBidi" w:hAnsiTheme="majorBidi" w:cstheme="majorBidi"/>
        </w:rPr>
        <w:t>. The second aim was to investigate how language and narratives reveal one’s mental health struggles and road to recovery. The corpus methodology utilized in the present study is for analyzing the language used in these blogs. The third aim focused on inquiring whether an alternative approach to conventional ED treatment may be associated with therapeutic benefit and support.</w:t>
      </w:r>
    </w:p>
    <w:p w14:paraId="4DC920C1" w14:textId="77777777" w:rsidR="008C0AF9" w:rsidRPr="008C0AF9" w:rsidRDefault="008C0AF9" w:rsidP="008C0AF9">
      <w:pPr>
        <w:pStyle w:val="Heading3"/>
        <w:contextualSpacing/>
        <w:rPr>
          <w:rFonts w:asciiTheme="majorBidi" w:eastAsia="Times New Roman" w:hAnsiTheme="majorBidi"/>
          <w:b/>
          <w:bCs/>
          <w:color w:val="auto"/>
          <w:sz w:val="24"/>
          <w:szCs w:val="24"/>
          <w:lang w:val="en"/>
        </w:rPr>
      </w:pPr>
      <w:bookmarkStart w:id="3" w:name="_Toc203736324"/>
      <w:bookmarkStart w:id="4" w:name="_Toc203736407"/>
      <w:bookmarkStart w:id="5" w:name="_Toc203736650"/>
      <w:r w:rsidRPr="008C0AF9">
        <w:rPr>
          <w:rFonts w:asciiTheme="majorBidi" w:eastAsia="Times New Roman" w:hAnsiTheme="majorBidi"/>
          <w:b/>
          <w:bCs/>
          <w:color w:val="auto"/>
          <w:sz w:val="24"/>
          <w:szCs w:val="24"/>
          <w:shd w:val="clear" w:color="auto" w:fill="FFFFFF"/>
        </w:rPr>
        <w:t xml:space="preserve">Statement of Research Questions </w:t>
      </w:r>
      <w:r w:rsidRPr="008C0AF9">
        <w:rPr>
          <w:rFonts w:asciiTheme="majorBidi" w:eastAsia="Times New Roman" w:hAnsiTheme="majorBidi"/>
          <w:b/>
          <w:bCs/>
          <w:color w:val="auto"/>
          <w:sz w:val="24"/>
          <w:szCs w:val="24"/>
          <w:lang w:val="en"/>
        </w:rPr>
        <w:t>(RQs)</w:t>
      </w:r>
      <w:bookmarkEnd w:id="3"/>
      <w:bookmarkEnd w:id="4"/>
      <w:bookmarkEnd w:id="5"/>
    </w:p>
    <w:p w14:paraId="37FA6B20" w14:textId="77777777" w:rsidR="008C0AF9" w:rsidRPr="008C0AF9" w:rsidRDefault="008C0AF9" w:rsidP="008C0AF9">
      <w:pPr>
        <w:pStyle w:val="ListParagraph"/>
        <w:spacing w:after="0" w:line="480" w:lineRule="auto"/>
        <w:ind w:left="0" w:firstLine="720"/>
        <w:rPr>
          <w:rFonts w:asciiTheme="majorBidi" w:eastAsia="Times New Roman" w:hAnsiTheme="majorBidi" w:cstheme="majorBidi"/>
          <w:sz w:val="24"/>
          <w:szCs w:val="24"/>
          <w:shd w:val="clear" w:color="auto" w:fill="FFFFFF"/>
        </w:rPr>
      </w:pPr>
      <w:r w:rsidRPr="008C0AF9">
        <w:rPr>
          <w:rFonts w:asciiTheme="majorBidi" w:eastAsia="Times New Roman" w:hAnsiTheme="majorBidi" w:cstheme="majorBidi"/>
          <w:sz w:val="24"/>
          <w:szCs w:val="24"/>
          <w:shd w:val="clear" w:color="auto" w:fill="FFFFFF"/>
        </w:rPr>
        <w:t xml:space="preserve">Given the aforenoted discussion and in preparation for creating the RQs that directed the present study, six topical areas of prior research were examined. These were (a) important key </w:t>
      </w:r>
      <w:r w:rsidRPr="008C0AF9">
        <w:rPr>
          <w:rFonts w:asciiTheme="majorBidi" w:eastAsia="Times New Roman" w:hAnsiTheme="majorBidi" w:cstheme="majorBidi"/>
          <w:sz w:val="24"/>
          <w:szCs w:val="24"/>
          <w:shd w:val="clear" w:color="auto" w:fill="FFFFFF"/>
        </w:rPr>
        <w:lastRenderedPageBreak/>
        <w:t xml:space="preserve">terms, (b) current knowledge on EDs and psychedelics, (c) what is known about broad psycholinguistic processes related to EDs and psychedelics, (d) what is known about linguistic processes related to EDs and psychedelics, (e) what is known about psychological processes related to EDs and psychedelics, and (f) what is known about other psychosocial and psychophysiological processes related to EDs and psychedelics.  </w:t>
      </w:r>
    </w:p>
    <w:p w14:paraId="1CEC6A64"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eastAsia="Times New Roman" w:hAnsiTheme="majorBidi" w:cstheme="majorBidi"/>
          <w:sz w:val="24"/>
          <w:szCs w:val="24"/>
          <w:shd w:val="clear" w:color="auto" w:fill="FFFFFF"/>
        </w:rPr>
        <w:t>Before examining the literature supporting the variable selections for this study, some key terms are defined. The first term is EDs.</w:t>
      </w:r>
      <w:r w:rsidRPr="008C0AF9">
        <w:rPr>
          <w:rFonts w:asciiTheme="majorBidi" w:hAnsiTheme="majorBidi" w:cstheme="majorBidi"/>
          <w:sz w:val="24"/>
          <w:szCs w:val="24"/>
        </w:rPr>
        <w:t xml:space="preserve">  </w:t>
      </w:r>
      <w:r w:rsidRPr="008C0AF9">
        <w:rPr>
          <w:rFonts w:asciiTheme="majorBidi" w:hAnsiTheme="majorBidi" w:cstheme="majorBidi"/>
          <w:sz w:val="24"/>
          <w:szCs w:val="24"/>
          <w:shd w:val="clear" w:color="auto" w:fill="FFFFFF"/>
        </w:rPr>
        <w:t xml:space="preserve">The current </w:t>
      </w:r>
      <w:r w:rsidRPr="008C0AF9">
        <w:rPr>
          <w:rFonts w:asciiTheme="majorBidi" w:hAnsiTheme="majorBidi" w:cstheme="majorBidi"/>
          <w:i/>
          <w:iCs/>
          <w:sz w:val="24"/>
          <w:szCs w:val="24"/>
          <w:shd w:val="clear" w:color="auto" w:fill="FFFFFF"/>
        </w:rPr>
        <w:t>Diagnostic and Statistical Manual of Mental Disorders</w:t>
      </w:r>
      <w:r w:rsidRPr="008C0AF9">
        <w:rPr>
          <w:rFonts w:asciiTheme="majorBidi" w:hAnsiTheme="majorBidi" w:cstheme="majorBidi"/>
          <w:sz w:val="24"/>
          <w:szCs w:val="24"/>
          <w:shd w:val="clear" w:color="auto" w:fill="FFFFFF"/>
        </w:rPr>
        <w:t xml:space="preserve"> (5th ed.) </w:t>
      </w:r>
      <w:proofErr w:type="gramStart"/>
      <w:r w:rsidRPr="008C0AF9">
        <w:rPr>
          <w:rFonts w:asciiTheme="majorBidi" w:hAnsiTheme="majorBidi" w:cstheme="majorBidi"/>
          <w:sz w:val="24"/>
          <w:szCs w:val="24"/>
          <w:shd w:val="clear" w:color="auto" w:fill="FFFFFF"/>
        </w:rPr>
        <w:t>lists</w:t>
      </w:r>
      <w:proofErr w:type="gramEnd"/>
      <w:r w:rsidRPr="008C0AF9">
        <w:rPr>
          <w:rFonts w:asciiTheme="majorBidi" w:hAnsiTheme="majorBidi" w:cstheme="majorBidi"/>
          <w:sz w:val="24"/>
          <w:szCs w:val="24"/>
          <w:shd w:val="clear" w:color="auto" w:fill="FFFFFF"/>
        </w:rPr>
        <w:t xml:space="preserve"> six primary features, along with other subtypes, for this condition. </w:t>
      </w:r>
      <w:r w:rsidRPr="008C0AF9">
        <w:rPr>
          <w:rFonts w:asciiTheme="majorBidi" w:hAnsiTheme="majorBidi" w:cstheme="majorBidi"/>
          <w:sz w:val="24"/>
          <w:szCs w:val="24"/>
        </w:rPr>
        <w:t xml:space="preserve">Anorexia nervosa, bulimia nervosa, binge ED, and rumination disorder are well-identified as the most recurrent and diagnosed in this group out of the six. </w:t>
      </w:r>
      <w:r w:rsidRPr="008C0AF9">
        <w:rPr>
          <w:rFonts w:asciiTheme="majorBidi" w:hAnsiTheme="majorBidi" w:cstheme="majorBidi"/>
          <w:sz w:val="24"/>
          <w:szCs w:val="24"/>
          <w:shd w:val="clear" w:color="auto" w:fill="FFFFFF"/>
        </w:rPr>
        <w:t xml:space="preserve">They are challenging and often marked by atypical persistent attitudes and behavioral patterns disturbing one’s relation with eating. </w:t>
      </w:r>
      <w:r w:rsidRPr="008C0AF9">
        <w:rPr>
          <w:rFonts w:asciiTheme="majorBidi" w:hAnsiTheme="majorBidi" w:cstheme="majorBidi"/>
          <w:sz w:val="24"/>
          <w:szCs w:val="24"/>
        </w:rPr>
        <w:t>There is overwhelming evidence classifying EDs as p</w:t>
      </w:r>
      <w:r w:rsidRPr="008C0AF9">
        <w:rPr>
          <w:rFonts w:asciiTheme="majorBidi" w:hAnsiTheme="majorBidi" w:cstheme="majorBidi"/>
          <w:sz w:val="24"/>
          <w:szCs w:val="24"/>
          <w:shd w:val="clear" w:color="auto" w:fill="FFFFFF"/>
        </w:rPr>
        <w:t>otentially chronic and persistent mental health conditions without intervention and/or treatment (Mills et al., 2023; Mehler &amp; Anderson, 2022). Foundational studies have delineated the ongoing struggles individuals living with EDs face (Streatfeild et al., 2021; Erskine et al., 2016). These complications are well documented in research and community settings (Sim et al., 2024; Bryant et al., 2022). Of high prominence are co-morbid issues that happen to persist beyond physical deterioration, including but not limited to mental health decline such as increase in depression and environmental stressors such as family discord (van Hoeken et al., 2020).</w:t>
      </w:r>
    </w:p>
    <w:p w14:paraId="34BA47E9" w14:textId="77777777" w:rsidR="008C0AF9" w:rsidRPr="008C0AF9" w:rsidRDefault="008C0AF9" w:rsidP="008C0AF9">
      <w:pPr>
        <w:pStyle w:val="ListParagraph"/>
        <w:spacing w:after="0" w:line="480" w:lineRule="auto"/>
        <w:ind w:left="0" w:firstLine="720"/>
        <w:rPr>
          <w:rFonts w:asciiTheme="majorBidi" w:hAnsiTheme="majorBidi" w:cstheme="majorBidi"/>
          <w:color w:val="000000"/>
          <w:sz w:val="24"/>
          <w:szCs w:val="24"/>
          <w:shd w:val="clear" w:color="auto" w:fill="F7F7F7"/>
        </w:rPr>
      </w:pPr>
      <w:r w:rsidRPr="008C0AF9">
        <w:rPr>
          <w:rFonts w:asciiTheme="majorBidi" w:eastAsia="Times New Roman" w:hAnsiTheme="majorBidi" w:cstheme="majorBidi"/>
          <w:sz w:val="24"/>
          <w:szCs w:val="24"/>
          <w:shd w:val="clear" w:color="auto" w:fill="FFFFFF"/>
        </w:rPr>
        <w:t>The second term to be defined is psychedelics</w:t>
      </w:r>
      <w:r w:rsidRPr="008C0AF9">
        <w:rPr>
          <w:rFonts w:asciiTheme="majorBidi" w:eastAsia="Times New Roman" w:hAnsiTheme="majorBidi" w:cstheme="majorBidi"/>
          <w:i/>
          <w:iCs/>
          <w:sz w:val="24"/>
          <w:szCs w:val="24"/>
          <w:shd w:val="clear" w:color="auto" w:fill="FFFFFF"/>
        </w:rPr>
        <w:t>.</w:t>
      </w:r>
      <w:r w:rsidRPr="008C0AF9">
        <w:rPr>
          <w:rFonts w:asciiTheme="majorBidi" w:eastAsia="Times New Roman" w:hAnsiTheme="majorBidi" w:cstheme="majorBidi"/>
          <w:sz w:val="24"/>
          <w:szCs w:val="24"/>
          <w:shd w:val="clear" w:color="auto" w:fill="FFFFFF"/>
        </w:rPr>
        <w:t xml:space="preserve"> Although they are widely and readily understood, there is some variability in how they are classified. Across clinical and research literature, </w:t>
      </w:r>
      <w:r w:rsidRPr="008C0AF9">
        <w:rPr>
          <w:rFonts w:asciiTheme="majorBidi" w:eastAsia="Times New Roman" w:hAnsiTheme="majorBidi" w:cstheme="majorBidi"/>
          <w:i/>
          <w:iCs/>
          <w:sz w:val="24"/>
          <w:szCs w:val="24"/>
          <w:shd w:val="clear" w:color="auto" w:fill="FFFFFF"/>
        </w:rPr>
        <w:t>psychedelics</w:t>
      </w:r>
      <w:r w:rsidRPr="008C0AF9">
        <w:rPr>
          <w:rFonts w:asciiTheme="majorBidi" w:eastAsia="Times New Roman" w:hAnsiTheme="majorBidi" w:cstheme="majorBidi"/>
          <w:sz w:val="24"/>
          <w:szCs w:val="24"/>
          <w:shd w:val="clear" w:color="auto" w:fill="FFFFFF"/>
        </w:rPr>
        <w:t xml:space="preserve"> are defined as serotonergic hallucinogens with psychoactive properties that have a capacity to alter mood, perception, and reality (Pollan, 2018). Of special interest, the </w:t>
      </w:r>
      <w:r w:rsidRPr="008C0AF9">
        <w:rPr>
          <w:rFonts w:asciiTheme="majorBidi" w:eastAsia="Times New Roman" w:hAnsiTheme="majorBidi" w:cstheme="majorBidi"/>
          <w:sz w:val="24"/>
          <w:szCs w:val="24"/>
          <w:shd w:val="clear" w:color="auto" w:fill="FFFFFF"/>
        </w:rPr>
        <w:lastRenderedPageBreak/>
        <w:t xml:space="preserve">authors of this study recognize the importance of delineating the specific substances falling under this categorization for a better comprehensive overview of this broad term. First, the most widely recognized psychedelics in cultural and research spaces, the classical psychedelics, are outlined. This subcategory carries a long-standing history that bares traditional, ceremonial, subcultural, and spiritual practices in the world. </w:t>
      </w:r>
      <w:r w:rsidRPr="008C0AF9">
        <w:rPr>
          <w:rFonts w:asciiTheme="majorBidi" w:hAnsiTheme="majorBidi" w:cstheme="majorBidi"/>
          <w:color w:val="040C28"/>
          <w:sz w:val="24"/>
          <w:szCs w:val="24"/>
        </w:rPr>
        <w:t>LSD, short for lysergic acid diethylamide</w:t>
      </w:r>
      <w:r w:rsidRPr="008C0AF9">
        <w:rPr>
          <w:rFonts w:asciiTheme="majorBidi" w:hAnsiTheme="majorBidi" w:cstheme="majorBidi"/>
          <w:color w:val="202124"/>
          <w:sz w:val="24"/>
          <w:szCs w:val="24"/>
          <w:shd w:val="clear" w:color="auto" w:fill="FFFFFF"/>
        </w:rPr>
        <w:t>,</w:t>
      </w:r>
      <w:r w:rsidRPr="008C0AF9">
        <w:rPr>
          <w:rFonts w:asciiTheme="majorBidi" w:eastAsia="Times New Roman" w:hAnsiTheme="majorBidi" w:cstheme="majorBidi"/>
          <w:sz w:val="24"/>
          <w:szCs w:val="24"/>
          <w:shd w:val="clear" w:color="auto" w:fill="FFFFFF"/>
        </w:rPr>
        <w:t xml:space="preserve"> along with psychedelic plants, such as psilocybin, N, N-dimethyltryptamine (widely known as DMT), are </w:t>
      </w:r>
      <w:r w:rsidRPr="008C0AF9">
        <w:rPr>
          <w:rStyle w:val="CommentReference"/>
          <w:rFonts w:asciiTheme="majorBidi" w:hAnsiTheme="majorBidi" w:cstheme="majorBidi"/>
          <w:sz w:val="24"/>
          <w:szCs w:val="24"/>
        </w:rPr>
        <w:t>the most referred to in classical psychedelics (</w:t>
      </w:r>
      <w:r w:rsidRPr="008C0AF9">
        <w:rPr>
          <w:rFonts w:asciiTheme="majorBidi" w:eastAsia="Times New Roman" w:hAnsiTheme="majorBidi" w:cstheme="majorBidi"/>
          <w:sz w:val="24"/>
          <w:szCs w:val="24"/>
          <w:shd w:val="clear" w:color="auto" w:fill="FFFFFF"/>
        </w:rPr>
        <w:t>Lafrance et al., 2021).</w:t>
      </w:r>
    </w:p>
    <w:p w14:paraId="6965775B"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Amongst different species of the fungi kingdom, psylocibin is found abundantly—hence, its colloquially names, “magic mushrooms” or “shrooms.” This psychoactive agent, like many other psychedelics, is currently not on the FDA approved drug list (Daniel &amp; Haberman, 2018). It is important to note that psilocybin is also now produced synthetically via labs and drug manufactures. Given the current advocacy efforts by countless psychedelic researchers and lobbyists alike, many of these psychedelics’ scheduling status could potentially change. </w:t>
      </w:r>
      <w:r w:rsidRPr="008C0AF9">
        <w:rPr>
          <w:rFonts w:asciiTheme="majorBidi" w:eastAsia="Times New Roman" w:hAnsiTheme="majorBidi" w:cstheme="majorBidi"/>
          <w:sz w:val="24"/>
          <w:szCs w:val="24"/>
          <w:shd w:val="clear" w:color="auto" w:fill="FFFFFF"/>
        </w:rPr>
        <w:t>Next is mescaline, a</w:t>
      </w:r>
      <w:r w:rsidRPr="008C0AF9">
        <w:rPr>
          <w:rFonts w:asciiTheme="majorBidi" w:hAnsiTheme="majorBidi" w:cstheme="majorBidi"/>
          <w:color w:val="000000"/>
          <w:sz w:val="24"/>
          <w:szCs w:val="24"/>
          <w:shd w:val="clear" w:color="auto" w:fill="F7F7F7"/>
        </w:rPr>
        <w:t xml:space="preserve"> compound with hallucinogenic effects </w:t>
      </w:r>
      <w:proofErr w:type="gramStart"/>
      <w:r w:rsidRPr="008C0AF9">
        <w:rPr>
          <w:rFonts w:asciiTheme="majorBidi" w:hAnsiTheme="majorBidi" w:cstheme="majorBidi"/>
          <w:color w:val="000000"/>
          <w:sz w:val="24"/>
          <w:szCs w:val="24"/>
          <w:shd w:val="clear" w:color="auto" w:fill="F7F7F7"/>
        </w:rPr>
        <w:t>similar to</w:t>
      </w:r>
      <w:proofErr w:type="gramEnd"/>
      <w:r w:rsidRPr="008C0AF9">
        <w:rPr>
          <w:rFonts w:asciiTheme="majorBidi" w:hAnsiTheme="majorBidi" w:cstheme="majorBidi"/>
          <w:color w:val="000000"/>
          <w:sz w:val="24"/>
          <w:szCs w:val="24"/>
          <w:shd w:val="clear" w:color="auto" w:fill="F7F7F7"/>
        </w:rPr>
        <w:t xml:space="preserve"> LSD. It belongs to the peyote cactus and has been used in traditional and ceremonial practices in many Indigenous </w:t>
      </w:r>
      <w:r w:rsidRPr="008C0AF9">
        <w:rPr>
          <w:rFonts w:asciiTheme="majorBidi" w:hAnsiTheme="majorBidi" w:cstheme="majorBidi"/>
          <w:sz w:val="24"/>
          <w:szCs w:val="24"/>
        </w:rPr>
        <w:t>communities in North America (</w:t>
      </w:r>
      <w:r w:rsidRPr="008C0AF9">
        <w:rPr>
          <w:rFonts w:asciiTheme="majorBidi" w:hAnsiTheme="majorBidi" w:cstheme="majorBidi"/>
          <w:color w:val="212121"/>
          <w:sz w:val="24"/>
          <w:szCs w:val="24"/>
          <w:shd w:val="clear" w:color="auto" w:fill="FFFFFF"/>
        </w:rPr>
        <w:t>Dinis-Oliveira et al., 2019</w:t>
      </w:r>
      <w:r w:rsidRPr="008C0AF9">
        <w:rPr>
          <w:rFonts w:asciiTheme="majorBidi" w:hAnsiTheme="majorBidi" w:cstheme="majorBidi"/>
          <w:sz w:val="24"/>
          <w:szCs w:val="24"/>
        </w:rPr>
        <w:t>). Another classical psychedelic is DMT found in plants and animals. It is commonly used in South America for ritual ceremonies (Hamill et al., 2019) and is known to generate profound short-acting psychedelic effects when ingested. Clinical trials support DMT’s potential in treating severe forms of depression (Maia et al., 2023).</w:t>
      </w:r>
    </w:p>
    <w:p w14:paraId="74A0C35C" w14:textId="77777777" w:rsidR="008C0AF9" w:rsidRPr="008C0AF9" w:rsidRDefault="008C0AF9" w:rsidP="008C0AF9">
      <w:pPr>
        <w:pStyle w:val="ListParagraph"/>
        <w:spacing w:after="0" w:line="480" w:lineRule="auto"/>
        <w:ind w:left="0" w:firstLine="720"/>
        <w:rPr>
          <w:rFonts w:asciiTheme="majorBidi" w:hAnsiTheme="majorBidi" w:cstheme="majorBidi"/>
          <w:sz w:val="24"/>
          <w:szCs w:val="24"/>
        </w:rPr>
      </w:pPr>
      <w:r w:rsidRPr="008C0AF9">
        <w:rPr>
          <w:rFonts w:asciiTheme="majorBidi" w:eastAsia="Times New Roman" w:hAnsiTheme="majorBidi" w:cstheme="majorBidi"/>
          <w:sz w:val="24"/>
          <w:szCs w:val="24"/>
          <w:shd w:val="clear" w:color="auto" w:fill="FFFFFF"/>
        </w:rPr>
        <w:t xml:space="preserve">LSD is another classical psychedelic drug that was highly popularized and celebrated but also demonized during the 1960s’ counter-mainstream culture. This synthetic mind-altering compound was introduced to the world by Dr. Hofmann in 1938 at his Swizz lab, part of Sandoz </w:t>
      </w:r>
      <w:r w:rsidRPr="008C0AF9">
        <w:rPr>
          <w:rFonts w:asciiTheme="majorBidi" w:eastAsia="Times New Roman" w:hAnsiTheme="majorBidi" w:cstheme="majorBidi"/>
          <w:sz w:val="24"/>
          <w:szCs w:val="24"/>
          <w:shd w:val="clear" w:color="auto" w:fill="FFFFFF"/>
        </w:rPr>
        <w:lastRenderedPageBreak/>
        <w:t xml:space="preserve">pharmaceutical company research projects (Hofmann, 2009). Some of the early studies on LSD showed positive effects for participants living with alcoholism (Chwelos et al., 1959). </w:t>
      </w:r>
    </w:p>
    <w:p w14:paraId="56739070"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shd w:val="clear" w:color="auto" w:fill="FFFFFF"/>
        </w:rPr>
        <w:t xml:space="preserve"> </w:t>
      </w:r>
      <w:r w:rsidRPr="008C0AF9">
        <w:rPr>
          <w:rFonts w:asciiTheme="majorBidi" w:hAnsiTheme="majorBidi" w:cstheme="majorBidi"/>
          <w:sz w:val="24"/>
          <w:szCs w:val="24"/>
        </w:rPr>
        <w:t>Another emerging class is a new wave of atypical psychedelics, most notably, ketamine and 3,4-methylenedioxymethamphetamine</w:t>
      </w:r>
      <w:r w:rsidRPr="008C0AF9" w:rsidDel="007E449A">
        <w:rPr>
          <w:rFonts w:asciiTheme="majorBidi" w:hAnsiTheme="majorBidi" w:cstheme="majorBidi"/>
          <w:sz w:val="24"/>
          <w:szCs w:val="24"/>
        </w:rPr>
        <w:t xml:space="preserve"> </w:t>
      </w:r>
      <w:r w:rsidRPr="008C0AF9">
        <w:rPr>
          <w:rFonts w:asciiTheme="majorBidi" w:hAnsiTheme="majorBidi" w:cstheme="majorBidi"/>
          <w:sz w:val="24"/>
          <w:szCs w:val="24"/>
        </w:rPr>
        <w:t xml:space="preserve">(MDMA). They are on </w:t>
      </w:r>
      <w:proofErr w:type="gramStart"/>
      <w:r w:rsidRPr="008C0AF9">
        <w:rPr>
          <w:rFonts w:asciiTheme="majorBidi" w:hAnsiTheme="majorBidi" w:cstheme="majorBidi"/>
          <w:sz w:val="24"/>
          <w:szCs w:val="24"/>
        </w:rPr>
        <w:t>the rise</w:t>
      </w:r>
      <w:proofErr w:type="gramEnd"/>
      <w:r w:rsidRPr="008C0AF9">
        <w:rPr>
          <w:rFonts w:asciiTheme="majorBidi" w:hAnsiTheme="majorBidi" w:cstheme="majorBidi"/>
          <w:sz w:val="24"/>
          <w:szCs w:val="24"/>
        </w:rPr>
        <w:t xml:space="preserve"> given their documented significant outcomes in clinical trials for mental health treatment. Ketamine, a general anesthetic for decades, has been rebranded as a psychedelic substance, given shared commonalities including altered states of consciousness and emotional release. It has shown positive results for its off-label use as a quick-acting antidepressant in recent years (Wolfson et al., 2023). As it currently stands and with numerous and diverse studies, ketamine (in nasal spray form) has officially obtained FDA’s approval to treat certain forms of depression under medical supervision. It is the only FDA approved psychedelic drug at this time, inevitably setting the stage for other psychedelics to join force.</w:t>
      </w:r>
    </w:p>
    <w:p w14:paraId="2A7907CF"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color w:val="1F1F1F"/>
          <w:sz w:val="24"/>
          <w:szCs w:val="24"/>
        </w:rPr>
        <w:t>MDMA</w:t>
      </w:r>
      <w:r w:rsidRPr="008C0AF9">
        <w:rPr>
          <w:rFonts w:asciiTheme="majorBidi" w:hAnsiTheme="majorBidi" w:cstheme="majorBidi"/>
          <w:sz w:val="24"/>
          <w:szCs w:val="24"/>
        </w:rPr>
        <w:t xml:space="preserve"> is another psychoactive synthetic substance that is supported by evidence for its therapeutic effects, particularly for posttraumatic stress disorder (PTSD; Mitchell et al., 2023). MDMA was positioned as the next psychedelic drug in line to be FDA-approved given its current Phase 3 clinical trial, however, its application was recommended against approval in August 2024 where safety concerns and further clinical evidence were cited (Tanner, 2024).</w:t>
      </w:r>
    </w:p>
    <w:p w14:paraId="002D51FE" w14:textId="77777777" w:rsidR="008C0AF9" w:rsidRPr="008C0AF9" w:rsidRDefault="008C0AF9" w:rsidP="008C0AF9">
      <w:pPr>
        <w:pStyle w:val="ListParagraph"/>
        <w:spacing w:after="0" w:line="480" w:lineRule="auto"/>
        <w:ind w:left="0" w:firstLine="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 xml:space="preserve">Studies on treating EDs with psychedelics are a relatively new focus of interest in research; thus, it has not been examined extensively. However, there is some existing literature that has explored this area. </w:t>
      </w:r>
      <w:r w:rsidRPr="008C0AF9">
        <w:rPr>
          <w:rFonts w:asciiTheme="majorBidi" w:hAnsiTheme="majorBidi" w:cstheme="majorBidi"/>
          <w:sz w:val="24"/>
          <w:szCs w:val="24"/>
        </w:rPr>
        <w:t xml:space="preserve">Brewerton et al. (2022) conducted an MDMA-assisted therapy study with results showing markedly reduced ED indicators in participants with PTSD and ED comorbidity. The findings highlighted a particularity of marked symptom reduction in female participants, as assessed by the Eating Attitudes Scale Test 26, EAT-26 (Garner, Olmsted, Bohr, </w:t>
      </w:r>
      <w:r w:rsidRPr="008C0AF9">
        <w:rPr>
          <w:rFonts w:asciiTheme="majorBidi" w:hAnsiTheme="majorBidi" w:cstheme="majorBidi"/>
          <w:sz w:val="24"/>
          <w:szCs w:val="24"/>
        </w:rPr>
        <w:lastRenderedPageBreak/>
        <w:t xml:space="preserve">&amp; Garfinkel, 1982). This is promising news as EDs are known to affect more female than male patients (Udo &amp; Grilo, 2018). </w:t>
      </w:r>
      <w:r w:rsidRPr="008C0AF9">
        <w:rPr>
          <w:rFonts w:asciiTheme="majorBidi" w:hAnsiTheme="majorBidi" w:cstheme="majorBidi"/>
          <w:color w:val="212121"/>
          <w:sz w:val="24"/>
          <w:szCs w:val="24"/>
          <w:shd w:val="clear" w:color="auto" w:fill="FFFFFF"/>
        </w:rPr>
        <w:t>Ragnhildstveit et al. (2022)</w:t>
      </w:r>
      <w:r w:rsidRPr="008C0AF9">
        <w:rPr>
          <w:rFonts w:asciiTheme="majorBidi" w:hAnsiTheme="majorBidi" w:cstheme="majorBidi"/>
          <w:sz w:val="24"/>
          <w:szCs w:val="24"/>
          <w:shd w:val="clear" w:color="auto" w:fill="FFFFFF"/>
        </w:rPr>
        <w:t xml:space="preserve"> </w:t>
      </w:r>
      <w:r w:rsidRPr="008C0AF9">
        <w:rPr>
          <w:rFonts w:asciiTheme="majorBidi" w:hAnsiTheme="majorBidi" w:cstheme="majorBidi"/>
          <w:color w:val="000000"/>
          <w:sz w:val="24"/>
          <w:szCs w:val="24"/>
          <w:shd w:val="clear" w:color="auto" w:fill="F7F7F7"/>
        </w:rPr>
        <w:t>bring to light evidence from preclinical studies on ketamine’s effects on food intake and binge-like eating in animals. This study also highlights the dissociative and the long-term safety of ketamine along with other concerns that warrant further investigation through larger, more rigorous clinical trials.</w:t>
      </w:r>
      <w:r w:rsidRPr="008C0AF9">
        <w:rPr>
          <w:rFonts w:asciiTheme="majorBidi" w:hAnsiTheme="majorBidi" w:cstheme="majorBidi"/>
          <w:sz w:val="24"/>
          <w:szCs w:val="24"/>
          <w:shd w:val="clear" w:color="auto" w:fill="FFFFFF"/>
        </w:rPr>
        <w:t xml:space="preserve"> </w:t>
      </w:r>
    </w:p>
    <w:p w14:paraId="65AF1CD1" w14:textId="77777777" w:rsidR="008C0AF9" w:rsidRPr="008C0AF9" w:rsidRDefault="008C0AF9" w:rsidP="008C0AF9">
      <w:pPr>
        <w:pStyle w:val="ListParagraph"/>
        <w:spacing w:after="0" w:line="480" w:lineRule="auto"/>
        <w:ind w:left="0" w:firstLine="720"/>
        <w:rPr>
          <w:rFonts w:asciiTheme="majorBidi" w:hAnsiTheme="majorBidi" w:cstheme="majorBidi"/>
          <w:sz w:val="24"/>
          <w:szCs w:val="24"/>
          <w:shd w:val="clear" w:color="auto" w:fill="FFFFFF"/>
        </w:rPr>
      </w:pPr>
      <w:r w:rsidRPr="008C0AF9">
        <w:rPr>
          <w:rFonts w:asciiTheme="majorBidi" w:hAnsiTheme="majorBidi" w:cstheme="majorBidi"/>
          <w:color w:val="000000"/>
          <w:sz w:val="24"/>
          <w:szCs w:val="24"/>
          <w:shd w:val="clear" w:color="auto" w:fill="F7F7F7"/>
        </w:rPr>
        <w:t xml:space="preserve">While the use of psychedelics in treating EDs is a promising area of research, as evidenced by the studies discussed, linguistic and psychological analysis to understand this treatment modality has not yet been explored extensively. </w:t>
      </w:r>
      <w:r w:rsidRPr="008C0AF9">
        <w:rPr>
          <w:rFonts w:asciiTheme="majorBidi" w:hAnsiTheme="majorBidi" w:cstheme="majorBidi"/>
          <w:sz w:val="24"/>
          <w:szCs w:val="24"/>
          <w:shd w:val="clear" w:color="auto" w:fill="FFFFFF"/>
        </w:rPr>
        <w:t xml:space="preserve">One of the primary goals of this study is to address the limited research, particularly around identifying and spotting changes in language content and style in online psychedelic forums discussing EDs. Linguistic and psychological processes have been examined across a wide variety of mental health issues. However, such examinations have not yet reached the discourse of psychedelics and EDs. The researcher knows of no other studies of this nature that have investigated this phenomenon. The present study fills this gap in research by bringing forth new information on ED complexities and the psychedelic community alike. Additionally, it is the goal of this manuscript to help the counseling field shift motivation towards exploring the inevitable crossroads of psychedelic science and mental health. </w:t>
      </w:r>
    </w:p>
    <w:p w14:paraId="09F169D4" w14:textId="77777777" w:rsidR="008C0AF9" w:rsidRPr="008C0AF9" w:rsidRDefault="008C0AF9" w:rsidP="008C0AF9">
      <w:pPr>
        <w:spacing w:after="0" w:line="480" w:lineRule="auto"/>
        <w:ind w:firstLine="720"/>
        <w:rPr>
          <w:rFonts w:asciiTheme="majorBidi" w:hAnsiTheme="majorBidi" w:cstheme="majorBidi"/>
          <w:sz w:val="24"/>
          <w:szCs w:val="24"/>
        </w:rPr>
      </w:pPr>
      <w:bookmarkStart w:id="6" w:name="_Hlk140674332"/>
      <w:r w:rsidRPr="008C0AF9">
        <w:rPr>
          <w:rFonts w:asciiTheme="majorBidi" w:hAnsiTheme="majorBidi" w:cstheme="majorBidi"/>
          <w:sz w:val="24"/>
          <w:szCs w:val="24"/>
        </w:rPr>
        <w:t xml:space="preserve">There is a gap in the literature around the broad psycholinguistic processes involved in blogging about psychedelic use and EDs. Broad psycholinguistic processes help to understand the cognitive and linguistic mechanisms involved in how people use language to communicate. This is accomplished through an analysis that investigates word meaning and choice, sentence structure, and context-appropriate use of language. These broad features are analytic, clout, authentic, and tone. A study by Ho et al. (2022) analyzed participants’ writing responses to a </w:t>
      </w:r>
      <w:r w:rsidRPr="008C0AF9">
        <w:rPr>
          <w:rFonts w:asciiTheme="majorBidi" w:hAnsiTheme="majorBidi" w:cstheme="majorBidi"/>
          <w:sz w:val="24"/>
          <w:szCs w:val="24"/>
        </w:rPr>
        <w:lastRenderedPageBreak/>
        <w:t xml:space="preserve">digital weight-loss program to examine how individuals write about themselves with an emphasis on their goals and progress. Weight loss goals were linked with responses that contained future-directed words and psychologically distant language when compared to immediate psychological language group. These results show the importance of language in identifying needs and predicting outcomes for those who might benefit from further support. </w:t>
      </w:r>
      <w:bookmarkEnd w:id="6"/>
    </w:p>
    <w:p w14:paraId="0D759B19" w14:textId="77777777" w:rsidR="008C0AF9" w:rsidRPr="008C0AF9" w:rsidRDefault="008C0AF9" w:rsidP="008C0AF9">
      <w:pPr>
        <w:spacing w:line="480" w:lineRule="auto"/>
        <w:rPr>
          <w:rFonts w:asciiTheme="majorBidi" w:hAnsiTheme="majorBidi" w:cstheme="majorBidi"/>
          <w:sz w:val="24"/>
          <w:szCs w:val="24"/>
        </w:rPr>
      </w:pPr>
      <w:r w:rsidRPr="008C0AF9">
        <w:rPr>
          <w:rFonts w:asciiTheme="majorBidi" w:hAnsiTheme="majorBidi" w:cstheme="majorBidi"/>
          <w:color w:val="134F5C"/>
          <w:sz w:val="24"/>
          <w:szCs w:val="24"/>
          <w:shd w:val="clear" w:color="auto" w:fill="FFFFFF"/>
        </w:rPr>
        <w:t> </w:t>
      </w:r>
      <w:r w:rsidRPr="008C0AF9">
        <w:rPr>
          <w:rFonts w:asciiTheme="majorBidi" w:hAnsiTheme="majorBidi" w:cstheme="majorBidi"/>
          <w:color w:val="134F5C"/>
          <w:sz w:val="24"/>
          <w:szCs w:val="24"/>
          <w:shd w:val="clear" w:color="auto" w:fill="FFFFFF"/>
        </w:rPr>
        <w:tab/>
      </w:r>
      <w:r w:rsidRPr="008C0AF9">
        <w:rPr>
          <w:rFonts w:asciiTheme="majorBidi" w:hAnsiTheme="majorBidi" w:cstheme="majorBidi"/>
          <w:sz w:val="24"/>
          <w:szCs w:val="24"/>
        </w:rPr>
        <w:t xml:space="preserve">There is no current scholarly literature focusing on the linguistic processes of language used in psychedelic online forums to examine ED discourse. Linguistic processes refer to the cognitive and linguistic mechanisms that underline how people use language to convey meaning. This includes meaning behind words used, synthetic processing such as sentence structure, and context-appropriate use of language. However, research on the broader ED community examining linguistic processes exists. For example, Feldhege et al. (2021) analyzed changes in linguistic patterns including style and topics in ED online forums community during the initial phases of the Corona virus pandemic. Their results revealed an observable change in language with a need for more support and treatment for this population. Furthermore, Juel et al. (2023) examined prorecovery linguistic themes from online discourse. Observable differences found in language used to discuss ranges of emotions, bodies, and mental health. Such findings support the current mental health mission of bringing more awareness and support to individuals seeking recovery and treatment from EDs. </w:t>
      </w:r>
    </w:p>
    <w:p w14:paraId="73CBC095"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Also absent in literature is research on the psychological processes present in blogging about psychedelics in the ED community. However, the field of researching psychological processes in blogging about other mental health conditions has been steadily growing, providing critical insights on how individuals living with different occurring and co-occurring disorders make meaning of their mental health status. For instance, Trifan et al. (2020) examined the </w:t>
      </w:r>
      <w:r w:rsidRPr="008C0AF9">
        <w:rPr>
          <w:rFonts w:asciiTheme="majorBidi" w:hAnsiTheme="majorBidi" w:cstheme="majorBidi"/>
          <w:sz w:val="24"/>
          <w:szCs w:val="24"/>
        </w:rPr>
        <w:lastRenderedPageBreak/>
        <w:t>impact of language markers in understanding depression. Their findings suggest psychological processes have the potential to improve studying mental health by restructuring the classification approaches of how depression manifests online.</w:t>
      </w:r>
    </w:p>
    <w:p w14:paraId="6AA7FE4D"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 Highlighting the importance of psychological processes, Zasiekina et al. (2019) examined psycholinguistic patterns extracted from autobiographies depicting traumatic experiences. The researchers employed LIWC to investigate traumatic stories in terms of linguistic factors and psychological markers. When evaluating the data, two important findings were of particular interest. In combination with markers of time and space and the word “they,” there was an increase in word count in traumatic stories and a negative correlation between number of words used and one’s focus on past events (Zasiekina et al., 2019). This suggests that psychological processes might assist in a greater understanding of the psychological processes extant in the discourse of EDs in psychedelic blogs. </w:t>
      </w:r>
    </w:p>
    <w:p w14:paraId="49D3B8A6"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shd w:val="clear" w:color="auto" w:fill="FFFFFF"/>
        </w:rPr>
        <w:t xml:space="preserve">While not focused on the psychosocial use of psychedelics, there does exist extensive literature on a variety of psychosocial and psychophysiological processes present in EDs. For example, Chancellor et al. (2016) analyzed how people afflicted with anorexia promote or express their recovery and mental health from this condition. One of the goals of Chancellor et al. was to identify linguistic markers that encourage well-being and those that promote risky behavior. In their analysis, the authors </w:t>
      </w:r>
      <w:r w:rsidRPr="008C0AF9">
        <w:rPr>
          <w:rFonts w:asciiTheme="majorBidi" w:hAnsiTheme="majorBidi" w:cstheme="majorBidi"/>
          <w:spacing w:val="-2"/>
          <w:sz w:val="24"/>
          <w:szCs w:val="24"/>
        </w:rPr>
        <w:t>found that greater usage of psychosocial words describing health was associated with a positive likelihood of recovery</w:t>
      </w:r>
      <w:r w:rsidRPr="008C0AF9">
        <w:rPr>
          <w:rStyle w:val="Emphasis"/>
          <w:rFonts w:asciiTheme="majorBidi" w:hAnsiTheme="majorBidi" w:cstheme="majorBidi"/>
          <w:sz w:val="24"/>
          <w:szCs w:val="24"/>
        </w:rPr>
        <w:t xml:space="preserve">. </w:t>
      </w:r>
      <w:r w:rsidRPr="008C0AF9">
        <w:rPr>
          <w:rFonts w:asciiTheme="majorBidi" w:hAnsiTheme="majorBidi" w:cstheme="majorBidi"/>
          <w:sz w:val="24"/>
          <w:szCs w:val="24"/>
        </w:rPr>
        <w:t>Another psychosocial marker highlighted in this study was the mentioning of food, particularly ingestion. Bloggers who wrote about their food, nourishment, and digesting food showed a higher inclination for positive recovery.</w:t>
      </w:r>
      <w:r w:rsidRPr="008C0AF9">
        <w:rPr>
          <w:rStyle w:val="Emphasis"/>
          <w:rFonts w:asciiTheme="majorBidi" w:hAnsiTheme="majorBidi" w:cstheme="majorBidi"/>
          <w:sz w:val="24"/>
          <w:szCs w:val="24"/>
        </w:rPr>
        <w:t xml:space="preserve"> </w:t>
      </w:r>
      <w:r w:rsidRPr="008C0AF9">
        <w:rPr>
          <w:rFonts w:asciiTheme="majorBidi" w:hAnsiTheme="majorBidi" w:cstheme="majorBidi"/>
          <w:sz w:val="24"/>
          <w:szCs w:val="24"/>
        </w:rPr>
        <w:t xml:space="preserve">Moreover, the results of this study revealed that the strongest marker for a positively impacted anorexia recovery lies within ongoing discussions about psychosocial descriptors such </w:t>
      </w:r>
      <w:r w:rsidRPr="008C0AF9">
        <w:rPr>
          <w:rFonts w:asciiTheme="majorBidi" w:hAnsiTheme="majorBidi" w:cstheme="majorBidi"/>
          <w:sz w:val="24"/>
          <w:szCs w:val="24"/>
        </w:rPr>
        <w:lastRenderedPageBreak/>
        <w:t>as blogging about health in these posts. Users who heavily utilized the word, the term, or the concept of health expressed concern regarding the danger of anorexia and food restriction as a grave health risk (</w:t>
      </w:r>
      <w:r w:rsidRPr="008C0AF9">
        <w:rPr>
          <w:rFonts w:asciiTheme="majorBidi" w:hAnsiTheme="majorBidi" w:cstheme="majorBidi"/>
          <w:sz w:val="24"/>
          <w:szCs w:val="24"/>
          <w:shd w:val="clear" w:color="auto" w:fill="FFFFFF"/>
        </w:rPr>
        <w:t>Chancellor et al., 2016)</w:t>
      </w:r>
      <w:r w:rsidRPr="008C0AF9">
        <w:rPr>
          <w:rFonts w:asciiTheme="majorBidi" w:hAnsiTheme="majorBidi" w:cstheme="majorBidi"/>
          <w:sz w:val="24"/>
          <w:szCs w:val="24"/>
        </w:rPr>
        <w:t xml:space="preserve">. </w:t>
      </w:r>
    </w:p>
    <w:p w14:paraId="5A5F88A0"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shd w:val="clear" w:color="auto" w:fill="FFFFFF"/>
        </w:rPr>
        <w:t>Concerning psychosocial markers present in EDs,</w:t>
      </w:r>
      <w:r w:rsidRPr="008C0AF9">
        <w:rPr>
          <w:rFonts w:asciiTheme="majorBidi" w:hAnsiTheme="majorBidi" w:cstheme="majorBidi"/>
          <w:sz w:val="24"/>
          <w:szCs w:val="24"/>
        </w:rPr>
        <w:t xml:space="preserve"> </w:t>
      </w:r>
      <w:r w:rsidRPr="008C0AF9">
        <w:rPr>
          <w:rFonts w:asciiTheme="majorBidi" w:hAnsiTheme="majorBidi" w:cstheme="majorBidi"/>
          <w:sz w:val="24"/>
          <w:szCs w:val="24"/>
          <w:shd w:val="clear" w:color="auto" w:fill="FFFFFF"/>
        </w:rPr>
        <w:t>Suárez</w:t>
      </w:r>
      <w:r w:rsidRPr="008C0AF9">
        <w:rPr>
          <w:rFonts w:asciiTheme="majorBidi" w:hAnsiTheme="majorBidi" w:cstheme="majorBidi"/>
          <w:sz w:val="24"/>
          <w:szCs w:val="24"/>
          <w:shd w:val="clear" w:color="auto" w:fill="FFFFFF"/>
        </w:rPr>
        <w:noBreakHyphen/>
        <w:t>Lledo &amp; Mejova (2022</w:t>
      </w:r>
      <w:r w:rsidRPr="008C0AF9">
        <w:rPr>
          <w:rFonts w:asciiTheme="majorBidi" w:hAnsiTheme="majorBidi" w:cstheme="majorBidi"/>
          <w:sz w:val="24"/>
          <w:szCs w:val="24"/>
        </w:rPr>
        <w:t>) noted behavior change around a national ED awareness campaign; female bloggers mentioned health topics significantly more than their male counterparts. In such a pattern, female users wrote about health and anxiety more frequently than male users. These results also showed strong linguistic dimensions containing a series of words describing mental health, including abortion, depression, and anxiety, depicting a variety of psychosocial linguistic categories that encompass wellness as fear and risk. These studies</w:t>
      </w:r>
      <w:r w:rsidRPr="008C0AF9">
        <w:rPr>
          <w:rFonts w:asciiTheme="majorBidi" w:hAnsiTheme="majorBidi" w:cstheme="majorBidi"/>
          <w:sz w:val="24"/>
          <w:szCs w:val="24"/>
          <w:shd w:val="clear" w:color="auto" w:fill="FFFFFF"/>
        </w:rPr>
        <w:t xml:space="preserve"> showcase the importance of researching </w:t>
      </w:r>
      <w:r w:rsidRPr="008C0AF9">
        <w:rPr>
          <w:rFonts w:asciiTheme="majorBidi" w:hAnsiTheme="majorBidi" w:cstheme="majorBidi"/>
          <w:color w:val="000000"/>
          <w:sz w:val="24"/>
          <w:szCs w:val="24"/>
          <w:shd w:val="clear" w:color="auto" w:fill="FFFFFF"/>
        </w:rPr>
        <w:t xml:space="preserve">psychosocial markers to understand self-expression in the context of health, recovery, and illness. This research is particularly relevant when examining the topic </w:t>
      </w:r>
      <w:r w:rsidRPr="008C0AF9">
        <w:rPr>
          <w:rFonts w:asciiTheme="majorBidi" w:hAnsiTheme="majorBidi" w:cstheme="majorBidi"/>
          <w:sz w:val="24"/>
          <w:szCs w:val="24"/>
        </w:rPr>
        <w:t>of blogging about psychedelics.</w:t>
      </w:r>
    </w:p>
    <w:p w14:paraId="1E09578A"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Building on this prior work, the current study aimed to apply a similar multidimensional linguistic analysis to the context of online blogging about EDs and psychedelics. The researchers investigated the usage rates of broad psycholinguistic processes, linguistic processes, psychological processes, and expanded psychosocial processes between our study corpus and general blogging.</w:t>
      </w:r>
    </w:p>
    <w:p w14:paraId="677014CF"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This study collected a large corpus of psychedelic subreddit comments discussing EDs. LIWC was applied to quantify the linguistic and psychological patterns found in the text. LIWC is a well-validated text analysis tool that categorizes words into dozens of linguistic and psychological dimensions (Pennebaker et al., 2015). This information is then turned into a comprehensive profile of the communicative and psychological features in a text.</w:t>
      </w:r>
    </w:p>
    <w:p w14:paraId="51DB3492"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lastRenderedPageBreak/>
        <w:t>This study is concerned primarily with uncovering the communicative strategies, meaning-making approaches, and psychological experiences reflected in how people discuss EDs and psychedelics online. This has been accomplished by quantifying these multidimensional linguistic and psychological markers. Findings could offer novel insights into the unique ways these two content domains are framed and perceived within digital discourse and how they might impact the ED and psychedelic communities.</w:t>
      </w:r>
    </w:p>
    <w:p w14:paraId="617CAA0A" w14:textId="77777777" w:rsidR="008C0AF9" w:rsidRPr="008C0AF9" w:rsidRDefault="008C0AF9" w:rsidP="008C0AF9">
      <w:pPr>
        <w:spacing w:after="0" w:line="480" w:lineRule="auto"/>
        <w:rPr>
          <w:rFonts w:asciiTheme="majorBidi" w:hAnsiTheme="majorBidi" w:cstheme="majorBidi"/>
          <w:sz w:val="24"/>
          <w:szCs w:val="24"/>
        </w:rPr>
      </w:pPr>
      <w:r w:rsidRPr="008C0AF9">
        <w:rPr>
          <w:rFonts w:asciiTheme="majorBidi" w:hAnsiTheme="majorBidi" w:cstheme="majorBidi"/>
          <w:color w:val="000000"/>
          <w:sz w:val="24"/>
          <w:szCs w:val="24"/>
          <w:shd w:val="clear" w:color="auto" w:fill="FFFFFF"/>
        </w:rPr>
        <w:tab/>
        <w:t>Considering the literature, the following RQs were developed to direct this study:</w:t>
      </w:r>
    </w:p>
    <w:p w14:paraId="06943C25" w14:textId="77777777" w:rsidR="008C0AF9" w:rsidRPr="008C0AF9" w:rsidRDefault="008C0AF9" w:rsidP="008C0AF9">
      <w:pPr>
        <w:pStyle w:val="NormalWeb"/>
        <w:spacing w:before="0" w:beforeAutospacing="0" w:after="0" w:afterAutospacing="0" w:line="480" w:lineRule="auto"/>
        <w:ind w:left="720"/>
        <w:rPr>
          <w:rFonts w:asciiTheme="majorBidi" w:hAnsiTheme="majorBidi" w:cstheme="majorBidi"/>
          <w:color w:val="000000"/>
        </w:rPr>
      </w:pPr>
      <w:bookmarkStart w:id="7" w:name="_Hlk187227531"/>
      <w:r w:rsidRPr="008C0AF9">
        <w:rPr>
          <w:rFonts w:asciiTheme="majorBidi" w:hAnsiTheme="majorBidi" w:cstheme="majorBidi"/>
        </w:rPr>
        <w:t xml:space="preserve">RQ1: </w:t>
      </w:r>
      <w:r w:rsidRPr="008C0AF9">
        <w:rPr>
          <w:rFonts w:asciiTheme="majorBidi" w:hAnsiTheme="majorBidi" w:cstheme="majorBidi"/>
          <w:color w:val="000000"/>
        </w:rPr>
        <w:t xml:space="preserve">What are the usage rates of the following processes in psychedelic subreddit comments discussing EDs: </w:t>
      </w:r>
      <w:r w:rsidRPr="008C0AF9">
        <w:rPr>
          <w:rFonts w:asciiTheme="majorBidi" w:hAnsiTheme="majorBidi" w:cstheme="majorBidi"/>
        </w:rPr>
        <w:t xml:space="preserve">(a) broad psycholinguistic, (b) linguistic, (c) psychological, and (d) expanded </w:t>
      </w:r>
      <w:proofErr w:type="gramStart"/>
      <w:r w:rsidRPr="008C0AF9">
        <w:rPr>
          <w:rFonts w:asciiTheme="majorBidi" w:hAnsiTheme="majorBidi" w:cstheme="majorBidi"/>
        </w:rPr>
        <w:t>psychosocial</w:t>
      </w:r>
      <w:proofErr w:type="gramEnd"/>
      <w:r w:rsidRPr="008C0AF9">
        <w:rPr>
          <w:rFonts w:asciiTheme="majorBidi" w:hAnsiTheme="majorBidi" w:cstheme="majorBidi"/>
        </w:rPr>
        <w:t>?</w:t>
      </w:r>
    </w:p>
    <w:bookmarkEnd w:id="7"/>
    <w:p w14:paraId="7FD40A3D" w14:textId="77777777" w:rsidR="008C0AF9" w:rsidRPr="008C0AF9" w:rsidRDefault="008C0AF9" w:rsidP="008C0AF9">
      <w:pPr>
        <w:spacing w:after="0" w:line="480" w:lineRule="auto"/>
        <w:ind w:left="720"/>
        <w:rPr>
          <w:rFonts w:asciiTheme="majorBidi" w:hAnsiTheme="majorBidi" w:cstheme="majorBidi"/>
          <w:sz w:val="24"/>
          <w:szCs w:val="24"/>
        </w:rPr>
      </w:pPr>
      <w:r w:rsidRPr="008C0AF9">
        <w:rPr>
          <w:rFonts w:asciiTheme="majorBidi" w:hAnsiTheme="majorBidi" w:cstheme="majorBidi"/>
          <w:sz w:val="24"/>
          <w:szCs w:val="24"/>
        </w:rPr>
        <w:t xml:space="preserve">RQ2: </w:t>
      </w:r>
      <w:r w:rsidRPr="008C0AF9">
        <w:rPr>
          <w:rFonts w:asciiTheme="majorBidi" w:hAnsiTheme="majorBidi" w:cstheme="majorBidi"/>
          <w:color w:val="000000"/>
          <w:sz w:val="24"/>
          <w:szCs w:val="24"/>
        </w:rPr>
        <w:t>Do the usage rates of the processes identified in RQ1 differ from blog posts in general?</w:t>
      </w:r>
    </w:p>
    <w:p w14:paraId="0499CC36" w14:textId="77777777" w:rsidR="008C0AF9" w:rsidRPr="008C0AF9" w:rsidRDefault="008C0AF9" w:rsidP="008C0AF9">
      <w:pPr>
        <w:pStyle w:val="Heading2"/>
        <w:rPr>
          <w:rFonts w:asciiTheme="majorBidi" w:hAnsiTheme="majorBidi"/>
          <w:b/>
          <w:bCs/>
          <w:color w:val="auto"/>
          <w:sz w:val="24"/>
          <w:szCs w:val="24"/>
          <w:shd w:val="clear" w:color="auto" w:fill="FFFFFF"/>
        </w:rPr>
      </w:pPr>
      <w:bookmarkStart w:id="8" w:name="_Toc203736325"/>
      <w:bookmarkStart w:id="9" w:name="_Toc203736408"/>
      <w:bookmarkStart w:id="10" w:name="_Toc203736651"/>
      <w:r w:rsidRPr="008C0AF9">
        <w:rPr>
          <w:rFonts w:asciiTheme="majorBidi" w:hAnsiTheme="majorBidi"/>
          <w:b/>
          <w:bCs/>
          <w:color w:val="auto"/>
          <w:sz w:val="24"/>
          <w:szCs w:val="24"/>
          <w:shd w:val="clear" w:color="auto" w:fill="FFFFFF"/>
        </w:rPr>
        <w:t>Method</w:t>
      </w:r>
      <w:bookmarkEnd w:id="8"/>
      <w:bookmarkEnd w:id="9"/>
      <w:bookmarkEnd w:id="10"/>
    </w:p>
    <w:p w14:paraId="1B3BE572" w14:textId="77777777" w:rsidR="008C0AF9" w:rsidRPr="008C0AF9" w:rsidRDefault="008C0AF9" w:rsidP="008C0AF9">
      <w:pPr>
        <w:pStyle w:val="Heading3"/>
        <w:rPr>
          <w:rFonts w:asciiTheme="majorBidi" w:eastAsia="Times New Roman" w:hAnsiTheme="majorBidi"/>
          <w:b/>
          <w:bCs/>
          <w:color w:val="auto"/>
          <w:sz w:val="24"/>
          <w:szCs w:val="24"/>
        </w:rPr>
      </w:pPr>
      <w:bookmarkStart w:id="11" w:name="_Toc203736326"/>
      <w:bookmarkStart w:id="12" w:name="_Toc203736409"/>
      <w:bookmarkStart w:id="13" w:name="_Toc203736652"/>
      <w:r w:rsidRPr="008C0AF9">
        <w:rPr>
          <w:rFonts w:asciiTheme="majorBidi" w:eastAsia="Times New Roman" w:hAnsiTheme="majorBidi"/>
          <w:b/>
          <w:bCs/>
          <w:color w:val="auto"/>
          <w:sz w:val="24"/>
          <w:szCs w:val="24"/>
          <w:shd w:val="clear" w:color="auto" w:fill="FFFFFF"/>
        </w:rPr>
        <w:t>Design</w:t>
      </w:r>
      <w:bookmarkEnd w:id="11"/>
      <w:bookmarkEnd w:id="12"/>
      <w:bookmarkEnd w:id="13"/>
    </w:p>
    <w:p w14:paraId="63DE183C" w14:textId="77777777" w:rsidR="008C0AF9" w:rsidRPr="008C0AF9" w:rsidRDefault="008C0AF9" w:rsidP="008C0AF9">
      <w:pPr>
        <w:spacing w:after="0" w:line="480" w:lineRule="auto"/>
        <w:ind w:firstLine="720"/>
        <w:rPr>
          <w:rFonts w:asciiTheme="majorBidi" w:hAnsiTheme="majorBidi" w:cstheme="majorBidi"/>
          <w:sz w:val="24"/>
          <w:szCs w:val="24"/>
          <w:shd w:val="clear" w:color="auto" w:fill="FFFFFF"/>
        </w:rPr>
      </w:pPr>
      <w:bookmarkStart w:id="14" w:name="_Hlk187227608"/>
      <w:r w:rsidRPr="008C0AF9">
        <w:rPr>
          <w:rFonts w:asciiTheme="majorBidi" w:eastAsia="Times New Roman" w:hAnsiTheme="majorBidi" w:cstheme="majorBidi"/>
          <w:sz w:val="24"/>
          <w:szCs w:val="24"/>
          <w:shd w:val="clear" w:color="auto" w:fill="FFFFFF"/>
        </w:rPr>
        <w:t>This</w:t>
      </w:r>
      <w:r w:rsidRPr="008C0AF9">
        <w:rPr>
          <w:rFonts w:asciiTheme="majorBidi" w:hAnsiTheme="majorBidi" w:cstheme="majorBidi"/>
          <w:sz w:val="24"/>
          <w:szCs w:val="24"/>
        </w:rPr>
        <w:t xml:space="preserve"> study utilized computer-assisted text analysis (CATA). The analysis was conducted using LIWC software, a dictionary-based tool. A key advantage of LIWC is that it provides advanced psychometrically validated methods that </w:t>
      </w:r>
      <w:proofErr w:type="gramStart"/>
      <w:r w:rsidRPr="008C0AF9">
        <w:rPr>
          <w:rFonts w:asciiTheme="majorBidi" w:hAnsiTheme="majorBidi" w:cstheme="majorBidi"/>
          <w:sz w:val="24"/>
          <w:szCs w:val="24"/>
        </w:rPr>
        <w:t>captures</w:t>
      </w:r>
      <w:proofErr w:type="gramEnd"/>
      <w:r w:rsidRPr="008C0AF9">
        <w:rPr>
          <w:rFonts w:asciiTheme="majorBidi" w:hAnsiTheme="majorBidi" w:cstheme="majorBidi"/>
          <w:sz w:val="24"/>
          <w:szCs w:val="24"/>
        </w:rPr>
        <w:t xml:space="preserve"> psychological aspects from the language people use in ways that </w:t>
      </w:r>
      <w:proofErr w:type="gramStart"/>
      <w:r w:rsidRPr="008C0AF9">
        <w:rPr>
          <w:rFonts w:asciiTheme="majorBidi" w:hAnsiTheme="majorBidi" w:cstheme="majorBidi"/>
          <w:sz w:val="24"/>
          <w:szCs w:val="24"/>
        </w:rPr>
        <w:t>outperforms</w:t>
      </w:r>
      <w:proofErr w:type="gramEnd"/>
      <w:r w:rsidRPr="008C0AF9">
        <w:rPr>
          <w:rFonts w:asciiTheme="majorBidi" w:hAnsiTheme="majorBidi" w:cstheme="majorBidi"/>
          <w:sz w:val="24"/>
          <w:szCs w:val="24"/>
        </w:rPr>
        <w:t xml:space="preserve"> older research methods (Marshall et al., 2023). The variables for this study comprised (a) 26 variables categorized into 4LIWC 2022 categories and (b) corpus type (i.e., study or reference). The LIWC variables were distributed across the following categories: broad psycholinguistic processes (</w:t>
      </w:r>
      <w:r w:rsidRPr="008C0AF9">
        <w:rPr>
          <w:rFonts w:asciiTheme="majorBidi" w:hAnsiTheme="majorBidi" w:cstheme="majorBidi"/>
          <w:i/>
          <w:iCs/>
          <w:sz w:val="24"/>
          <w:szCs w:val="24"/>
        </w:rPr>
        <w:t>n</w:t>
      </w:r>
      <w:r w:rsidRPr="008C0AF9">
        <w:rPr>
          <w:rFonts w:asciiTheme="majorBidi" w:hAnsiTheme="majorBidi" w:cstheme="majorBidi"/>
          <w:sz w:val="24"/>
          <w:szCs w:val="24"/>
        </w:rPr>
        <w:t xml:space="preserve"> = 4), linguistic processes (</w:t>
      </w:r>
      <w:r w:rsidRPr="008C0AF9">
        <w:rPr>
          <w:rFonts w:asciiTheme="majorBidi" w:hAnsiTheme="majorBidi" w:cstheme="majorBidi"/>
          <w:i/>
          <w:iCs/>
          <w:sz w:val="24"/>
          <w:szCs w:val="24"/>
        </w:rPr>
        <w:t>n</w:t>
      </w:r>
      <w:r w:rsidRPr="008C0AF9">
        <w:rPr>
          <w:rFonts w:asciiTheme="majorBidi" w:hAnsiTheme="majorBidi" w:cstheme="majorBidi"/>
          <w:sz w:val="24"/>
          <w:szCs w:val="24"/>
        </w:rPr>
        <w:t xml:space="preserve"> = 4), psychological processes (</w:t>
      </w:r>
      <w:r w:rsidRPr="008C0AF9">
        <w:rPr>
          <w:rFonts w:asciiTheme="majorBidi" w:hAnsiTheme="majorBidi" w:cstheme="majorBidi"/>
          <w:i/>
          <w:iCs/>
          <w:sz w:val="24"/>
          <w:szCs w:val="24"/>
        </w:rPr>
        <w:t>n</w:t>
      </w:r>
      <w:r w:rsidRPr="008C0AF9">
        <w:rPr>
          <w:rFonts w:asciiTheme="majorBidi" w:hAnsiTheme="majorBidi" w:cstheme="majorBidi"/>
          <w:sz w:val="24"/>
          <w:szCs w:val="24"/>
        </w:rPr>
        <w:t xml:space="preserve"> = 6), and expanded psychosocial variables (</w:t>
      </w:r>
      <w:r w:rsidRPr="008C0AF9">
        <w:rPr>
          <w:rFonts w:asciiTheme="majorBidi" w:hAnsiTheme="majorBidi" w:cstheme="majorBidi"/>
          <w:i/>
          <w:iCs/>
          <w:sz w:val="24"/>
          <w:szCs w:val="24"/>
        </w:rPr>
        <w:t xml:space="preserve">n </w:t>
      </w:r>
      <w:r w:rsidRPr="008C0AF9">
        <w:rPr>
          <w:rFonts w:asciiTheme="majorBidi" w:hAnsiTheme="majorBidi" w:cstheme="majorBidi"/>
          <w:sz w:val="24"/>
          <w:szCs w:val="24"/>
        </w:rPr>
        <w:t xml:space="preserve">= 12). The measurements for broad psycholinguistic processes, linguistic processes, psychological processes, and expanded psychosocial processes were continuous, while the corpus type </w:t>
      </w:r>
      <w:r w:rsidRPr="008C0AF9">
        <w:rPr>
          <w:rFonts w:asciiTheme="majorBidi" w:hAnsiTheme="majorBidi" w:cstheme="majorBidi"/>
          <w:sz w:val="24"/>
          <w:szCs w:val="24"/>
        </w:rPr>
        <w:lastRenderedPageBreak/>
        <w:t>measurement was binomial. The unit of analysis consisted of preset segments of corpus text. As the data were derived from public, published posts and no identifying information were collected, human subjects review was not required.</w:t>
      </w:r>
      <w:bookmarkEnd w:id="14"/>
    </w:p>
    <w:p w14:paraId="5A549D1F" w14:textId="77777777" w:rsidR="008C0AF9" w:rsidRPr="008C0AF9" w:rsidRDefault="008C0AF9" w:rsidP="008C0AF9">
      <w:pPr>
        <w:pStyle w:val="NoSpacing"/>
        <w:spacing w:line="480" w:lineRule="auto"/>
        <w:ind w:firstLine="720"/>
        <w:rPr>
          <w:rFonts w:asciiTheme="majorBidi" w:hAnsiTheme="majorBidi" w:cstheme="majorBidi"/>
          <w:color w:val="222222"/>
        </w:rPr>
      </w:pPr>
      <w:bookmarkStart w:id="15" w:name="_Hlk187227689"/>
      <w:r w:rsidRPr="008C0AF9">
        <w:rPr>
          <w:rFonts w:asciiTheme="majorBidi" w:eastAsia="Times New Roman" w:hAnsiTheme="majorBidi" w:cstheme="majorBidi"/>
          <w:shd w:val="clear" w:color="auto" w:fill="FFFFFF"/>
        </w:rPr>
        <w:t xml:space="preserve">An a priori power analysis was completed to determine the minimum sample size needed for adequate power. The statistical test utilized for this study was a one-sample </w:t>
      </w:r>
      <w:r w:rsidRPr="008C0AF9">
        <w:rPr>
          <w:rFonts w:asciiTheme="majorBidi" w:eastAsia="Times New Roman" w:hAnsiTheme="majorBidi" w:cstheme="majorBidi"/>
          <w:i/>
          <w:iCs/>
          <w:shd w:val="clear" w:color="auto" w:fill="FFFFFF"/>
        </w:rPr>
        <w:t>t</w:t>
      </w:r>
      <w:r w:rsidRPr="008C0AF9">
        <w:rPr>
          <w:rFonts w:asciiTheme="majorBidi" w:eastAsia="Times New Roman" w:hAnsiTheme="majorBidi" w:cstheme="majorBidi"/>
          <w:shd w:val="clear" w:color="auto" w:fill="FFFFFF"/>
        </w:rPr>
        <w:t xml:space="preserve"> test, so the effect size for the power analysis was the Cohen’s </w:t>
      </w:r>
      <w:r w:rsidRPr="008C0AF9">
        <w:rPr>
          <w:rFonts w:asciiTheme="majorBidi" w:eastAsia="Times New Roman" w:hAnsiTheme="majorBidi" w:cstheme="majorBidi"/>
          <w:i/>
          <w:iCs/>
          <w:shd w:val="clear" w:color="auto" w:fill="FFFFFF"/>
        </w:rPr>
        <w:t>d</w:t>
      </w:r>
      <w:r w:rsidRPr="008C0AF9">
        <w:rPr>
          <w:rFonts w:asciiTheme="majorBidi" w:eastAsia="Times New Roman" w:hAnsiTheme="majorBidi" w:cstheme="majorBidi"/>
          <w:shd w:val="clear" w:color="auto" w:fill="FFFFFF"/>
        </w:rPr>
        <w:t xml:space="preserve">. A small effect size was used (Cohen’s </w:t>
      </w:r>
      <w:r w:rsidRPr="008C0AF9">
        <w:rPr>
          <w:rFonts w:asciiTheme="majorBidi" w:eastAsia="Times New Roman" w:hAnsiTheme="majorBidi" w:cstheme="majorBidi"/>
          <w:i/>
          <w:iCs/>
          <w:shd w:val="clear" w:color="auto" w:fill="FFFFFF"/>
        </w:rPr>
        <w:t>d</w:t>
      </w:r>
      <w:r w:rsidRPr="008C0AF9">
        <w:rPr>
          <w:rFonts w:asciiTheme="majorBidi" w:eastAsia="Times New Roman" w:hAnsiTheme="majorBidi" w:cstheme="majorBidi"/>
          <w:shd w:val="clear" w:color="auto" w:fill="FFFFFF"/>
        </w:rPr>
        <w:t xml:space="preserve"> = 0.20; Cohen, 1988). </w:t>
      </w:r>
      <w:r w:rsidRPr="008C0AF9">
        <w:rPr>
          <w:rFonts w:asciiTheme="majorBidi" w:hAnsiTheme="majorBidi" w:cstheme="majorBidi"/>
          <w:color w:val="222222"/>
        </w:rPr>
        <w:t xml:space="preserve">The input parameters were (a) test family = </w:t>
      </w:r>
      <w:r w:rsidRPr="008C0AF9">
        <w:rPr>
          <w:rFonts w:asciiTheme="majorBidi" w:hAnsiTheme="majorBidi" w:cstheme="majorBidi"/>
          <w:i/>
          <w:iCs/>
          <w:color w:val="222222"/>
        </w:rPr>
        <w:t>t</w:t>
      </w:r>
      <w:r w:rsidRPr="008C0AF9">
        <w:rPr>
          <w:rFonts w:asciiTheme="majorBidi" w:hAnsiTheme="majorBidi" w:cstheme="majorBidi"/>
          <w:color w:val="222222"/>
        </w:rPr>
        <w:t xml:space="preserve"> tests; (b) statistical test = means: difference from constant (one-sample case); (c) type of power analysis = a priori: compute required sample size- given α, power, and effect size; (d) tails = 2; (e) </w:t>
      </w:r>
      <w:r w:rsidRPr="008C0AF9">
        <w:rPr>
          <w:rFonts w:asciiTheme="majorBidi" w:hAnsiTheme="majorBidi" w:cstheme="majorBidi"/>
          <w:i/>
          <w:iCs/>
          <w:color w:val="222222"/>
        </w:rPr>
        <w:t>d</w:t>
      </w:r>
      <w:r w:rsidRPr="008C0AF9">
        <w:rPr>
          <w:rFonts w:asciiTheme="majorBidi" w:hAnsiTheme="majorBidi" w:cstheme="majorBidi"/>
          <w:color w:val="222222"/>
        </w:rPr>
        <w:t xml:space="preserve"> = 0.20; (f) α = .05; and (g) power (1-β error probability) = 0.80. The G*Power 3.1 output suggested a sample size of 199 with an actual power of 0.80. </w:t>
      </w:r>
    </w:p>
    <w:p w14:paraId="7B1C9A9B" w14:textId="77777777" w:rsidR="008C0AF9" w:rsidRPr="008C0AF9" w:rsidRDefault="008C0AF9" w:rsidP="008C0AF9">
      <w:pPr>
        <w:pStyle w:val="Heading3"/>
        <w:rPr>
          <w:rFonts w:asciiTheme="majorBidi" w:eastAsia="Times New Roman" w:hAnsiTheme="majorBidi"/>
          <w:b/>
          <w:bCs/>
          <w:color w:val="auto"/>
          <w:sz w:val="24"/>
          <w:szCs w:val="24"/>
        </w:rPr>
      </w:pPr>
      <w:bookmarkStart w:id="16" w:name="_Toc203736327"/>
      <w:bookmarkStart w:id="17" w:name="_Toc203736410"/>
      <w:bookmarkStart w:id="18" w:name="_Toc203736653"/>
      <w:bookmarkEnd w:id="15"/>
      <w:r w:rsidRPr="008C0AF9">
        <w:rPr>
          <w:rFonts w:asciiTheme="majorBidi" w:eastAsia="Times New Roman" w:hAnsiTheme="majorBidi"/>
          <w:b/>
          <w:bCs/>
          <w:color w:val="auto"/>
          <w:sz w:val="24"/>
          <w:szCs w:val="24"/>
          <w:shd w:val="clear" w:color="auto" w:fill="FFFFFF"/>
        </w:rPr>
        <w:t>Study Corpus</w:t>
      </w:r>
      <w:bookmarkEnd w:id="16"/>
      <w:bookmarkEnd w:id="17"/>
      <w:bookmarkEnd w:id="18"/>
    </w:p>
    <w:p w14:paraId="13641F2D" w14:textId="77777777" w:rsidR="008C0AF9" w:rsidRPr="008C0AF9" w:rsidRDefault="008C0AF9" w:rsidP="008C0AF9">
      <w:pPr>
        <w:pStyle w:val="Heading4"/>
        <w:rPr>
          <w:rFonts w:asciiTheme="majorBidi" w:eastAsia="Times New Roman" w:hAnsiTheme="majorBidi"/>
          <w:b/>
          <w:bCs/>
          <w:color w:val="auto"/>
          <w:sz w:val="24"/>
          <w:szCs w:val="24"/>
        </w:rPr>
      </w:pPr>
      <w:r w:rsidRPr="008C0AF9">
        <w:rPr>
          <w:rFonts w:asciiTheme="majorBidi" w:eastAsia="Times New Roman" w:hAnsiTheme="majorBidi"/>
          <w:b/>
          <w:bCs/>
          <w:color w:val="auto"/>
          <w:sz w:val="24"/>
          <w:szCs w:val="24"/>
          <w:shd w:val="clear" w:color="auto" w:fill="FFFFFF"/>
        </w:rPr>
        <w:t>Register, Scope, and Sources</w:t>
      </w:r>
    </w:p>
    <w:p w14:paraId="030CC65C"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The register for this corpus was online discourse, and the subregister was blogging. Regarding sources, the researchers retrieved comments from posts with a focus on both EDs and psychedelics. The specific scrape instructions called for data to be collected through a Reddit API connection. After </w:t>
      </w:r>
      <w:proofErr w:type="gramStart"/>
      <w:r w:rsidRPr="008C0AF9">
        <w:rPr>
          <w:rFonts w:asciiTheme="majorBidi" w:hAnsiTheme="majorBidi" w:cstheme="majorBidi"/>
          <w:sz w:val="24"/>
          <w:szCs w:val="24"/>
        </w:rPr>
        <w:t>collection</w:t>
      </w:r>
      <w:proofErr w:type="gramEnd"/>
      <w:r w:rsidRPr="008C0AF9">
        <w:rPr>
          <w:rFonts w:asciiTheme="majorBidi" w:hAnsiTheme="majorBidi" w:cstheme="majorBidi"/>
          <w:sz w:val="24"/>
          <w:szCs w:val="24"/>
        </w:rPr>
        <w:t xml:space="preserve">, preprocessing was done to prepare the data for the LIWC analysis. All usernames, time references, and location metadata were removed to eliminate identifiable information. HTML entities were decoded into plain text, and non-ASCII characters were either removed or replaced as needed. URLs and user mentions were removed. Repeated characters used for emphasis (e.g., coooool to cool) were normalized, and common slang and abbreviations (e.g., lol, idk) were replaced with their spelled versions. Deleted and empty comments were filtered out along with auto moderator bot comments. Emojis were preserved. Excluded from the scrape was all identifying information, such as geolocations and usernames. </w:t>
      </w:r>
      <w:r w:rsidRPr="008C0AF9">
        <w:rPr>
          <w:rFonts w:asciiTheme="majorBidi" w:hAnsiTheme="majorBidi" w:cstheme="majorBidi"/>
          <w:sz w:val="24"/>
          <w:szCs w:val="24"/>
        </w:rPr>
        <w:lastRenderedPageBreak/>
        <w:t>In total, 3,916 comments were scraped. Of these comments, 3,393 contained 10 or more words, which was the threshold to be included in the analysis. Table 2.1 contains a list of the subreddits included in the analysis, as well as the comment count for each. The scope was psychedelic-related subreddit comments made from June 2013 to October 2024. The study’s final corpus used for all analyses contained 314,792 words.</w:t>
      </w:r>
    </w:p>
    <w:p w14:paraId="1C227610" w14:textId="77777777" w:rsidR="008C0AF9" w:rsidRPr="008C0AF9" w:rsidRDefault="008C0AF9" w:rsidP="008C0AF9">
      <w:pPr>
        <w:spacing w:after="0" w:line="480" w:lineRule="auto"/>
        <w:rPr>
          <w:rFonts w:asciiTheme="majorBidi" w:eastAsia="Times New Roman" w:hAnsiTheme="majorBidi" w:cstheme="majorBidi"/>
          <w:b/>
          <w:bCs/>
          <w:i/>
          <w:iCs/>
          <w:sz w:val="24"/>
          <w:szCs w:val="24"/>
          <w:shd w:val="clear" w:color="auto" w:fill="FFFFFF"/>
        </w:rPr>
      </w:pPr>
      <w:r w:rsidRPr="008C0AF9">
        <w:rPr>
          <w:rFonts w:asciiTheme="majorBidi" w:eastAsia="Times New Roman" w:hAnsiTheme="majorBidi" w:cstheme="majorBidi"/>
          <w:b/>
          <w:bCs/>
          <w:i/>
          <w:iCs/>
          <w:sz w:val="24"/>
          <w:szCs w:val="24"/>
          <w:shd w:val="clear" w:color="auto" w:fill="FFFFFF"/>
        </w:rPr>
        <w:t>Preprocessing</w:t>
      </w:r>
    </w:p>
    <w:p w14:paraId="711817F5" w14:textId="77777777" w:rsidR="008C0AF9" w:rsidRPr="008C0AF9" w:rsidRDefault="008C0AF9" w:rsidP="008C0AF9">
      <w:pPr>
        <w:spacing w:after="0" w:line="480" w:lineRule="auto"/>
        <w:ind w:firstLine="720"/>
        <w:rPr>
          <w:rFonts w:asciiTheme="majorBidi" w:hAnsiTheme="majorBidi" w:cstheme="majorBidi"/>
          <w:b/>
          <w:sz w:val="24"/>
          <w:szCs w:val="24"/>
        </w:rPr>
      </w:pPr>
      <w:r w:rsidRPr="008C0AF9">
        <w:rPr>
          <w:rFonts w:asciiTheme="majorBidi" w:hAnsiTheme="majorBidi" w:cstheme="majorBidi"/>
          <w:sz w:val="24"/>
          <w:szCs w:val="24"/>
        </w:rPr>
        <w:t xml:space="preserve">Identifying information such as usernames and geolocations were not collected during the scraping. The results were compiled and saved as .txt files. Adjustments for nonfluencies and fillers such as “yeah” and “you know” were made per the </w:t>
      </w:r>
      <w:r w:rsidRPr="008C0AF9">
        <w:rPr>
          <w:rFonts w:asciiTheme="majorBidi" w:hAnsiTheme="majorBidi" w:cstheme="majorBidi"/>
          <w:i/>
          <w:iCs/>
          <w:sz w:val="24"/>
          <w:szCs w:val="24"/>
        </w:rPr>
        <w:t>LIWC 2022 Manual</w:t>
      </w:r>
      <w:r w:rsidRPr="008C0AF9">
        <w:rPr>
          <w:rFonts w:asciiTheme="majorBidi" w:hAnsiTheme="majorBidi" w:cstheme="majorBidi"/>
          <w:sz w:val="24"/>
          <w:szCs w:val="24"/>
        </w:rPr>
        <w:t xml:space="preserve"> (</w:t>
      </w:r>
      <w:r w:rsidRPr="008C0AF9">
        <w:rPr>
          <w:rFonts w:asciiTheme="majorBidi" w:hAnsiTheme="majorBidi" w:cstheme="majorBidi"/>
          <w:sz w:val="24"/>
          <w:szCs w:val="24"/>
          <w:shd w:val="clear" w:color="auto" w:fill="FFFFFF"/>
        </w:rPr>
        <w:t>Boyd et al., 2022a).</w:t>
      </w:r>
      <w:r w:rsidRPr="008C0AF9">
        <w:rPr>
          <w:rFonts w:asciiTheme="majorBidi" w:hAnsiTheme="majorBidi" w:cstheme="majorBidi"/>
          <w:sz w:val="24"/>
          <w:szCs w:val="24"/>
        </w:rPr>
        <w:t xml:space="preserve"> </w:t>
      </w:r>
    </w:p>
    <w:p w14:paraId="445C022C" w14:textId="77777777" w:rsidR="008C0AF9" w:rsidRPr="008C0AF9" w:rsidRDefault="008C0AF9" w:rsidP="008C0AF9">
      <w:pPr>
        <w:pStyle w:val="Heading3"/>
        <w:rPr>
          <w:rFonts w:asciiTheme="majorBidi" w:eastAsia="Times New Roman" w:hAnsiTheme="majorBidi"/>
          <w:b/>
          <w:bCs/>
          <w:color w:val="auto"/>
          <w:sz w:val="24"/>
          <w:szCs w:val="24"/>
        </w:rPr>
      </w:pPr>
      <w:bookmarkStart w:id="19" w:name="_Toc203736328"/>
      <w:bookmarkStart w:id="20" w:name="_Toc203736411"/>
      <w:bookmarkStart w:id="21" w:name="_Toc203736654"/>
      <w:r w:rsidRPr="008C0AF9">
        <w:rPr>
          <w:rFonts w:asciiTheme="majorBidi" w:eastAsia="Times New Roman" w:hAnsiTheme="majorBidi"/>
          <w:b/>
          <w:bCs/>
          <w:color w:val="auto"/>
          <w:sz w:val="24"/>
          <w:szCs w:val="24"/>
        </w:rPr>
        <w:t>Reference Corpus</w:t>
      </w:r>
      <w:bookmarkEnd w:id="19"/>
      <w:bookmarkEnd w:id="20"/>
      <w:bookmarkEnd w:id="21"/>
    </w:p>
    <w:p w14:paraId="18CC28AE" w14:textId="77777777" w:rsidR="008C0AF9" w:rsidRPr="008C0AF9" w:rsidRDefault="008C0AF9" w:rsidP="008C0AF9">
      <w:pPr>
        <w:pStyle w:val="Heading4"/>
        <w:rPr>
          <w:rFonts w:asciiTheme="majorBidi" w:eastAsia="Times New Roman" w:hAnsiTheme="majorBidi"/>
          <w:b/>
          <w:bCs/>
          <w:color w:val="auto"/>
          <w:sz w:val="24"/>
          <w:szCs w:val="24"/>
          <w:shd w:val="clear" w:color="auto" w:fill="FFFFFF"/>
        </w:rPr>
      </w:pPr>
      <w:r w:rsidRPr="008C0AF9">
        <w:rPr>
          <w:rFonts w:asciiTheme="majorBidi" w:eastAsia="Times New Roman" w:hAnsiTheme="majorBidi"/>
          <w:b/>
          <w:bCs/>
          <w:color w:val="auto"/>
          <w:sz w:val="24"/>
          <w:szCs w:val="24"/>
          <w:shd w:val="clear" w:color="auto" w:fill="FFFFFF"/>
        </w:rPr>
        <w:t>Register, Scope, and Sources</w:t>
      </w:r>
    </w:p>
    <w:p w14:paraId="6B4154C1" w14:textId="77777777" w:rsidR="008C0AF9" w:rsidRPr="008C0AF9" w:rsidRDefault="008C0AF9" w:rsidP="008C0AF9">
      <w:pPr>
        <w:spacing w:after="0" w:line="480" w:lineRule="auto"/>
        <w:ind w:firstLine="720"/>
        <w:rPr>
          <w:rFonts w:asciiTheme="majorBidi" w:eastAsia="Times New Roman" w:hAnsiTheme="majorBidi" w:cstheme="majorBidi"/>
          <w:color w:val="000000"/>
          <w:sz w:val="24"/>
          <w:szCs w:val="24"/>
          <w:u w:val="single"/>
          <w:shd w:val="clear" w:color="auto" w:fill="FFFFFF"/>
        </w:rPr>
      </w:pPr>
      <w:r w:rsidRPr="008C0AF9">
        <w:rPr>
          <w:rFonts w:asciiTheme="majorBidi" w:eastAsia="Times New Roman" w:hAnsiTheme="majorBidi" w:cstheme="majorBidi"/>
          <w:sz w:val="24"/>
          <w:szCs w:val="24"/>
          <w:shd w:val="clear" w:color="auto" w:fill="FFFFFF"/>
        </w:rPr>
        <w:t>The register was social media with the subregister being blogging. The source utilized in this study was the Reddit subcorpus of the LIWC Test Kitchen Corpus, as documented by Boyd et al. (2022b). The present subcorpus was derived from a sample of 1,000 posts that were selected in a random manner. The temporal range encompassed posts published between 2010 and 2020. For analysis, the means of these posts were employed (Boyd et al., 2022a).</w:t>
      </w:r>
    </w:p>
    <w:p w14:paraId="445D5D22" w14:textId="77777777" w:rsidR="008C0AF9" w:rsidRPr="008C0AF9" w:rsidRDefault="008C0AF9" w:rsidP="008C0AF9">
      <w:pPr>
        <w:pStyle w:val="Heading4"/>
        <w:rPr>
          <w:rFonts w:asciiTheme="majorBidi" w:eastAsia="Times New Roman" w:hAnsiTheme="majorBidi"/>
          <w:b/>
          <w:bCs/>
          <w:color w:val="auto"/>
          <w:sz w:val="24"/>
          <w:szCs w:val="24"/>
          <w:shd w:val="clear" w:color="auto" w:fill="FFFFFF"/>
        </w:rPr>
      </w:pPr>
      <w:r w:rsidRPr="008C0AF9">
        <w:rPr>
          <w:rFonts w:asciiTheme="majorBidi" w:eastAsia="Times New Roman" w:hAnsiTheme="majorBidi"/>
          <w:b/>
          <w:bCs/>
          <w:color w:val="auto"/>
          <w:sz w:val="24"/>
          <w:szCs w:val="24"/>
          <w:shd w:val="clear" w:color="auto" w:fill="FFFFFF"/>
        </w:rPr>
        <w:t>Preprocessing</w:t>
      </w:r>
    </w:p>
    <w:p w14:paraId="4CCAC648" w14:textId="77777777" w:rsidR="008C0AF9" w:rsidRPr="008C0AF9" w:rsidRDefault="008C0AF9" w:rsidP="008C0AF9">
      <w:pPr>
        <w:spacing w:after="0" w:line="480" w:lineRule="auto"/>
        <w:ind w:firstLine="720"/>
        <w:rPr>
          <w:rFonts w:asciiTheme="majorBidi" w:eastAsia="Times New Roman" w:hAnsiTheme="majorBidi" w:cstheme="majorBidi"/>
          <w:b/>
          <w:sz w:val="24"/>
          <w:szCs w:val="24"/>
        </w:rPr>
      </w:pPr>
      <w:r w:rsidRPr="008C0AF9">
        <w:rPr>
          <w:rFonts w:asciiTheme="majorBidi" w:eastAsia="Times New Roman" w:hAnsiTheme="majorBidi" w:cstheme="majorBidi"/>
          <w:sz w:val="24"/>
          <w:szCs w:val="24"/>
          <w:shd w:val="clear" w:color="auto" w:fill="FFFFFF"/>
        </w:rPr>
        <w:t>No preprocessing was necessary due to the utilization of the curated LIWC Test Kitchen Corpus.</w:t>
      </w:r>
    </w:p>
    <w:p w14:paraId="1A258556" w14:textId="77777777" w:rsidR="008C0AF9" w:rsidRPr="008C0AF9" w:rsidRDefault="008C0AF9" w:rsidP="008C0AF9">
      <w:pPr>
        <w:pStyle w:val="Heading3"/>
        <w:rPr>
          <w:rFonts w:asciiTheme="majorBidi" w:hAnsiTheme="majorBidi"/>
          <w:b/>
          <w:bCs/>
          <w:color w:val="auto"/>
          <w:sz w:val="24"/>
          <w:szCs w:val="24"/>
        </w:rPr>
      </w:pPr>
      <w:bookmarkStart w:id="22" w:name="_Toc203736329"/>
      <w:bookmarkStart w:id="23" w:name="_Toc203736412"/>
      <w:bookmarkStart w:id="24" w:name="_Toc203736655"/>
      <w:r w:rsidRPr="008C0AF9">
        <w:rPr>
          <w:rFonts w:asciiTheme="majorBidi" w:hAnsiTheme="majorBidi"/>
          <w:b/>
          <w:bCs/>
          <w:color w:val="auto"/>
          <w:sz w:val="24"/>
          <w:szCs w:val="24"/>
        </w:rPr>
        <w:t>Measures</w:t>
      </w:r>
      <w:bookmarkEnd w:id="22"/>
      <w:bookmarkEnd w:id="23"/>
      <w:bookmarkEnd w:id="24"/>
    </w:p>
    <w:p w14:paraId="2C78EB2B" w14:textId="77777777" w:rsidR="008C0AF9" w:rsidRPr="008C0AF9" w:rsidRDefault="008C0AF9" w:rsidP="008C0AF9">
      <w:pPr>
        <w:pStyle w:val="NoSpacing"/>
        <w:spacing w:line="480" w:lineRule="auto"/>
        <w:rPr>
          <w:rFonts w:asciiTheme="majorBidi" w:eastAsia="Times New Roman" w:hAnsiTheme="majorBidi" w:cstheme="majorBidi"/>
          <w:b/>
          <w:bCs/>
          <w:i/>
          <w:iCs/>
          <w:shd w:val="clear" w:color="auto" w:fill="FFFFFF"/>
        </w:rPr>
      </w:pPr>
      <w:r w:rsidRPr="008C0AF9">
        <w:rPr>
          <w:rFonts w:asciiTheme="majorBidi" w:eastAsia="Times New Roman" w:hAnsiTheme="majorBidi" w:cstheme="majorBidi"/>
          <w:b/>
          <w:bCs/>
          <w:i/>
          <w:iCs/>
          <w:shd w:val="clear" w:color="auto" w:fill="FFFFFF"/>
        </w:rPr>
        <w:t>Linguistic Inquiry and Word Count</w:t>
      </w:r>
    </w:p>
    <w:p w14:paraId="35E28991" w14:textId="77777777" w:rsidR="008C0AF9" w:rsidRPr="008C0AF9" w:rsidRDefault="008C0AF9" w:rsidP="008C0AF9">
      <w:pPr>
        <w:pStyle w:val="NoSpacing"/>
        <w:spacing w:line="480" w:lineRule="auto"/>
        <w:ind w:firstLine="720"/>
        <w:rPr>
          <w:rFonts w:asciiTheme="majorBidi" w:hAnsiTheme="majorBidi" w:cstheme="majorBidi"/>
          <w:shd w:val="clear" w:color="auto" w:fill="FFFFFF"/>
        </w:rPr>
      </w:pPr>
      <w:r w:rsidRPr="008C0AF9">
        <w:rPr>
          <w:rFonts w:asciiTheme="majorBidi" w:hAnsiTheme="majorBidi" w:cstheme="majorBidi"/>
          <w:b/>
          <w:bCs/>
        </w:rPr>
        <w:t>Overview</w:t>
      </w:r>
      <w:r w:rsidRPr="008C0AF9">
        <w:rPr>
          <w:rFonts w:asciiTheme="majorBidi" w:hAnsiTheme="majorBidi" w:cstheme="majorBidi"/>
        </w:rPr>
        <w:t xml:space="preserve">. This study used LIWC (Pennebaker et al., 2015) to analyze the results from chosen </w:t>
      </w:r>
      <w:proofErr w:type="gramStart"/>
      <w:r w:rsidRPr="008C0AF9">
        <w:rPr>
          <w:rFonts w:asciiTheme="majorBidi" w:hAnsiTheme="majorBidi" w:cstheme="majorBidi"/>
        </w:rPr>
        <w:t>corpus</w:t>
      </w:r>
      <w:proofErr w:type="gramEnd"/>
      <w:r w:rsidRPr="008C0AF9">
        <w:rPr>
          <w:rFonts w:asciiTheme="majorBidi" w:hAnsiTheme="majorBidi" w:cstheme="majorBidi"/>
        </w:rPr>
        <w:t xml:space="preserve">. The variables were in one of four categories: (a) broad psycholinguistic processes </w:t>
      </w:r>
      <w:r w:rsidRPr="008C0AF9">
        <w:rPr>
          <w:rFonts w:asciiTheme="majorBidi" w:hAnsiTheme="majorBidi" w:cstheme="majorBidi"/>
        </w:rPr>
        <w:lastRenderedPageBreak/>
        <w:t>(i.e., authentic, clout, emotional tone, dictionary words, analytic thinking); (b) linguistic processes (e.g., first-person singular); (c) psychological processes (e.g., negative emotion); and (d) expanded psychosocial processes (e.g., feel). The broad psycholinguistic processes are reported as a percentile based on a standard score. The other processes were scored as a percentage of all words. The reliability and validity of this scale is well established (</w:t>
      </w:r>
      <w:r w:rsidRPr="008C0AF9">
        <w:rPr>
          <w:rFonts w:asciiTheme="majorBidi" w:hAnsiTheme="majorBidi" w:cstheme="majorBidi"/>
          <w:shd w:val="clear" w:color="auto" w:fill="FFFFFF"/>
        </w:rPr>
        <w:t xml:space="preserve">Boyd et al., 2022b). </w:t>
      </w:r>
    </w:p>
    <w:p w14:paraId="4EC45B50" w14:textId="77777777" w:rsidR="008C0AF9" w:rsidRPr="008C0AF9" w:rsidRDefault="008C0AF9" w:rsidP="008C0AF9">
      <w:pPr>
        <w:pStyle w:val="NoSpacing"/>
        <w:spacing w:line="480" w:lineRule="auto"/>
        <w:ind w:firstLine="720"/>
        <w:rPr>
          <w:rFonts w:asciiTheme="majorBidi" w:hAnsiTheme="majorBidi" w:cstheme="majorBidi"/>
        </w:rPr>
      </w:pPr>
      <w:r w:rsidRPr="008C0AF9">
        <w:rPr>
          <w:rFonts w:asciiTheme="majorBidi" w:hAnsiTheme="majorBidi" w:cstheme="majorBidi"/>
          <w:b/>
          <w:bCs/>
        </w:rPr>
        <w:t xml:space="preserve">Data Preparation for Analyses. </w:t>
      </w:r>
      <w:r w:rsidRPr="008C0AF9">
        <w:rPr>
          <w:rFonts w:asciiTheme="majorBidi" w:hAnsiTheme="majorBidi" w:cstheme="majorBidi"/>
        </w:rPr>
        <w:t>LIWC analyses require text segments of at least 100 words (</w:t>
      </w:r>
      <w:r w:rsidRPr="008C0AF9">
        <w:rPr>
          <w:rFonts w:asciiTheme="majorBidi" w:hAnsiTheme="majorBidi" w:cstheme="majorBidi"/>
          <w:shd w:val="clear" w:color="auto" w:fill="FFFFFF"/>
        </w:rPr>
        <w:t>Boyd et al., 2022a)</w:t>
      </w:r>
      <w:r w:rsidRPr="008C0AF9">
        <w:rPr>
          <w:rFonts w:asciiTheme="majorBidi" w:hAnsiTheme="majorBidi" w:cstheme="majorBidi"/>
        </w:rPr>
        <w:t xml:space="preserve">. To ensure this requirement was met and to maintain adequate statistical power, the segmentation feature of LIWC22 was employed. The segmentation process divided the corpus into smaller text segments, each containing at least 100 words, while ensuring no text data </w:t>
      </w:r>
      <w:proofErr w:type="gramStart"/>
      <w:r w:rsidRPr="008C0AF9">
        <w:rPr>
          <w:rFonts w:asciiTheme="majorBidi" w:hAnsiTheme="majorBidi" w:cstheme="majorBidi"/>
        </w:rPr>
        <w:t>were</w:t>
      </w:r>
      <w:proofErr w:type="gramEnd"/>
      <w:r w:rsidRPr="008C0AF9">
        <w:rPr>
          <w:rFonts w:asciiTheme="majorBidi" w:hAnsiTheme="majorBidi" w:cstheme="majorBidi"/>
        </w:rPr>
        <w:t xml:space="preserve"> lost. This resulted in 199 text segments for analysis matching the sample number set forth in </w:t>
      </w:r>
      <w:proofErr w:type="gramStart"/>
      <w:r w:rsidRPr="008C0AF9">
        <w:rPr>
          <w:rFonts w:asciiTheme="majorBidi" w:hAnsiTheme="majorBidi" w:cstheme="majorBidi"/>
        </w:rPr>
        <w:t>the a</w:t>
      </w:r>
      <w:proofErr w:type="gramEnd"/>
      <w:r w:rsidRPr="008C0AF9">
        <w:rPr>
          <w:rFonts w:asciiTheme="majorBidi" w:hAnsiTheme="majorBidi" w:cstheme="majorBidi"/>
        </w:rPr>
        <w:t xml:space="preserve"> priori power analysis described earlier. Of these segments, 198 contained 1,581 words each, and one segment contained 1,580 words. </w:t>
      </w:r>
    </w:p>
    <w:p w14:paraId="5DEFEB85" w14:textId="77777777" w:rsidR="008C0AF9" w:rsidRPr="008C0AF9" w:rsidRDefault="008C0AF9" w:rsidP="008C0AF9">
      <w:pPr>
        <w:spacing w:after="0" w:line="480" w:lineRule="auto"/>
        <w:ind w:firstLine="720"/>
        <w:rPr>
          <w:rFonts w:asciiTheme="majorBidi" w:hAnsiTheme="majorBidi" w:cstheme="majorBidi"/>
          <w:i/>
          <w:color w:val="000000" w:themeColor="text1"/>
          <w:sz w:val="24"/>
          <w:szCs w:val="24"/>
        </w:rPr>
      </w:pPr>
      <w:r w:rsidRPr="008C0AF9">
        <w:rPr>
          <w:rFonts w:asciiTheme="majorBidi" w:eastAsiaTheme="majorEastAsia" w:hAnsiTheme="majorBidi" w:cstheme="majorBidi"/>
          <w:b/>
          <w:bCs/>
          <w:color w:val="000000" w:themeColor="text1"/>
          <w:kern w:val="2"/>
          <w:sz w:val="24"/>
          <w:szCs w:val="24"/>
          <w14:ligatures w14:val="standardContextual"/>
        </w:rPr>
        <w:t xml:space="preserve">LIWC Broad Psycholinguistic Processes. </w:t>
      </w:r>
      <w:r w:rsidRPr="008C0AF9">
        <w:rPr>
          <w:rFonts w:asciiTheme="majorBidi" w:eastAsiaTheme="minorHAnsi" w:hAnsiTheme="majorBidi" w:cstheme="majorBidi"/>
          <w:sz w:val="24"/>
          <w:szCs w:val="24"/>
        </w:rPr>
        <w:t>LIWC (Linguistic Inquiry and Word Count) analyzes language across analytic, clout, authentic, and tone key dimensions, using specific machine-run proprietary algorithms. The analytic dimension reflects logical, structured thinking, while lower scores suggest a more personal or narrative style. The clout indicates confidence and authority, with higher scores showing a stronger, more assured voice. The authentic dimension measures the level of honesty and personal disclosure in writing. The tone dimension captures emotional quality where higher scores suggest positivity, while lower ones reflect more negative emotions like sadness or anxiety.</w:t>
      </w:r>
    </w:p>
    <w:p w14:paraId="582B36E4" w14:textId="77777777" w:rsidR="008C0AF9" w:rsidRPr="008C0AF9" w:rsidRDefault="008C0AF9" w:rsidP="008C0AF9">
      <w:pPr>
        <w:pStyle w:val="Heading4"/>
        <w:spacing w:line="480" w:lineRule="auto"/>
        <w:ind w:firstLine="720"/>
        <w:rPr>
          <w:rFonts w:asciiTheme="majorBidi" w:hAnsiTheme="majorBidi"/>
          <w:bCs/>
          <w:i w:val="0"/>
          <w:iCs w:val="0"/>
          <w:color w:val="000000" w:themeColor="text1"/>
          <w:sz w:val="24"/>
          <w:szCs w:val="24"/>
        </w:rPr>
      </w:pPr>
      <w:r w:rsidRPr="008C0AF9">
        <w:rPr>
          <w:rFonts w:asciiTheme="majorBidi" w:hAnsiTheme="majorBidi"/>
          <w:b/>
          <w:bCs/>
          <w:i w:val="0"/>
          <w:iCs w:val="0"/>
          <w:color w:val="000000" w:themeColor="text1"/>
          <w:sz w:val="24"/>
          <w:szCs w:val="24"/>
        </w:rPr>
        <w:lastRenderedPageBreak/>
        <w:t>LIWC Linguistic Processes.</w:t>
      </w:r>
      <w:r w:rsidRPr="008C0AF9">
        <w:rPr>
          <w:rFonts w:asciiTheme="majorBidi" w:hAnsiTheme="majorBidi"/>
          <w:color w:val="000000" w:themeColor="text1"/>
          <w:sz w:val="24"/>
          <w:szCs w:val="24"/>
        </w:rPr>
        <w:t xml:space="preserve"> </w:t>
      </w:r>
      <w:r w:rsidRPr="008C0AF9">
        <w:rPr>
          <w:rFonts w:asciiTheme="majorBidi" w:hAnsiTheme="majorBidi"/>
          <w:bCs/>
          <w:i w:val="0"/>
          <w:iCs w:val="0"/>
          <w:color w:val="000000" w:themeColor="text1"/>
          <w:sz w:val="24"/>
          <w:szCs w:val="24"/>
        </w:rPr>
        <w:t>The processes examined pronoun usage focusing on first-person singular, third-person singular, first-person plural, and third-person plural.</w:t>
      </w:r>
    </w:p>
    <w:p w14:paraId="0CE5A00C" w14:textId="77777777" w:rsidR="008C0AF9" w:rsidRPr="008C0AF9" w:rsidRDefault="008C0AF9" w:rsidP="008C0AF9">
      <w:pPr>
        <w:spacing w:after="0" w:line="480" w:lineRule="auto"/>
        <w:ind w:firstLine="720"/>
        <w:rPr>
          <w:rFonts w:asciiTheme="majorBidi" w:hAnsiTheme="majorBidi" w:cstheme="majorBidi"/>
          <w:color w:val="000000" w:themeColor="text1"/>
          <w:sz w:val="24"/>
          <w:szCs w:val="24"/>
        </w:rPr>
      </w:pPr>
      <w:r w:rsidRPr="008C0AF9">
        <w:rPr>
          <w:rFonts w:asciiTheme="majorBidi" w:hAnsiTheme="majorBidi" w:cstheme="majorBidi"/>
          <w:b/>
          <w:bCs/>
          <w:color w:val="000000" w:themeColor="text1"/>
          <w:sz w:val="24"/>
          <w:szCs w:val="24"/>
        </w:rPr>
        <w:t>LIWC Psychological Processes</w:t>
      </w:r>
      <w:r w:rsidRPr="008C0AF9">
        <w:rPr>
          <w:rFonts w:asciiTheme="majorBidi" w:hAnsiTheme="majorBidi" w:cstheme="majorBidi"/>
          <w:color w:val="000000" w:themeColor="text1"/>
          <w:sz w:val="24"/>
          <w:szCs w:val="24"/>
        </w:rPr>
        <w:t>. The processes encompassed categories that included words with positive emotions such as happiness and negative emotions such as anger. Other categories in this segment are words that reference family such as cousin, friends’ category would include words such as buddy, causation words such as therefore, and insight words such as realize.</w:t>
      </w:r>
    </w:p>
    <w:p w14:paraId="6039B051" w14:textId="77777777" w:rsidR="008C0AF9" w:rsidRPr="008C0AF9" w:rsidRDefault="008C0AF9" w:rsidP="008C0AF9">
      <w:pPr>
        <w:pStyle w:val="Heading4"/>
        <w:spacing w:line="480" w:lineRule="auto"/>
        <w:ind w:firstLine="720"/>
        <w:rPr>
          <w:rFonts w:asciiTheme="majorBidi" w:hAnsiTheme="majorBidi"/>
          <w:color w:val="000000" w:themeColor="text1"/>
          <w:sz w:val="24"/>
          <w:szCs w:val="24"/>
        </w:rPr>
      </w:pPr>
      <w:r w:rsidRPr="008C0AF9">
        <w:rPr>
          <w:rFonts w:asciiTheme="majorBidi" w:hAnsiTheme="majorBidi"/>
          <w:b/>
          <w:i w:val="0"/>
          <w:iCs w:val="0"/>
          <w:color w:val="auto"/>
          <w:sz w:val="24"/>
          <w:szCs w:val="24"/>
        </w:rPr>
        <w:t>LIWC Expanded Dictionary Processes.</w:t>
      </w:r>
      <w:r w:rsidRPr="008C0AF9">
        <w:rPr>
          <w:rFonts w:asciiTheme="majorBidi" w:hAnsiTheme="majorBidi"/>
          <w:color w:val="auto"/>
          <w:sz w:val="24"/>
          <w:szCs w:val="24"/>
        </w:rPr>
        <w:t xml:space="preserve"> </w:t>
      </w:r>
      <w:r w:rsidRPr="008C0AF9">
        <w:rPr>
          <w:rFonts w:asciiTheme="majorBidi" w:hAnsiTheme="majorBidi"/>
          <w:bCs/>
          <w:i w:val="0"/>
          <w:iCs w:val="0"/>
          <w:color w:val="auto"/>
          <w:sz w:val="24"/>
          <w:szCs w:val="24"/>
        </w:rPr>
        <w:t>The employed processes from this category were visual (look), auditory (listen), feeling (rough), illness (infection), wellness (recovery), mental illness (depression), sexual (intercourse), food (hunger), past focus (yesterday), present focus (now), future focus (tomorrow), and risk (threat).</w:t>
      </w:r>
      <w:r w:rsidRPr="008C0AF9">
        <w:rPr>
          <w:rFonts w:asciiTheme="majorBidi" w:hAnsiTheme="majorBidi"/>
          <w:color w:val="auto"/>
          <w:sz w:val="24"/>
          <w:szCs w:val="24"/>
        </w:rPr>
        <w:t xml:space="preserve"> </w:t>
      </w:r>
    </w:p>
    <w:p w14:paraId="202E09F7" w14:textId="77777777" w:rsidR="008C0AF9" w:rsidRPr="008C0AF9" w:rsidRDefault="008C0AF9" w:rsidP="008C0AF9">
      <w:pPr>
        <w:pStyle w:val="Heading3"/>
        <w:rPr>
          <w:rFonts w:asciiTheme="majorBidi" w:hAnsiTheme="majorBidi"/>
          <w:b/>
          <w:bCs/>
          <w:sz w:val="24"/>
          <w:szCs w:val="24"/>
        </w:rPr>
      </w:pPr>
      <w:bookmarkStart w:id="25" w:name="_Toc203736330"/>
      <w:bookmarkStart w:id="26" w:name="_Toc203736413"/>
      <w:bookmarkStart w:id="27" w:name="_Toc203736656"/>
      <w:r w:rsidRPr="008C0AF9">
        <w:rPr>
          <w:rFonts w:asciiTheme="majorBidi" w:hAnsiTheme="majorBidi"/>
          <w:b/>
          <w:bCs/>
          <w:color w:val="auto"/>
          <w:sz w:val="24"/>
          <w:szCs w:val="24"/>
        </w:rPr>
        <w:t>Apparatus</w:t>
      </w:r>
      <w:bookmarkEnd w:id="25"/>
      <w:bookmarkEnd w:id="26"/>
      <w:bookmarkEnd w:id="27"/>
      <w:r w:rsidRPr="008C0AF9">
        <w:rPr>
          <w:rFonts w:asciiTheme="majorBidi" w:hAnsiTheme="majorBidi"/>
          <w:b/>
          <w:bCs/>
          <w:sz w:val="24"/>
          <w:szCs w:val="24"/>
        </w:rPr>
        <w:t xml:space="preserve"> </w:t>
      </w:r>
    </w:p>
    <w:p w14:paraId="214109D8" w14:textId="77777777" w:rsidR="008C0AF9" w:rsidRPr="008C0AF9" w:rsidRDefault="008C0AF9" w:rsidP="008C0AF9">
      <w:pPr>
        <w:pStyle w:val="NoSpacing"/>
        <w:spacing w:line="480" w:lineRule="auto"/>
        <w:ind w:firstLine="720"/>
        <w:rPr>
          <w:rFonts w:asciiTheme="majorBidi" w:eastAsia="Times New Roman" w:hAnsiTheme="majorBidi" w:cstheme="majorBidi"/>
          <w:shd w:val="clear" w:color="auto" w:fill="FFFFFF"/>
        </w:rPr>
      </w:pPr>
      <w:r w:rsidRPr="008C0AF9">
        <w:rPr>
          <w:rFonts w:asciiTheme="majorBidi" w:hAnsiTheme="majorBidi" w:cstheme="majorBidi"/>
        </w:rPr>
        <w:t xml:space="preserve">To analyze and categorize the language used in the text, we employed the widely used psycholinguistic tool LIWC (Linguistic Inquiry and Word Count). LIWC is a well-established method in computerized text analysis, supported by research showing that frequent use of certain words can reliably reflect underlying psychological processes (Boyd et al., 2022a; Boyd &amp; Schwartz, 2021). This is a two-component system comprised of a dictionary and a software program. The dictionary contains 89 categories of thousands of words that allows for a structured analysis of these linguistic markers. This dictionary covers content areas such as biology and family as well as function words such as pronouns. </w:t>
      </w:r>
    </w:p>
    <w:p w14:paraId="57237763" w14:textId="77777777" w:rsidR="008C0AF9" w:rsidRPr="008C0AF9" w:rsidRDefault="008C0AF9" w:rsidP="008C0AF9">
      <w:pPr>
        <w:pStyle w:val="Heading3"/>
        <w:rPr>
          <w:rFonts w:asciiTheme="majorBidi" w:hAnsiTheme="majorBidi"/>
          <w:b/>
          <w:bCs/>
          <w:color w:val="auto"/>
          <w:sz w:val="24"/>
          <w:szCs w:val="24"/>
        </w:rPr>
      </w:pPr>
      <w:bookmarkStart w:id="28" w:name="_Toc203736331"/>
      <w:bookmarkStart w:id="29" w:name="_Toc203736414"/>
      <w:bookmarkStart w:id="30" w:name="_Toc203736657"/>
      <w:r w:rsidRPr="008C0AF9">
        <w:rPr>
          <w:rFonts w:asciiTheme="majorBidi" w:hAnsiTheme="majorBidi"/>
          <w:b/>
          <w:bCs/>
          <w:color w:val="auto"/>
          <w:sz w:val="24"/>
          <w:szCs w:val="24"/>
        </w:rPr>
        <w:t>Data Analysis</w:t>
      </w:r>
      <w:bookmarkStart w:id="31" w:name="_Toc203736332"/>
      <w:bookmarkStart w:id="32" w:name="_Toc203736415"/>
      <w:bookmarkStart w:id="33" w:name="_Toc203736658"/>
      <w:bookmarkEnd w:id="28"/>
      <w:bookmarkEnd w:id="29"/>
      <w:bookmarkEnd w:id="30"/>
    </w:p>
    <w:p w14:paraId="06A7FB97"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To address Research Question 1 (a–d), we will use descriptive statistics, specifically, the mean, standard deviation, and skewness to summarize how frequently each linguistic process </w:t>
      </w:r>
      <w:r w:rsidRPr="008C0AF9">
        <w:rPr>
          <w:rFonts w:asciiTheme="majorBidi" w:hAnsiTheme="majorBidi" w:cstheme="majorBidi"/>
          <w:sz w:val="24"/>
          <w:szCs w:val="24"/>
        </w:rPr>
        <w:lastRenderedPageBreak/>
        <w:t xml:space="preserve">appears in comments from psychedelic-related subreddits discussing eating disorders. For Research Question 2 (a–d), we will conduct a one-sample t-test to compare the average usage rates of these processes against those found in a reference corpus of general blog posts. Since the reference corpus provides an established population mean, the one-sample t-test is appropriate for identifying significant differences between the two datasets. A significance level of </w:t>
      </w:r>
      <w:r w:rsidRPr="008C0AF9">
        <w:rPr>
          <w:rFonts w:asciiTheme="majorBidi" w:hAnsiTheme="majorBidi" w:cstheme="majorBidi"/>
          <w:i/>
          <w:iCs/>
          <w:sz w:val="24"/>
          <w:szCs w:val="24"/>
        </w:rPr>
        <w:t>p</w:t>
      </w:r>
      <w:r w:rsidRPr="008C0AF9">
        <w:rPr>
          <w:rFonts w:asciiTheme="majorBidi" w:hAnsiTheme="majorBidi" w:cstheme="majorBidi"/>
          <w:sz w:val="24"/>
          <w:szCs w:val="24"/>
        </w:rPr>
        <w:t xml:space="preserve"> &lt; .05 will be used, and Cohen’s </w:t>
      </w:r>
      <w:r w:rsidRPr="008C0AF9">
        <w:rPr>
          <w:rFonts w:asciiTheme="majorBidi" w:hAnsiTheme="majorBidi" w:cstheme="majorBidi"/>
          <w:i/>
          <w:iCs/>
          <w:sz w:val="24"/>
          <w:szCs w:val="24"/>
        </w:rPr>
        <w:t>d</w:t>
      </w:r>
      <w:r w:rsidRPr="008C0AF9">
        <w:rPr>
          <w:rFonts w:asciiTheme="majorBidi" w:hAnsiTheme="majorBidi" w:cstheme="majorBidi"/>
          <w:sz w:val="24"/>
          <w:szCs w:val="24"/>
        </w:rPr>
        <w:t xml:space="preserve"> will be reported to indicate the size of any observed effects. To complement the traditional analysis, a Bayesian one-sample t-test will also be conducted for each linguistic process. This approach will evaluate the strength of evidence in favor of the null hypothesis (no difference) versus the alternative hypothesis (a difference), using a default Cauchy prior of 0.707 (Goss-Sampson, 2020). Bayes Factors (BF₁₀ and BF₀₁) will be calculated and interpreted according to the guidelines by Lee and Wagenmakers (2014). All statistical analyses will be performed using R.</w:t>
      </w:r>
    </w:p>
    <w:p w14:paraId="756B9589" w14:textId="77777777" w:rsidR="008C0AF9" w:rsidRPr="008C0AF9" w:rsidRDefault="008C0AF9" w:rsidP="008C0AF9">
      <w:pPr>
        <w:pStyle w:val="Heading2"/>
        <w:rPr>
          <w:rFonts w:asciiTheme="majorBidi" w:hAnsiTheme="majorBidi"/>
          <w:b/>
          <w:bCs/>
          <w:color w:val="auto"/>
          <w:sz w:val="24"/>
          <w:szCs w:val="24"/>
        </w:rPr>
      </w:pPr>
      <w:r w:rsidRPr="008C0AF9">
        <w:rPr>
          <w:rFonts w:asciiTheme="majorBidi" w:hAnsiTheme="majorBidi"/>
          <w:b/>
          <w:bCs/>
          <w:color w:val="auto"/>
          <w:sz w:val="24"/>
          <w:szCs w:val="24"/>
        </w:rPr>
        <w:t>Results</w:t>
      </w:r>
      <w:bookmarkEnd w:id="31"/>
      <w:bookmarkEnd w:id="32"/>
      <w:bookmarkEnd w:id="33"/>
    </w:p>
    <w:p w14:paraId="3B54A620" w14:textId="77777777" w:rsidR="008C0AF9" w:rsidRPr="008C0AF9" w:rsidRDefault="008C0AF9" w:rsidP="008C0AF9">
      <w:pPr>
        <w:autoSpaceDE w:val="0"/>
        <w:autoSpaceDN w:val="0"/>
        <w:adjustRightInd w:val="0"/>
        <w:snapToGrid w:val="0"/>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RQ1 involved a descriptive statistical analysis of the 26 LIWC dictionaries (i.e., variables) used in this study. For RQ1a (broad psycholinguistic processes), the variable with the highest </w:t>
      </w:r>
      <w:proofErr w:type="gramStart"/>
      <w:r w:rsidRPr="008C0AF9">
        <w:rPr>
          <w:rFonts w:asciiTheme="majorBidi" w:hAnsiTheme="majorBidi" w:cstheme="majorBidi"/>
          <w:sz w:val="24"/>
          <w:szCs w:val="24"/>
        </w:rPr>
        <w:t>mean</w:t>
      </w:r>
      <w:proofErr w:type="gramEnd"/>
      <w:r w:rsidRPr="008C0AF9">
        <w:rPr>
          <w:rFonts w:asciiTheme="majorBidi" w:hAnsiTheme="majorBidi" w:cstheme="majorBidi"/>
          <w:sz w:val="24"/>
          <w:szCs w:val="24"/>
        </w:rPr>
        <w:t xml:space="preserve"> was authentic (</w:t>
      </w:r>
      <w:r w:rsidRPr="008C0AF9">
        <w:rPr>
          <w:rFonts w:asciiTheme="majorBidi" w:hAnsiTheme="majorBidi" w:cstheme="majorBidi"/>
          <w:i/>
          <w:iCs/>
          <w:sz w:val="24"/>
          <w:szCs w:val="24"/>
        </w:rPr>
        <w:t>M</w:t>
      </w:r>
      <w:r w:rsidRPr="008C0AF9">
        <w:rPr>
          <w:rFonts w:asciiTheme="majorBidi" w:hAnsiTheme="majorBidi" w:cstheme="majorBidi"/>
          <w:sz w:val="24"/>
          <w:szCs w:val="24"/>
        </w:rPr>
        <w:t xml:space="preserve"> = 72.07, </w:t>
      </w:r>
      <w:r w:rsidRPr="008C0AF9">
        <w:rPr>
          <w:rFonts w:asciiTheme="majorBidi" w:hAnsiTheme="majorBidi" w:cstheme="majorBidi"/>
          <w:i/>
          <w:iCs/>
          <w:sz w:val="24"/>
          <w:szCs w:val="24"/>
        </w:rPr>
        <w:t>SD</w:t>
      </w:r>
      <w:r w:rsidRPr="008C0AF9">
        <w:rPr>
          <w:rFonts w:asciiTheme="majorBidi" w:hAnsiTheme="majorBidi" w:cstheme="majorBidi"/>
          <w:sz w:val="24"/>
          <w:szCs w:val="24"/>
        </w:rPr>
        <w:t xml:space="preserve"> = 12.96). Regarding RQ1b (linguistic processes), the first-person singular variable had the highest </w:t>
      </w:r>
      <w:proofErr w:type="gramStart"/>
      <w:r w:rsidRPr="008C0AF9">
        <w:rPr>
          <w:rFonts w:asciiTheme="majorBidi" w:hAnsiTheme="majorBidi" w:cstheme="majorBidi"/>
          <w:sz w:val="24"/>
          <w:szCs w:val="24"/>
        </w:rPr>
        <w:t>mean</w:t>
      </w:r>
      <w:proofErr w:type="gramEnd"/>
      <w:r w:rsidRPr="008C0AF9">
        <w:rPr>
          <w:rFonts w:asciiTheme="majorBidi" w:hAnsiTheme="majorBidi" w:cstheme="majorBidi"/>
          <w:sz w:val="24"/>
          <w:szCs w:val="24"/>
        </w:rPr>
        <w:t xml:space="preserve"> in this category (</w:t>
      </w:r>
      <w:r w:rsidRPr="008C0AF9">
        <w:rPr>
          <w:rFonts w:asciiTheme="majorBidi" w:hAnsiTheme="majorBidi" w:cstheme="majorBidi"/>
          <w:i/>
          <w:iCs/>
          <w:sz w:val="24"/>
          <w:szCs w:val="24"/>
        </w:rPr>
        <w:t>M</w:t>
      </w:r>
      <w:r w:rsidRPr="008C0AF9">
        <w:rPr>
          <w:rFonts w:asciiTheme="majorBidi" w:hAnsiTheme="majorBidi" w:cstheme="majorBidi"/>
          <w:sz w:val="24"/>
          <w:szCs w:val="24"/>
        </w:rPr>
        <w:t xml:space="preserve"> = 5.21, </w:t>
      </w:r>
      <w:r w:rsidRPr="008C0AF9">
        <w:rPr>
          <w:rFonts w:asciiTheme="majorBidi" w:hAnsiTheme="majorBidi" w:cstheme="majorBidi"/>
          <w:i/>
          <w:iCs/>
          <w:sz w:val="24"/>
          <w:szCs w:val="24"/>
        </w:rPr>
        <w:t>SD</w:t>
      </w:r>
      <w:r w:rsidRPr="008C0AF9">
        <w:rPr>
          <w:rFonts w:asciiTheme="majorBidi" w:hAnsiTheme="majorBidi" w:cstheme="majorBidi"/>
          <w:sz w:val="24"/>
          <w:szCs w:val="24"/>
        </w:rPr>
        <w:t xml:space="preserve"> = 1.50). For RQ1c (psychological processes), the highest mean was observed for the insight variable (</w:t>
      </w:r>
      <w:r w:rsidRPr="008C0AF9">
        <w:rPr>
          <w:rFonts w:asciiTheme="majorBidi" w:hAnsiTheme="majorBidi" w:cstheme="majorBidi"/>
          <w:i/>
          <w:iCs/>
          <w:sz w:val="24"/>
          <w:szCs w:val="24"/>
        </w:rPr>
        <w:t>M</w:t>
      </w:r>
      <w:r w:rsidRPr="008C0AF9">
        <w:rPr>
          <w:rFonts w:asciiTheme="majorBidi" w:hAnsiTheme="majorBidi" w:cstheme="majorBidi"/>
          <w:sz w:val="24"/>
          <w:szCs w:val="24"/>
        </w:rPr>
        <w:t xml:space="preserve"> = 3.48, </w:t>
      </w:r>
      <w:r w:rsidRPr="008C0AF9">
        <w:rPr>
          <w:rFonts w:asciiTheme="majorBidi" w:hAnsiTheme="majorBidi" w:cstheme="majorBidi"/>
          <w:i/>
          <w:iCs/>
          <w:sz w:val="24"/>
          <w:szCs w:val="24"/>
        </w:rPr>
        <w:t>SD</w:t>
      </w:r>
      <w:r w:rsidRPr="008C0AF9">
        <w:rPr>
          <w:rFonts w:asciiTheme="majorBidi" w:hAnsiTheme="majorBidi" w:cstheme="majorBidi"/>
          <w:sz w:val="24"/>
          <w:szCs w:val="24"/>
        </w:rPr>
        <w:t xml:space="preserve"> = 0.60), while the lowest mean in this category was found for the friend</w:t>
      </w:r>
      <w:r w:rsidRPr="008C0AF9">
        <w:rPr>
          <w:rFonts w:asciiTheme="majorBidi" w:hAnsiTheme="majorBidi" w:cstheme="majorBidi"/>
          <w:i/>
          <w:iCs/>
          <w:sz w:val="24"/>
          <w:szCs w:val="24"/>
        </w:rPr>
        <w:t xml:space="preserve"> </w:t>
      </w:r>
      <w:r w:rsidRPr="008C0AF9">
        <w:rPr>
          <w:rFonts w:asciiTheme="majorBidi" w:hAnsiTheme="majorBidi" w:cstheme="majorBidi"/>
          <w:sz w:val="24"/>
          <w:szCs w:val="24"/>
        </w:rPr>
        <w:t>variable (</w:t>
      </w:r>
      <w:r w:rsidRPr="008C0AF9">
        <w:rPr>
          <w:rFonts w:asciiTheme="majorBidi" w:hAnsiTheme="majorBidi" w:cstheme="majorBidi"/>
          <w:i/>
          <w:iCs/>
          <w:sz w:val="24"/>
          <w:szCs w:val="24"/>
        </w:rPr>
        <w:t>M</w:t>
      </w:r>
      <w:r w:rsidRPr="008C0AF9">
        <w:rPr>
          <w:rFonts w:asciiTheme="majorBidi" w:hAnsiTheme="majorBidi" w:cstheme="majorBidi"/>
          <w:sz w:val="24"/>
          <w:szCs w:val="24"/>
        </w:rPr>
        <w:t xml:space="preserve"> = 0.16, </w:t>
      </w:r>
      <w:r w:rsidRPr="008C0AF9">
        <w:rPr>
          <w:rFonts w:asciiTheme="majorBidi" w:hAnsiTheme="majorBidi" w:cstheme="majorBidi"/>
          <w:i/>
          <w:iCs/>
          <w:sz w:val="24"/>
          <w:szCs w:val="24"/>
        </w:rPr>
        <w:t>SD</w:t>
      </w:r>
      <w:r w:rsidRPr="008C0AF9">
        <w:rPr>
          <w:rFonts w:asciiTheme="majorBidi" w:hAnsiTheme="majorBidi" w:cstheme="majorBidi"/>
          <w:sz w:val="24"/>
          <w:szCs w:val="24"/>
        </w:rPr>
        <w:t xml:space="preserve"> = 0.14). Finally, for RQ1d (expanded psychosocial processes), the highest mean was found in the focus future variable (</w:t>
      </w:r>
      <w:r w:rsidRPr="008C0AF9">
        <w:rPr>
          <w:rFonts w:asciiTheme="majorBidi" w:hAnsiTheme="majorBidi" w:cstheme="majorBidi"/>
          <w:i/>
          <w:iCs/>
          <w:sz w:val="24"/>
          <w:szCs w:val="24"/>
        </w:rPr>
        <w:t>M</w:t>
      </w:r>
      <w:r w:rsidRPr="008C0AF9">
        <w:rPr>
          <w:rFonts w:asciiTheme="majorBidi" w:hAnsiTheme="majorBidi" w:cstheme="majorBidi"/>
          <w:sz w:val="24"/>
          <w:szCs w:val="24"/>
        </w:rPr>
        <w:t xml:space="preserve"> = 5.32, </w:t>
      </w:r>
      <w:r w:rsidRPr="008C0AF9">
        <w:rPr>
          <w:rFonts w:asciiTheme="majorBidi" w:hAnsiTheme="majorBidi" w:cstheme="majorBidi"/>
          <w:i/>
          <w:iCs/>
          <w:sz w:val="24"/>
          <w:szCs w:val="24"/>
        </w:rPr>
        <w:t>SD</w:t>
      </w:r>
      <w:r w:rsidRPr="008C0AF9">
        <w:rPr>
          <w:rFonts w:asciiTheme="majorBidi" w:hAnsiTheme="majorBidi" w:cstheme="majorBidi"/>
          <w:sz w:val="24"/>
          <w:szCs w:val="24"/>
        </w:rPr>
        <w:t xml:space="preserve"> = 0.90). A full report on the descriptive statistics for all 26 variables is provided in Table 2.2. For further review, table 2.3 presents the distribution of LIWC variables across the corpus, offering further insight into linguistic patterns observed in the dataset.</w:t>
      </w:r>
    </w:p>
    <w:p w14:paraId="3975EF1E" w14:textId="77777777" w:rsidR="008C0AF9" w:rsidRPr="008C0AF9" w:rsidRDefault="008C0AF9" w:rsidP="008C0AF9">
      <w:pPr>
        <w:autoSpaceDE w:val="0"/>
        <w:autoSpaceDN w:val="0"/>
        <w:adjustRightInd w:val="0"/>
        <w:snapToGrid w:val="0"/>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lastRenderedPageBreak/>
        <w:t>RQ2 involved inferential statistical analyses comparing the study data to a reference dataset. For RQ2a (broad psycholinguistic processes), the greatest difference between the two corpora was observed in the authentic variable (</w:t>
      </w:r>
      <w:r w:rsidRPr="008C0AF9">
        <w:rPr>
          <w:rFonts w:asciiTheme="majorBidi" w:hAnsiTheme="majorBidi" w:cstheme="majorBidi"/>
          <w:i/>
          <w:iCs/>
          <w:sz w:val="24"/>
          <w:szCs w:val="24"/>
        </w:rPr>
        <w:t>t</w:t>
      </w:r>
      <w:r w:rsidRPr="008C0AF9">
        <w:rPr>
          <w:rFonts w:asciiTheme="majorBidi" w:hAnsiTheme="majorBidi" w:cstheme="majorBidi"/>
          <w:sz w:val="24"/>
          <w:szCs w:val="24"/>
        </w:rPr>
        <w:t xml:space="preserve"> = 15.57, </w:t>
      </w:r>
      <w:r w:rsidRPr="008C0AF9">
        <w:rPr>
          <w:rFonts w:asciiTheme="majorBidi" w:hAnsiTheme="majorBidi" w:cstheme="majorBidi"/>
          <w:i/>
          <w:iCs/>
          <w:sz w:val="24"/>
          <w:szCs w:val="24"/>
        </w:rPr>
        <w:t>p</w:t>
      </w:r>
      <w:r w:rsidRPr="008C0AF9">
        <w:rPr>
          <w:rFonts w:asciiTheme="majorBidi" w:hAnsiTheme="majorBidi" w:cstheme="majorBidi"/>
          <w:sz w:val="24"/>
          <w:szCs w:val="24"/>
        </w:rPr>
        <w:t xml:space="preserve"> &lt; .001), with a medium effect size (</w:t>
      </w:r>
      <w:r w:rsidRPr="008C0AF9">
        <w:rPr>
          <w:rFonts w:asciiTheme="majorBidi" w:hAnsiTheme="majorBidi" w:cstheme="majorBidi"/>
          <w:i/>
          <w:iCs/>
          <w:sz w:val="24"/>
          <w:szCs w:val="24"/>
        </w:rPr>
        <w:t>d</w:t>
      </w:r>
      <w:r w:rsidRPr="008C0AF9">
        <w:rPr>
          <w:rFonts w:asciiTheme="majorBidi" w:hAnsiTheme="majorBidi" w:cstheme="majorBidi"/>
          <w:sz w:val="24"/>
          <w:szCs w:val="24"/>
        </w:rPr>
        <w:t xml:space="preserve"> = 0.61) and extreme evidence supporting the alternative hypothesis (BF₁₀= 9.07 × 10⁴⁹). In the RQ2b (linguistic processes) category, the largest difference was found in the third-person singular</w:t>
      </w:r>
      <w:r w:rsidRPr="008C0AF9">
        <w:rPr>
          <w:rFonts w:asciiTheme="majorBidi" w:hAnsiTheme="majorBidi" w:cstheme="majorBidi"/>
          <w:i/>
          <w:iCs/>
          <w:sz w:val="24"/>
          <w:szCs w:val="24"/>
        </w:rPr>
        <w:t xml:space="preserve"> </w:t>
      </w:r>
      <w:r w:rsidRPr="008C0AF9">
        <w:rPr>
          <w:rFonts w:asciiTheme="majorBidi" w:hAnsiTheme="majorBidi" w:cstheme="majorBidi"/>
          <w:sz w:val="24"/>
          <w:szCs w:val="24"/>
        </w:rPr>
        <w:t>variable (</w:t>
      </w:r>
      <w:r w:rsidRPr="008C0AF9">
        <w:rPr>
          <w:rFonts w:asciiTheme="majorBidi" w:hAnsiTheme="majorBidi" w:cstheme="majorBidi"/>
          <w:i/>
          <w:iCs/>
          <w:sz w:val="24"/>
          <w:szCs w:val="24"/>
        </w:rPr>
        <w:t>t</w:t>
      </w:r>
      <w:r w:rsidRPr="008C0AF9">
        <w:rPr>
          <w:rFonts w:asciiTheme="majorBidi" w:hAnsiTheme="majorBidi" w:cstheme="majorBidi"/>
          <w:sz w:val="24"/>
          <w:szCs w:val="24"/>
        </w:rPr>
        <w:t xml:space="preserve"> = 23.95, </w:t>
      </w:r>
      <w:r w:rsidRPr="008C0AF9">
        <w:rPr>
          <w:rFonts w:asciiTheme="majorBidi" w:hAnsiTheme="majorBidi" w:cstheme="majorBidi"/>
          <w:i/>
          <w:iCs/>
          <w:sz w:val="24"/>
          <w:szCs w:val="24"/>
        </w:rPr>
        <w:t>p</w:t>
      </w:r>
      <w:r w:rsidRPr="008C0AF9">
        <w:rPr>
          <w:rFonts w:asciiTheme="majorBidi" w:hAnsiTheme="majorBidi" w:cstheme="majorBidi"/>
          <w:sz w:val="24"/>
          <w:szCs w:val="24"/>
        </w:rPr>
        <w:t xml:space="preserve"> &lt; .001), with a large effect size (</w:t>
      </w:r>
      <w:r w:rsidRPr="008C0AF9">
        <w:rPr>
          <w:rFonts w:asciiTheme="majorBidi" w:hAnsiTheme="majorBidi" w:cstheme="majorBidi"/>
          <w:i/>
          <w:iCs/>
          <w:sz w:val="24"/>
          <w:szCs w:val="24"/>
        </w:rPr>
        <w:t>d</w:t>
      </w:r>
      <w:r w:rsidRPr="008C0AF9">
        <w:rPr>
          <w:rFonts w:asciiTheme="majorBidi" w:hAnsiTheme="majorBidi" w:cstheme="majorBidi"/>
          <w:sz w:val="24"/>
          <w:szCs w:val="24"/>
        </w:rPr>
        <w:t xml:space="preserve"> = 1.03) and extreme evidence supporting the alternative hypothesis (BF₁₀ = 5.37 × 10¹¹⁶). For RQ2c (psychological processes), the most substantial difference was observed in the insight variable (</w:t>
      </w:r>
      <w:r w:rsidRPr="008C0AF9">
        <w:rPr>
          <w:rFonts w:asciiTheme="majorBidi" w:hAnsiTheme="majorBidi" w:cstheme="majorBidi"/>
          <w:i/>
          <w:iCs/>
          <w:sz w:val="24"/>
          <w:szCs w:val="24"/>
        </w:rPr>
        <w:t>t</w:t>
      </w:r>
      <w:r w:rsidRPr="008C0AF9">
        <w:rPr>
          <w:rFonts w:asciiTheme="majorBidi" w:hAnsiTheme="majorBidi" w:cstheme="majorBidi"/>
          <w:sz w:val="24"/>
          <w:szCs w:val="24"/>
        </w:rPr>
        <w:t xml:space="preserve"> = 29.75, </w:t>
      </w:r>
      <w:r w:rsidRPr="008C0AF9">
        <w:rPr>
          <w:rFonts w:asciiTheme="majorBidi" w:hAnsiTheme="majorBidi" w:cstheme="majorBidi"/>
          <w:i/>
          <w:iCs/>
          <w:sz w:val="24"/>
          <w:szCs w:val="24"/>
        </w:rPr>
        <w:t>p</w:t>
      </w:r>
      <w:r w:rsidRPr="008C0AF9">
        <w:rPr>
          <w:rFonts w:asciiTheme="majorBidi" w:hAnsiTheme="majorBidi" w:cstheme="majorBidi"/>
          <w:sz w:val="24"/>
          <w:szCs w:val="24"/>
        </w:rPr>
        <w:t xml:space="preserve"> &lt; .001), with a large effect size (</w:t>
      </w:r>
      <w:r w:rsidRPr="008C0AF9">
        <w:rPr>
          <w:rFonts w:asciiTheme="majorBidi" w:hAnsiTheme="majorBidi" w:cstheme="majorBidi"/>
          <w:i/>
          <w:iCs/>
          <w:sz w:val="24"/>
          <w:szCs w:val="24"/>
        </w:rPr>
        <w:t>d</w:t>
      </w:r>
      <w:r w:rsidRPr="008C0AF9">
        <w:rPr>
          <w:rFonts w:asciiTheme="majorBidi" w:hAnsiTheme="majorBidi" w:cstheme="majorBidi"/>
          <w:sz w:val="24"/>
          <w:szCs w:val="24"/>
        </w:rPr>
        <w:t xml:space="preserve"> = 1.18) and extreme evidence supporting the alternative hypothesis (BF₁₀ = 2.48 × 10¹⁷⁶). Finally, in RQ2d (expanded psychosocial processes), the largest difference was identified in the mental illness variable (</w:t>
      </w:r>
      <w:r w:rsidRPr="008C0AF9">
        <w:rPr>
          <w:rFonts w:asciiTheme="majorBidi" w:hAnsiTheme="majorBidi" w:cstheme="majorBidi"/>
          <w:i/>
          <w:iCs/>
          <w:sz w:val="24"/>
          <w:szCs w:val="24"/>
        </w:rPr>
        <w:t>t</w:t>
      </w:r>
      <w:r w:rsidRPr="008C0AF9">
        <w:rPr>
          <w:rFonts w:asciiTheme="majorBidi" w:hAnsiTheme="majorBidi" w:cstheme="majorBidi"/>
          <w:sz w:val="24"/>
          <w:szCs w:val="24"/>
        </w:rPr>
        <w:t xml:space="preserve"> = 79.48, </w:t>
      </w:r>
      <w:r w:rsidRPr="008C0AF9">
        <w:rPr>
          <w:rFonts w:asciiTheme="majorBidi" w:hAnsiTheme="majorBidi" w:cstheme="majorBidi"/>
          <w:i/>
          <w:iCs/>
          <w:sz w:val="24"/>
          <w:szCs w:val="24"/>
        </w:rPr>
        <w:t>p</w:t>
      </w:r>
      <w:r w:rsidRPr="008C0AF9">
        <w:rPr>
          <w:rFonts w:asciiTheme="majorBidi" w:hAnsiTheme="majorBidi" w:cstheme="majorBidi"/>
          <w:sz w:val="24"/>
          <w:szCs w:val="24"/>
        </w:rPr>
        <w:t xml:space="preserve"> &lt; .001), with a large effect size (</w:t>
      </w:r>
      <w:r w:rsidRPr="008C0AF9">
        <w:rPr>
          <w:rFonts w:asciiTheme="majorBidi" w:hAnsiTheme="majorBidi" w:cstheme="majorBidi"/>
          <w:i/>
          <w:iCs/>
          <w:sz w:val="24"/>
          <w:szCs w:val="24"/>
        </w:rPr>
        <w:t>d</w:t>
      </w:r>
      <w:r w:rsidRPr="008C0AF9">
        <w:rPr>
          <w:rFonts w:asciiTheme="majorBidi" w:hAnsiTheme="majorBidi" w:cstheme="majorBidi"/>
          <w:sz w:val="24"/>
          <w:szCs w:val="24"/>
        </w:rPr>
        <w:t xml:space="preserve"> = 2.29) and extreme evidence supporting the alternative hypothesis (BF₁₀ = 1.99 × 10⁹¹³). A complete record of the inferential analysis results for all 26 variables is presented in Table 2.4.</w:t>
      </w:r>
    </w:p>
    <w:p w14:paraId="7C633566" w14:textId="77777777" w:rsidR="008C0AF9" w:rsidRPr="008C0AF9" w:rsidRDefault="008C0AF9" w:rsidP="008C0AF9">
      <w:pPr>
        <w:pStyle w:val="Heading2"/>
        <w:rPr>
          <w:rFonts w:asciiTheme="majorBidi" w:hAnsiTheme="majorBidi"/>
          <w:b/>
          <w:bCs/>
          <w:color w:val="auto"/>
          <w:sz w:val="24"/>
          <w:szCs w:val="24"/>
        </w:rPr>
      </w:pPr>
      <w:bookmarkStart w:id="34" w:name="_Toc203736333"/>
      <w:bookmarkStart w:id="35" w:name="_Toc203736416"/>
      <w:bookmarkStart w:id="36" w:name="_Toc203736659"/>
      <w:r w:rsidRPr="008C0AF9">
        <w:rPr>
          <w:rFonts w:asciiTheme="majorBidi" w:hAnsiTheme="majorBidi"/>
          <w:b/>
          <w:bCs/>
          <w:color w:val="auto"/>
          <w:sz w:val="24"/>
          <w:szCs w:val="24"/>
        </w:rPr>
        <w:t>Discussion</w:t>
      </w:r>
      <w:bookmarkEnd w:id="34"/>
      <w:bookmarkEnd w:id="35"/>
      <w:bookmarkEnd w:id="36"/>
      <w:r w:rsidRPr="008C0AF9">
        <w:rPr>
          <w:rFonts w:asciiTheme="majorBidi" w:hAnsiTheme="majorBidi"/>
          <w:b/>
          <w:bCs/>
          <w:color w:val="auto"/>
          <w:sz w:val="24"/>
          <w:szCs w:val="24"/>
        </w:rPr>
        <w:t xml:space="preserve"> </w:t>
      </w:r>
    </w:p>
    <w:p w14:paraId="050492A7"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hAnsiTheme="majorBidi" w:cstheme="majorBidi"/>
          <w:sz w:val="24"/>
          <w:szCs w:val="24"/>
        </w:rPr>
        <w:t xml:space="preserve">This study examined the linguistic characteristics of psychedelic subreddit comments with ED as a keyword. Specifically, it analyzed how authors express emotional and psychological processes in their writing in these comments. This discussion section first outlines the key findings related to emotional and psychological expressions, followed by an analysis of the implications of these findings for understanding the intersection of language, psychedelics, and EDs. </w:t>
      </w:r>
      <w:r w:rsidRPr="008C0AF9">
        <w:rPr>
          <w:rFonts w:asciiTheme="majorBidi" w:hAnsiTheme="majorBidi" w:cstheme="majorBidi"/>
          <w:color w:val="000000"/>
          <w:sz w:val="24"/>
          <w:szCs w:val="24"/>
        </w:rPr>
        <w:t>Given that the results for RQ1a–d are a constituent part of the results for RQ2a–d, the discussion of the reasons behind the observed results are addressed part by part (e.g., RQ1a and RQ2a). This discussion is meant to highlight potential trends and patterns. It does not imply hard ground definitive causal relationships.</w:t>
      </w:r>
    </w:p>
    <w:p w14:paraId="1B7AC93E" w14:textId="77777777" w:rsidR="008C0AF9" w:rsidRPr="008C0AF9" w:rsidRDefault="008C0AF9" w:rsidP="008C0AF9">
      <w:pPr>
        <w:tabs>
          <w:tab w:val="left" w:pos="990"/>
        </w:tabs>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lastRenderedPageBreak/>
        <w:t xml:space="preserve">The findings for RQ1a and RQ2a reveal distinct psycholinguistic patterns in psychedelic subreddit lists discussing EDs. Compared to the reference group, these comments exhibit high clout, tone, and authenticity, with low analytic thinking. The results may be explained by the fact that authors prefer to engage in emotional expression over structured reasoning when discussing sensitive and socially “taboo” topics such as EDs. This intimate narrative flow could be more intellectually and emotionally satisfying than a structured format. Promising research in this vein indicates how individuals discussing personal narratives tend to adopt an intimate and expressive linguistic style rather than an analytical one (Baikie &amp; Wilhelm, 2005), perhaps expanding an inner window of tolerance that allows them to process difficult emotions and gain a deeper understanding of their psychological state (Xu et al., 2021). This trend aligns with the observed linguistic patterns, where self-disclosure about eating related issues and identity construction </w:t>
      </w:r>
      <w:proofErr w:type="gramStart"/>
      <w:r w:rsidRPr="008C0AF9">
        <w:rPr>
          <w:rFonts w:asciiTheme="majorBidi" w:hAnsiTheme="majorBidi" w:cstheme="majorBidi"/>
          <w:sz w:val="24"/>
          <w:szCs w:val="24"/>
        </w:rPr>
        <w:t>are</w:t>
      </w:r>
      <w:proofErr w:type="gramEnd"/>
      <w:r w:rsidRPr="008C0AF9">
        <w:rPr>
          <w:rFonts w:asciiTheme="majorBidi" w:hAnsiTheme="majorBidi" w:cstheme="majorBidi"/>
          <w:sz w:val="24"/>
          <w:szCs w:val="24"/>
        </w:rPr>
        <w:t xml:space="preserve"> notably more pronounced over analytical reasoning. </w:t>
      </w:r>
    </w:p>
    <w:p w14:paraId="50870852"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Another plausible explanation is that psychedelic experiences are embedded in experiential and subjective matters, while naturally moving away from detached analysis. Psychedelic experiences are known to produce deeply profound sensory and emotional states that are challenging to express through nonemotionally focused language. Foundational to this concept, individuals may engage in creative, abstract, and emotional expressions that reappraise the qualities of their experiences. Indeed, a review conducted by Jungaberle et al. (2018) revealed psychedelics’ potential in unlocking mood, well-being, openness, flexibility, and mindfulness-related capabilities. The increased openness associated with psychedelic experiences may relate to individuals expressing their emotions more freely, which corresponds with the observed psycholinguistic patterns in the comments analyzed. </w:t>
      </w:r>
    </w:p>
    <w:p w14:paraId="6756FF7D"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lastRenderedPageBreak/>
        <w:t xml:space="preserve">Between the two explanations, the latter seems more plausible, as the psychedelic experience opens dimensions for personal transformation and emotional depth, all favorable conditions for authentic word usage for the here-and-now. We paid special attention to this as evidence suggests that individuals engaged in psychedelic experiences tend to show an increase in the personality trait of openness for new experiences (Erritzoe et al., 2019; Griffith et al., 2011). The emotional vividness and sensory components connected with psychedelic experiences may relate to bloggers’ choice of expression, as these features often set a stage for self-reflection and processing during these discussions, boding well for a deeper engagement with one's internal state in an authentic fashion. </w:t>
      </w:r>
    </w:p>
    <w:p w14:paraId="0F94461D"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For RQ1b and RQ2b</w:t>
      </w:r>
      <w:r w:rsidRPr="008C0AF9">
        <w:rPr>
          <w:rFonts w:asciiTheme="majorBidi" w:eastAsia="Times New Roman" w:hAnsiTheme="majorBidi" w:cstheme="majorBidi"/>
          <w:sz w:val="24"/>
          <w:szCs w:val="24"/>
        </w:rPr>
        <w:t xml:space="preserve">, the </w:t>
      </w:r>
      <w:r w:rsidRPr="008C0AF9">
        <w:rPr>
          <w:rFonts w:asciiTheme="majorBidi" w:hAnsiTheme="majorBidi" w:cstheme="majorBidi"/>
          <w:sz w:val="24"/>
          <w:szCs w:val="24"/>
        </w:rPr>
        <w:t xml:space="preserve">observed linguistic differences in analyzed comments referencing EDs suggest that pronoun usage signals distinct cognitive and psychological processes underlying each discourse. The high </w:t>
      </w:r>
      <w:proofErr w:type="gramStart"/>
      <w:r w:rsidRPr="008C0AF9">
        <w:rPr>
          <w:rFonts w:asciiTheme="majorBidi" w:hAnsiTheme="majorBidi" w:cstheme="majorBidi"/>
          <w:sz w:val="24"/>
          <w:szCs w:val="24"/>
        </w:rPr>
        <w:t>mean</w:t>
      </w:r>
      <w:proofErr w:type="gramEnd"/>
      <w:r w:rsidRPr="008C0AF9">
        <w:rPr>
          <w:rFonts w:asciiTheme="majorBidi" w:hAnsiTheme="majorBidi" w:cstheme="majorBidi"/>
          <w:sz w:val="24"/>
          <w:szCs w:val="24"/>
        </w:rPr>
        <w:t xml:space="preserve"> of first-person singular pronouns (</w:t>
      </w:r>
      <w:r w:rsidRPr="008C0AF9">
        <w:rPr>
          <w:rFonts w:asciiTheme="majorBidi" w:hAnsiTheme="majorBidi" w:cstheme="majorBidi"/>
          <w:i/>
          <w:iCs/>
          <w:sz w:val="24"/>
          <w:szCs w:val="24"/>
        </w:rPr>
        <w:t>M</w:t>
      </w:r>
      <w:r w:rsidRPr="008C0AF9">
        <w:rPr>
          <w:rFonts w:asciiTheme="majorBidi" w:hAnsiTheme="majorBidi" w:cstheme="majorBidi"/>
          <w:sz w:val="24"/>
          <w:szCs w:val="24"/>
        </w:rPr>
        <w:t xml:space="preserve"> = 5.21, </w:t>
      </w:r>
      <w:r w:rsidRPr="008C0AF9">
        <w:rPr>
          <w:rFonts w:asciiTheme="majorBidi" w:hAnsiTheme="majorBidi" w:cstheme="majorBidi"/>
          <w:i/>
          <w:iCs/>
          <w:sz w:val="24"/>
          <w:szCs w:val="24"/>
        </w:rPr>
        <w:t>SD</w:t>
      </w:r>
      <w:r w:rsidRPr="008C0AF9">
        <w:rPr>
          <w:rFonts w:asciiTheme="majorBidi" w:hAnsiTheme="majorBidi" w:cstheme="majorBidi"/>
          <w:sz w:val="24"/>
          <w:szCs w:val="24"/>
        </w:rPr>
        <w:t xml:space="preserve"> = 1.50) in RQ1b bodes well with prior research showing that individuals with mental health conditions tend to rely on self-referential language to narrate difficult emotions (Edwards &amp; Holtzman, 2017). Online platforms focusing on eating related issues are often marked with an explicit writing style that is nontechnical, real, and human. As a result, language expressed is not geared to attract academic prose but rather to feature personal storytelling, internal struggles, and intense emotions. This compounds a self-driven narrative style that favors introspection and identity-specific discourse. However, the noted significant increase in third-person singular pronouns (</w:t>
      </w:r>
      <w:r w:rsidRPr="008C0AF9">
        <w:rPr>
          <w:rFonts w:asciiTheme="majorBidi" w:hAnsiTheme="majorBidi" w:cstheme="majorBidi"/>
          <w:i/>
          <w:iCs/>
          <w:sz w:val="24"/>
          <w:szCs w:val="24"/>
        </w:rPr>
        <w:t>t</w:t>
      </w:r>
      <w:r w:rsidRPr="008C0AF9">
        <w:rPr>
          <w:rFonts w:asciiTheme="majorBidi" w:hAnsiTheme="majorBidi" w:cstheme="majorBidi"/>
          <w:sz w:val="24"/>
          <w:szCs w:val="24"/>
        </w:rPr>
        <w:t xml:space="preserve"> = 23.95, </w:t>
      </w:r>
      <w:r w:rsidRPr="008C0AF9">
        <w:rPr>
          <w:rFonts w:asciiTheme="majorBidi" w:hAnsiTheme="majorBidi" w:cstheme="majorBidi"/>
          <w:i/>
          <w:iCs/>
          <w:sz w:val="24"/>
          <w:szCs w:val="24"/>
        </w:rPr>
        <w:t>p</w:t>
      </w:r>
      <w:r w:rsidRPr="008C0AF9">
        <w:rPr>
          <w:rFonts w:asciiTheme="majorBidi" w:hAnsiTheme="majorBidi" w:cstheme="majorBidi"/>
          <w:sz w:val="24"/>
          <w:szCs w:val="24"/>
        </w:rPr>
        <w:t xml:space="preserve"> &lt; .001, </w:t>
      </w:r>
      <w:r w:rsidRPr="008C0AF9">
        <w:rPr>
          <w:rFonts w:asciiTheme="majorBidi" w:hAnsiTheme="majorBidi" w:cstheme="majorBidi"/>
          <w:i/>
          <w:iCs/>
          <w:sz w:val="24"/>
          <w:szCs w:val="24"/>
        </w:rPr>
        <w:t>d</w:t>
      </w:r>
      <w:r w:rsidRPr="008C0AF9">
        <w:rPr>
          <w:rFonts w:asciiTheme="majorBidi" w:hAnsiTheme="majorBidi" w:cstheme="majorBidi"/>
          <w:sz w:val="24"/>
          <w:szCs w:val="24"/>
        </w:rPr>
        <w:t xml:space="preserve"> = 1.03) observed in RQ2b suggests a shift toward externalized language, which is consistent within the context of psychedelic use. Psychedelic experiences are often linked with transcendental experiences that embody ego dissolution, providing synergistic </w:t>
      </w:r>
      <w:r w:rsidRPr="008C0AF9">
        <w:rPr>
          <w:rFonts w:asciiTheme="majorBidi" w:hAnsiTheme="majorBidi" w:cstheme="majorBidi"/>
          <w:sz w:val="24"/>
          <w:szCs w:val="24"/>
        </w:rPr>
        <w:lastRenderedPageBreak/>
        <w:t xml:space="preserve">descriptions that </w:t>
      </w:r>
      <w:proofErr w:type="gramStart"/>
      <w:r w:rsidRPr="008C0AF9">
        <w:rPr>
          <w:rFonts w:asciiTheme="majorBidi" w:hAnsiTheme="majorBidi" w:cstheme="majorBidi"/>
          <w:sz w:val="24"/>
          <w:szCs w:val="24"/>
        </w:rPr>
        <w:t>extends</w:t>
      </w:r>
      <w:proofErr w:type="gramEnd"/>
      <w:r w:rsidRPr="008C0AF9">
        <w:rPr>
          <w:rFonts w:asciiTheme="majorBidi" w:hAnsiTheme="majorBidi" w:cstheme="majorBidi"/>
          <w:sz w:val="24"/>
          <w:szCs w:val="24"/>
        </w:rPr>
        <w:t xml:space="preserve"> beyond the self to include relational contexts, including insights related to one’s community and environment (Perkins et al., 2023). </w:t>
      </w:r>
    </w:p>
    <w:p w14:paraId="465288FF"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Another competing explanation is that linguistic differences may also stem from how individuals construct and frame narratives when discussing personal struggles versus transformative experiences. ED discourse </w:t>
      </w:r>
      <w:proofErr w:type="gramStart"/>
      <w:r w:rsidRPr="008C0AF9">
        <w:rPr>
          <w:rFonts w:asciiTheme="majorBidi" w:hAnsiTheme="majorBidi" w:cstheme="majorBidi"/>
          <w:sz w:val="24"/>
          <w:szCs w:val="24"/>
        </w:rPr>
        <w:t>involve</w:t>
      </w:r>
      <w:proofErr w:type="gramEnd"/>
      <w:r w:rsidRPr="008C0AF9">
        <w:rPr>
          <w:rFonts w:asciiTheme="majorBidi" w:hAnsiTheme="majorBidi" w:cstheme="majorBidi"/>
          <w:sz w:val="24"/>
          <w:szCs w:val="24"/>
        </w:rPr>
        <w:t xml:space="preserve"> rumination, self-criticism, and identity battles, making first-person singular pronouns a natural linguistic inclination. This supports a communicative choice in which the individual is the author of their own story. However, the inclusion of psychedelic discussion into ED discourse may have promoted experiential descriptions, philosophical reflections, or altered perceptions, naturally shifting the focus beyond the self. This perspective aligns with research on psychedelic-induced perspective shifts, where individuals report feeling connected to abstract and externalized concepts (Fischman, 2022). The significant effect size and extreme Bayesian factor (BF₁₀ = 5.37 × 10¹¹⁶) in RQ2b further support this shift, indicating that the difference in pronoun use is not random but rather a consistent pattern influenced by the subject matter and its associated cognitive framing.</w:t>
      </w:r>
    </w:p>
    <w:p w14:paraId="675E7CE5"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While self-focus and externalization play a role in linguistic differences, the way online discourse structured its content is likely to have a stronger influence on pronoun use. Online platforms hosting eating related issues revolve around describing one’s mind and body disturbances (Gies &amp; Martino, 2014), naturally leading to a high usage rate of first-person pronouns. In contrast, narratives about psychedelic experiences are often framed as transformative, observational, or relational (Tagliazucchi, 2022), which explains the increase in third-person singular pronouns. There is a general agreement that language is often shaped by the topic being discussed, which could overshadow individualistic features. This linguistic pattern also bodes well with narrative therapy theory, which views people’s meaning making and </w:t>
      </w:r>
      <w:r w:rsidRPr="008C0AF9">
        <w:rPr>
          <w:rFonts w:asciiTheme="majorBidi" w:hAnsiTheme="majorBidi" w:cstheme="majorBidi"/>
          <w:sz w:val="24"/>
          <w:szCs w:val="24"/>
        </w:rPr>
        <w:lastRenderedPageBreak/>
        <w:t>identity formation to be tied to the language they use (White &amp; Epston, 1990). In narrative therapy, individuals posit themselves in relation to problems and experiences utilizing a language that references pronouns usage and shifts. For example, problem-saturated stories tend to lean on internalized language while externalized focused language tend to focus on extending beyond the    self, often a signal of re-authoring stories (Angus &amp; McLeod, 2004). The observed pronoun shifts in this study may therefore be interpreted not only as correlates of psychedelic-induced openness but also as evidence of how discourse itself functions as a medium for identity construction, consistent with narrative therapy’s theoretical underpinnings. This favors the narrative structure explanation, which provides a more stable, content-driven reason for the observed linguistic shifts, making it the stronger of the two explanations.</w:t>
      </w:r>
    </w:p>
    <w:p w14:paraId="2EEA4A5D"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hAnsiTheme="majorBidi" w:cstheme="majorBidi"/>
          <w:sz w:val="24"/>
          <w:szCs w:val="24"/>
        </w:rPr>
        <w:t>Next are the results for RQ1C and RQ2C. These findings provide valuable insights into the psychological processes of individuals discussing eating-related issues and psychedelic use, particularly when compared to the reference corpus. We begin with the high mean score of the insight category. Results revealed that individuals in these posts engage in a deeper level of self-reflection and emotional processing, potentially facilitated by their use of psychedelics. Alexander Shulgin, a well-known psychedelic chemist, argues that some psychedelic compounds can deepen introspection (Shulgin &amp; Shulgin, 1991). There is some evidence to support this interpretation. Research has shown an undeniable pathway between psychedelics and introspection (Jungwirth et al., 2024; Maclean et al. </w:t>
      </w:r>
      <w:hyperlink r:id="rId9" w:history="1">
        <w:r w:rsidRPr="008C0AF9">
          <w:rPr>
            <w:rStyle w:val="Hyperlink"/>
            <w:rFonts w:asciiTheme="majorBidi" w:hAnsiTheme="majorBidi" w:cstheme="majorBidi"/>
            <w:color w:val="auto"/>
            <w:sz w:val="24"/>
            <w:szCs w:val="24"/>
          </w:rPr>
          <w:t>2013</w:t>
        </w:r>
      </w:hyperlink>
      <w:r w:rsidRPr="008C0AF9">
        <w:rPr>
          <w:rFonts w:asciiTheme="majorBidi" w:hAnsiTheme="majorBidi" w:cstheme="majorBidi"/>
          <w:sz w:val="24"/>
          <w:szCs w:val="24"/>
        </w:rPr>
        <w:t xml:space="preserve">). This factor enables individuals to confront their emotions and experiences more effectively. In turn, these newly found transformative experiences could help individuals better understand the underlying causes of their eating issues. In parallel and as captured in the cause category, analyzed posts exhibited a higher mean (1.90) than the reference group (1.7), suggesting that a focus on cause could </w:t>
      </w:r>
      <w:r w:rsidRPr="008C0AF9">
        <w:rPr>
          <w:rFonts w:asciiTheme="majorBidi" w:hAnsiTheme="majorBidi" w:cstheme="majorBidi"/>
          <w:sz w:val="24"/>
          <w:szCs w:val="24"/>
        </w:rPr>
        <w:lastRenderedPageBreak/>
        <w:t>empower individuals to talk about their struggles more openly, potentially aiding in their recovery.</w:t>
      </w:r>
    </w:p>
    <w:p w14:paraId="6D339E36"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hAnsiTheme="majorBidi" w:cstheme="majorBidi"/>
          <w:sz w:val="24"/>
          <w:szCs w:val="24"/>
        </w:rPr>
        <w:t>Results also reveal elevated trends in negative emotions and low references to social support structures, such as family and friends. There is value in looking into this expression of negative emotions as it may provide insight into how such intense discussions could amplify feelings of sadness or distress. This duality debunks a preexisting myth that psychedelic state is a utopic experience free of intense emotions (Evans et al., 2023). In contrast, research has shown that emotional healing by way of psychedelia requires navigating and confronting intense feelings and emotional upheavals (Fotiou &amp; Gearin, 2019). This encompassing explanation raises awareness that individuals might benefit from therapeutic support that integrates both inner personal changes gained from psychedelics and relational processes furnished by social connections to bolster a positive recovery journey.</w:t>
      </w:r>
    </w:p>
    <w:p w14:paraId="704961F2"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hAnsiTheme="majorBidi" w:cstheme="majorBidi"/>
          <w:sz w:val="24"/>
          <w:szCs w:val="24"/>
        </w:rPr>
        <w:t xml:space="preserve">The findings bear witness to how individuals may struggle with emotional regulation and </w:t>
      </w:r>
      <w:proofErr w:type="gramStart"/>
      <w:r w:rsidRPr="008C0AF9">
        <w:rPr>
          <w:rFonts w:asciiTheme="majorBidi" w:hAnsiTheme="majorBidi" w:cstheme="majorBidi"/>
          <w:sz w:val="24"/>
          <w:szCs w:val="24"/>
        </w:rPr>
        <w:t>coping</w:t>
      </w:r>
      <w:proofErr w:type="gramEnd"/>
      <w:r w:rsidRPr="008C0AF9">
        <w:rPr>
          <w:rFonts w:asciiTheme="majorBidi" w:hAnsiTheme="majorBidi" w:cstheme="majorBidi"/>
          <w:sz w:val="24"/>
          <w:szCs w:val="24"/>
        </w:rPr>
        <w:t xml:space="preserve"> mechanisms. This complexity is striking as reflected in the intense report of the high insight score, which may indicate a presence of profound self-awareness along with significant expression of negative emotions. This suggests challenges in managing the intense emotions that surface. The low references to family and friends further imply that individuals may be on the same experiential continuum of directing struggles inward rather than reaching out for support. This could be a catalyst to recorded feelings of sadness and emotional distress. This interpretation also underpins the well-rounded view that healing from eating-related issues becomes a reality when layers of non-judgmental regard, safety, social, and environmental support are provided.</w:t>
      </w:r>
    </w:p>
    <w:p w14:paraId="4A3F6325"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hAnsiTheme="majorBidi" w:cstheme="majorBidi"/>
          <w:sz w:val="24"/>
          <w:szCs w:val="24"/>
        </w:rPr>
        <w:lastRenderedPageBreak/>
        <w:t xml:space="preserve">Among the explanations provided, the first one appears to be the most plausible as it acknowledges the relationship between insight and support. It provides a bifocal lens that recognizes the potential emotional restoration and renewal from psychedelic </w:t>
      </w:r>
      <w:proofErr w:type="gramStart"/>
      <w:r w:rsidRPr="008C0AF9">
        <w:rPr>
          <w:rFonts w:asciiTheme="majorBidi" w:hAnsiTheme="majorBidi" w:cstheme="majorBidi"/>
          <w:sz w:val="24"/>
          <w:szCs w:val="24"/>
        </w:rPr>
        <w:t>use;</w:t>
      </w:r>
      <w:proofErr w:type="gramEnd"/>
      <w:r w:rsidRPr="008C0AF9">
        <w:rPr>
          <w:rFonts w:asciiTheme="majorBidi" w:hAnsiTheme="majorBidi" w:cstheme="majorBidi"/>
          <w:sz w:val="24"/>
          <w:szCs w:val="24"/>
        </w:rPr>
        <w:t xml:space="preserve"> while not undermining the serious therapeutic weight of social determinants such as one’s circle of family and friends. The scope of this interpretation allows for a more holistic view of how ED treatment strategies must capture both personal growth and social connectedness. These findings bring systemic and peer-based models to the forefront. In </w:t>
      </w:r>
      <w:proofErr w:type="gramStart"/>
      <w:r w:rsidRPr="008C0AF9">
        <w:rPr>
          <w:rFonts w:asciiTheme="majorBidi" w:hAnsiTheme="majorBidi" w:cstheme="majorBidi"/>
          <w:sz w:val="24"/>
          <w:szCs w:val="24"/>
        </w:rPr>
        <w:t>addiction</w:t>
      </w:r>
      <w:proofErr w:type="gramEnd"/>
      <w:r w:rsidRPr="008C0AF9">
        <w:rPr>
          <w:rFonts w:asciiTheme="majorBidi" w:hAnsiTheme="majorBidi" w:cstheme="majorBidi"/>
          <w:sz w:val="24"/>
          <w:szCs w:val="24"/>
        </w:rPr>
        <w:t xml:space="preserve"> treatment, peer support recovery models demonstrate how such environments can bring connectedness, reduce isolation, and increase empowerment and accountability (Tracy &amp; Wallace, 2016; Eddie et al., 2019). ED treatment brings some peer-recovery models, however, not in as much variety and accessibility as addiction treatment. ED treatment could benefit from peer-support groups to address the absence of familial or friendship support by creating alternative communities of trust and connection. In the context of online discourse, digital communities often fill this social gap when family and friends are absent or inaccessible (Naslund et al., 2016). Digital peer-support recovery groups for EDs could hold some promising social support benefits, taken </w:t>
      </w:r>
      <w:proofErr w:type="gramStart"/>
      <w:r w:rsidRPr="008C0AF9">
        <w:rPr>
          <w:rFonts w:asciiTheme="majorBidi" w:hAnsiTheme="majorBidi" w:cstheme="majorBidi"/>
          <w:sz w:val="24"/>
          <w:szCs w:val="24"/>
        </w:rPr>
        <w:t>with</w:t>
      </w:r>
      <w:proofErr w:type="gramEnd"/>
      <w:r w:rsidRPr="008C0AF9">
        <w:rPr>
          <w:rFonts w:asciiTheme="majorBidi" w:hAnsiTheme="majorBidi" w:cstheme="majorBidi"/>
          <w:sz w:val="24"/>
          <w:szCs w:val="24"/>
        </w:rPr>
        <w:t xml:space="preserve"> consideration and care for issues of safety, misinformation, and triggering content. </w:t>
      </w:r>
    </w:p>
    <w:p w14:paraId="7CCB615F"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hAnsiTheme="majorBidi" w:cstheme="majorBidi"/>
          <w:sz w:val="24"/>
          <w:szCs w:val="24"/>
        </w:rPr>
        <w:t xml:space="preserve">The importance of context in shaping language is evident in these findings. Results reveal that linguistic markers present in these blogs not only mark a divergence from general blogging practices but also highlight the need for sensitivity and understanding when addressing emotionally charged subjects such as ED and psychedelic use. The emotional depth of these narratives offers a new appreciation for how language can be a process and a tool in facilitating connection and support within these communities and beyond. </w:t>
      </w:r>
    </w:p>
    <w:p w14:paraId="21637F09"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lastRenderedPageBreak/>
        <w:t xml:space="preserve">Finally, the analysis for RQ1d and RQ2d results reveal two compelling explanations for the expanded dictionary on linguistic style used by individuals discussing their experiences of managing distorted eating with psychedelics. The first explanation point </w:t>
      </w:r>
      <w:proofErr w:type="gramStart"/>
      <w:r w:rsidRPr="008C0AF9">
        <w:rPr>
          <w:rFonts w:asciiTheme="majorBidi" w:hAnsiTheme="majorBidi" w:cstheme="majorBidi"/>
          <w:sz w:val="24"/>
          <w:szCs w:val="24"/>
        </w:rPr>
        <w:t>to</w:t>
      </w:r>
      <w:proofErr w:type="gramEnd"/>
      <w:r w:rsidRPr="008C0AF9">
        <w:rPr>
          <w:rFonts w:asciiTheme="majorBidi" w:hAnsiTheme="majorBidi" w:cstheme="majorBidi"/>
          <w:sz w:val="24"/>
          <w:szCs w:val="24"/>
        </w:rPr>
        <w:t xml:space="preserve"> psychedelics’ potential to enhance emotional insight and processing while fostering a future-oriented mindset focused on wellness goals. This is evidenced by a pronounced increase in emotional language compared to the reference corpus. Additionally, the strong focus on wellness indicates a shift that permeates healing and recovery. Other observations worth mentioning are the reduction of sexual language in these corpora, suggesting that the psychedelic experience may be associated with redirecting attention from sexualized themes to deeper emotional structures. This supports research on the therapeutic potential of psychedelics in fostering emotional awareness (Kajonius et al., 2025; St. Arnaud &amp; Sharpe, 2023) and perhaps activates one’s own healing intelligence. </w:t>
      </w:r>
    </w:p>
    <w:p w14:paraId="010D4A20"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Another compelling interpretation is that the significant data regarding talk about mental illness mirrors the social and cultural acceptance provided by online forums that allow individuals to discuss their challenges about eating related issues along with the negative emotions and stressors associated with them. However, despite this high elevation on language markers of mental illness cues, the expectation of discussions around eating-related issues to be focused on food shows differently in the results. The findings show a relatively low emphasis on food-related language in both groups. Nonetheless, the comments analyzed mentioned food less when compared to the reference corpus. This suggests that, rather than concentrating solely on food and eating behaviors, authors of these comments might be gearing their attention on other elements including feelings and emotions surrounding their eating-related issues. This shift indicates a more complex understanding of their experiences that goes beyond just food.</w:t>
      </w:r>
    </w:p>
    <w:p w14:paraId="75E15688" w14:textId="77777777" w:rsidR="008C0AF9" w:rsidRPr="008C0AF9" w:rsidRDefault="008C0AF9" w:rsidP="008C0AF9">
      <w:pPr>
        <w:spacing w:after="0" w:line="480" w:lineRule="auto"/>
        <w:ind w:firstLine="720"/>
        <w:rPr>
          <w:rFonts w:asciiTheme="majorBidi" w:hAnsiTheme="majorBidi" w:cstheme="majorBidi"/>
          <w:b/>
          <w:bCs/>
          <w:sz w:val="24"/>
          <w:szCs w:val="24"/>
        </w:rPr>
      </w:pPr>
      <w:r w:rsidRPr="008C0AF9">
        <w:rPr>
          <w:rFonts w:asciiTheme="majorBidi" w:hAnsiTheme="majorBidi" w:cstheme="majorBidi"/>
          <w:sz w:val="24"/>
          <w:szCs w:val="24"/>
        </w:rPr>
        <w:lastRenderedPageBreak/>
        <w:t xml:space="preserve">The first explanation is considered more plausible than the latter. There is a strong discourse in both academic literature and community forums on psychedelic’s therapeutic potential, including facilitating changes in one’s views on deeply rooted and rigid beliefs as well as disrupting rigid behavioral patterns (Sweeney et al., 2022; </w:t>
      </w:r>
      <w:r w:rsidRPr="008C0AF9">
        <w:rPr>
          <w:rFonts w:asciiTheme="majorBidi" w:hAnsiTheme="majorBidi" w:cstheme="majorBidi"/>
          <w:sz w:val="24"/>
          <w:szCs w:val="24"/>
          <w:shd w:val="clear" w:color="auto" w:fill="FFFFFF"/>
        </w:rPr>
        <w:t>Teixeira et al., 2022)</w:t>
      </w:r>
      <w:r w:rsidRPr="008C0AF9">
        <w:rPr>
          <w:rFonts w:asciiTheme="majorBidi" w:hAnsiTheme="majorBidi" w:cstheme="majorBidi"/>
          <w:sz w:val="24"/>
          <w:szCs w:val="24"/>
        </w:rPr>
        <w:t xml:space="preserve">. New studies have focused on investigating psychedelics and personal growth. Results reveal psychedelics can help individuals process ranges of emotions and experiences, leading to inner growth and improved mental health (Davis et al., 2020). While the second explanation brings in a pressing need for understanding the triviality of food-related language, it does not adequately cover the complexities individuals living with EDs face. This doesn’t necessarily imply food is unimportant in ED discourses, however, it highlights a possible shift towards recontextualizing stories to focus on emotional and psychological aspects of food rather than food itself. There is a meaningful parallel between eating disorders and psychedelic experiences. EDs are not solely about food and psychedelics are not exclusively about the medicine, rather they are both about the process that is associated with each experience. This reflects that the phenomena cannot be reduced to their material sources but rather must be fully understood within broader contexts including the experiential and psychological landscapes they unfold. </w:t>
      </w:r>
    </w:p>
    <w:p w14:paraId="60C1A65A"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Critically, more research is also needed. While these findings are correlational and limited to self-reported online narratives, they help depict an emotional reality to why some individuals may be turning to psychedelics for a key source of information and new forms of support when conventional treatments feel inaccessible or incomplete. Clinicians and researchers should pay careful attention to these emerging discourses, as they reveal unmet needs, underline the importance of integrating emotional and social support into care, and highlight the value of acknowledging how patients are experimenting with or imagining alternative paths to recovery.</w:t>
      </w:r>
    </w:p>
    <w:p w14:paraId="0017B553" w14:textId="77777777" w:rsidR="008C0AF9" w:rsidRPr="008C0AF9" w:rsidRDefault="008C0AF9" w:rsidP="008C0AF9">
      <w:pPr>
        <w:spacing w:after="0" w:line="480" w:lineRule="auto"/>
        <w:ind w:firstLine="720"/>
        <w:contextualSpacing/>
        <w:rPr>
          <w:rFonts w:asciiTheme="majorBidi" w:hAnsiTheme="majorBidi" w:cstheme="majorBidi"/>
          <w:sz w:val="24"/>
          <w:szCs w:val="24"/>
        </w:rPr>
      </w:pPr>
      <w:r w:rsidRPr="008C0AF9">
        <w:rPr>
          <w:rFonts w:asciiTheme="majorBidi" w:hAnsiTheme="majorBidi" w:cstheme="majorBidi"/>
          <w:sz w:val="24"/>
          <w:szCs w:val="24"/>
        </w:rPr>
        <w:lastRenderedPageBreak/>
        <w:t>In this segment of the study, we address the issue of cultural appropriation in psychedelic work and research. Even in therapeutic settings, there is a risk in misrepresenting traditional beliefs and values. Psychedelic use in the modern era is attached with a history that has impacted Indigenous communities negatively. Practitioners in this space can work against culturally appropriation by acknowledging the historical contexts of these substances and including Indigenous voices ethically and responsibly, and as deemed appropriate. Another antidote to cultural appropriation is cultural celebration. This could be done by highlighting the voices and rights of the communities from which these practices hailed. Facilitating an enriched collaborative relationship with the Indigenous communities can help ensure that the psychedelic exploration does not turn into exploitation and is harvested equitably, and that cultural dignities are respected.</w:t>
      </w:r>
    </w:p>
    <w:p w14:paraId="2893D079" w14:textId="77777777" w:rsidR="008C0AF9" w:rsidRPr="008C0AF9" w:rsidRDefault="008C0AF9" w:rsidP="008C0AF9">
      <w:pPr>
        <w:pStyle w:val="Heading3"/>
        <w:rPr>
          <w:rFonts w:asciiTheme="majorBidi" w:hAnsiTheme="majorBidi"/>
          <w:b/>
          <w:bCs/>
          <w:color w:val="auto"/>
          <w:sz w:val="24"/>
          <w:szCs w:val="24"/>
        </w:rPr>
      </w:pPr>
      <w:bookmarkStart w:id="37" w:name="_Toc203736334"/>
      <w:bookmarkStart w:id="38" w:name="_Toc203736417"/>
      <w:bookmarkStart w:id="39" w:name="_Toc203736660"/>
      <w:r w:rsidRPr="008C0AF9">
        <w:rPr>
          <w:rFonts w:asciiTheme="majorBidi" w:hAnsiTheme="majorBidi"/>
          <w:b/>
          <w:bCs/>
          <w:color w:val="auto"/>
          <w:sz w:val="24"/>
          <w:szCs w:val="24"/>
        </w:rPr>
        <w:t>Limitations</w:t>
      </w:r>
      <w:bookmarkEnd w:id="37"/>
      <w:bookmarkEnd w:id="38"/>
      <w:bookmarkEnd w:id="39"/>
    </w:p>
    <w:p w14:paraId="49B188F3" w14:textId="77777777" w:rsidR="008C0AF9" w:rsidRPr="008C0AF9" w:rsidRDefault="008C0AF9" w:rsidP="008C0AF9">
      <w:pPr>
        <w:spacing w:after="0" w:line="480" w:lineRule="auto"/>
        <w:rPr>
          <w:rFonts w:asciiTheme="majorBidi" w:hAnsiTheme="majorBidi" w:cstheme="majorBidi"/>
          <w:bCs/>
          <w:iCs/>
          <w:color w:val="222222"/>
          <w:sz w:val="24"/>
          <w:szCs w:val="24"/>
          <w:shd w:val="clear" w:color="auto" w:fill="FFFFFF"/>
        </w:rPr>
      </w:pPr>
      <w:r w:rsidRPr="008C0AF9">
        <w:rPr>
          <w:rFonts w:asciiTheme="majorBidi" w:eastAsia="Times New Roman" w:hAnsiTheme="majorBidi" w:cstheme="majorBidi"/>
          <w:bCs/>
          <w:iCs/>
          <w:color w:val="222222"/>
          <w:sz w:val="24"/>
          <w:szCs w:val="24"/>
          <w:shd w:val="clear" w:color="auto" w:fill="FFFFFF"/>
        </w:rPr>
        <w:tab/>
        <w:t xml:space="preserve">Like any research, this study has </w:t>
      </w:r>
      <w:r w:rsidRPr="008C0AF9">
        <w:rPr>
          <w:rFonts w:asciiTheme="majorBidi" w:hAnsiTheme="majorBidi" w:cstheme="majorBidi"/>
          <w:bCs/>
          <w:iCs/>
          <w:color w:val="222222"/>
          <w:sz w:val="24"/>
          <w:szCs w:val="24"/>
          <w:shd w:val="clear" w:color="auto" w:fill="FFFFFF"/>
        </w:rPr>
        <w:t xml:space="preserve">several limitations meriting further exploration in future research considerations and training endeavors. While Reddit </w:t>
      </w:r>
      <w:proofErr w:type="gramStart"/>
      <w:r w:rsidRPr="008C0AF9">
        <w:rPr>
          <w:rFonts w:asciiTheme="majorBidi" w:hAnsiTheme="majorBidi" w:cstheme="majorBidi"/>
          <w:bCs/>
          <w:iCs/>
          <w:color w:val="222222"/>
          <w:sz w:val="24"/>
          <w:szCs w:val="24"/>
          <w:shd w:val="clear" w:color="auto" w:fill="FFFFFF"/>
        </w:rPr>
        <w:t>corpora allow</w:t>
      </w:r>
      <w:proofErr w:type="gramEnd"/>
      <w:r w:rsidRPr="008C0AF9">
        <w:rPr>
          <w:rFonts w:asciiTheme="majorBidi" w:hAnsiTheme="majorBidi" w:cstheme="majorBidi"/>
          <w:bCs/>
          <w:iCs/>
          <w:color w:val="222222"/>
          <w:sz w:val="24"/>
          <w:szCs w:val="24"/>
          <w:shd w:val="clear" w:color="auto" w:fill="FFFFFF"/>
        </w:rPr>
        <w:t xml:space="preserve"> for efficient collection of rich linguistic data, it introduces potential sample bias and limits generalizability. Reddit represents one form of blogging, as such, other discussions surrounding individuals with EDs who are also engaging in psychedelic use may not have been captured in this study. When this is coupled this with the fact that most psychedelics are classified as Schedule I substances under federal guidelines in the United States and despite Reddit anonymity, some users may refrain from sharing their experiences online due to stigma or concerns of legal implications. Another limitation is the inability to draw conclusions based on the demographics of this target population given that Reddit users are demographically anonymous. Additionally, self-reported data </w:t>
      </w:r>
      <w:proofErr w:type="gramStart"/>
      <w:r w:rsidRPr="008C0AF9">
        <w:rPr>
          <w:rFonts w:asciiTheme="majorBidi" w:hAnsiTheme="majorBidi" w:cstheme="majorBidi"/>
          <w:bCs/>
          <w:iCs/>
          <w:color w:val="222222"/>
          <w:sz w:val="24"/>
          <w:szCs w:val="24"/>
          <w:shd w:val="clear" w:color="auto" w:fill="FFFFFF"/>
        </w:rPr>
        <w:t>are</w:t>
      </w:r>
      <w:proofErr w:type="gramEnd"/>
      <w:r w:rsidRPr="008C0AF9">
        <w:rPr>
          <w:rFonts w:asciiTheme="majorBidi" w:hAnsiTheme="majorBidi" w:cstheme="majorBidi"/>
          <w:bCs/>
          <w:iCs/>
          <w:color w:val="222222"/>
          <w:sz w:val="24"/>
          <w:szCs w:val="24"/>
          <w:shd w:val="clear" w:color="auto" w:fill="FFFFFF"/>
        </w:rPr>
        <w:t xml:space="preserve"> known as inherently rich in subjectivity, which poses challenges, as bloggers may withhold or share information selectively. This limitation speaks to the unknown relation </w:t>
      </w:r>
      <w:r w:rsidRPr="008C0AF9">
        <w:rPr>
          <w:rFonts w:asciiTheme="majorBidi" w:hAnsiTheme="majorBidi" w:cstheme="majorBidi"/>
          <w:bCs/>
          <w:iCs/>
          <w:color w:val="222222"/>
          <w:sz w:val="24"/>
          <w:szCs w:val="24"/>
          <w:shd w:val="clear" w:color="auto" w:fill="FFFFFF"/>
        </w:rPr>
        <w:lastRenderedPageBreak/>
        <w:t>between bloggers’ self-reports and their real time behavior as it pertains to addressing their eating-related issues with psychedelic use, making it difficult to draw definitive conclusions.</w:t>
      </w:r>
    </w:p>
    <w:p w14:paraId="3ADFB555" w14:textId="77777777" w:rsidR="008C0AF9" w:rsidRPr="008C0AF9" w:rsidRDefault="008C0AF9" w:rsidP="008C0AF9">
      <w:pPr>
        <w:spacing w:after="0" w:line="480" w:lineRule="auto"/>
        <w:ind w:firstLine="720"/>
        <w:rPr>
          <w:rFonts w:asciiTheme="majorBidi" w:eastAsia="Times New Roman" w:hAnsiTheme="majorBidi" w:cstheme="majorBidi"/>
          <w:bCs/>
          <w:iCs/>
          <w:color w:val="222222"/>
          <w:sz w:val="24"/>
          <w:szCs w:val="24"/>
          <w:shd w:val="clear" w:color="auto" w:fill="FFFFFF"/>
        </w:rPr>
      </w:pPr>
      <w:r w:rsidRPr="008C0AF9">
        <w:rPr>
          <w:rFonts w:asciiTheme="majorBidi" w:eastAsia="Times New Roman" w:hAnsiTheme="majorBidi" w:cstheme="majorBidi"/>
          <w:bCs/>
          <w:iCs/>
          <w:color w:val="222222"/>
          <w:sz w:val="24"/>
          <w:szCs w:val="24"/>
          <w:shd w:val="clear" w:color="auto" w:fill="FFFFFF"/>
        </w:rPr>
        <w:t xml:space="preserve">Another limitation lies in the contextual nature of this analysis. Quantitative work </w:t>
      </w:r>
      <w:proofErr w:type="gramStart"/>
      <w:r w:rsidRPr="008C0AF9">
        <w:rPr>
          <w:rFonts w:asciiTheme="majorBidi" w:eastAsia="Times New Roman" w:hAnsiTheme="majorBidi" w:cstheme="majorBidi"/>
          <w:bCs/>
          <w:iCs/>
          <w:color w:val="222222"/>
          <w:sz w:val="24"/>
          <w:szCs w:val="24"/>
          <w:shd w:val="clear" w:color="auto" w:fill="FFFFFF"/>
        </w:rPr>
        <w:t>uncover</w:t>
      </w:r>
      <w:proofErr w:type="gramEnd"/>
      <w:r w:rsidRPr="008C0AF9">
        <w:rPr>
          <w:rFonts w:asciiTheme="majorBidi" w:eastAsia="Times New Roman" w:hAnsiTheme="majorBidi" w:cstheme="majorBidi"/>
          <w:bCs/>
          <w:iCs/>
          <w:color w:val="222222"/>
          <w:sz w:val="24"/>
          <w:szCs w:val="24"/>
          <w:shd w:val="clear" w:color="auto" w:fill="FFFFFF"/>
        </w:rPr>
        <w:t xml:space="preserve"> important details and clues from textual data, but it may not fully capture the essence of these words. Follow-up qualitative studies could serve as a conduit to further explore the depth of these lived experiences. Lastly, temporal patterns should also be acknowledged in this work as a limitation. Although attitudes and perceptions about psychedelics and EDs have been shown to be defragmented over time due to exposure to new research, media representation, and cultural shifts, they have not been formally tested.</w:t>
      </w:r>
    </w:p>
    <w:p w14:paraId="333C5CAA" w14:textId="77777777" w:rsidR="008C0AF9" w:rsidRPr="008C0AF9" w:rsidRDefault="008C0AF9" w:rsidP="008C0AF9">
      <w:pPr>
        <w:pStyle w:val="Heading3"/>
        <w:rPr>
          <w:rFonts w:asciiTheme="majorBidi" w:hAnsiTheme="majorBidi"/>
          <w:b/>
          <w:bCs/>
          <w:color w:val="auto"/>
          <w:sz w:val="24"/>
          <w:szCs w:val="24"/>
        </w:rPr>
      </w:pPr>
      <w:bookmarkStart w:id="40" w:name="_Toc203736335"/>
      <w:bookmarkStart w:id="41" w:name="_Toc203736418"/>
      <w:bookmarkStart w:id="42" w:name="_Toc203736661"/>
      <w:r w:rsidRPr="008C0AF9">
        <w:rPr>
          <w:rFonts w:asciiTheme="majorBidi" w:hAnsiTheme="majorBidi"/>
          <w:b/>
          <w:bCs/>
          <w:color w:val="auto"/>
          <w:sz w:val="24"/>
          <w:szCs w:val="24"/>
        </w:rPr>
        <w:t>Implications and Considerations for Future Research</w:t>
      </w:r>
      <w:bookmarkEnd w:id="40"/>
      <w:bookmarkEnd w:id="41"/>
      <w:bookmarkEnd w:id="42"/>
    </w:p>
    <w:p w14:paraId="2DBBB6FB"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 xml:space="preserve">Future work should expand on the inevitable intersectionality of language, psychedelics, and mental health research to investigate new and innovative therapeutic modalities. Language can fuel stigma; however, it can also combat it. Researchers can focus on communicative strategies that focus on emotional language and how this approach can contribute to clinical settings, particularly in treatments for EDs. Future linguistic work could be of benefit to established therapy frameworks such as CBT-E (Fairburn, 2008), which addresses the underlying cognitive and emotional mechanisms maintaining EDs. Although this study is correlational and exploratory, aligning discourse findings with models like CBT-E may enrich clinicians’ understanding of how individuals conceptualize their struggles in nonclinical spaces. This emphasis on wellness and future language can generate motivation for recovery and change. Additionally, developing specific patterns that analyze linguistic markers in online forums could provide early detectors of emotional distress and facilitate timely interventions. Not least, studies should investigate the long-term effects of psychedelic experiences on individuals’ emotional processing and recovery trajectories, covering diverse populations and varying contexts. </w:t>
      </w:r>
      <w:r w:rsidRPr="008C0AF9">
        <w:rPr>
          <w:rFonts w:asciiTheme="majorBidi" w:hAnsiTheme="majorBidi" w:cstheme="majorBidi"/>
          <w:sz w:val="24"/>
          <w:szCs w:val="24"/>
        </w:rPr>
        <w:lastRenderedPageBreak/>
        <w:t>Understanding how these experiences shape identity construction, wellness approaches, and support networks is vital for mapping comprehensive treatment options that disentangle the multifaceted nature of EDs and foster a deeper understanding of the language of recovery.</w:t>
      </w:r>
    </w:p>
    <w:p w14:paraId="15679121"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hAnsiTheme="majorBidi" w:cstheme="majorBidi"/>
          <w:sz w:val="24"/>
          <w:szCs w:val="24"/>
        </w:rPr>
        <w:t>Though the first author understands the benefits of encouraging an adaptation of future-oriented language, no cardinal assumption is made on placing undue pressure on individuals to have a defined path to recovery. Discussions around healing should strive for a balanced baseline that validates all ranges of emotional experiences including positive and negative ones.</w:t>
      </w:r>
    </w:p>
    <w:p w14:paraId="41375F94" w14:textId="77777777" w:rsidR="008C0AF9" w:rsidRPr="008C0AF9" w:rsidRDefault="008C0AF9" w:rsidP="008C0AF9">
      <w:pPr>
        <w:spacing w:after="0" w:line="480" w:lineRule="auto"/>
        <w:ind w:firstLine="720"/>
        <w:rPr>
          <w:rFonts w:asciiTheme="majorBidi" w:hAnsiTheme="majorBidi" w:cstheme="majorBidi"/>
          <w:sz w:val="24"/>
          <w:szCs w:val="24"/>
        </w:rPr>
      </w:pPr>
      <w:r w:rsidRPr="008C0AF9">
        <w:rPr>
          <w:rFonts w:asciiTheme="majorBidi" w:eastAsia="Times New Roman" w:hAnsiTheme="majorBidi" w:cstheme="majorBidi"/>
          <w:bCs/>
          <w:iCs/>
          <w:color w:val="222222"/>
          <w:sz w:val="24"/>
          <w:szCs w:val="24"/>
          <w:shd w:val="clear" w:color="auto" w:fill="FFFFFF"/>
        </w:rPr>
        <w:t>Finally,</w:t>
      </w:r>
      <w:r w:rsidRPr="008C0AF9">
        <w:rPr>
          <w:rFonts w:asciiTheme="majorBidi" w:hAnsiTheme="majorBidi" w:cstheme="majorBidi"/>
          <w:b/>
          <w:bCs/>
          <w:sz w:val="24"/>
          <w:szCs w:val="24"/>
        </w:rPr>
        <w:t xml:space="preserve"> </w:t>
      </w:r>
      <w:r w:rsidRPr="008C0AF9">
        <w:rPr>
          <w:rFonts w:asciiTheme="majorBidi" w:eastAsia="Times New Roman" w:hAnsiTheme="majorBidi" w:cstheme="majorBidi"/>
          <w:bCs/>
          <w:iCs/>
          <w:color w:val="222222"/>
          <w:sz w:val="24"/>
          <w:szCs w:val="24"/>
          <w:shd w:val="clear" w:color="auto" w:fill="FFFFFF"/>
        </w:rPr>
        <w:t xml:space="preserve">research into the role of language in recovery is paramount, particularly when exploring long-held practices related to using psychedelics to treat chronic and problematic issues. Studying the language used by shamans and healers throughout history could help the scientific community understand how these spiritual practices have been noted by countless individuals as a pivoting point that opened their doors of perception. </w:t>
      </w:r>
    </w:p>
    <w:p w14:paraId="045A7A46" w14:textId="77777777" w:rsidR="008C0AF9" w:rsidRPr="008C0AF9" w:rsidRDefault="008C0AF9" w:rsidP="008C0AF9">
      <w:pPr>
        <w:spacing w:after="0" w:line="480" w:lineRule="auto"/>
        <w:rPr>
          <w:rFonts w:asciiTheme="majorBidi" w:eastAsia="Times New Roman" w:hAnsiTheme="majorBidi" w:cstheme="majorBidi"/>
          <w:bCs/>
          <w:iCs/>
          <w:color w:val="222222"/>
          <w:sz w:val="24"/>
          <w:szCs w:val="24"/>
          <w:shd w:val="clear" w:color="auto" w:fill="FFFFFF"/>
        </w:rPr>
      </w:pPr>
    </w:p>
    <w:p w14:paraId="1E118A2D" w14:textId="77777777" w:rsidR="008C0AF9" w:rsidRPr="008C0AF9" w:rsidRDefault="008C0AF9" w:rsidP="008C0AF9">
      <w:pPr>
        <w:rPr>
          <w:rFonts w:asciiTheme="majorBidi" w:hAnsiTheme="majorBidi" w:cstheme="majorBidi"/>
          <w:iCs/>
          <w:sz w:val="24"/>
          <w:szCs w:val="24"/>
          <w:vertAlign w:val="superscript"/>
        </w:rPr>
      </w:pPr>
      <w:r w:rsidRPr="008C0AF9">
        <w:rPr>
          <w:rFonts w:asciiTheme="majorBidi" w:hAnsiTheme="majorBidi" w:cstheme="majorBidi"/>
          <w:iCs/>
          <w:sz w:val="24"/>
          <w:szCs w:val="24"/>
          <w:vertAlign w:val="superscript"/>
        </w:rPr>
        <w:br w:type="page"/>
      </w:r>
    </w:p>
    <w:p w14:paraId="62417F45" w14:textId="65D2B86F" w:rsidR="00E86DC9" w:rsidRPr="00682738" w:rsidRDefault="00E86DC9" w:rsidP="008C0AF9">
      <w:pPr>
        <w:pStyle w:val="Heading2"/>
        <w:rPr>
          <w:rFonts w:asciiTheme="majorBidi" w:hAnsiTheme="majorBidi"/>
          <w:b/>
          <w:bCs/>
          <w:color w:val="auto"/>
          <w:sz w:val="24"/>
          <w:szCs w:val="24"/>
        </w:rPr>
      </w:pPr>
      <w:bookmarkStart w:id="43" w:name="_Toc203736336"/>
      <w:bookmarkStart w:id="44" w:name="_Toc203736419"/>
      <w:bookmarkStart w:id="45" w:name="_Toc203736662"/>
      <w:r w:rsidRPr="00682738">
        <w:rPr>
          <w:rFonts w:asciiTheme="majorBidi" w:hAnsiTheme="majorBidi"/>
          <w:b/>
          <w:bCs/>
          <w:color w:val="auto"/>
          <w:sz w:val="24"/>
          <w:szCs w:val="24"/>
        </w:rPr>
        <w:lastRenderedPageBreak/>
        <w:t>Funding</w:t>
      </w:r>
      <w:r w:rsidR="00245543" w:rsidRPr="00682738">
        <w:rPr>
          <w:rFonts w:asciiTheme="majorBidi" w:hAnsiTheme="majorBidi"/>
          <w:b/>
          <w:bCs/>
          <w:color w:val="auto"/>
          <w:sz w:val="24"/>
          <w:szCs w:val="24"/>
        </w:rPr>
        <w:t xml:space="preserve"> Declaration</w:t>
      </w:r>
    </w:p>
    <w:p w14:paraId="27411E75" w14:textId="4A987DFA" w:rsidR="00245543" w:rsidRPr="00682738" w:rsidRDefault="00682738" w:rsidP="00682738">
      <w:pPr>
        <w:rPr>
          <w:rFonts w:asciiTheme="majorBidi" w:hAnsiTheme="majorBidi" w:cstheme="majorBidi"/>
          <w:sz w:val="24"/>
          <w:szCs w:val="24"/>
        </w:rPr>
      </w:pPr>
      <w:r w:rsidRPr="00682738">
        <w:rPr>
          <w:rFonts w:asciiTheme="majorBidi" w:hAnsiTheme="majorBidi" w:cstheme="majorBidi"/>
          <w:sz w:val="24"/>
          <w:szCs w:val="24"/>
        </w:rPr>
        <w:t>No financial support was received for the research, authorship, or publication of this article.</w:t>
      </w:r>
    </w:p>
    <w:p w14:paraId="46B572CA" w14:textId="77777777" w:rsidR="008D038C" w:rsidRDefault="008D038C" w:rsidP="008C0AF9">
      <w:pPr>
        <w:pStyle w:val="Heading2"/>
        <w:rPr>
          <w:rFonts w:asciiTheme="majorBidi" w:hAnsiTheme="majorBidi"/>
          <w:b/>
          <w:bCs/>
          <w:color w:val="auto"/>
          <w:sz w:val="24"/>
          <w:szCs w:val="24"/>
        </w:rPr>
      </w:pPr>
    </w:p>
    <w:p w14:paraId="67256AF2" w14:textId="77777777" w:rsidR="008D038C" w:rsidRDefault="008D038C" w:rsidP="008C0AF9">
      <w:pPr>
        <w:pStyle w:val="Heading2"/>
        <w:rPr>
          <w:rFonts w:asciiTheme="majorBidi" w:hAnsiTheme="majorBidi"/>
          <w:b/>
          <w:bCs/>
          <w:color w:val="auto"/>
          <w:sz w:val="24"/>
          <w:szCs w:val="24"/>
        </w:rPr>
      </w:pPr>
    </w:p>
    <w:p w14:paraId="7D5542B5" w14:textId="77777777" w:rsidR="008D038C" w:rsidRDefault="008D038C" w:rsidP="008C0AF9">
      <w:pPr>
        <w:pStyle w:val="Heading2"/>
        <w:rPr>
          <w:rFonts w:asciiTheme="majorBidi" w:hAnsiTheme="majorBidi"/>
          <w:b/>
          <w:bCs/>
          <w:color w:val="auto"/>
          <w:sz w:val="24"/>
          <w:szCs w:val="24"/>
        </w:rPr>
      </w:pPr>
    </w:p>
    <w:p w14:paraId="01BC83C7" w14:textId="77777777" w:rsidR="008D038C" w:rsidRDefault="008D038C" w:rsidP="008C0AF9">
      <w:pPr>
        <w:pStyle w:val="Heading2"/>
        <w:rPr>
          <w:rFonts w:asciiTheme="majorBidi" w:hAnsiTheme="majorBidi"/>
          <w:b/>
          <w:bCs/>
          <w:color w:val="auto"/>
          <w:sz w:val="24"/>
          <w:szCs w:val="24"/>
        </w:rPr>
      </w:pPr>
    </w:p>
    <w:p w14:paraId="0EA773AB" w14:textId="77777777" w:rsidR="008D038C" w:rsidRDefault="008D038C" w:rsidP="008C0AF9">
      <w:pPr>
        <w:pStyle w:val="Heading2"/>
        <w:rPr>
          <w:rFonts w:asciiTheme="majorBidi" w:hAnsiTheme="majorBidi"/>
          <w:b/>
          <w:bCs/>
          <w:color w:val="auto"/>
          <w:sz w:val="24"/>
          <w:szCs w:val="24"/>
        </w:rPr>
      </w:pPr>
    </w:p>
    <w:p w14:paraId="181561FF" w14:textId="77777777" w:rsidR="008D038C" w:rsidRDefault="008D038C" w:rsidP="008C0AF9">
      <w:pPr>
        <w:pStyle w:val="Heading2"/>
        <w:rPr>
          <w:rFonts w:asciiTheme="majorBidi" w:hAnsiTheme="majorBidi"/>
          <w:b/>
          <w:bCs/>
          <w:color w:val="auto"/>
          <w:sz w:val="24"/>
          <w:szCs w:val="24"/>
        </w:rPr>
      </w:pPr>
    </w:p>
    <w:p w14:paraId="1D7E4084" w14:textId="77777777" w:rsidR="008D038C" w:rsidRDefault="008D038C" w:rsidP="008C0AF9">
      <w:pPr>
        <w:pStyle w:val="Heading2"/>
        <w:rPr>
          <w:rFonts w:asciiTheme="majorBidi" w:hAnsiTheme="majorBidi"/>
          <w:b/>
          <w:bCs/>
          <w:color w:val="auto"/>
          <w:sz w:val="24"/>
          <w:szCs w:val="24"/>
        </w:rPr>
      </w:pPr>
    </w:p>
    <w:p w14:paraId="6A26C79B" w14:textId="77777777" w:rsidR="008D038C" w:rsidRDefault="008D038C" w:rsidP="008C0AF9">
      <w:pPr>
        <w:pStyle w:val="Heading2"/>
        <w:rPr>
          <w:rFonts w:asciiTheme="majorBidi" w:hAnsiTheme="majorBidi"/>
          <w:b/>
          <w:bCs/>
          <w:color w:val="auto"/>
          <w:sz w:val="24"/>
          <w:szCs w:val="24"/>
        </w:rPr>
      </w:pPr>
    </w:p>
    <w:p w14:paraId="49F247E2" w14:textId="77777777" w:rsidR="008D038C" w:rsidRDefault="008D038C" w:rsidP="008C0AF9">
      <w:pPr>
        <w:pStyle w:val="Heading2"/>
        <w:rPr>
          <w:rFonts w:asciiTheme="majorBidi" w:hAnsiTheme="majorBidi"/>
          <w:b/>
          <w:bCs/>
          <w:color w:val="auto"/>
          <w:sz w:val="24"/>
          <w:szCs w:val="24"/>
        </w:rPr>
      </w:pPr>
    </w:p>
    <w:p w14:paraId="50F82939" w14:textId="77777777" w:rsidR="008D038C" w:rsidRDefault="008D038C" w:rsidP="008C0AF9">
      <w:pPr>
        <w:pStyle w:val="Heading2"/>
        <w:rPr>
          <w:rFonts w:asciiTheme="majorBidi" w:hAnsiTheme="majorBidi"/>
          <w:b/>
          <w:bCs/>
          <w:color w:val="auto"/>
          <w:sz w:val="24"/>
          <w:szCs w:val="24"/>
        </w:rPr>
      </w:pPr>
    </w:p>
    <w:p w14:paraId="7ED0D20C" w14:textId="77777777" w:rsidR="008D038C" w:rsidRDefault="008D038C" w:rsidP="008C0AF9">
      <w:pPr>
        <w:pStyle w:val="Heading2"/>
        <w:rPr>
          <w:rFonts w:asciiTheme="majorBidi" w:hAnsiTheme="majorBidi"/>
          <w:b/>
          <w:bCs/>
          <w:color w:val="auto"/>
          <w:sz w:val="24"/>
          <w:szCs w:val="24"/>
        </w:rPr>
      </w:pPr>
    </w:p>
    <w:p w14:paraId="0970CA9A" w14:textId="77777777" w:rsidR="008D038C" w:rsidRDefault="008D038C" w:rsidP="008C0AF9">
      <w:pPr>
        <w:pStyle w:val="Heading2"/>
        <w:rPr>
          <w:rFonts w:asciiTheme="majorBidi" w:hAnsiTheme="majorBidi"/>
          <w:b/>
          <w:bCs/>
          <w:color w:val="auto"/>
          <w:sz w:val="24"/>
          <w:szCs w:val="24"/>
        </w:rPr>
      </w:pPr>
    </w:p>
    <w:p w14:paraId="2C6239E1" w14:textId="77777777" w:rsidR="008D038C" w:rsidRDefault="008D038C" w:rsidP="008C0AF9">
      <w:pPr>
        <w:pStyle w:val="Heading2"/>
        <w:rPr>
          <w:rFonts w:asciiTheme="majorBidi" w:hAnsiTheme="majorBidi"/>
          <w:b/>
          <w:bCs/>
          <w:color w:val="auto"/>
          <w:sz w:val="24"/>
          <w:szCs w:val="24"/>
        </w:rPr>
      </w:pPr>
    </w:p>
    <w:p w14:paraId="48C48D91" w14:textId="77777777" w:rsidR="008D038C" w:rsidRDefault="008D038C" w:rsidP="008C0AF9">
      <w:pPr>
        <w:pStyle w:val="Heading2"/>
        <w:rPr>
          <w:rFonts w:asciiTheme="majorBidi" w:hAnsiTheme="majorBidi"/>
          <w:b/>
          <w:bCs/>
          <w:color w:val="auto"/>
          <w:sz w:val="24"/>
          <w:szCs w:val="24"/>
        </w:rPr>
      </w:pPr>
    </w:p>
    <w:p w14:paraId="0AA0EC4B" w14:textId="77777777" w:rsidR="008D038C" w:rsidRDefault="008D038C" w:rsidP="008C0AF9">
      <w:pPr>
        <w:pStyle w:val="Heading2"/>
        <w:rPr>
          <w:rFonts w:asciiTheme="majorBidi" w:hAnsiTheme="majorBidi"/>
          <w:b/>
          <w:bCs/>
          <w:color w:val="auto"/>
          <w:sz w:val="24"/>
          <w:szCs w:val="24"/>
        </w:rPr>
      </w:pPr>
    </w:p>
    <w:p w14:paraId="397AB91D" w14:textId="77777777" w:rsidR="008D038C" w:rsidRDefault="008D038C" w:rsidP="008C0AF9">
      <w:pPr>
        <w:pStyle w:val="Heading2"/>
        <w:rPr>
          <w:rFonts w:asciiTheme="majorBidi" w:hAnsiTheme="majorBidi"/>
          <w:b/>
          <w:bCs/>
          <w:color w:val="auto"/>
          <w:sz w:val="24"/>
          <w:szCs w:val="24"/>
        </w:rPr>
      </w:pPr>
    </w:p>
    <w:p w14:paraId="417CF6A0" w14:textId="77777777" w:rsidR="008D038C" w:rsidRDefault="008D038C" w:rsidP="008C0AF9">
      <w:pPr>
        <w:pStyle w:val="Heading2"/>
        <w:rPr>
          <w:rFonts w:asciiTheme="majorBidi" w:hAnsiTheme="majorBidi"/>
          <w:b/>
          <w:bCs/>
          <w:color w:val="auto"/>
          <w:sz w:val="24"/>
          <w:szCs w:val="24"/>
        </w:rPr>
      </w:pPr>
    </w:p>
    <w:p w14:paraId="232FDE78" w14:textId="77777777" w:rsidR="008D038C" w:rsidRDefault="008D038C" w:rsidP="008C0AF9">
      <w:pPr>
        <w:pStyle w:val="Heading2"/>
        <w:rPr>
          <w:rFonts w:asciiTheme="majorBidi" w:hAnsiTheme="majorBidi"/>
          <w:b/>
          <w:bCs/>
          <w:color w:val="auto"/>
          <w:sz w:val="24"/>
          <w:szCs w:val="24"/>
        </w:rPr>
      </w:pPr>
    </w:p>
    <w:p w14:paraId="1E65114C" w14:textId="77777777" w:rsidR="008D038C" w:rsidRDefault="008D038C" w:rsidP="008C0AF9">
      <w:pPr>
        <w:pStyle w:val="Heading2"/>
        <w:rPr>
          <w:rFonts w:asciiTheme="majorBidi" w:hAnsiTheme="majorBidi"/>
          <w:b/>
          <w:bCs/>
          <w:color w:val="auto"/>
          <w:sz w:val="24"/>
          <w:szCs w:val="24"/>
        </w:rPr>
      </w:pPr>
    </w:p>
    <w:p w14:paraId="32B1342E" w14:textId="77777777" w:rsidR="008D038C" w:rsidRDefault="008D038C" w:rsidP="008C0AF9">
      <w:pPr>
        <w:pStyle w:val="Heading2"/>
        <w:rPr>
          <w:rFonts w:asciiTheme="majorBidi" w:hAnsiTheme="majorBidi"/>
          <w:b/>
          <w:bCs/>
          <w:color w:val="auto"/>
          <w:sz w:val="24"/>
          <w:szCs w:val="24"/>
        </w:rPr>
      </w:pPr>
    </w:p>
    <w:p w14:paraId="49222E43" w14:textId="77777777" w:rsidR="008D038C" w:rsidRDefault="008D038C" w:rsidP="008C0AF9">
      <w:pPr>
        <w:pStyle w:val="Heading2"/>
        <w:rPr>
          <w:rFonts w:asciiTheme="majorBidi" w:hAnsiTheme="majorBidi"/>
          <w:b/>
          <w:bCs/>
          <w:color w:val="auto"/>
          <w:sz w:val="24"/>
          <w:szCs w:val="24"/>
        </w:rPr>
      </w:pPr>
    </w:p>
    <w:p w14:paraId="5053BC0A" w14:textId="77777777" w:rsidR="008D038C" w:rsidRDefault="008D038C" w:rsidP="008C0AF9">
      <w:pPr>
        <w:pStyle w:val="Heading2"/>
        <w:rPr>
          <w:rFonts w:asciiTheme="majorBidi" w:hAnsiTheme="majorBidi"/>
          <w:b/>
          <w:bCs/>
          <w:color w:val="auto"/>
          <w:sz w:val="24"/>
          <w:szCs w:val="24"/>
        </w:rPr>
      </w:pPr>
    </w:p>
    <w:p w14:paraId="39E78FAE" w14:textId="77777777" w:rsidR="008D038C" w:rsidRDefault="008D038C" w:rsidP="008C0AF9">
      <w:pPr>
        <w:pStyle w:val="Heading2"/>
        <w:rPr>
          <w:rFonts w:asciiTheme="majorBidi" w:hAnsiTheme="majorBidi"/>
          <w:b/>
          <w:bCs/>
          <w:color w:val="auto"/>
          <w:sz w:val="24"/>
          <w:szCs w:val="24"/>
        </w:rPr>
      </w:pPr>
    </w:p>
    <w:p w14:paraId="5961BFCF" w14:textId="77777777" w:rsidR="008D038C" w:rsidRDefault="008D038C" w:rsidP="008C0AF9">
      <w:pPr>
        <w:pStyle w:val="Heading2"/>
        <w:rPr>
          <w:rFonts w:asciiTheme="majorBidi" w:hAnsiTheme="majorBidi"/>
          <w:b/>
          <w:bCs/>
          <w:color w:val="auto"/>
          <w:sz w:val="24"/>
          <w:szCs w:val="24"/>
        </w:rPr>
      </w:pPr>
    </w:p>
    <w:p w14:paraId="5A3B58DE" w14:textId="77777777" w:rsidR="008D038C" w:rsidRDefault="008D038C" w:rsidP="008C0AF9">
      <w:pPr>
        <w:pStyle w:val="Heading2"/>
        <w:rPr>
          <w:rFonts w:asciiTheme="majorBidi" w:hAnsiTheme="majorBidi"/>
          <w:b/>
          <w:bCs/>
          <w:color w:val="auto"/>
          <w:sz w:val="24"/>
          <w:szCs w:val="24"/>
        </w:rPr>
      </w:pPr>
    </w:p>
    <w:p w14:paraId="246E84E0" w14:textId="77777777" w:rsidR="008D038C" w:rsidRDefault="008D038C" w:rsidP="008C0AF9">
      <w:pPr>
        <w:pStyle w:val="Heading2"/>
        <w:rPr>
          <w:rFonts w:asciiTheme="majorBidi" w:hAnsiTheme="majorBidi"/>
          <w:b/>
          <w:bCs/>
          <w:color w:val="auto"/>
          <w:sz w:val="24"/>
          <w:szCs w:val="24"/>
        </w:rPr>
      </w:pPr>
    </w:p>
    <w:p w14:paraId="0C165DC7" w14:textId="77777777" w:rsidR="008D038C" w:rsidRDefault="008D038C" w:rsidP="008C0AF9">
      <w:pPr>
        <w:pStyle w:val="Heading2"/>
        <w:rPr>
          <w:rFonts w:asciiTheme="majorBidi" w:hAnsiTheme="majorBidi"/>
          <w:b/>
          <w:bCs/>
          <w:color w:val="auto"/>
          <w:sz w:val="24"/>
          <w:szCs w:val="24"/>
        </w:rPr>
      </w:pPr>
    </w:p>
    <w:p w14:paraId="2DE01E3D" w14:textId="77777777" w:rsidR="008D038C" w:rsidRDefault="008D038C" w:rsidP="008C0AF9">
      <w:pPr>
        <w:pStyle w:val="Heading2"/>
        <w:rPr>
          <w:rFonts w:asciiTheme="majorBidi" w:hAnsiTheme="majorBidi"/>
          <w:b/>
          <w:bCs/>
          <w:color w:val="auto"/>
          <w:sz w:val="24"/>
          <w:szCs w:val="24"/>
        </w:rPr>
      </w:pPr>
    </w:p>
    <w:p w14:paraId="21EEA369" w14:textId="51185776" w:rsidR="008C0AF9" w:rsidRPr="008C0AF9" w:rsidRDefault="008C0AF9" w:rsidP="008C0AF9">
      <w:pPr>
        <w:pStyle w:val="Heading2"/>
        <w:rPr>
          <w:rFonts w:asciiTheme="majorBidi" w:hAnsiTheme="majorBidi"/>
          <w:b/>
          <w:bCs/>
          <w:color w:val="auto"/>
          <w:sz w:val="24"/>
          <w:szCs w:val="24"/>
        </w:rPr>
      </w:pPr>
      <w:r w:rsidRPr="008C0AF9">
        <w:rPr>
          <w:rFonts w:asciiTheme="majorBidi" w:hAnsiTheme="majorBidi"/>
          <w:b/>
          <w:bCs/>
          <w:color w:val="auto"/>
          <w:sz w:val="24"/>
          <w:szCs w:val="24"/>
        </w:rPr>
        <w:lastRenderedPageBreak/>
        <w:t>Endnote</w:t>
      </w:r>
      <w:bookmarkEnd w:id="43"/>
      <w:bookmarkEnd w:id="44"/>
      <w:bookmarkEnd w:id="45"/>
    </w:p>
    <w:p w14:paraId="5AFFBC6C" w14:textId="77777777" w:rsidR="008C0AF9" w:rsidRPr="008C0AF9" w:rsidRDefault="008C0AF9" w:rsidP="008C0AF9">
      <w:pPr>
        <w:snapToGrid w:val="0"/>
        <w:spacing w:after="0" w:line="480" w:lineRule="auto"/>
        <w:rPr>
          <w:rFonts w:asciiTheme="majorBidi" w:hAnsiTheme="majorBidi" w:cstheme="majorBidi"/>
          <w:iCs/>
          <w:sz w:val="24"/>
          <w:szCs w:val="24"/>
        </w:rPr>
      </w:pPr>
      <w:r w:rsidRPr="008C0AF9">
        <w:rPr>
          <w:rFonts w:asciiTheme="majorBidi" w:hAnsiTheme="majorBidi" w:cstheme="majorBidi"/>
          <w:iCs/>
          <w:sz w:val="24"/>
          <w:szCs w:val="24"/>
          <w:vertAlign w:val="superscript"/>
        </w:rPr>
        <w:t>1</w:t>
      </w:r>
      <w:r w:rsidRPr="008C0AF9">
        <w:rPr>
          <w:rFonts w:asciiTheme="majorBidi" w:hAnsiTheme="majorBidi" w:cstheme="majorBidi"/>
          <w:iCs/>
          <w:sz w:val="24"/>
          <w:szCs w:val="24"/>
        </w:rPr>
        <w:t xml:space="preserve">Fatiha Shannon resides and works in Orange County, California, the homeland of the Tongva and Acjachemen nations. We acknowledge and pay respect to this land and its ancestors who are situated on these sacred grounds. </w:t>
      </w:r>
    </w:p>
    <w:p w14:paraId="3026C5F1" w14:textId="77777777" w:rsidR="008C0AF9" w:rsidRDefault="008C0AF9" w:rsidP="008C0AF9">
      <w:pPr>
        <w:spacing w:after="0" w:line="480" w:lineRule="auto"/>
        <w:rPr>
          <w:rFonts w:asciiTheme="majorBidi" w:hAnsiTheme="majorBidi" w:cstheme="majorBidi"/>
          <w:b/>
          <w:sz w:val="24"/>
          <w:szCs w:val="24"/>
        </w:rPr>
      </w:pPr>
      <w:bookmarkStart w:id="46" w:name="_Toc203736337"/>
      <w:bookmarkStart w:id="47" w:name="_Toc203736420"/>
      <w:bookmarkStart w:id="48" w:name="_Toc203736663"/>
    </w:p>
    <w:p w14:paraId="258BC2E1" w14:textId="77777777" w:rsidR="008C0AF9" w:rsidRDefault="008C0AF9" w:rsidP="008C0AF9">
      <w:pPr>
        <w:spacing w:after="0" w:line="480" w:lineRule="auto"/>
        <w:rPr>
          <w:rFonts w:asciiTheme="majorBidi" w:hAnsiTheme="majorBidi" w:cstheme="majorBidi"/>
          <w:b/>
          <w:sz w:val="24"/>
          <w:szCs w:val="24"/>
        </w:rPr>
      </w:pPr>
    </w:p>
    <w:p w14:paraId="474D4F31" w14:textId="77777777" w:rsidR="008C0AF9" w:rsidRDefault="008C0AF9" w:rsidP="008C0AF9">
      <w:pPr>
        <w:spacing w:after="0" w:line="480" w:lineRule="auto"/>
        <w:rPr>
          <w:rFonts w:asciiTheme="majorBidi" w:hAnsiTheme="majorBidi" w:cstheme="majorBidi"/>
          <w:b/>
          <w:sz w:val="24"/>
          <w:szCs w:val="24"/>
        </w:rPr>
      </w:pPr>
    </w:p>
    <w:p w14:paraId="7395D8EA" w14:textId="77777777" w:rsidR="008C0AF9" w:rsidRDefault="008C0AF9" w:rsidP="008C0AF9">
      <w:pPr>
        <w:spacing w:after="0" w:line="480" w:lineRule="auto"/>
        <w:rPr>
          <w:rFonts w:asciiTheme="majorBidi" w:hAnsiTheme="majorBidi" w:cstheme="majorBidi"/>
          <w:b/>
          <w:sz w:val="24"/>
          <w:szCs w:val="24"/>
        </w:rPr>
      </w:pPr>
    </w:p>
    <w:p w14:paraId="27F32592" w14:textId="77777777" w:rsidR="008C0AF9" w:rsidRDefault="008C0AF9" w:rsidP="008C0AF9">
      <w:pPr>
        <w:spacing w:after="0" w:line="480" w:lineRule="auto"/>
        <w:rPr>
          <w:rFonts w:asciiTheme="majorBidi" w:hAnsiTheme="majorBidi" w:cstheme="majorBidi"/>
          <w:b/>
          <w:sz w:val="24"/>
          <w:szCs w:val="24"/>
        </w:rPr>
      </w:pPr>
    </w:p>
    <w:p w14:paraId="18DAD156" w14:textId="77777777" w:rsidR="008C0AF9" w:rsidRDefault="008C0AF9" w:rsidP="008C0AF9">
      <w:pPr>
        <w:spacing w:after="0" w:line="480" w:lineRule="auto"/>
        <w:rPr>
          <w:rFonts w:asciiTheme="majorBidi" w:hAnsiTheme="majorBidi" w:cstheme="majorBidi"/>
          <w:b/>
          <w:sz w:val="24"/>
          <w:szCs w:val="24"/>
        </w:rPr>
      </w:pPr>
    </w:p>
    <w:p w14:paraId="41204101" w14:textId="77777777" w:rsidR="008C0AF9" w:rsidRDefault="008C0AF9" w:rsidP="008C0AF9">
      <w:pPr>
        <w:spacing w:after="0" w:line="480" w:lineRule="auto"/>
        <w:rPr>
          <w:rFonts w:asciiTheme="majorBidi" w:hAnsiTheme="majorBidi" w:cstheme="majorBidi"/>
          <w:b/>
          <w:sz w:val="24"/>
          <w:szCs w:val="24"/>
        </w:rPr>
      </w:pPr>
    </w:p>
    <w:p w14:paraId="4DECC7C3" w14:textId="77777777" w:rsidR="008C0AF9" w:rsidRDefault="008C0AF9" w:rsidP="008C0AF9">
      <w:pPr>
        <w:spacing w:after="0" w:line="480" w:lineRule="auto"/>
        <w:rPr>
          <w:rFonts w:asciiTheme="majorBidi" w:hAnsiTheme="majorBidi" w:cstheme="majorBidi"/>
          <w:b/>
          <w:sz w:val="24"/>
          <w:szCs w:val="24"/>
        </w:rPr>
      </w:pPr>
    </w:p>
    <w:p w14:paraId="2DDD9A2C" w14:textId="77777777" w:rsidR="008C0AF9" w:rsidRDefault="008C0AF9" w:rsidP="008C0AF9">
      <w:pPr>
        <w:spacing w:after="0" w:line="480" w:lineRule="auto"/>
        <w:rPr>
          <w:rFonts w:asciiTheme="majorBidi" w:hAnsiTheme="majorBidi" w:cstheme="majorBidi"/>
          <w:b/>
          <w:sz w:val="24"/>
          <w:szCs w:val="24"/>
        </w:rPr>
      </w:pPr>
    </w:p>
    <w:p w14:paraId="530F3CBC" w14:textId="77777777" w:rsidR="008C0AF9" w:rsidRDefault="008C0AF9" w:rsidP="008C0AF9">
      <w:pPr>
        <w:spacing w:after="0" w:line="480" w:lineRule="auto"/>
        <w:rPr>
          <w:rFonts w:asciiTheme="majorBidi" w:hAnsiTheme="majorBidi" w:cstheme="majorBidi"/>
          <w:b/>
          <w:sz w:val="24"/>
          <w:szCs w:val="24"/>
        </w:rPr>
      </w:pPr>
    </w:p>
    <w:p w14:paraId="4C27A2FA" w14:textId="77777777" w:rsidR="008C0AF9" w:rsidRDefault="008C0AF9" w:rsidP="008C0AF9">
      <w:pPr>
        <w:spacing w:after="0" w:line="480" w:lineRule="auto"/>
        <w:rPr>
          <w:rFonts w:asciiTheme="majorBidi" w:hAnsiTheme="majorBidi" w:cstheme="majorBidi"/>
          <w:b/>
          <w:sz w:val="24"/>
          <w:szCs w:val="24"/>
        </w:rPr>
      </w:pPr>
    </w:p>
    <w:p w14:paraId="632762FC" w14:textId="77777777" w:rsidR="008C0AF9" w:rsidRDefault="008C0AF9" w:rsidP="008C0AF9">
      <w:pPr>
        <w:spacing w:after="0" w:line="480" w:lineRule="auto"/>
        <w:rPr>
          <w:rFonts w:asciiTheme="majorBidi" w:hAnsiTheme="majorBidi" w:cstheme="majorBidi"/>
          <w:b/>
          <w:sz w:val="24"/>
          <w:szCs w:val="24"/>
        </w:rPr>
      </w:pPr>
    </w:p>
    <w:p w14:paraId="0B2C817A" w14:textId="77777777" w:rsidR="008C0AF9" w:rsidRDefault="008C0AF9" w:rsidP="008C0AF9">
      <w:pPr>
        <w:spacing w:after="0" w:line="480" w:lineRule="auto"/>
        <w:rPr>
          <w:rFonts w:asciiTheme="majorBidi" w:hAnsiTheme="majorBidi" w:cstheme="majorBidi"/>
          <w:b/>
          <w:sz w:val="24"/>
          <w:szCs w:val="24"/>
        </w:rPr>
      </w:pPr>
    </w:p>
    <w:p w14:paraId="6EFF5A3A" w14:textId="77777777" w:rsidR="008C0AF9" w:rsidRDefault="008C0AF9" w:rsidP="008C0AF9">
      <w:pPr>
        <w:spacing w:after="0" w:line="480" w:lineRule="auto"/>
        <w:rPr>
          <w:rFonts w:asciiTheme="majorBidi" w:hAnsiTheme="majorBidi" w:cstheme="majorBidi"/>
          <w:b/>
          <w:sz w:val="24"/>
          <w:szCs w:val="24"/>
        </w:rPr>
      </w:pPr>
    </w:p>
    <w:p w14:paraId="7A739A17" w14:textId="77777777" w:rsidR="008C0AF9" w:rsidRDefault="008C0AF9" w:rsidP="008C0AF9">
      <w:pPr>
        <w:spacing w:after="0" w:line="480" w:lineRule="auto"/>
        <w:rPr>
          <w:rFonts w:asciiTheme="majorBidi" w:hAnsiTheme="majorBidi" w:cstheme="majorBidi"/>
          <w:b/>
          <w:sz w:val="24"/>
          <w:szCs w:val="24"/>
        </w:rPr>
      </w:pPr>
    </w:p>
    <w:p w14:paraId="42D706A2" w14:textId="77777777" w:rsidR="008C0AF9" w:rsidRDefault="008C0AF9" w:rsidP="008C0AF9">
      <w:pPr>
        <w:spacing w:after="0" w:line="480" w:lineRule="auto"/>
        <w:rPr>
          <w:rFonts w:asciiTheme="majorBidi" w:hAnsiTheme="majorBidi" w:cstheme="majorBidi"/>
          <w:b/>
          <w:sz w:val="24"/>
          <w:szCs w:val="24"/>
        </w:rPr>
      </w:pPr>
    </w:p>
    <w:p w14:paraId="2D60DC97" w14:textId="77777777" w:rsidR="008C0AF9" w:rsidRDefault="008C0AF9" w:rsidP="008C0AF9">
      <w:pPr>
        <w:spacing w:after="0" w:line="480" w:lineRule="auto"/>
        <w:rPr>
          <w:rFonts w:asciiTheme="majorBidi" w:hAnsiTheme="majorBidi" w:cstheme="majorBidi"/>
          <w:b/>
          <w:sz w:val="24"/>
          <w:szCs w:val="24"/>
        </w:rPr>
      </w:pPr>
    </w:p>
    <w:p w14:paraId="7D9AA624" w14:textId="77777777" w:rsidR="008C0AF9" w:rsidRDefault="008C0AF9" w:rsidP="008C0AF9">
      <w:pPr>
        <w:spacing w:after="0" w:line="480" w:lineRule="auto"/>
        <w:rPr>
          <w:rFonts w:asciiTheme="majorBidi" w:hAnsiTheme="majorBidi" w:cstheme="majorBidi"/>
          <w:b/>
          <w:sz w:val="24"/>
          <w:szCs w:val="24"/>
        </w:rPr>
      </w:pPr>
    </w:p>
    <w:p w14:paraId="50CA2263" w14:textId="77777777" w:rsidR="008C0AF9" w:rsidRDefault="008C0AF9" w:rsidP="008C0AF9">
      <w:pPr>
        <w:spacing w:after="0" w:line="480" w:lineRule="auto"/>
        <w:rPr>
          <w:rFonts w:asciiTheme="majorBidi" w:hAnsiTheme="majorBidi" w:cstheme="majorBidi"/>
          <w:b/>
          <w:sz w:val="24"/>
          <w:szCs w:val="24"/>
        </w:rPr>
      </w:pPr>
    </w:p>
    <w:p w14:paraId="1684A6B6" w14:textId="77777777" w:rsidR="008C0AF9" w:rsidRDefault="008C0AF9" w:rsidP="008C0AF9">
      <w:pPr>
        <w:spacing w:after="0" w:line="480" w:lineRule="auto"/>
        <w:rPr>
          <w:rFonts w:asciiTheme="majorBidi" w:hAnsiTheme="majorBidi" w:cstheme="majorBidi"/>
          <w:b/>
          <w:sz w:val="24"/>
          <w:szCs w:val="24"/>
        </w:rPr>
      </w:pPr>
    </w:p>
    <w:p w14:paraId="4C3D20E5" w14:textId="7595FFD6" w:rsidR="008C0AF9" w:rsidRPr="008C0AF9" w:rsidRDefault="008C0AF9" w:rsidP="008C0AF9">
      <w:pPr>
        <w:spacing w:after="0" w:line="480" w:lineRule="auto"/>
        <w:jc w:val="center"/>
        <w:rPr>
          <w:rFonts w:asciiTheme="majorBidi" w:hAnsiTheme="majorBidi" w:cstheme="majorBidi"/>
          <w:b/>
          <w:sz w:val="24"/>
          <w:szCs w:val="24"/>
        </w:rPr>
      </w:pPr>
      <w:r w:rsidRPr="008C0AF9">
        <w:rPr>
          <w:rFonts w:asciiTheme="majorBidi" w:hAnsiTheme="majorBidi" w:cstheme="majorBidi"/>
          <w:b/>
          <w:bCs/>
          <w:sz w:val="24"/>
          <w:szCs w:val="24"/>
        </w:rPr>
        <w:lastRenderedPageBreak/>
        <w:t>References</w:t>
      </w:r>
      <w:bookmarkEnd w:id="46"/>
      <w:bookmarkEnd w:id="47"/>
      <w:bookmarkEnd w:id="48"/>
    </w:p>
    <w:p w14:paraId="6023DFB6"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Angus, L. E., &amp; McLeod, J. (2004). </w:t>
      </w:r>
      <w:r w:rsidRPr="008C0AF9">
        <w:rPr>
          <w:rFonts w:asciiTheme="majorBidi" w:hAnsiTheme="majorBidi" w:cstheme="majorBidi"/>
          <w:i/>
          <w:iCs/>
          <w:sz w:val="24"/>
          <w:szCs w:val="24"/>
        </w:rPr>
        <w:t>The Handbook of Narrative and Psychotherapy: Practice, Theory, and Research</w:t>
      </w:r>
      <w:r w:rsidRPr="008C0AF9">
        <w:rPr>
          <w:rFonts w:asciiTheme="majorBidi" w:hAnsiTheme="majorBidi" w:cstheme="majorBidi"/>
          <w:sz w:val="24"/>
          <w:szCs w:val="24"/>
        </w:rPr>
        <w:t>. Thousand Oaks, CA: Sage.</w:t>
      </w:r>
    </w:p>
    <w:p w14:paraId="5B4A1FE2" w14:textId="77777777" w:rsidR="008C0AF9" w:rsidRPr="008C0AF9" w:rsidRDefault="008C0AF9" w:rsidP="008C0AF9">
      <w:pPr>
        <w:pStyle w:val="NormalWeb"/>
        <w:shd w:val="clear" w:color="auto" w:fill="FFFFFF"/>
        <w:spacing w:before="0" w:beforeAutospacing="0" w:after="0" w:afterAutospacing="0" w:line="480" w:lineRule="auto"/>
        <w:ind w:left="720" w:hanging="720"/>
        <w:contextualSpacing/>
        <w:rPr>
          <w:rFonts w:asciiTheme="majorBidi" w:hAnsiTheme="majorBidi" w:cstheme="majorBidi"/>
          <w:shd w:val="clear" w:color="auto" w:fill="FFFFFF"/>
        </w:rPr>
      </w:pPr>
      <w:r w:rsidRPr="008C0AF9">
        <w:rPr>
          <w:rFonts w:asciiTheme="majorBidi" w:hAnsiTheme="majorBidi" w:cstheme="majorBidi"/>
          <w:shd w:val="clear" w:color="auto" w:fill="FFFFFF"/>
        </w:rPr>
        <w:t xml:space="preserve">American Psychiatric Association. (2022). </w:t>
      </w:r>
      <w:r w:rsidRPr="008C0AF9">
        <w:rPr>
          <w:rFonts w:asciiTheme="majorBidi" w:hAnsiTheme="majorBidi" w:cstheme="majorBidi"/>
          <w:i/>
          <w:iCs/>
          <w:shd w:val="clear" w:color="auto" w:fill="FFFFFF"/>
        </w:rPr>
        <w:t>Diagnostic and statistical manual of mental disorders</w:t>
      </w:r>
      <w:r w:rsidRPr="008C0AF9">
        <w:rPr>
          <w:rFonts w:asciiTheme="majorBidi" w:hAnsiTheme="majorBidi" w:cstheme="majorBidi"/>
          <w:shd w:val="clear" w:color="auto" w:fill="FFFFFF"/>
        </w:rPr>
        <w:t xml:space="preserve"> (5th ed., text rev.; DSM-5-TR). American Psychiatric Publishing.</w:t>
      </w:r>
    </w:p>
    <w:p w14:paraId="45B607FA"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Baikie, K., &amp; Wilhelm, K. (2005). Emotional and physical health benefits of expressive writing. </w:t>
      </w:r>
      <w:r w:rsidRPr="008C0AF9">
        <w:rPr>
          <w:rFonts w:asciiTheme="majorBidi" w:hAnsiTheme="majorBidi" w:cstheme="majorBidi"/>
          <w:i/>
          <w:iCs/>
          <w:sz w:val="24"/>
          <w:szCs w:val="24"/>
        </w:rPr>
        <w:t>Advances in Psychiatric Treatment, 11</w:t>
      </w:r>
      <w:r w:rsidRPr="008C0AF9">
        <w:rPr>
          <w:rFonts w:asciiTheme="majorBidi" w:hAnsiTheme="majorBidi" w:cstheme="majorBidi"/>
          <w:sz w:val="24"/>
          <w:szCs w:val="24"/>
        </w:rPr>
        <w:t>(5), 338–346. https://doi.org/10.1192/apt.11.5.338</w:t>
      </w:r>
    </w:p>
    <w:p w14:paraId="735CEAB8"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Boyd, R. L., Ashokkumar, A., Seraj, S., &amp; Pennebaker, J. W. (2022a). </w:t>
      </w:r>
      <w:r w:rsidRPr="008C0AF9">
        <w:rPr>
          <w:rFonts w:asciiTheme="majorBidi" w:hAnsiTheme="majorBidi" w:cstheme="majorBidi"/>
          <w:i/>
          <w:iCs/>
          <w:sz w:val="24"/>
          <w:szCs w:val="24"/>
        </w:rPr>
        <w:t>LIWC-22: Descriptive statistics and norms.</w:t>
      </w:r>
      <w:r w:rsidRPr="008C0AF9">
        <w:rPr>
          <w:rFonts w:asciiTheme="majorBidi" w:hAnsiTheme="majorBidi" w:cstheme="majorBidi"/>
          <w:sz w:val="24"/>
          <w:szCs w:val="24"/>
        </w:rPr>
        <w:t xml:space="preserve"> https://www.liwc.app/static/documents/LIWC-22.Descriptive.Statistics-Test.Kitchen.xlsx</w:t>
      </w:r>
    </w:p>
    <w:p w14:paraId="4EA57A12" w14:textId="77777777" w:rsidR="008C0AF9" w:rsidRPr="008C0AF9" w:rsidRDefault="008C0AF9" w:rsidP="008C0AF9">
      <w:pPr>
        <w:spacing w:after="0" w:line="480" w:lineRule="auto"/>
        <w:ind w:left="720" w:hanging="720"/>
        <w:rPr>
          <w:rFonts w:asciiTheme="majorBidi" w:hAnsiTheme="majorBidi" w:cstheme="majorBidi"/>
          <w:sz w:val="24"/>
          <w:szCs w:val="24"/>
        </w:rPr>
      </w:pPr>
      <w:r w:rsidRPr="00FA3859">
        <w:rPr>
          <w:rFonts w:asciiTheme="majorBidi" w:hAnsiTheme="majorBidi" w:cstheme="majorBidi"/>
          <w:sz w:val="24"/>
          <w:szCs w:val="24"/>
          <w:lang w:val="nb-NO"/>
        </w:rPr>
        <w:t xml:space="preserve">Boyd, R. L., Ashokkumar, A., Seraj, S., &amp; Pennebaker, J. W. (2022b). </w:t>
      </w:r>
      <w:r w:rsidRPr="008C0AF9">
        <w:rPr>
          <w:rFonts w:asciiTheme="majorBidi" w:hAnsiTheme="majorBidi" w:cstheme="majorBidi"/>
          <w:i/>
          <w:iCs/>
          <w:sz w:val="24"/>
          <w:szCs w:val="24"/>
        </w:rPr>
        <w:t>The development and psychometric properties of LIWC-22</w:t>
      </w:r>
      <w:r w:rsidRPr="008C0AF9">
        <w:rPr>
          <w:rFonts w:asciiTheme="majorBidi" w:hAnsiTheme="majorBidi" w:cstheme="majorBidi"/>
          <w:sz w:val="24"/>
          <w:szCs w:val="24"/>
        </w:rPr>
        <w:t>. University of Texas. https://www.liwc.app/help/psychometrics-manuals</w:t>
      </w:r>
    </w:p>
    <w:p w14:paraId="3D48EDAA" w14:textId="77777777" w:rsidR="008C0AF9" w:rsidRPr="008C0AF9" w:rsidRDefault="008C0AF9" w:rsidP="008C0AF9">
      <w:pPr>
        <w:spacing w:after="0" w:line="480" w:lineRule="auto"/>
        <w:ind w:left="720" w:hanging="720"/>
        <w:rPr>
          <w:rFonts w:asciiTheme="majorBidi" w:hAnsiTheme="majorBidi" w:cstheme="majorBidi"/>
          <w:sz w:val="24"/>
          <w:szCs w:val="24"/>
        </w:rPr>
      </w:pPr>
      <w:r w:rsidRPr="00FA3859">
        <w:rPr>
          <w:rFonts w:asciiTheme="majorBidi" w:hAnsiTheme="majorBidi" w:cstheme="majorBidi"/>
          <w:color w:val="333333"/>
          <w:sz w:val="24"/>
          <w:szCs w:val="24"/>
          <w:shd w:val="clear" w:color="auto" w:fill="FFFFFF"/>
          <w:lang w:val="nl-NL"/>
        </w:rPr>
        <w:t xml:space="preserve">Boyd, R. L., &amp; Schwartz, H. A. (2021). </w:t>
      </w:r>
      <w:r w:rsidRPr="008C0AF9">
        <w:rPr>
          <w:rFonts w:asciiTheme="majorBidi" w:hAnsiTheme="majorBidi" w:cstheme="majorBidi"/>
          <w:color w:val="333333"/>
          <w:sz w:val="24"/>
          <w:szCs w:val="24"/>
          <w:shd w:val="clear" w:color="auto" w:fill="FFFFFF"/>
        </w:rPr>
        <w:t>Natural language analysis and the psychology of verbal behavior: The past, present, and future states of the field. </w:t>
      </w:r>
      <w:r w:rsidRPr="008C0AF9">
        <w:rPr>
          <w:rStyle w:val="Emphasis"/>
          <w:rFonts w:asciiTheme="majorBidi" w:hAnsiTheme="majorBidi" w:cstheme="majorBidi"/>
          <w:color w:val="333333"/>
          <w:sz w:val="24"/>
          <w:szCs w:val="24"/>
          <w:shd w:val="clear" w:color="auto" w:fill="FFFFFF"/>
        </w:rPr>
        <w:t>Journal of Language and Social Psychology, 40</w:t>
      </w:r>
      <w:r w:rsidRPr="008C0AF9">
        <w:rPr>
          <w:rFonts w:asciiTheme="majorBidi" w:hAnsiTheme="majorBidi" w:cstheme="majorBidi"/>
          <w:color w:val="333333"/>
          <w:sz w:val="24"/>
          <w:szCs w:val="24"/>
          <w:shd w:val="clear" w:color="auto" w:fill="FFFFFF"/>
        </w:rPr>
        <w:t>(1), 21–41. </w:t>
      </w:r>
      <w:r w:rsidRPr="008C0AF9">
        <w:rPr>
          <w:rFonts w:asciiTheme="majorBidi" w:hAnsiTheme="majorBidi" w:cstheme="majorBidi"/>
          <w:sz w:val="24"/>
          <w:szCs w:val="24"/>
        </w:rPr>
        <w:t>https://doi.org/10.1177/0261927X20967028</w:t>
      </w:r>
    </w:p>
    <w:p w14:paraId="31D26687"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color w:val="212121"/>
          <w:sz w:val="24"/>
          <w:szCs w:val="24"/>
          <w:shd w:val="clear" w:color="auto" w:fill="FFFFFF"/>
        </w:rPr>
        <w:t>Brewerton, T. D., Wang, J. B., Lafrance, A., Pamplin, C., Mithoefer, M., Yazar-Klosinki, B., Emerson, A., &amp; Doblin, R. (2022). MDMA-assisted therapy significantly reduces eating disorder symptoms in a randomized placebo-controlled trial of adults with severe PTSD. </w:t>
      </w:r>
      <w:r w:rsidRPr="008C0AF9">
        <w:rPr>
          <w:rFonts w:asciiTheme="majorBidi" w:hAnsiTheme="majorBidi" w:cstheme="majorBidi"/>
          <w:i/>
          <w:iCs/>
          <w:color w:val="212121"/>
          <w:sz w:val="24"/>
          <w:szCs w:val="24"/>
          <w:shd w:val="clear" w:color="auto" w:fill="FFFFFF"/>
        </w:rPr>
        <w:t>Journal of psychiatric research</w:t>
      </w:r>
      <w:r w:rsidRPr="008C0AF9">
        <w:rPr>
          <w:rFonts w:asciiTheme="majorBidi" w:hAnsiTheme="majorBidi" w:cstheme="majorBidi"/>
          <w:color w:val="212121"/>
          <w:sz w:val="24"/>
          <w:szCs w:val="24"/>
          <w:shd w:val="clear" w:color="auto" w:fill="FFFFFF"/>
        </w:rPr>
        <w:t>, </w:t>
      </w:r>
      <w:r w:rsidRPr="008C0AF9">
        <w:rPr>
          <w:rFonts w:asciiTheme="majorBidi" w:hAnsiTheme="majorBidi" w:cstheme="majorBidi"/>
          <w:i/>
          <w:iCs/>
          <w:color w:val="212121"/>
          <w:sz w:val="24"/>
          <w:szCs w:val="24"/>
          <w:shd w:val="clear" w:color="auto" w:fill="FFFFFF"/>
        </w:rPr>
        <w:t>149</w:t>
      </w:r>
      <w:r w:rsidRPr="008C0AF9">
        <w:rPr>
          <w:rFonts w:asciiTheme="majorBidi" w:hAnsiTheme="majorBidi" w:cstheme="majorBidi"/>
          <w:color w:val="212121"/>
          <w:sz w:val="24"/>
          <w:szCs w:val="24"/>
          <w:shd w:val="clear" w:color="auto" w:fill="FFFFFF"/>
        </w:rPr>
        <w:t>, 128–135. https://doi.org/10.1016/j.jpsychires.2022.03.008</w:t>
      </w:r>
    </w:p>
    <w:p w14:paraId="6FB425BA" w14:textId="77777777" w:rsidR="008C0AF9" w:rsidRPr="008C0AF9" w:rsidRDefault="008C0AF9" w:rsidP="008C0AF9">
      <w:pPr>
        <w:pStyle w:val="NormalWeb"/>
        <w:shd w:val="clear" w:color="auto" w:fill="FFFFFF"/>
        <w:spacing w:before="0" w:beforeAutospacing="0" w:after="0" w:afterAutospacing="0" w:line="480" w:lineRule="auto"/>
        <w:ind w:left="720" w:hanging="720"/>
        <w:contextualSpacing/>
        <w:rPr>
          <w:rFonts w:asciiTheme="majorBidi" w:hAnsiTheme="majorBidi" w:cstheme="majorBidi"/>
          <w:shd w:val="clear" w:color="auto" w:fill="FFFFFF"/>
        </w:rPr>
      </w:pPr>
      <w:r w:rsidRPr="008C0AF9">
        <w:rPr>
          <w:rFonts w:asciiTheme="majorBidi" w:hAnsiTheme="majorBidi" w:cstheme="majorBidi"/>
          <w:shd w:val="clear" w:color="auto" w:fill="FFFFFF"/>
        </w:rPr>
        <w:t xml:space="preserve">Bryant, E., Spielman, K., Le, A., Marks, P., National Eating Disorder Research Consortium, Touyz, S., &amp; Maguire, S. (2022). Screening, assessment and diagnosis in </w:t>
      </w:r>
      <w:proofErr w:type="gramStart"/>
      <w:r w:rsidRPr="008C0AF9">
        <w:rPr>
          <w:rFonts w:asciiTheme="majorBidi" w:hAnsiTheme="majorBidi" w:cstheme="majorBidi"/>
          <w:shd w:val="clear" w:color="auto" w:fill="FFFFFF"/>
        </w:rPr>
        <w:t>the eating</w:t>
      </w:r>
      <w:proofErr w:type="gramEnd"/>
      <w:r w:rsidRPr="008C0AF9">
        <w:rPr>
          <w:rFonts w:asciiTheme="majorBidi" w:hAnsiTheme="majorBidi" w:cstheme="majorBidi"/>
          <w:shd w:val="clear" w:color="auto" w:fill="FFFFFF"/>
        </w:rPr>
        <w:t xml:space="preserve"> </w:t>
      </w:r>
      <w:r w:rsidRPr="008C0AF9">
        <w:rPr>
          <w:rFonts w:asciiTheme="majorBidi" w:hAnsiTheme="majorBidi" w:cstheme="majorBidi"/>
          <w:shd w:val="clear" w:color="auto" w:fill="FFFFFF"/>
        </w:rPr>
        <w:lastRenderedPageBreak/>
        <w:t>disorders: findings from a rapid review. </w:t>
      </w:r>
      <w:r w:rsidRPr="008C0AF9">
        <w:rPr>
          <w:rFonts w:asciiTheme="majorBidi" w:hAnsiTheme="majorBidi" w:cstheme="majorBidi"/>
          <w:i/>
          <w:iCs/>
          <w:shd w:val="clear" w:color="auto" w:fill="FFFFFF"/>
        </w:rPr>
        <w:t>Journal of eating disorders</w:t>
      </w:r>
      <w:r w:rsidRPr="008C0AF9">
        <w:rPr>
          <w:rFonts w:asciiTheme="majorBidi" w:hAnsiTheme="majorBidi" w:cstheme="majorBidi"/>
          <w:shd w:val="clear" w:color="auto" w:fill="FFFFFF"/>
        </w:rPr>
        <w:t>, </w:t>
      </w:r>
      <w:r w:rsidRPr="008C0AF9">
        <w:rPr>
          <w:rFonts w:asciiTheme="majorBidi" w:hAnsiTheme="majorBidi" w:cstheme="majorBidi"/>
          <w:i/>
          <w:iCs/>
          <w:shd w:val="clear" w:color="auto" w:fill="FFFFFF"/>
        </w:rPr>
        <w:t>10</w:t>
      </w:r>
      <w:r w:rsidRPr="008C0AF9">
        <w:rPr>
          <w:rFonts w:asciiTheme="majorBidi" w:hAnsiTheme="majorBidi" w:cstheme="majorBidi"/>
          <w:shd w:val="clear" w:color="auto" w:fill="FFFFFF"/>
        </w:rPr>
        <w:t>(1), 78. https://doi.org/10.1186/s40337-022-00597-8</w:t>
      </w:r>
    </w:p>
    <w:p w14:paraId="6D1844DB"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shd w:val="clear" w:color="auto" w:fill="FFFFFF"/>
        </w:rPr>
        <w:t>Chancellor, S., Mitra, T., &amp; de Choudhury, M. (2016). Recovery amid pro-anorexia: Analysis of recovery in social media. In </w:t>
      </w:r>
      <w:r w:rsidRPr="008C0AF9">
        <w:rPr>
          <w:rFonts w:asciiTheme="majorBidi" w:hAnsiTheme="majorBidi" w:cstheme="majorBidi"/>
          <w:i/>
          <w:iCs/>
          <w:sz w:val="24"/>
          <w:szCs w:val="24"/>
          <w:shd w:val="clear" w:color="auto" w:fill="FFFFFF"/>
        </w:rPr>
        <w:t>Proceedings of the SIGCHI conference on human factors in computing systems</w:t>
      </w:r>
      <w:r w:rsidRPr="008C0AF9">
        <w:rPr>
          <w:rFonts w:asciiTheme="majorBidi" w:hAnsiTheme="majorBidi" w:cstheme="majorBidi"/>
          <w:sz w:val="24"/>
          <w:szCs w:val="24"/>
          <w:shd w:val="clear" w:color="auto" w:fill="FFFFFF"/>
        </w:rPr>
        <w:t>, 2111–2123. https://doi.org/10.1145/2858036.2858246</w:t>
      </w:r>
    </w:p>
    <w:p w14:paraId="5716822A"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Cohen, J. (1988). </w:t>
      </w:r>
      <w:r w:rsidRPr="008C0AF9">
        <w:rPr>
          <w:rFonts w:asciiTheme="majorBidi" w:hAnsiTheme="majorBidi" w:cstheme="majorBidi"/>
          <w:i/>
          <w:iCs/>
          <w:sz w:val="24"/>
          <w:szCs w:val="24"/>
        </w:rPr>
        <w:t xml:space="preserve">Statistical power analysis for the social sciences </w:t>
      </w:r>
      <w:r w:rsidRPr="008C0AF9">
        <w:rPr>
          <w:rFonts w:asciiTheme="majorBidi" w:hAnsiTheme="majorBidi" w:cstheme="majorBidi"/>
          <w:sz w:val="24"/>
          <w:szCs w:val="24"/>
        </w:rPr>
        <w:t>(2nd ed.). Lawrence Erlbaum Associates.</w:t>
      </w:r>
    </w:p>
    <w:p w14:paraId="158C61CC" w14:textId="77777777" w:rsidR="008C0AF9" w:rsidRPr="008C0AF9" w:rsidRDefault="008C0AF9" w:rsidP="008C0AF9">
      <w:pPr>
        <w:spacing w:after="0" w:line="480" w:lineRule="auto"/>
        <w:ind w:left="720" w:hanging="720"/>
        <w:rPr>
          <w:rFonts w:asciiTheme="majorBidi" w:hAnsiTheme="majorBidi" w:cstheme="majorBidi"/>
          <w:color w:val="212121"/>
          <w:sz w:val="24"/>
          <w:szCs w:val="24"/>
          <w:shd w:val="clear" w:color="auto" w:fill="FFFFFF"/>
        </w:rPr>
      </w:pPr>
      <w:r w:rsidRPr="008C0AF9">
        <w:rPr>
          <w:rFonts w:asciiTheme="majorBidi" w:hAnsiTheme="majorBidi" w:cstheme="majorBidi"/>
          <w:color w:val="212121"/>
          <w:sz w:val="24"/>
          <w:szCs w:val="24"/>
          <w:shd w:val="clear" w:color="auto" w:fill="FFFFFF"/>
        </w:rPr>
        <w:t xml:space="preserve">Daniel, J., &amp; Haberman, M. (2018). Clinical potential of psilocybin as a treatment for mental health conditions. </w:t>
      </w:r>
      <w:r w:rsidRPr="008C0AF9">
        <w:rPr>
          <w:rFonts w:asciiTheme="majorBidi" w:hAnsiTheme="majorBidi" w:cstheme="majorBidi"/>
          <w:i/>
          <w:iCs/>
          <w:color w:val="212121"/>
          <w:sz w:val="24"/>
          <w:szCs w:val="24"/>
          <w:shd w:val="clear" w:color="auto" w:fill="FFFFFF"/>
        </w:rPr>
        <w:t>Ment Health Clin</w:t>
      </w:r>
      <w:r w:rsidRPr="008C0AF9">
        <w:rPr>
          <w:rFonts w:asciiTheme="majorBidi" w:hAnsiTheme="majorBidi" w:cstheme="majorBidi"/>
          <w:color w:val="212121"/>
          <w:sz w:val="24"/>
          <w:szCs w:val="24"/>
          <w:shd w:val="clear" w:color="auto" w:fill="FFFFFF"/>
        </w:rPr>
        <w:t xml:space="preserve">, </w:t>
      </w:r>
      <w:r w:rsidRPr="008C0AF9">
        <w:rPr>
          <w:rFonts w:asciiTheme="majorBidi" w:hAnsiTheme="majorBidi" w:cstheme="majorBidi"/>
          <w:i/>
          <w:iCs/>
          <w:color w:val="212121"/>
          <w:sz w:val="24"/>
          <w:szCs w:val="24"/>
          <w:shd w:val="clear" w:color="auto" w:fill="FFFFFF"/>
        </w:rPr>
        <w:t>7</w:t>
      </w:r>
      <w:r w:rsidRPr="008C0AF9">
        <w:rPr>
          <w:rFonts w:asciiTheme="majorBidi" w:hAnsiTheme="majorBidi" w:cstheme="majorBidi"/>
          <w:color w:val="212121"/>
          <w:sz w:val="24"/>
          <w:szCs w:val="24"/>
          <w:shd w:val="clear" w:color="auto" w:fill="FFFFFF"/>
        </w:rPr>
        <w:t>(1), 24–28. https://doi.org/10.9740/mhc.2017.01.024</w:t>
      </w:r>
    </w:p>
    <w:p w14:paraId="45908F19"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Davis, A. K., Clifton, J. M., Weaver, E. G., Hurwitz, E. S., Johnson, M. W., &amp; Griffiths, R. R. (2020). Survey of entity encounter experiences occasioned by inhaled N, N-dimethyltryptamine: Phenomenology, interpretation, and enduring effects. </w:t>
      </w:r>
      <w:r w:rsidRPr="008C0AF9">
        <w:rPr>
          <w:rFonts w:asciiTheme="majorBidi" w:hAnsiTheme="majorBidi" w:cstheme="majorBidi"/>
          <w:i/>
          <w:iCs/>
          <w:sz w:val="24"/>
          <w:szCs w:val="24"/>
        </w:rPr>
        <w:t>Journal of Psychopharmacology,</w:t>
      </w:r>
      <w:r w:rsidRPr="008C0AF9">
        <w:rPr>
          <w:rFonts w:asciiTheme="majorBidi" w:hAnsiTheme="majorBidi" w:cstheme="majorBidi"/>
          <w:sz w:val="24"/>
          <w:szCs w:val="24"/>
        </w:rPr>
        <w:t> </w:t>
      </w:r>
      <w:r w:rsidRPr="008C0AF9">
        <w:rPr>
          <w:rFonts w:asciiTheme="majorBidi" w:hAnsiTheme="majorBidi" w:cstheme="majorBidi"/>
          <w:i/>
          <w:iCs/>
          <w:sz w:val="24"/>
          <w:szCs w:val="24"/>
        </w:rPr>
        <w:t>34</w:t>
      </w:r>
      <w:r w:rsidRPr="008C0AF9">
        <w:rPr>
          <w:rFonts w:asciiTheme="majorBidi" w:hAnsiTheme="majorBidi" w:cstheme="majorBidi"/>
          <w:sz w:val="24"/>
          <w:szCs w:val="24"/>
        </w:rPr>
        <w:t>(9) 1008–1020. https://doi.org/10.1177/0269881120916143</w:t>
      </w:r>
    </w:p>
    <w:p w14:paraId="55CE9091" w14:textId="77777777" w:rsidR="008C0AF9" w:rsidRPr="00FA3859" w:rsidRDefault="008C0AF9" w:rsidP="008C0AF9">
      <w:pPr>
        <w:spacing w:after="0" w:line="480" w:lineRule="auto"/>
        <w:ind w:left="720" w:hanging="720"/>
        <w:rPr>
          <w:rFonts w:asciiTheme="majorBidi" w:hAnsiTheme="majorBidi" w:cstheme="majorBidi"/>
          <w:color w:val="000000" w:themeColor="text1"/>
          <w:sz w:val="24"/>
          <w:szCs w:val="24"/>
          <w:highlight w:val="white"/>
        </w:rPr>
      </w:pPr>
      <w:r w:rsidRPr="008C0AF9">
        <w:rPr>
          <w:rFonts w:asciiTheme="majorBidi" w:hAnsiTheme="majorBidi" w:cstheme="majorBidi"/>
          <w:color w:val="212121"/>
          <w:sz w:val="24"/>
          <w:szCs w:val="24"/>
          <w:shd w:val="clear" w:color="auto" w:fill="FFFFFF"/>
        </w:rPr>
        <w:t>Dinis-Oliveira, R. J., Pereira, C. L., &amp; da Silva</w:t>
      </w:r>
      <w:proofErr w:type="gramStart"/>
      <w:r w:rsidRPr="008C0AF9">
        <w:rPr>
          <w:rFonts w:asciiTheme="majorBidi" w:hAnsiTheme="majorBidi" w:cstheme="majorBidi"/>
          <w:color w:val="212121"/>
          <w:sz w:val="24"/>
          <w:szCs w:val="24"/>
          <w:shd w:val="clear" w:color="auto" w:fill="FFFFFF"/>
        </w:rPr>
        <w:t>, D.</w:t>
      </w:r>
      <w:proofErr w:type="gramEnd"/>
      <w:r w:rsidRPr="008C0AF9">
        <w:rPr>
          <w:rFonts w:asciiTheme="majorBidi" w:hAnsiTheme="majorBidi" w:cstheme="majorBidi"/>
          <w:color w:val="212121"/>
          <w:sz w:val="24"/>
          <w:szCs w:val="24"/>
          <w:shd w:val="clear" w:color="auto" w:fill="FFFFFF"/>
        </w:rPr>
        <w:t xml:space="preserve"> D. (2019). Pharmacokinetic and pharmacodynamic aspects of peyote and mescaline: Clinical and forensic repercussions. </w:t>
      </w:r>
      <w:r w:rsidRPr="008C0AF9">
        <w:rPr>
          <w:rFonts w:asciiTheme="majorBidi" w:hAnsiTheme="majorBidi" w:cstheme="majorBidi"/>
          <w:i/>
          <w:iCs/>
          <w:color w:val="212121"/>
          <w:sz w:val="24"/>
          <w:szCs w:val="24"/>
          <w:shd w:val="clear" w:color="auto" w:fill="FFFFFF"/>
        </w:rPr>
        <w:t>Current Molecular Pharmacology, 12</w:t>
      </w:r>
      <w:r w:rsidRPr="008C0AF9">
        <w:rPr>
          <w:rFonts w:asciiTheme="majorBidi" w:hAnsiTheme="majorBidi" w:cstheme="majorBidi"/>
          <w:color w:val="212121"/>
          <w:sz w:val="24"/>
          <w:szCs w:val="24"/>
          <w:shd w:val="clear" w:color="auto" w:fill="FFFFFF"/>
        </w:rPr>
        <w:t>(3), 184–194. https://doi.org/10.2174/1874467211666181010154139</w:t>
      </w:r>
    </w:p>
    <w:p w14:paraId="708CE663" w14:textId="77777777" w:rsidR="008C0AF9" w:rsidRPr="008C0AF9" w:rsidRDefault="008C0AF9" w:rsidP="008C0AF9">
      <w:pPr>
        <w:spacing w:after="0" w:line="480" w:lineRule="auto"/>
        <w:ind w:left="720" w:hanging="720"/>
        <w:contextualSpacing/>
        <w:rPr>
          <w:rFonts w:asciiTheme="majorBidi" w:hAnsiTheme="majorBidi" w:cstheme="majorBidi"/>
          <w:sz w:val="24"/>
          <w:szCs w:val="24"/>
        </w:rPr>
      </w:pPr>
      <w:r w:rsidRPr="008C0AF9">
        <w:rPr>
          <w:rFonts w:asciiTheme="majorBidi" w:hAnsiTheme="majorBidi" w:cstheme="majorBidi"/>
          <w:sz w:val="24"/>
          <w:szCs w:val="24"/>
        </w:rPr>
        <w:t xml:space="preserve">Eddie, D., Hoffman, L., Vilsaint, C., Abry, A., Bergman, B., Hoeppner, B., &amp; Kelly, J. F. (2019). Lived experience in new models of care for substance use disorder: A systematic review of peer recovery support services and recovery coaching. </w:t>
      </w:r>
      <w:r w:rsidRPr="008C0AF9">
        <w:rPr>
          <w:rFonts w:asciiTheme="majorBidi" w:hAnsiTheme="majorBidi" w:cstheme="majorBidi"/>
          <w:i/>
          <w:iCs/>
          <w:sz w:val="24"/>
          <w:szCs w:val="24"/>
        </w:rPr>
        <w:t xml:space="preserve">Frontiers in </w:t>
      </w:r>
      <w:proofErr w:type="gramStart"/>
      <w:r w:rsidRPr="008C0AF9">
        <w:rPr>
          <w:rFonts w:asciiTheme="majorBidi" w:hAnsiTheme="majorBidi" w:cstheme="majorBidi"/>
          <w:i/>
          <w:iCs/>
          <w:sz w:val="24"/>
          <w:szCs w:val="24"/>
        </w:rPr>
        <w:t>Psychology, 10</w:t>
      </w:r>
      <w:proofErr w:type="gramEnd"/>
      <w:r w:rsidRPr="008C0AF9">
        <w:rPr>
          <w:rFonts w:asciiTheme="majorBidi" w:hAnsiTheme="majorBidi" w:cstheme="majorBidi"/>
          <w:sz w:val="24"/>
          <w:szCs w:val="24"/>
        </w:rPr>
        <w:t>, 1052. https://doi.org/10.3389/fpsyg.2019.01052</w:t>
      </w:r>
    </w:p>
    <w:p w14:paraId="686F4A64" w14:textId="77777777" w:rsidR="008C0AF9" w:rsidRPr="008C0AF9" w:rsidRDefault="008C0AF9" w:rsidP="008C0AF9">
      <w:pPr>
        <w:spacing w:after="0" w:line="480" w:lineRule="auto"/>
        <w:ind w:left="720" w:hanging="720"/>
        <w:rPr>
          <w:rFonts w:asciiTheme="majorBidi" w:hAnsiTheme="majorBidi" w:cstheme="majorBidi"/>
          <w:sz w:val="24"/>
          <w:szCs w:val="24"/>
        </w:rPr>
      </w:pPr>
    </w:p>
    <w:p w14:paraId="1085C3DC"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lastRenderedPageBreak/>
        <w:t xml:space="preserve">Edwards, T. M., &amp; Holtzman, N. S. (2017). A meta-analysis of correlations between depression and first-person singular pronoun use. </w:t>
      </w:r>
      <w:r w:rsidRPr="008C0AF9">
        <w:rPr>
          <w:rFonts w:asciiTheme="majorBidi" w:hAnsiTheme="majorBidi" w:cstheme="majorBidi"/>
          <w:i/>
          <w:iCs/>
          <w:sz w:val="24"/>
          <w:szCs w:val="24"/>
        </w:rPr>
        <w:t>Journal of Research in Personality, 68</w:t>
      </w:r>
      <w:r w:rsidRPr="008C0AF9">
        <w:rPr>
          <w:rFonts w:asciiTheme="majorBidi" w:hAnsiTheme="majorBidi" w:cstheme="majorBidi"/>
          <w:sz w:val="24"/>
          <w:szCs w:val="24"/>
        </w:rPr>
        <w:t xml:space="preserve">, 63–68. </w:t>
      </w:r>
      <w:hyperlink r:id="rId10" w:tgtFrame="_new" w:history="1">
        <w:r w:rsidRPr="008C0AF9">
          <w:rPr>
            <w:rStyle w:val="Hyperlink"/>
            <w:rFonts w:asciiTheme="majorBidi" w:hAnsiTheme="majorBidi" w:cstheme="majorBidi"/>
            <w:color w:val="auto"/>
            <w:sz w:val="24"/>
            <w:szCs w:val="24"/>
            <w:u w:val="none"/>
          </w:rPr>
          <w:t>https://doi.org/10.1016/j.jrp.2017.02.005</w:t>
        </w:r>
      </w:hyperlink>
      <w:r w:rsidRPr="008C0AF9">
        <w:rPr>
          <w:rFonts w:asciiTheme="majorBidi" w:hAnsiTheme="majorBidi" w:cstheme="majorBidi"/>
          <w:sz w:val="24"/>
          <w:szCs w:val="24"/>
        </w:rPr>
        <w:t xml:space="preserve"> </w:t>
      </w:r>
    </w:p>
    <w:p w14:paraId="76B7871D"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Erritzoe, D., Smith, J., Fisher, P. M., Carhart-Harris, R., Frokjaer, V. G., &amp; Knudsen, G. M. (2019). Recreational use of psychedelics is associated with elevated personality trait openness: Exploration of associations with brain serotonin markers. </w:t>
      </w:r>
      <w:r w:rsidRPr="008C0AF9">
        <w:rPr>
          <w:rFonts w:asciiTheme="majorBidi" w:hAnsiTheme="majorBidi" w:cstheme="majorBidi"/>
          <w:i/>
          <w:iCs/>
          <w:sz w:val="24"/>
          <w:szCs w:val="24"/>
        </w:rPr>
        <w:t>Journal of Psychopharmacology, 33</w:t>
      </w:r>
      <w:r w:rsidRPr="008C0AF9">
        <w:rPr>
          <w:rFonts w:asciiTheme="majorBidi" w:hAnsiTheme="majorBidi" w:cstheme="majorBidi"/>
          <w:sz w:val="24"/>
          <w:szCs w:val="24"/>
        </w:rPr>
        <w:t>(9), 1068–1075. https://doi.org/10.1177/0269881119827891</w:t>
      </w:r>
    </w:p>
    <w:p w14:paraId="79C76C93" w14:textId="77777777" w:rsidR="008C0AF9" w:rsidRPr="008C0AF9" w:rsidRDefault="008C0AF9" w:rsidP="008C0AF9">
      <w:pPr>
        <w:snapToGrid w:val="0"/>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Erskine, H. E., Whiteford, H. A., &amp; Pike, K. M. (2016). The global burden of eating disorders. </w:t>
      </w:r>
      <w:r w:rsidRPr="008C0AF9">
        <w:rPr>
          <w:rFonts w:asciiTheme="majorBidi" w:hAnsiTheme="majorBidi" w:cstheme="majorBidi"/>
          <w:i/>
          <w:iCs/>
          <w:sz w:val="24"/>
          <w:szCs w:val="24"/>
        </w:rPr>
        <w:t>Current opinion in psychiatry</w:t>
      </w:r>
      <w:r w:rsidRPr="008C0AF9">
        <w:rPr>
          <w:rFonts w:asciiTheme="majorBidi" w:hAnsiTheme="majorBidi" w:cstheme="majorBidi"/>
          <w:sz w:val="24"/>
          <w:szCs w:val="24"/>
        </w:rPr>
        <w:t>, </w:t>
      </w:r>
      <w:r w:rsidRPr="008C0AF9">
        <w:rPr>
          <w:rFonts w:asciiTheme="majorBidi" w:hAnsiTheme="majorBidi" w:cstheme="majorBidi"/>
          <w:i/>
          <w:iCs/>
          <w:sz w:val="24"/>
          <w:szCs w:val="24"/>
        </w:rPr>
        <w:t>29</w:t>
      </w:r>
      <w:r w:rsidRPr="008C0AF9">
        <w:rPr>
          <w:rFonts w:asciiTheme="majorBidi" w:hAnsiTheme="majorBidi" w:cstheme="majorBidi"/>
          <w:sz w:val="24"/>
          <w:szCs w:val="24"/>
        </w:rPr>
        <w:t>(6), 346–353. https://doi.org/10.1097/YCO.0000000000000276</w:t>
      </w:r>
    </w:p>
    <w:p w14:paraId="729D4C25" w14:textId="77777777" w:rsidR="008C0AF9" w:rsidRPr="00FA3859" w:rsidRDefault="008C0AF9" w:rsidP="008C0AF9">
      <w:pPr>
        <w:spacing w:after="0" w:line="480" w:lineRule="auto"/>
        <w:ind w:left="720" w:hanging="720"/>
        <w:rPr>
          <w:rFonts w:asciiTheme="majorBidi" w:hAnsiTheme="majorBidi" w:cstheme="majorBidi"/>
          <w:color w:val="000000" w:themeColor="text1"/>
          <w:sz w:val="24"/>
          <w:szCs w:val="24"/>
          <w:highlight w:val="white"/>
        </w:rPr>
      </w:pPr>
      <w:r w:rsidRPr="008C0AF9">
        <w:rPr>
          <w:rFonts w:asciiTheme="majorBidi" w:hAnsiTheme="majorBidi" w:cstheme="majorBidi"/>
          <w:color w:val="000000" w:themeColor="text1"/>
          <w:sz w:val="24"/>
          <w:szCs w:val="24"/>
          <w:highlight w:val="white"/>
        </w:rPr>
        <w:t xml:space="preserve">Evans, J., Robinson, O. C., Ketzitzidou Argyri, E., Suseelan, S., Murphy-Beiner, A., McAlpine, R., Luke, D., Michelle, K., &amp; Prideaux, E. (2023). </w:t>
      </w:r>
      <w:r w:rsidRPr="008C0AF9">
        <w:rPr>
          <w:rFonts w:asciiTheme="majorBidi" w:hAnsiTheme="majorBidi" w:cstheme="majorBidi"/>
          <w:i/>
          <w:iCs/>
          <w:color w:val="000000" w:themeColor="text1"/>
          <w:sz w:val="24"/>
          <w:szCs w:val="24"/>
          <w:highlight w:val="white"/>
        </w:rPr>
        <w:t>Extended difficulties following the use of psychedelic drugs: A mixed methods study</w:t>
      </w:r>
      <w:r w:rsidRPr="008C0AF9">
        <w:rPr>
          <w:rFonts w:asciiTheme="majorBidi" w:hAnsiTheme="majorBidi" w:cstheme="majorBidi"/>
          <w:color w:val="000000" w:themeColor="text1"/>
          <w:sz w:val="24"/>
          <w:szCs w:val="24"/>
          <w:highlight w:val="white"/>
        </w:rPr>
        <w:t xml:space="preserve">. </w:t>
      </w:r>
      <w:r w:rsidRPr="008C0AF9">
        <w:rPr>
          <w:rFonts w:asciiTheme="majorBidi" w:hAnsiTheme="majorBidi" w:cstheme="majorBidi"/>
          <w:i/>
          <w:iCs/>
          <w:color w:val="000000" w:themeColor="text1"/>
          <w:sz w:val="24"/>
          <w:szCs w:val="24"/>
          <w:highlight w:val="white"/>
        </w:rPr>
        <w:t>PLOS ONE, 18</w:t>
      </w:r>
      <w:r w:rsidRPr="008C0AF9">
        <w:rPr>
          <w:rFonts w:asciiTheme="majorBidi" w:hAnsiTheme="majorBidi" w:cstheme="majorBidi"/>
          <w:color w:val="000000" w:themeColor="text1"/>
          <w:sz w:val="24"/>
          <w:szCs w:val="24"/>
          <w:highlight w:val="white"/>
        </w:rPr>
        <w:t xml:space="preserve">(10), e0293349. </w:t>
      </w:r>
      <w:hyperlink r:id="rId11" w:tgtFrame="_new" w:history="1">
        <w:r w:rsidRPr="008C0AF9">
          <w:rPr>
            <w:rStyle w:val="Hyperlink"/>
            <w:rFonts w:asciiTheme="majorBidi" w:hAnsiTheme="majorBidi" w:cstheme="majorBidi"/>
            <w:color w:val="auto"/>
            <w:sz w:val="24"/>
            <w:szCs w:val="24"/>
            <w:highlight w:val="white"/>
            <w:u w:val="none"/>
          </w:rPr>
          <w:t>https://doi.org/10.1371/journal.pone.0293349</w:t>
        </w:r>
      </w:hyperlink>
    </w:p>
    <w:p w14:paraId="177F1451"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Fairburn, C. G. (2008). </w:t>
      </w:r>
      <w:r w:rsidRPr="008C0AF9">
        <w:rPr>
          <w:rFonts w:asciiTheme="majorBidi" w:hAnsiTheme="majorBidi" w:cstheme="majorBidi"/>
          <w:i/>
          <w:iCs/>
          <w:sz w:val="24"/>
          <w:szCs w:val="24"/>
        </w:rPr>
        <w:t>Cognitive Behavior Therapy and Eating Disorders</w:t>
      </w:r>
      <w:r w:rsidRPr="008C0AF9">
        <w:rPr>
          <w:rFonts w:asciiTheme="majorBidi" w:hAnsiTheme="majorBidi" w:cstheme="majorBidi"/>
          <w:sz w:val="24"/>
          <w:szCs w:val="24"/>
        </w:rPr>
        <w:t>. New York: Guilford Press.</w:t>
      </w:r>
    </w:p>
    <w:p w14:paraId="013B180F" w14:textId="77777777" w:rsidR="008C0AF9" w:rsidRPr="008C0AF9" w:rsidRDefault="008C0AF9" w:rsidP="008C0AF9">
      <w:pPr>
        <w:spacing w:after="0" w:line="480" w:lineRule="auto"/>
        <w:ind w:left="720" w:hanging="720"/>
        <w:rPr>
          <w:rStyle w:val="Hyperlink"/>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Feldhege, J., Moessner, M., Wolf, M., &amp; Bauer, S. (2021). Changes in language style and topics in an online eating disorder community at the beginning of the COVID-19 pandemic: Observational study. </w:t>
      </w:r>
      <w:r w:rsidRPr="008C0AF9">
        <w:rPr>
          <w:rFonts w:asciiTheme="majorBidi" w:hAnsiTheme="majorBidi" w:cstheme="majorBidi"/>
          <w:i/>
          <w:iCs/>
          <w:sz w:val="24"/>
          <w:szCs w:val="24"/>
          <w:shd w:val="clear" w:color="auto" w:fill="FFFFFF"/>
        </w:rPr>
        <w:t>Journal of Medical Internet Research</w:t>
      </w:r>
      <w:r w:rsidRPr="008C0AF9">
        <w:rPr>
          <w:rFonts w:asciiTheme="majorBidi" w:hAnsiTheme="majorBidi" w:cstheme="majorBidi"/>
          <w:sz w:val="24"/>
          <w:szCs w:val="24"/>
          <w:shd w:val="clear" w:color="auto" w:fill="FFFFFF"/>
        </w:rPr>
        <w:t>, </w:t>
      </w:r>
      <w:r w:rsidRPr="008C0AF9">
        <w:rPr>
          <w:rFonts w:asciiTheme="majorBidi" w:hAnsiTheme="majorBidi" w:cstheme="majorBidi"/>
          <w:i/>
          <w:iCs/>
          <w:sz w:val="24"/>
          <w:szCs w:val="24"/>
          <w:shd w:val="clear" w:color="auto" w:fill="FFFFFF"/>
        </w:rPr>
        <w:t>23</w:t>
      </w:r>
      <w:r w:rsidRPr="008C0AF9">
        <w:rPr>
          <w:rFonts w:asciiTheme="majorBidi" w:hAnsiTheme="majorBidi" w:cstheme="majorBidi"/>
          <w:sz w:val="24"/>
          <w:szCs w:val="24"/>
          <w:shd w:val="clear" w:color="auto" w:fill="FFFFFF"/>
        </w:rPr>
        <w:t>(7), e28346. https://doi.org/10.2196/28346</w:t>
      </w:r>
    </w:p>
    <w:p w14:paraId="5316A681"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Fischman, L. G. (2022, September 20). Knowing and being </w:t>
      </w:r>
      <w:proofErr w:type="gramStart"/>
      <w:r w:rsidRPr="008C0AF9">
        <w:rPr>
          <w:rFonts w:asciiTheme="majorBidi" w:hAnsiTheme="majorBidi" w:cstheme="majorBidi"/>
          <w:sz w:val="24"/>
          <w:szCs w:val="24"/>
        </w:rPr>
        <w:t>known:</w:t>
      </w:r>
      <w:proofErr w:type="gramEnd"/>
      <w:r w:rsidRPr="008C0AF9">
        <w:rPr>
          <w:rFonts w:asciiTheme="majorBidi" w:hAnsiTheme="majorBidi" w:cstheme="majorBidi"/>
          <w:sz w:val="24"/>
          <w:szCs w:val="24"/>
        </w:rPr>
        <w:t xml:space="preserve"> Psychedelic</w:t>
      </w:r>
      <w:r w:rsidRPr="008C0AF9">
        <w:rPr>
          <w:rFonts w:asciiTheme="majorBidi" w:hAnsiTheme="majorBidi" w:cstheme="majorBidi"/>
          <w:sz w:val="24"/>
          <w:szCs w:val="24"/>
        </w:rPr>
        <w:noBreakHyphen/>
        <w:t xml:space="preserve">assisted psychotherapy and the sense of authenticity. </w:t>
      </w:r>
      <w:r w:rsidRPr="008C0AF9">
        <w:rPr>
          <w:rFonts w:asciiTheme="majorBidi" w:hAnsiTheme="majorBidi" w:cstheme="majorBidi"/>
          <w:i/>
          <w:iCs/>
          <w:sz w:val="24"/>
          <w:szCs w:val="24"/>
        </w:rPr>
        <w:t>Frontiers in Psychiatry, 13</w:t>
      </w:r>
      <w:r w:rsidRPr="008C0AF9">
        <w:rPr>
          <w:rFonts w:asciiTheme="majorBidi" w:hAnsiTheme="majorBidi" w:cstheme="majorBidi"/>
          <w:sz w:val="24"/>
          <w:szCs w:val="24"/>
        </w:rPr>
        <w:t xml:space="preserve">, Article 933495. </w:t>
      </w:r>
      <w:hyperlink r:id="rId12" w:tgtFrame="_new" w:history="1">
        <w:r w:rsidRPr="008C0AF9">
          <w:rPr>
            <w:rStyle w:val="Hyperlink"/>
            <w:rFonts w:asciiTheme="majorBidi" w:hAnsiTheme="majorBidi" w:cstheme="majorBidi"/>
            <w:color w:val="auto"/>
            <w:sz w:val="24"/>
            <w:szCs w:val="24"/>
            <w:u w:val="none"/>
          </w:rPr>
          <w:t>https://doi.org/10.3389/fpsyt.2022.933495</w:t>
        </w:r>
      </w:hyperlink>
    </w:p>
    <w:p w14:paraId="26FE7F67"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lastRenderedPageBreak/>
        <w:t xml:space="preserve">Fotiou, E., &amp; Gearin, A. K. (2019). Purging and the body in the therapeutic use of ayahuasca. </w:t>
      </w:r>
      <w:r w:rsidRPr="008C0AF9">
        <w:rPr>
          <w:rFonts w:asciiTheme="majorBidi" w:hAnsiTheme="majorBidi" w:cstheme="majorBidi"/>
          <w:i/>
          <w:iCs/>
          <w:sz w:val="24"/>
          <w:szCs w:val="24"/>
        </w:rPr>
        <w:t>Social Science &amp; Medicine, 239</w:t>
      </w:r>
      <w:r w:rsidRPr="008C0AF9">
        <w:rPr>
          <w:rFonts w:asciiTheme="majorBidi" w:hAnsiTheme="majorBidi" w:cstheme="majorBidi"/>
          <w:sz w:val="24"/>
          <w:szCs w:val="24"/>
        </w:rPr>
        <w:t>, Article 112532. https://doi.org/10.1016/j.socscimed.2019.112532</w:t>
      </w:r>
    </w:p>
    <w:p w14:paraId="0C6A5DE0"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Garner, D. M., Olmsted, M. P., Bohr, Y., &amp; Garfinkel, P. E. (1982). The Eating Attitudes Test: Psychometric features and clinical </w:t>
      </w:r>
      <w:proofErr w:type="gramStart"/>
      <w:r w:rsidRPr="008C0AF9">
        <w:rPr>
          <w:rFonts w:asciiTheme="majorBidi" w:hAnsiTheme="majorBidi" w:cstheme="majorBidi"/>
          <w:sz w:val="24"/>
          <w:szCs w:val="24"/>
        </w:rPr>
        <w:t>correlates</w:t>
      </w:r>
      <w:proofErr w:type="gramEnd"/>
      <w:r w:rsidRPr="008C0AF9">
        <w:rPr>
          <w:rFonts w:asciiTheme="majorBidi" w:hAnsiTheme="majorBidi" w:cstheme="majorBidi"/>
          <w:sz w:val="24"/>
          <w:szCs w:val="24"/>
        </w:rPr>
        <w:t xml:space="preserve">. </w:t>
      </w:r>
      <w:r w:rsidRPr="008C0AF9">
        <w:rPr>
          <w:rFonts w:asciiTheme="majorBidi" w:hAnsiTheme="majorBidi" w:cstheme="majorBidi"/>
          <w:i/>
          <w:iCs/>
          <w:sz w:val="24"/>
          <w:szCs w:val="24"/>
        </w:rPr>
        <w:t>Psychological Medicine, 12</w:t>
      </w:r>
      <w:r w:rsidRPr="008C0AF9">
        <w:rPr>
          <w:rFonts w:asciiTheme="majorBidi" w:hAnsiTheme="majorBidi" w:cstheme="majorBidi"/>
          <w:sz w:val="24"/>
          <w:szCs w:val="24"/>
        </w:rPr>
        <w:t>(4), 871–878. https://doi.org/10.1017/S0033291700049163</w:t>
      </w:r>
    </w:p>
    <w:p w14:paraId="67A00A7A"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Gies, J., &amp; Martino, S. (2014). </w:t>
      </w:r>
      <w:r w:rsidRPr="008C0AF9">
        <w:rPr>
          <w:rFonts w:asciiTheme="majorBidi" w:hAnsiTheme="majorBidi" w:cstheme="majorBidi"/>
          <w:i/>
          <w:iCs/>
          <w:sz w:val="24"/>
          <w:szCs w:val="24"/>
        </w:rPr>
        <w:t>Uncovering ED: A qualitative analysis of personal blogs managed by individuals with eating disorders</w:t>
      </w:r>
      <w:r w:rsidRPr="008C0AF9">
        <w:rPr>
          <w:rFonts w:asciiTheme="majorBidi" w:hAnsiTheme="majorBidi" w:cstheme="majorBidi"/>
          <w:sz w:val="24"/>
          <w:szCs w:val="24"/>
        </w:rPr>
        <w:t xml:space="preserve">. The Qualitative Report, 19(29), 1–15. </w:t>
      </w:r>
      <w:hyperlink r:id="rId13" w:tgtFrame="_new" w:history="1">
        <w:r w:rsidRPr="008C0AF9">
          <w:rPr>
            <w:rStyle w:val="Hyperlink"/>
            <w:rFonts w:asciiTheme="majorBidi" w:hAnsiTheme="majorBidi" w:cstheme="majorBidi"/>
            <w:color w:val="auto"/>
            <w:sz w:val="24"/>
            <w:szCs w:val="24"/>
            <w:u w:val="none"/>
          </w:rPr>
          <w:t>https://doi.org/10.46743/2160-3715/2014.1104</w:t>
        </w:r>
      </w:hyperlink>
    </w:p>
    <w:p w14:paraId="01BEDBB1"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Griffiths, R. R., Johnson, M. W., Richards, W. A., Richards, B. D., McCann, U., &amp; Jesse, R. (2011). Psilocybin occasioned mystical-type experiences: immediate and persisting dose-related effects. </w:t>
      </w:r>
      <w:r w:rsidRPr="008C0AF9">
        <w:rPr>
          <w:rFonts w:asciiTheme="majorBidi" w:hAnsiTheme="majorBidi" w:cstheme="majorBidi"/>
          <w:i/>
          <w:iCs/>
          <w:sz w:val="24"/>
          <w:szCs w:val="24"/>
        </w:rPr>
        <w:t>Psychopharmacology</w:t>
      </w:r>
      <w:r w:rsidRPr="008C0AF9">
        <w:rPr>
          <w:rFonts w:asciiTheme="majorBidi" w:hAnsiTheme="majorBidi" w:cstheme="majorBidi"/>
          <w:sz w:val="24"/>
          <w:szCs w:val="24"/>
        </w:rPr>
        <w:t>, </w:t>
      </w:r>
      <w:r w:rsidRPr="008C0AF9">
        <w:rPr>
          <w:rFonts w:asciiTheme="majorBidi" w:hAnsiTheme="majorBidi" w:cstheme="majorBidi"/>
          <w:i/>
          <w:iCs/>
          <w:sz w:val="24"/>
          <w:szCs w:val="24"/>
        </w:rPr>
        <w:t>218</w:t>
      </w:r>
      <w:r w:rsidRPr="008C0AF9">
        <w:rPr>
          <w:rFonts w:asciiTheme="majorBidi" w:hAnsiTheme="majorBidi" w:cstheme="majorBidi"/>
          <w:sz w:val="24"/>
          <w:szCs w:val="24"/>
        </w:rPr>
        <w:t>(4), 649–665. https://doi.org/10.1007/s00213-011-2358-5</w:t>
      </w:r>
    </w:p>
    <w:p w14:paraId="11FEC1F6" w14:textId="77777777" w:rsidR="008C0AF9" w:rsidRPr="008C0AF9" w:rsidRDefault="008C0AF9" w:rsidP="008C0AF9">
      <w:pPr>
        <w:spacing w:after="0" w:line="480" w:lineRule="auto"/>
        <w:ind w:left="720" w:hanging="720"/>
        <w:rPr>
          <w:rStyle w:val="Hyperlink"/>
          <w:rFonts w:asciiTheme="majorBidi" w:hAnsiTheme="majorBidi" w:cstheme="majorBidi"/>
          <w:color w:val="auto"/>
          <w:sz w:val="24"/>
          <w:szCs w:val="24"/>
          <w:shd w:val="clear" w:color="auto" w:fill="FFFFFF"/>
        </w:rPr>
      </w:pPr>
      <w:r w:rsidRPr="008C0AF9">
        <w:rPr>
          <w:rFonts w:asciiTheme="majorBidi" w:hAnsiTheme="majorBidi" w:cstheme="majorBidi"/>
          <w:sz w:val="24"/>
          <w:szCs w:val="24"/>
          <w:shd w:val="clear" w:color="auto" w:fill="FFFFFF"/>
        </w:rPr>
        <w:t>Güler, K., &amp; Özgörüş, Z. (2022). Investigation of the relationship between early maladaptive schemas, temperament and eating attitude in adults. </w:t>
      </w:r>
      <w:r w:rsidRPr="008C0AF9">
        <w:rPr>
          <w:rFonts w:asciiTheme="majorBidi" w:hAnsiTheme="majorBidi" w:cstheme="majorBidi"/>
          <w:i/>
          <w:iCs/>
          <w:sz w:val="24"/>
          <w:szCs w:val="24"/>
          <w:shd w:val="clear" w:color="auto" w:fill="FFFFFF"/>
        </w:rPr>
        <w:t>Journal of Eating Disorders</w:t>
      </w:r>
      <w:r w:rsidRPr="008C0AF9">
        <w:rPr>
          <w:rFonts w:asciiTheme="majorBidi" w:hAnsiTheme="majorBidi" w:cstheme="majorBidi"/>
          <w:sz w:val="24"/>
          <w:szCs w:val="24"/>
          <w:shd w:val="clear" w:color="auto" w:fill="FFFFFF"/>
        </w:rPr>
        <w:t>, </w:t>
      </w:r>
      <w:r w:rsidRPr="008C0AF9">
        <w:rPr>
          <w:rFonts w:asciiTheme="majorBidi" w:hAnsiTheme="majorBidi" w:cstheme="majorBidi"/>
          <w:i/>
          <w:iCs/>
          <w:sz w:val="24"/>
          <w:szCs w:val="24"/>
          <w:shd w:val="clear" w:color="auto" w:fill="FFFFFF"/>
        </w:rPr>
        <w:t>10</w:t>
      </w:r>
      <w:r w:rsidRPr="008C0AF9">
        <w:rPr>
          <w:rFonts w:asciiTheme="majorBidi" w:hAnsiTheme="majorBidi" w:cstheme="majorBidi"/>
          <w:sz w:val="24"/>
          <w:szCs w:val="24"/>
          <w:shd w:val="clear" w:color="auto" w:fill="FFFFFF"/>
        </w:rPr>
        <w:t xml:space="preserve">(1), 187–198. </w:t>
      </w:r>
      <w:hyperlink r:id="rId14" w:history="1">
        <w:r w:rsidRPr="008C0AF9">
          <w:rPr>
            <w:rStyle w:val="Hyperlink"/>
            <w:rFonts w:asciiTheme="majorBidi" w:hAnsiTheme="majorBidi" w:cstheme="majorBidi"/>
            <w:color w:val="auto"/>
            <w:sz w:val="24"/>
            <w:szCs w:val="24"/>
            <w:u w:val="none"/>
            <w:shd w:val="clear" w:color="auto" w:fill="FFFFFF"/>
          </w:rPr>
          <w:t>https://doi.org/10.1186/s40337-022-00711-w</w:t>
        </w:r>
      </w:hyperlink>
    </w:p>
    <w:p w14:paraId="7563B7BC"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color w:val="212121"/>
          <w:sz w:val="24"/>
          <w:szCs w:val="24"/>
          <w:shd w:val="clear" w:color="auto" w:fill="FFFFFF"/>
        </w:rPr>
        <w:t xml:space="preserve">Hamill, J., Hallak, J., Dursun, S. M., &amp; Baker, G. (2019). Ayahuasca: Psychological and physiologic effects, pharmacology and potential uses in addiction and mental illness. </w:t>
      </w:r>
      <w:r w:rsidRPr="008C0AF9">
        <w:rPr>
          <w:rFonts w:asciiTheme="majorBidi" w:hAnsiTheme="majorBidi" w:cstheme="majorBidi"/>
          <w:i/>
          <w:iCs/>
          <w:color w:val="212121"/>
          <w:sz w:val="24"/>
          <w:szCs w:val="24"/>
          <w:shd w:val="clear" w:color="auto" w:fill="FFFFFF"/>
        </w:rPr>
        <w:t>Current Neuropharmacology,17</w:t>
      </w:r>
      <w:r w:rsidRPr="008C0AF9">
        <w:rPr>
          <w:rFonts w:asciiTheme="majorBidi" w:hAnsiTheme="majorBidi" w:cstheme="majorBidi"/>
          <w:color w:val="212121"/>
          <w:sz w:val="24"/>
          <w:szCs w:val="24"/>
          <w:shd w:val="clear" w:color="auto" w:fill="FFFFFF"/>
        </w:rPr>
        <w:t>(2),108–128. https://doi.org/10.2174/1570159X16666180125095902</w:t>
      </w:r>
    </w:p>
    <w:p w14:paraId="0D8C8F13"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 xml:space="preserve">Hillege, S., Beale, B., &amp; McMaster, R. (2006). Impact of eating disorders on family life: Individual parents' stories. </w:t>
      </w:r>
      <w:r w:rsidRPr="008C0AF9">
        <w:rPr>
          <w:rFonts w:asciiTheme="majorBidi" w:hAnsiTheme="majorBidi" w:cstheme="majorBidi"/>
          <w:i/>
          <w:iCs/>
          <w:sz w:val="24"/>
          <w:szCs w:val="24"/>
          <w:shd w:val="clear" w:color="auto" w:fill="FFFFFF"/>
        </w:rPr>
        <w:t>Journal of Clinical Nursing, 15</w:t>
      </w:r>
      <w:r w:rsidRPr="008C0AF9">
        <w:rPr>
          <w:rFonts w:asciiTheme="majorBidi" w:hAnsiTheme="majorBidi" w:cstheme="majorBidi"/>
          <w:sz w:val="24"/>
          <w:szCs w:val="24"/>
          <w:shd w:val="clear" w:color="auto" w:fill="FFFFFF"/>
        </w:rPr>
        <w:t>(8), 1016–1022. https://doi.org/10.1111/j.1365-2702.2006.01367.x</w:t>
      </w:r>
    </w:p>
    <w:p w14:paraId="64599568"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lastRenderedPageBreak/>
        <w:t>Ho, A. S., Behr, H., Mitchell, E. S., Yang, Q., Lee, J., May, C. N., &amp; Michaelides, A. (2022). Goal language is associated with attrition and weight loss on a digital program: Observational study. </w:t>
      </w:r>
      <w:r w:rsidRPr="008C0AF9">
        <w:rPr>
          <w:rFonts w:asciiTheme="majorBidi" w:hAnsiTheme="majorBidi" w:cstheme="majorBidi"/>
          <w:i/>
          <w:iCs/>
          <w:sz w:val="24"/>
          <w:szCs w:val="24"/>
          <w:shd w:val="clear" w:color="auto" w:fill="FFFFFF"/>
        </w:rPr>
        <w:t>PLOS Digital Health</w:t>
      </w:r>
      <w:r w:rsidRPr="008C0AF9">
        <w:rPr>
          <w:rFonts w:asciiTheme="majorBidi" w:hAnsiTheme="majorBidi" w:cstheme="majorBidi"/>
          <w:sz w:val="24"/>
          <w:szCs w:val="24"/>
          <w:shd w:val="clear" w:color="auto" w:fill="FFFFFF"/>
        </w:rPr>
        <w:t>, </w:t>
      </w:r>
      <w:r w:rsidRPr="008C0AF9">
        <w:rPr>
          <w:rFonts w:asciiTheme="majorBidi" w:hAnsiTheme="majorBidi" w:cstheme="majorBidi"/>
          <w:i/>
          <w:iCs/>
          <w:sz w:val="24"/>
          <w:szCs w:val="24"/>
          <w:shd w:val="clear" w:color="auto" w:fill="FFFFFF"/>
        </w:rPr>
        <w:t>1</w:t>
      </w:r>
      <w:r w:rsidRPr="008C0AF9">
        <w:rPr>
          <w:rFonts w:asciiTheme="majorBidi" w:hAnsiTheme="majorBidi" w:cstheme="majorBidi"/>
          <w:sz w:val="24"/>
          <w:szCs w:val="24"/>
          <w:shd w:val="clear" w:color="auto" w:fill="FFFFFF"/>
        </w:rPr>
        <w:t>(6), e0000050. https://doi.org/10.1371/journal.pdig.0000050</w:t>
      </w:r>
    </w:p>
    <w:p w14:paraId="5BC597E3" w14:textId="77777777" w:rsidR="008C0AF9" w:rsidRPr="008C0AF9" w:rsidRDefault="008C0AF9" w:rsidP="008C0AF9">
      <w:pPr>
        <w:spacing w:after="0" w:line="480" w:lineRule="auto"/>
        <w:ind w:left="720" w:hanging="720"/>
        <w:rPr>
          <w:rFonts w:asciiTheme="majorBidi" w:hAnsiTheme="majorBidi" w:cstheme="majorBidi"/>
          <w:i/>
          <w:iCs/>
          <w:sz w:val="24"/>
          <w:szCs w:val="24"/>
          <w:shd w:val="clear" w:color="auto" w:fill="FFFFFF"/>
        </w:rPr>
      </w:pPr>
      <w:r w:rsidRPr="008C0AF9">
        <w:rPr>
          <w:rFonts w:asciiTheme="majorBidi" w:hAnsiTheme="majorBidi" w:cstheme="majorBidi"/>
          <w:sz w:val="24"/>
          <w:szCs w:val="24"/>
          <w:shd w:val="clear" w:color="auto" w:fill="FFFFFF"/>
        </w:rPr>
        <w:t xml:space="preserve">Hofmann, A. (2009). </w:t>
      </w:r>
      <w:r w:rsidRPr="008C0AF9">
        <w:rPr>
          <w:rFonts w:asciiTheme="majorBidi" w:hAnsiTheme="majorBidi" w:cstheme="majorBidi"/>
          <w:i/>
          <w:iCs/>
          <w:sz w:val="24"/>
          <w:szCs w:val="24"/>
          <w:shd w:val="clear" w:color="auto" w:fill="FFFFFF"/>
        </w:rPr>
        <w:t>LSD: My problem child</w:t>
      </w:r>
      <w:r w:rsidRPr="008C0AF9">
        <w:rPr>
          <w:rFonts w:asciiTheme="majorBidi" w:hAnsiTheme="majorBidi" w:cstheme="majorBidi"/>
          <w:sz w:val="24"/>
          <w:szCs w:val="24"/>
          <w:shd w:val="clear" w:color="auto" w:fill="FFFFFF"/>
        </w:rPr>
        <w:t xml:space="preserve"> (4th ed.). Synergetic Press</w:t>
      </w:r>
      <w:r w:rsidRPr="008C0AF9">
        <w:rPr>
          <w:rFonts w:asciiTheme="majorBidi" w:hAnsiTheme="majorBidi" w:cstheme="majorBidi"/>
          <w:i/>
          <w:iCs/>
          <w:sz w:val="24"/>
          <w:szCs w:val="24"/>
          <w:shd w:val="clear" w:color="auto" w:fill="FFFFFF"/>
        </w:rPr>
        <w:t xml:space="preserve">. </w:t>
      </w:r>
    </w:p>
    <w:p w14:paraId="4660C8E4"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shd w:val="clear" w:color="auto" w:fill="FFFFFF"/>
        </w:rPr>
        <w:t>Juel, E., Futch, W., &amp; Eiler, B. (2023). Connecting the pro-recovery eating disorder community: An analysis of the language on science, Twitter, and Reddit. </w:t>
      </w:r>
      <w:r w:rsidRPr="008C0AF9">
        <w:rPr>
          <w:rStyle w:val="Emphasis"/>
          <w:rFonts w:asciiTheme="majorBidi" w:hAnsiTheme="majorBidi" w:cstheme="majorBidi"/>
          <w:sz w:val="24"/>
          <w:szCs w:val="24"/>
          <w:shd w:val="clear" w:color="auto" w:fill="FFFFFF"/>
        </w:rPr>
        <w:t>Psychology of Popular Media</w:t>
      </w:r>
      <w:r w:rsidRPr="008C0AF9">
        <w:rPr>
          <w:rFonts w:asciiTheme="majorBidi" w:hAnsiTheme="majorBidi" w:cstheme="majorBidi"/>
          <w:sz w:val="24"/>
          <w:szCs w:val="24"/>
          <w:shd w:val="clear" w:color="auto" w:fill="FFFFFF"/>
        </w:rPr>
        <w:t xml:space="preserve">, </w:t>
      </w:r>
      <w:r w:rsidRPr="008C0AF9">
        <w:rPr>
          <w:rFonts w:asciiTheme="majorBidi" w:hAnsiTheme="majorBidi" w:cstheme="majorBidi"/>
          <w:i/>
          <w:iCs/>
          <w:sz w:val="24"/>
          <w:szCs w:val="24"/>
          <w:shd w:val="clear" w:color="auto" w:fill="FFFFFF"/>
        </w:rPr>
        <w:t>13</w:t>
      </w:r>
      <w:r w:rsidRPr="008C0AF9">
        <w:rPr>
          <w:rFonts w:asciiTheme="majorBidi" w:hAnsiTheme="majorBidi" w:cstheme="majorBidi"/>
          <w:sz w:val="24"/>
          <w:szCs w:val="24"/>
          <w:shd w:val="clear" w:color="auto" w:fill="FFFFFF"/>
        </w:rPr>
        <w:t>(2), 230–239. </w:t>
      </w:r>
      <w:hyperlink r:id="rId15" w:tgtFrame="_blank" w:history="1">
        <w:r w:rsidRPr="008C0AF9">
          <w:rPr>
            <w:rStyle w:val="Hyperlink"/>
            <w:rFonts w:asciiTheme="majorBidi" w:hAnsiTheme="majorBidi" w:cstheme="majorBidi"/>
            <w:color w:val="auto"/>
            <w:sz w:val="24"/>
            <w:szCs w:val="24"/>
            <w:u w:val="none"/>
            <w:shd w:val="clear" w:color="auto" w:fill="FFFFFF"/>
          </w:rPr>
          <w:t>https://doi.org/10.1037/ppm0000461</w:t>
        </w:r>
      </w:hyperlink>
    </w:p>
    <w:p w14:paraId="0A079C1D" w14:textId="77777777" w:rsidR="008C0AF9" w:rsidRPr="008C0AF9" w:rsidRDefault="008C0AF9" w:rsidP="008C0AF9">
      <w:pPr>
        <w:spacing w:after="0" w:line="480" w:lineRule="auto"/>
        <w:ind w:left="720" w:hanging="720"/>
        <w:contextualSpacing/>
        <w:rPr>
          <w:rFonts w:asciiTheme="majorBidi" w:hAnsiTheme="majorBidi" w:cstheme="majorBidi"/>
          <w:sz w:val="24"/>
          <w:szCs w:val="24"/>
        </w:rPr>
      </w:pPr>
      <w:r w:rsidRPr="008C0AF9">
        <w:rPr>
          <w:rFonts w:asciiTheme="majorBidi" w:hAnsiTheme="majorBidi" w:cstheme="majorBidi"/>
          <w:sz w:val="24"/>
          <w:szCs w:val="24"/>
        </w:rPr>
        <w:t>Jungaberle, H., Thal, S., Zeuch, A., Rougemont-Bücking, A., von Heyden, M., Aicher, H., &amp; Scheidegger, M. (2018). Positive psychology in the investigation of psychedelics and entactogens: A critical review. </w:t>
      </w:r>
      <w:r w:rsidRPr="008C0AF9">
        <w:rPr>
          <w:rFonts w:asciiTheme="majorBidi" w:hAnsiTheme="majorBidi" w:cstheme="majorBidi"/>
          <w:i/>
          <w:iCs/>
          <w:sz w:val="24"/>
          <w:szCs w:val="24"/>
        </w:rPr>
        <w:t>Neuropharmacology</w:t>
      </w:r>
      <w:r w:rsidRPr="008C0AF9">
        <w:rPr>
          <w:rFonts w:asciiTheme="majorBidi" w:hAnsiTheme="majorBidi" w:cstheme="majorBidi"/>
          <w:sz w:val="24"/>
          <w:szCs w:val="24"/>
        </w:rPr>
        <w:t>, </w:t>
      </w:r>
      <w:r w:rsidRPr="008C0AF9">
        <w:rPr>
          <w:rFonts w:asciiTheme="majorBidi" w:hAnsiTheme="majorBidi" w:cstheme="majorBidi"/>
          <w:i/>
          <w:iCs/>
          <w:sz w:val="24"/>
          <w:szCs w:val="24"/>
        </w:rPr>
        <w:t>142</w:t>
      </w:r>
      <w:r w:rsidRPr="008C0AF9">
        <w:rPr>
          <w:rFonts w:asciiTheme="majorBidi" w:hAnsiTheme="majorBidi" w:cstheme="majorBidi"/>
          <w:sz w:val="24"/>
          <w:szCs w:val="24"/>
        </w:rPr>
        <w:t>, 179–199. https://doi.org/10.1016/j.neuropharm.2018.06.034</w:t>
      </w:r>
    </w:p>
    <w:p w14:paraId="60FCAA5F" w14:textId="77777777" w:rsidR="008C0AF9" w:rsidRPr="008C0AF9" w:rsidRDefault="008C0AF9" w:rsidP="008C0AF9">
      <w:pPr>
        <w:spacing w:after="0" w:line="480" w:lineRule="auto"/>
        <w:ind w:left="720" w:hanging="720"/>
        <w:contextualSpacing/>
        <w:rPr>
          <w:rFonts w:asciiTheme="majorBidi" w:hAnsiTheme="majorBidi" w:cstheme="majorBidi"/>
          <w:sz w:val="24"/>
          <w:szCs w:val="24"/>
        </w:rPr>
      </w:pPr>
      <w:r w:rsidRPr="008C0AF9">
        <w:rPr>
          <w:rFonts w:asciiTheme="majorBidi" w:hAnsiTheme="majorBidi" w:cstheme="majorBidi"/>
          <w:sz w:val="24"/>
          <w:szCs w:val="24"/>
        </w:rPr>
        <w:t>Jungwirth, J., von Rotz, R., Dziobek, I., Vollenweider, F. X., &amp; Preller, K. H. (2024). Psilocybin increases emotional empathy in patients with major depression. </w:t>
      </w:r>
      <w:r w:rsidRPr="008C0AF9">
        <w:rPr>
          <w:rFonts w:asciiTheme="majorBidi" w:hAnsiTheme="majorBidi" w:cstheme="majorBidi"/>
          <w:i/>
          <w:iCs/>
          <w:sz w:val="24"/>
          <w:szCs w:val="24"/>
        </w:rPr>
        <w:t>Molecular Psychiatry</w:t>
      </w:r>
      <w:r w:rsidRPr="008C0AF9">
        <w:rPr>
          <w:rFonts w:asciiTheme="majorBidi" w:hAnsiTheme="majorBidi" w:cstheme="majorBidi"/>
          <w:sz w:val="24"/>
          <w:szCs w:val="24"/>
        </w:rPr>
        <w:t>,</w:t>
      </w:r>
      <w:r w:rsidRPr="008C0AF9">
        <w:rPr>
          <w:rFonts w:asciiTheme="majorBidi" w:hAnsiTheme="majorBidi" w:cstheme="majorBidi"/>
          <w:i/>
          <w:iCs/>
          <w:sz w:val="24"/>
          <w:szCs w:val="24"/>
        </w:rPr>
        <w:t xml:space="preserve"> 30</w:t>
      </w:r>
      <w:r w:rsidRPr="008C0AF9">
        <w:rPr>
          <w:rFonts w:asciiTheme="majorBidi" w:hAnsiTheme="majorBidi" w:cstheme="majorBidi"/>
          <w:sz w:val="24"/>
          <w:szCs w:val="24"/>
        </w:rPr>
        <w:t xml:space="preserve">(6), 2665–2672. </w:t>
      </w:r>
      <w:hyperlink r:id="rId16" w:history="1">
        <w:r w:rsidRPr="008C0AF9">
          <w:rPr>
            <w:rStyle w:val="Hyperlink"/>
            <w:rFonts w:asciiTheme="majorBidi" w:hAnsiTheme="majorBidi" w:cstheme="majorBidi"/>
            <w:color w:val="auto"/>
            <w:sz w:val="24"/>
            <w:szCs w:val="24"/>
          </w:rPr>
          <w:t>https://doi.org/10.1038/s41380-024-02875-0</w:t>
        </w:r>
      </w:hyperlink>
    </w:p>
    <w:p w14:paraId="5820F44C"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Kajonius, P. J., Sjöström, D., &amp; Claesdotter-Knutsson, E. (2025). Unveiling psychedelics: One of the most meaningful events in life associated with improved well-being in swedish users. </w:t>
      </w:r>
      <w:r w:rsidRPr="008C0AF9">
        <w:rPr>
          <w:rFonts w:asciiTheme="majorBidi" w:hAnsiTheme="majorBidi" w:cstheme="majorBidi"/>
          <w:i/>
          <w:iCs/>
          <w:sz w:val="24"/>
          <w:szCs w:val="24"/>
        </w:rPr>
        <w:t>Journal of Psychoactive Drugs</w:t>
      </w:r>
      <w:r w:rsidRPr="008C0AF9">
        <w:rPr>
          <w:rFonts w:asciiTheme="majorBidi" w:hAnsiTheme="majorBidi" w:cstheme="majorBidi"/>
          <w:sz w:val="24"/>
          <w:szCs w:val="24"/>
        </w:rPr>
        <w:t>, Advance online publication. https://doi.org/10.1080/02791072.2024.2444892</w:t>
      </w:r>
    </w:p>
    <w:p w14:paraId="0348F622"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Lafrance, A., Strahan, E., Bird, B. M., St. Pierre, M., &amp; Walsh, Z. (2021). Classic psychedelic use and mechanisms of mental health: Exploring the mediating roles of spirituality and emotion processing on symptoms of anxiety, depressed mood, and disordered eating in a </w:t>
      </w:r>
      <w:r w:rsidRPr="008C0AF9">
        <w:rPr>
          <w:rFonts w:asciiTheme="majorBidi" w:hAnsiTheme="majorBidi" w:cstheme="majorBidi"/>
          <w:sz w:val="24"/>
          <w:szCs w:val="24"/>
        </w:rPr>
        <w:lastRenderedPageBreak/>
        <w:t xml:space="preserve">community sample. </w:t>
      </w:r>
      <w:r w:rsidRPr="008C0AF9">
        <w:rPr>
          <w:rFonts w:asciiTheme="majorBidi" w:hAnsiTheme="majorBidi" w:cstheme="majorBidi"/>
          <w:i/>
          <w:iCs/>
          <w:sz w:val="24"/>
          <w:szCs w:val="24"/>
        </w:rPr>
        <w:t>Journal of Humanistic Psychology.</w:t>
      </w:r>
      <w:r w:rsidRPr="008C0AF9">
        <w:rPr>
          <w:rFonts w:asciiTheme="majorBidi" w:hAnsiTheme="majorBidi" w:cstheme="majorBidi"/>
          <w:sz w:val="24"/>
          <w:szCs w:val="24"/>
        </w:rPr>
        <w:t xml:space="preserve"> https://doi.org/10.1177/00221678211048049</w:t>
      </w:r>
    </w:p>
    <w:p w14:paraId="211726C2" w14:textId="77777777" w:rsidR="008C0AF9" w:rsidRPr="008C0AF9" w:rsidRDefault="008C0AF9" w:rsidP="008C0AF9">
      <w:pPr>
        <w:spacing w:after="0" w:line="480" w:lineRule="auto"/>
        <w:ind w:left="720" w:hanging="720"/>
        <w:rPr>
          <w:rFonts w:asciiTheme="majorBidi" w:hAnsiTheme="majorBidi" w:cstheme="majorBidi"/>
          <w:color w:val="212121"/>
          <w:sz w:val="24"/>
          <w:szCs w:val="24"/>
          <w:shd w:val="clear" w:color="auto" w:fill="FFFFFF"/>
        </w:rPr>
      </w:pPr>
      <w:r w:rsidRPr="008C0AF9">
        <w:rPr>
          <w:rFonts w:asciiTheme="majorBidi" w:hAnsiTheme="majorBidi" w:cstheme="majorBidi"/>
          <w:color w:val="212121"/>
          <w:sz w:val="24"/>
          <w:szCs w:val="24"/>
          <w:shd w:val="clear" w:color="auto" w:fill="FFFFFF"/>
        </w:rPr>
        <w:t>MacLean, K. A., Johnson, M. W., Reissig, C. J., Prisinzano, T. E., &amp; Griffiths, R. R. (2013). Dose-related effects of salvinorin A in humans: dissociative, hallucinogenic, and memory effects. </w:t>
      </w:r>
      <w:r w:rsidRPr="008C0AF9">
        <w:rPr>
          <w:rFonts w:asciiTheme="majorBidi" w:hAnsiTheme="majorBidi" w:cstheme="majorBidi"/>
          <w:i/>
          <w:iCs/>
          <w:color w:val="212121"/>
          <w:sz w:val="24"/>
          <w:szCs w:val="24"/>
          <w:shd w:val="clear" w:color="auto" w:fill="FFFFFF"/>
        </w:rPr>
        <w:t>Psychopharmacology</w:t>
      </w:r>
      <w:r w:rsidRPr="008C0AF9">
        <w:rPr>
          <w:rFonts w:asciiTheme="majorBidi" w:hAnsiTheme="majorBidi" w:cstheme="majorBidi"/>
          <w:color w:val="212121"/>
          <w:sz w:val="24"/>
          <w:szCs w:val="24"/>
          <w:shd w:val="clear" w:color="auto" w:fill="FFFFFF"/>
        </w:rPr>
        <w:t>, </w:t>
      </w:r>
      <w:r w:rsidRPr="008C0AF9">
        <w:rPr>
          <w:rFonts w:asciiTheme="majorBidi" w:hAnsiTheme="majorBidi" w:cstheme="majorBidi"/>
          <w:i/>
          <w:iCs/>
          <w:color w:val="212121"/>
          <w:sz w:val="24"/>
          <w:szCs w:val="24"/>
          <w:shd w:val="clear" w:color="auto" w:fill="FFFFFF"/>
        </w:rPr>
        <w:t>226</w:t>
      </w:r>
      <w:r w:rsidRPr="008C0AF9">
        <w:rPr>
          <w:rFonts w:asciiTheme="majorBidi" w:hAnsiTheme="majorBidi" w:cstheme="majorBidi"/>
          <w:color w:val="212121"/>
          <w:sz w:val="24"/>
          <w:szCs w:val="24"/>
          <w:shd w:val="clear" w:color="auto" w:fill="FFFFFF"/>
        </w:rPr>
        <w:t>(2), 381–392. https://doi.org/10.1007/s00213-012-2912-9</w:t>
      </w:r>
    </w:p>
    <w:p w14:paraId="1036A0FF"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color w:val="212121"/>
          <w:sz w:val="24"/>
          <w:szCs w:val="24"/>
          <w:shd w:val="clear" w:color="auto" w:fill="FFFFFF"/>
        </w:rPr>
        <w:t>Maia, L. O., Daldegan-Bueno, D., Wießner, I., Araujo, D. B., &amp; Tófoli, L. F. (2023). Ayahuasca's therapeutic potential: What we know—and what not. </w:t>
      </w:r>
      <w:r w:rsidRPr="008C0AF9">
        <w:rPr>
          <w:rFonts w:asciiTheme="majorBidi" w:hAnsiTheme="majorBidi" w:cstheme="majorBidi"/>
          <w:i/>
          <w:iCs/>
          <w:color w:val="212121"/>
          <w:sz w:val="24"/>
          <w:szCs w:val="24"/>
          <w:shd w:val="clear" w:color="auto" w:fill="FFFFFF"/>
        </w:rPr>
        <w:t>European neuropsychopharmacology: The journal of the European College of Neuropsychopharmacology</w:t>
      </w:r>
      <w:r w:rsidRPr="008C0AF9">
        <w:rPr>
          <w:rFonts w:asciiTheme="majorBidi" w:hAnsiTheme="majorBidi" w:cstheme="majorBidi"/>
          <w:color w:val="212121"/>
          <w:sz w:val="24"/>
          <w:szCs w:val="24"/>
          <w:shd w:val="clear" w:color="auto" w:fill="FFFFFF"/>
        </w:rPr>
        <w:t xml:space="preserve">, </w:t>
      </w:r>
      <w:r w:rsidRPr="008C0AF9">
        <w:rPr>
          <w:rFonts w:asciiTheme="majorBidi" w:hAnsiTheme="majorBidi" w:cstheme="majorBidi"/>
          <w:i/>
          <w:iCs/>
          <w:color w:val="212121"/>
          <w:sz w:val="24"/>
          <w:szCs w:val="24"/>
          <w:shd w:val="clear" w:color="auto" w:fill="FFFFFF"/>
        </w:rPr>
        <w:t>66</w:t>
      </w:r>
      <w:r w:rsidRPr="008C0AF9">
        <w:rPr>
          <w:rFonts w:asciiTheme="majorBidi" w:hAnsiTheme="majorBidi" w:cstheme="majorBidi"/>
          <w:color w:val="212121"/>
          <w:sz w:val="24"/>
          <w:szCs w:val="24"/>
          <w:shd w:val="clear" w:color="auto" w:fill="FFFFFF"/>
        </w:rPr>
        <w:t xml:space="preserve">, 45–61. </w:t>
      </w:r>
      <w:hyperlink r:id="rId17" w:history="1">
        <w:r w:rsidRPr="008C0AF9">
          <w:rPr>
            <w:rStyle w:val="Hyperlink"/>
            <w:rFonts w:asciiTheme="majorBidi" w:hAnsiTheme="majorBidi" w:cstheme="majorBidi"/>
            <w:color w:val="auto"/>
            <w:sz w:val="24"/>
            <w:szCs w:val="24"/>
            <w:u w:val="none"/>
            <w:shd w:val="clear" w:color="auto" w:fill="FFFFFF"/>
          </w:rPr>
          <w:t>https://doi.org/10.1016/j.euroneuro.2022.10.008</w:t>
        </w:r>
      </w:hyperlink>
    </w:p>
    <w:p w14:paraId="1ACB09D1" w14:textId="77777777" w:rsidR="008C0AF9" w:rsidRPr="008C0AF9" w:rsidRDefault="008C0AF9" w:rsidP="008C0AF9">
      <w:pPr>
        <w:spacing w:after="0" w:line="480" w:lineRule="auto"/>
        <w:ind w:left="720" w:hanging="720"/>
        <w:rPr>
          <w:rFonts w:asciiTheme="majorBidi" w:hAnsiTheme="majorBidi" w:cstheme="majorBidi"/>
          <w:sz w:val="24"/>
          <w:szCs w:val="24"/>
        </w:rPr>
      </w:pPr>
      <w:bookmarkStart w:id="49" w:name="_Hlk187227763"/>
      <w:r w:rsidRPr="008C0AF9">
        <w:rPr>
          <w:rFonts w:asciiTheme="majorBidi" w:eastAsiaTheme="minorHAnsi" w:hAnsiTheme="majorBidi" w:cstheme="majorBidi"/>
          <w:sz w:val="24"/>
          <w:szCs w:val="24"/>
          <w14:ligatures w14:val="standardContextual"/>
        </w:rPr>
        <w:t xml:space="preserve">Marshall, J. D., Yammarino, F. J., Parameswaran, S., &amp; Cheong, M. (2023). Using CATA and machine learning to operationalize old constructs in new ways: An illustration using U.S. governors’ COVID-19 press briefings. </w:t>
      </w:r>
      <w:r w:rsidRPr="008C0AF9">
        <w:rPr>
          <w:rFonts w:asciiTheme="majorBidi" w:eastAsiaTheme="minorHAnsi" w:hAnsiTheme="majorBidi" w:cstheme="majorBidi"/>
          <w:i/>
          <w:iCs/>
          <w:sz w:val="24"/>
          <w:szCs w:val="24"/>
          <w14:ligatures w14:val="standardContextual"/>
        </w:rPr>
        <w:t>Organizational Research Methods</w:t>
      </w:r>
      <w:r w:rsidRPr="008C0AF9">
        <w:rPr>
          <w:rFonts w:asciiTheme="majorBidi" w:eastAsiaTheme="minorHAnsi" w:hAnsiTheme="majorBidi" w:cstheme="majorBidi"/>
          <w:sz w:val="24"/>
          <w:szCs w:val="24"/>
          <w14:ligatures w14:val="standardContextual"/>
        </w:rPr>
        <w:t xml:space="preserve">, </w:t>
      </w:r>
      <w:r w:rsidRPr="008C0AF9">
        <w:rPr>
          <w:rFonts w:asciiTheme="majorBidi" w:eastAsiaTheme="minorHAnsi" w:hAnsiTheme="majorBidi" w:cstheme="majorBidi"/>
          <w:i/>
          <w:iCs/>
          <w:sz w:val="24"/>
          <w:szCs w:val="24"/>
          <w14:ligatures w14:val="standardContextual"/>
        </w:rPr>
        <w:t>26</w:t>
      </w:r>
      <w:r w:rsidRPr="008C0AF9">
        <w:rPr>
          <w:rFonts w:asciiTheme="majorBidi" w:eastAsiaTheme="minorHAnsi" w:hAnsiTheme="majorBidi" w:cstheme="majorBidi"/>
          <w:sz w:val="24"/>
          <w:szCs w:val="24"/>
          <w14:ligatures w14:val="standardContextual"/>
        </w:rPr>
        <w:t xml:space="preserve">(4), 705–750. </w:t>
      </w:r>
      <w:hyperlink r:id="rId18" w:history="1">
        <w:r w:rsidRPr="008C0AF9">
          <w:rPr>
            <w:rStyle w:val="Hyperlink"/>
            <w:rFonts w:asciiTheme="majorBidi" w:eastAsiaTheme="minorHAnsi" w:hAnsiTheme="majorBidi" w:cstheme="majorBidi"/>
            <w:color w:val="auto"/>
            <w:sz w:val="24"/>
            <w:szCs w:val="24"/>
            <w:u w:val="none"/>
            <w14:ligatures w14:val="standardContextual"/>
          </w:rPr>
          <w:t>https://doi.org/10.1177/10944281221098607</w:t>
        </w:r>
      </w:hyperlink>
      <w:bookmarkEnd w:id="49"/>
    </w:p>
    <w:p w14:paraId="7A444CB9" w14:textId="77777777" w:rsidR="008C0AF9" w:rsidRPr="008C0AF9" w:rsidRDefault="008C0AF9" w:rsidP="008C0AF9">
      <w:pPr>
        <w:spacing w:after="0" w:line="480" w:lineRule="auto"/>
        <w:ind w:left="720" w:hanging="720"/>
        <w:rPr>
          <w:rFonts w:asciiTheme="majorBidi" w:hAnsiTheme="majorBidi" w:cstheme="majorBidi"/>
          <w:color w:val="222222"/>
          <w:sz w:val="24"/>
          <w:szCs w:val="24"/>
          <w:shd w:val="clear" w:color="auto" w:fill="FFFFFF"/>
        </w:rPr>
      </w:pPr>
      <w:r w:rsidRPr="008C0AF9">
        <w:rPr>
          <w:rFonts w:asciiTheme="majorBidi" w:hAnsiTheme="majorBidi" w:cstheme="majorBidi"/>
          <w:color w:val="222222"/>
          <w:sz w:val="24"/>
          <w:szCs w:val="24"/>
          <w:shd w:val="clear" w:color="auto" w:fill="FFFFFF"/>
        </w:rPr>
        <w:t xml:space="preserve">Mehler, P. S., &amp; Andersen, A. E. (2022). </w:t>
      </w:r>
      <w:r w:rsidRPr="008C0AF9">
        <w:rPr>
          <w:rFonts w:asciiTheme="majorBidi" w:hAnsiTheme="majorBidi" w:cstheme="majorBidi"/>
          <w:i/>
          <w:iCs/>
          <w:color w:val="222222"/>
          <w:sz w:val="24"/>
          <w:szCs w:val="24"/>
          <w:shd w:val="clear" w:color="auto" w:fill="FFFFFF"/>
        </w:rPr>
        <w:t>Eating disorders: A comprehensive guide to medical care and complications</w:t>
      </w:r>
      <w:r w:rsidRPr="008C0AF9">
        <w:rPr>
          <w:rFonts w:asciiTheme="majorBidi" w:hAnsiTheme="majorBidi" w:cstheme="majorBidi"/>
          <w:color w:val="222222"/>
          <w:sz w:val="24"/>
          <w:szCs w:val="24"/>
          <w:shd w:val="clear" w:color="auto" w:fill="FFFFFF"/>
        </w:rPr>
        <w:t xml:space="preserve"> (4th ed.). Johns Hopkins University Press.</w:t>
      </w:r>
    </w:p>
    <w:p w14:paraId="29403F15" w14:textId="77777777" w:rsidR="008C0AF9" w:rsidRPr="008C0AF9" w:rsidRDefault="008C0AF9" w:rsidP="008C0AF9">
      <w:pPr>
        <w:shd w:val="clear" w:color="auto" w:fill="FFFFFF"/>
        <w:spacing w:after="0" w:line="480" w:lineRule="auto"/>
        <w:ind w:left="720" w:hanging="720"/>
        <w:contextualSpacing/>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Mills, R., Hyam, L., &amp; Schmidt, U. (2023). A Narrative Review of Early Intervention for Eating Disorders: Barriers and Facilitators. </w:t>
      </w:r>
      <w:r w:rsidRPr="008C0AF9">
        <w:rPr>
          <w:rFonts w:asciiTheme="majorBidi" w:hAnsiTheme="majorBidi" w:cstheme="majorBidi"/>
          <w:i/>
          <w:iCs/>
          <w:sz w:val="24"/>
          <w:szCs w:val="24"/>
          <w:shd w:val="clear" w:color="auto" w:fill="FFFFFF"/>
        </w:rPr>
        <w:t>Adolescent health, medicine and therapeutics</w:t>
      </w:r>
      <w:r w:rsidRPr="008C0AF9">
        <w:rPr>
          <w:rFonts w:asciiTheme="majorBidi" w:hAnsiTheme="majorBidi" w:cstheme="majorBidi"/>
          <w:sz w:val="24"/>
          <w:szCs w:val="24"/>
          <w:shd w:val="clear" w:color="auto" w:fill="FFFFFF"/>
        </w:rPr>
        <w:t>, </w:t>
      </w:r>
      <w:r w:rsidRPr="008C0AF9">
        <w:rPr>
          <w:rFonts w:asciiTheme="majorBidi" w:hAnsiTheme="majorBidi" w:cstheme="majorBidi"/>
          <w:i/>
          <w:iCs/>
          <w:sz w:val="24"/>
          <w:szCs w:val="24"/>
          <w:shd w:val="clear" w:color="auto" w:fill="FFFFFF"/>
        </w:rPr>
        <w:t>14</w:t>
      </w:r>
      <w:r w:rsidRPr="008C0AF9">
        <w:rPr>
          <w:rFonts w:asciiTheme="majorBidi" w:hAnsiTheme="majorBidi" w:cstheme="majorBidi"/>
          <w:sz w:val="24"/>
          <w:szCs w:val="24"/>
          <w:shd w:val="clear" w:color="auto" w:fill="FFFFFF"/>
        </w:rPr>
        <w:t>, 217–235. https://doi.org/10.2147/AHMT.S415698</w:t>
      </w:r>
    </w:p>
    <w:p w14:paraId="20C0D56F"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 xml:space="preserve">Mitchell, J. M., Ot'alora G, M., van der Kolk, B., Shannon, S., Bogenschutz, M., Gelfand, Y., Paleos, C., Nicholas, C. R., Quevedo, S., Balliett, B., Hamilton, S., Mithoefer, M., Kleiman, S., Parker-Guilbert, K., Tzarfaty, K., Harrison, C., de Boer, A., Doblin, R., Yazar-Klosinski, B., &amp; MAPP2 Study Collaborator Group (2023). MDMA-assisted </w:t>
      </w:r>
      <w:r w:rsidRPr="008C0AF9">
        <w:rPr>
          <w:rFonts w:asciiTheme="majorBidi" w:hAnsiTheme="majorBidi" w:cstheme="majorBidi"/>
          <w:sz w:val="24"/>
          <w:szCs w:val="24"/>
        </w:rPr>
        <w:lastRenderedPageBreak/>
        <w:t>therapy for moderate to severe PTSD: a randomized, placebo-controlled phase 3 trial. </w:t>
      </w:r>
      <w:r w:rsidRPr="008C0AF9">
        <w:rPr>
          <w:rFonts w:asciiTheme="majorBidi" w:hAnsiTheme="majorBidi" w:cstheme="majorBidi"/>
          <w:i/>
          <w:iCs/>
          <w:sz w:val="24"/>
          <w:szCs w:val="24"/>
        </w:rPr>
        <w:t>Nature medicine</w:t>
      </w:r>
      <w:r w:rsidRPr="008C0AF9">
        <w:rPr>
          <w:rFonts w:asciiTheme="majorBidi" w:hAnsiTheme="majorBidi" w:cstheme="majorBidi"/>
          <w:sz w:val="24"/>
          <w:szCs w:val="24"/>
        </w:rPr>
        <w:t>, </w:t>
      </w:r>
      <w:r w:rsidRPr="008C0AF9">
        <w:rPr>
          <w:rFonts w:asciiTheme="majorBidi" w:hAnsiTheme="majorBidi" w:cstheme="majorBidi"/>
          <w:i/>
          <w:iCs/>
          <w:sz w:val="24"/>
          <w:szCs w:val="24"/>
        </w:rPr>
        <w:t>29</w:t>
      </w:r>
      <w:r w:rsidRPr="008C0AF9">
        <w:rPr>
          <w:rFonts w:asciiTheme="majorBidi" w:hAnsiTheme="majorBidi" w:cstheme="majorBidi"/>
          <w:sz w:val="24"/>
          <w:szCs w:val="24"/>
        </w:rPr>
        <w:t>(10), 2473–2480. https://doi.org/10.1038/s41591-023-02565-4</w:t>
      </w:r>
    </w:p>
    <w:p w14:paraId="20C8BDC5" w14:textId="77777777" w:rsidR="008C0AF9" w:rsidRPr="008C0AF9" w:rsidRDefault="008C0AF9" w:rsidP="008C0AF9">
      <w:pPr>
        <w:spacing w:after="0" w:line="480" w:lineRule="auto"/>
        <w:ind w:left="720" w:hanging="720"/>
        <w:contextualSpacing/>
        <w:rPr>
          <w:rFonts w:asciiTheme="majorBidi" w:hAnsiTheme="majorBidi" w:cstheme="majorBidi"/>
          <w:sz w:val="24"/>
          <w:szCs w:val="24"/>
        </w:rPr>
      </w:pPr>
      <w:r w:rsidRPr="008C0AF9">
        <w:rPr>
          <w:rFonts w:asciiTheme="majorBidi" w:hAnsiTheme="majorBidi" w:cstheme="majorBidi"/>
          <w:sz w:val="24"/>
          <w:szCs w:val="24"/>
        </w:rPr>
        <w:t xml:space="preserve">Naslund, J. A., Aschbrenner, K. A., Marsch, L. A., &amp; Bartels, S. J. (2016). The future of mental health care: Peer-to-peer support and social media. </w:t>
      </w:r>
      <w:r w:rsidRPr="008C0AF9">
        <w:rPr>
          <w:rFonts w:asciiTheme="majorBidi" w:hAnsiTheme="majorBidi" w:cstheme="majorBidi"/>
          <w:i/>
          <w:iCs/>
          <w:sz w:val="24"/>
          <w:szCs w:val="24"/>
        </w:rPr>
        <w:t>Epidemiology and Psychiatric Sciences, 25</w:t>
      </w:r>
      <w:r w:rsidRPr="008C0AF9">
        <w:rPr>
          <w:rFonts w:asciiTheme="majorBidi" w:hAnsiTheme="majorBidi" w:cstheme="majorBidi"/>
          <w:sz w:val="24"/>
          <w:szCs w:val="24"/>
        </w:rPr>
        <w:t>(2), 113–122. https://doi.org/10.1017/S2045796015001067</w:t>
      </w:r>
    </w:p>
    <w:p w14:paraId="5024FC1E" w14:textId="77777777" w:rsidR="008C0AF9" w:rsidRPr="008C0AF9" w:rsidRDefault="008C0AF9" w:rsidP="008C0AF9">
      <w:pPr>
        <w:spacing w:after="0" w:line="480" w:lineRule="auto"/>
        <w:ind w:left="720" w:hanging="720"/>
        <w:rPr>
          <w:rFonts w:asciiTheme="majorBidi" w:hAnsiTheme="majorBidi" w:cstheme="majorBidi"/>
          <w:color w:val="212121"/>
          <w:sz w:val="24"/>
          <w:szCs w:val="24"/>
          <w:shd w:val="clear" w:color="auto" w:fill="FFFFFF"/>
        </w:rPr>
      </w:pPr>
      <w:r w:rsidRPr="008C0AF9">
        <w:rPr>
          <w:rFonts w:asciiTheme="majorBidi" w:hAnsiTheme="majorBidi" w:cstheme="majorBidi"/>
          <w:color w:val="212121"/>
          <w:sz w:val="24"/>
          <w:szCs w:val="24"/>
          <w:shd w:val="clear" w:color="auto" w:fill="FFFFFF"/>
        </w:rPr>
        <w:t xml:space="preserve">Perkins, D., Opaleye, E., Bouso, J. C., Tófoli, L. F., Sarris, J., Schubert, V., Ruffell, S., &amp; Simonova, H. (2023). Insights, life changes and lifestyle changes reported by individuals consuming ayahuasca in naturalistic settings: Nature, frequency and associations with mental health and wellbeing. </w:t>
      </w:r>
      <w:r w:rsidRPr="008C0AF9">
        <w:rPr>
          <w:rFonts w:asciiTheme="majorBidi" w:hAnsiTheme="majorBidi" w:cstheme="majorBidi"/>
          <w:i/>
          <w:iCs/>
          <w:color w:val="212121"/>
          <w:sz w:val="24"/>
          <w:szCs w:val="24"/>
          <w:shd w:val="clear" w:color="auto" w:fill="FFFFFF"/>
        </w:rPr>
        <w:t>Psychoactives, 2</w:t>
      </w:r>
      <w:r w:rsidRPr="008C0AF9">
        <w:rPr>
          <w:rFonts w:asciiTheme="majorBidi" w:hAnsiTheme="majorBidi" w:cstheme="majorBidi"/>
          <w:color w:val="212121"/>
          <w:sz w:val="24"/>
          <w:szCs w:val="24"/>
          <w:shd w:val="clear" w:color="auto" w:fill="FFFFFF"/>
        </w:rPr>
        <w:t xml:space="preserve">(4), 256–286. </w:t>
      </w:r>
      <w:hyperlink r:id="rId19" w:tgtFrame="_new" w:history="1">
        <w:r w:rsidRPr="008C0AF9">
          <w:rPr>
            <w:rStyle w:val="Hyperlink"/>
            <w:rFonts w:asciiTheme="majorBidi" w:hAnsiTheme="majorBidi" w:cstheme="majorBidi"/>
            <w:color w:val="auto"/>
            <w:sz w:val="24"/>
            <w:szCs w:val="24"/>
            <w:u w:val="none"/>
            <w:shd w:val="clear" w:color="auto" w:fill="FFFFFF"/>
          </w:rPr>
          <w:t>https://doi.org/10.3390/psychoactives2040017</w:t>
        </w:r>
      </w:hyperlink>
    </w:p>
    <w:p w14:paraId="35E8E4AA" w14:textId="77777777" w:rsidR="008C0AF9" w:rsidRPr="008C0AF9" w:rsidRDefault="008C0AF9" w:rsidP="008C0AF9">
      <w:pPr>
        <w:spacing w:after="0" w:line="480" w:lineRule="auto"/>
        <w:ind w:left="720" w:hanging="720"/>
        <w:rPr>
          <w:rFonts w:asciiTheme="majorBidi" w:hAnsiTheme="majorBidi" w:cstheme="majorBidi"/>
          <w:color w:val="212121"/>
          <w:sz w:val="24"/>
          <w:szCs w:val="24"/>
          <w:shd w:val="clear" w:color="auto" w:fill="FFFFFF"/>
        </w:rPr>
      </w:pPr>
      <w:r w:rsidRPr="008C0AF9">
        <w:rPr>
          <w:rFonts w:asciiTheme="majorBidi" w:hAnsiTheme="majorBidi" w:cstheme="majorBidi"/>
          <w:color w:val="212121"/>
          <w:sz w:val="24"/>
          <w:szCs w:val="24"/>
          <w:shd w:val="clear" w:color="auto" w:fill="FFFFFF"/>
        </w:rPr>
        <w:t xml:space="preserve">Pollan, M. (2018). </w:t>
      </w:r>
      <w:r w:rsidRPr="008C0AF9">
        <w:rPr>
          <w:rFonts w:asciiTheme="majorBidi" w:hAnsiTheme="majorBidi" w:cstheme="majorBidi"/>
          <w:i/>
          <w:iCs/>
          <w:color w:val="212121"/>
          <w:sz w:val="24"/>
          <w:szCs w:val="24"/>
          <w:shd w:val="clear" w:color="auto" w:fill="FFFFFF"/>
        </w:rPr>
        <w:t>How to change your mind: What the new science of psychedelics teaches us about consciousness, dying, addiction, depression, and transcendence</w:t>
      </w:r>
      <w:r w:rsidRPr="008C0AF9">
        <w:rPr>
          <w:rFonts w:asciiTheme="majorBidi" w:hAnsiTheme="majorBidi" w:cstheme="majorBidi"/>
          <w:color w:val="212121"/>
          <w:sz w:val="24"/>
          <w:szCs w:val="24"/>
          <w:shd w:val="clear" w:color="auto" w:fill="FFFFFF"/>
        </w:rPr>
        <w:t>. Penguin Press.</w:t>
      </w:r>
    </w:p>
    <w:p w14:paraId="42991876" w14:textId="77777777" w:rsidR="008C0AF9" w:rsidRPr="008C0AF9" w:rsidRDefault="008C0AF9" w:rsidP="008C0AF9">
      <w:pPr>
        <w:spacing w:after="0" w:line="480" w:lineRule="auto"/>
        <w:ind w:left="720" w:hanging="720"/>
        <w:rPr>
          <w:rFonts w:asciiTheme="majorBidi" w:hAnsiTheme="majorBidi" w:cstheme="majorBidi"/>
          <w:color w:val="212121"/>
          <w:sz w:val="24"/>
          <w:szCs w:val="24"/>
          <w:shd w:val="clear" w:color="auto" w:fill="FFFFFF"/>
        </w:rPr>
      </w:pPr>
      <w:r w:rsidRPr="008C0AF9">
        <w:rPr>
          <w:rFonts w:asciiTheme="majorBidi" w:hAnsiTheme="majorBidi" w:cstheme="majorBidi"/>
          <w:color w:val="212121"/>
          <w:sz w:val="24"/>
          <w:szCs w:val="24"/>
          <w:shd w:val="clear" w:color="auto" w:fill="FFFFFF"/>
        </w:rPr>
        <w:t xml:space="preserve">Ragnhildstveit, A., Slayton, M., Jackson, L. K., Brendle, M., Ahuja, S., Holle, W., Moore, C., Sollars, K., Seli, P., Robison, R. (2022). Ketamine as a novel psychopharmacotherapy for eating disorders: Evidence and future directions. </w:t>
      </w:r>
      <w:r w:rsidRPr="008C0AF9">
        <w:rPr>
          <w:rFonts w:asciiTheme="majorBidi" w:hAnsiTheme="majorBidi" w:cstheme="majorBidi"/>
          <w:i/>
          <w:iCs/>
          <w:color w:val="212121"/>
          <w:sz w:val="24"/>
          <w:szCs w:val="24"/>
          <w:shd w:val="clear" w:color="auto" w:fill="FFFFFF"/>
        </w:rPr>
        <w:t>Brain Sciences, 12</w:t>
      </w:r>
      <w:r w:rsidRPr="008C0AF9">
        <w:rPr>
          <w:rFonts w:asciiTheme="majorBidi" w:hAnsiTheme="majorBidi" w:cstheme="majorBidi"/>
          <w:color w:val="212121"/>
          <w:sz w:val="24"/>
          <w:szCs w:val="24"/>
          <w:shd w:val="clear" w:color="auto" w:fill="FFFFFF"/>
        </w:rPr>
        <w:t xml:space="preserve">(3), 382. </w:t>
      </w:r>
    </w:p>
    <w:p w14:paraId="064C4462" w14:textId="77777777" w:rsidR="008C0AF9" w:rsidRPr="008C0AF9" w:rsidRDefault="008C0AF9" w:rsidP="008C0AF9">
      <w:pPr>
        <w:spacing w:after="0" w:line="480" w:lineRule="auto"/>
        <w:ind w:left="720"/>
        <w:rPr>
          <w:rFonts w:asciiTheme="majorBidi" w:hAnsiTheme="majorBidi" w:cstheme="majorBidi"/>
          <w:sz w:val="24"/>
          <w:szCs w:val="24"/>
          <w:shd w:val="clear" w:color="auto" w:fill="FFFFFF"/>
        </w:rPr>
      </w:pPr>
      <w:r w:rsidRPr="008C0AF9">
        <w:rPr>
          <w:rFonts w:asciiTheme="majorBidi" w:hAnsiTheme="majorBidi" w:cstheme="majorBidi"/>
          <w:color w:val="212121"/>
          <w:sz w:val="24"/>
          <w:szCs w:val="24"/>
          <w:shd w:val="clear" w:color="auto" w:fill="FFFFFF"/>
        </w:rPr>
        <w:t>https://doi.org/10.3390/brainsci12030382</w:t>
      </w:r>
    </w:p>
    <w:p w14:paraId="36E80B17" w14:textId="77777777" w:rsidR="008C0AF9" w:rsidRPr="008C0AF9" w:rsidRDefault="008C0AF9" w:rsidP="008C0AF9">
      <w:pPr>
        <w:spacing w:after="0" w:line="480" w:lineRule="auto"/>
        <w:ind w:left="720" w:hanging="720"/>
        <w:rPr>
          <w:rFonts w:asciiTheme="majorBidi" w:hAnsiTheme="majorBidi" w:cstheme="majorBidi"/>
          <w:color w:val="212121"/>
          <w:sz w:val="24"/>
          <w:szCs w:val="24"/>
          <w:shd w:val="clear" w:color="auto" w:fill="FFFFFF"/>
        </w:rPr>
      </w:pPr>
      <w:r w:rsidRPr="008C0AF9">
        <w:rPr>
          <w:rFonts w:asciiTheme="majorBidi" w:hAnsiTheme="majorBidi" w:cstheme="majorBidi"/>
          <w:color w:val="212121"/>
          <w:sz w:val="24"/>
          <w:szCs w:val="24"/>
          <w:shd w:val="clear" w:color="auto" w:fill="FFFFFF"/>
        </w:rPr>
        <w:t xml:space="preserve">Shulgin, A., &amp; Shulgin, A. (1991). </w:t>
      </w:r>
      <w:r w:rsidRPr="008C0AF9">
        <w:rPr>
          <w:rFonts w:asciiTheme="majorBidi" w:hAnsiTheme="majorBidi" w:cstheme="majorBidi"/>
          <w:i/>
          <w:iCs/>
          <w:color w:val="212121"/>
          <w:sz w:val="24"/>
          <w:szCs w:val="24"/>
          <w:shd w:val="clear" w:color="auto" w:fill="FFFFFF"/>
        </w:rPr>
        <w:t>PiHKAL: A chemical love story</w:t>
      </w:r>
      <w:r w:rsidRPr="008C0AF9">
        <w:rPr>
          <w:rFonts w:asciiTheme="majorBidi" w:hAnsiTheme="majorBidi" w:cstheme="majorBidi"/>
          <w:color w:val="212121"/>
          <w:sz w:val="24"/>
          <w:szCs w:val="24"/>
          <w:shd w:val="clear" w:color="auto" w:fill="FFFFFF"/>
        </w:rPr>
        <w:t>. Transform Press.</w:t>
      </w:r>
    </w:p>
    <w:p w14:paraId="7EFE40A0" w14:textId="77777777" w:rsidR="008C0AF9" w:rsidRPr="008C0AF9" w:rsidRDefault="008C0AF9" w:rsidP="008C0AF9">
      <w:pPr>
        <w:spacing w:line="480" w:lineRule="auto"/>
        <w:ind w:left="720" w:hanging="720"/>
        <w:contextualSpacing/>
        <w:rPr>
          <w:rFonts w:asciiTheme="majorBidi" w:hAnsiTheme="majorBidi" w:cstheme="majorBidi"/>
          <w:sz w:val="24"/>
          <w:szCs w:val="24"/>
        </w:rPr>
      </w:pPr>
      <w:r w:rsidRPr="008C0AF9">
        <w:rPr>
          <w:rFonts w:asciiTheme="majorBidi" w:hAnsiTheme="majorBidi" w:cstheme="majorBidi"/>
          <w:sz w:val="24"/>
          <w:szCs w:val="24"/>
        </w:rPr>
        <w:t>Sim, L., Witte, M. A., Lebow, J., LeMahieu, A., Geske, J., Witte, N., Whiteside, S., Loth, K., &amp; Harbeck Weber, C. (2024). Disparities in medical assessment practices for adolescents at risk for eating disorders. </w:t>
      </w:r>
      <w:r w:rsidRPr="008C0AF9">
        <w:rPr>
          <w:rFonts w:asciiTheme="majorBidi" w:hAnsiTheme="majorBidi" w:cstheme="majorBidi"/>
          <w:i/>
          <w:iCs/>
          <w:sz w:val="24"/>
          <w:szCs w:val="24"/>
        </w:rPr>
        <w:t>The Journal of adolescent health: official publication of the Society for Adolescent Medicine</w:t>
      </w:r>
      <w:r w:rsidRPr="008C0AF9">
        <w:rPr>
          <w:rFonts w:asciiTheme="majorBidi" w:hAnsiTheme="majorBidi" w:cstheme="majorBidi"/>
          <w:sz w:val="24"/>
          <w:szCs w:val="24"/>
        </w:rPr>
        <w:t>, </w:t>
      </w:r>
      <w:r w:rsidRPr="008C0AF9">
        <w:rPr>
          <w:rFonts w:asciiTheme="majorBidi" w:hAnsiTheme="majorBidi" w:cstheme="majorBidi"/>
          <w:i/>
          <w:iCs/>
          <w:sz w:val="24"/>
          <w:szCs w:val="24"/>
        </w:rPr>
        <w:t>74</w:t>
      </w:r>
      <w:r w:rsidRPr="008C0AF9">
        <w:rPr>
          <w:rFonts w:asciiTheme="majorBidi" w:hAnsiTheme="majorBidi" w:cstheme="majorBidi"/>
          <w:sz w:val="24"/>
          <w:szCs w:val="24"/>
        </w:rPr>
        <w:t>(3), 591–596. https://doi.org/10.1016/j.jadohealth.2023.10.004</w:t>
      </w:r>
    </w:p>
    <w:p w14:paraId="7B024111"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lastRenderedPageBreak/>
        <w:t>St. Arnaud, K. O., &amp; Sharpe, D. (2023). Opening to awe: Psychedelic-assisted self-transcendence and positive adult development. </w:t>
      </w:r>
      <w:r w:rsidRPr="008C0AF9">
        <w:rPr>
          <w:rFonts w:asciiTheme="majorBidi" w:hAnsiTheme="majorBidi" w:cstheme="majorBidi"/>
          <w:i/>
          <w:iCs/>
          <w:sz w:val="24"/>
          <w:szCs w:val="24"/>
        </w:rPr>
        <w:t>Journal of Adult Development,</w:t>
      </w:r>
      <w:r w:rsidRPr="008C0AF9">
        <w:rPr>
          <w:rFonts w:asciiTheme="majorBidi" w:hAnsiTheme="majorBidi" w:cstheme="majorBidi"/>
          <w:sz w:val="24"/>
          <w:szCs w:val="24"/>
        </w:rPr>
        <w:t> </w:t>
      </w:r>
      <w:r w:rsidRPr="008C0AF9">
        <w:rPr>
          <w:rFonts w:asciiTheme="majorBidi" w:hAnsiTheme="majorBidi" w:cstheme="majorBidi"/>
          <w:i/>
          <w:iCs/>
          <w:sz w:val="24"/>
          <w:szCs w:val="24"/>
        </w:rPr>
        <w:t>30</w:t>
      </w:r>
      <w:r w:rsidRPr="008C0AF9">
        <w:rPr>
          <w:rFonts w:asciiTheme="majorBidi" w:hAnsiTheme="majorBidi" w:cstheme="majorBidi"/>
          <w:sz w:val="24"/>
          <w:szCs w:val="24"/>
        </w:rPr>
        <w:t xml:space="preserve">(3), 305–319. </w:t>
      </w:r>
      <w:hyperlink r:id="rId20" w:history="1">
        <w:r w:rsidRPr="008C0AF9">
          <w:rPr>
            <w:rStyle w:val="Hyperlink"/>
            <w:rFonts w:asciiTheme="majorBidi" w:hAnsiTheme="majorBidi" w:cstheme="majorBidi"/>
            <w:color w:val="auto"/>
            <w:sz w:val="24"/>
            <w:szCs w:val="24"/>
            <w:u w:val="none"/>
          </w:rPr>
          <w:t>https://doi.org/10.1007/s10804-022-09419-2</w:t>
        </w:r>
      </w:hyperlink>
    </w:p>
    <w:p w14:paraId="20872EA0" w14:textId="77777777" w:rsidR="008C0AF9" w:rsidRPr="008C0AF9" w:rsidRDefault="008C0AF9" w:rsidP="008C0AF9">
      <w:pPr>
        <w:spacing w:line="480" w:lineRule="auto"/>
        <w:ind w:left="720" w:hanging="720"/>
        <w:contextualSpacing/>
        <w:rPr>
          <w:rFonts w:asciiTheme="majorBidi" w:hAnsiTheme="majorBidi" w:cstheme="majorBidi"/>
          <w:sz w:val="24"/>
          <w:szCs w:val="24"/>
        </w:rPr>
      </w:pPr>
      <w:r w:rsidRPr="008C0AF9">
        <w:rPr>
          <w:rFonts w:asciiTheme="majorBidi" w:hAnsiTheme="majorBidi" w:cstheme="majorBidi"/>
          <w:sz w:val="24"/>
          <w:szCs w:val="24"/>
        </w:rPr>
        <w:t>Streatfeild, J., Hickson, J., Austin, S. B., Hutcheson, R., Kandel, J. S., Lampert, J. G., Myers, E. M., Richmond, T. K., Samnaliev, M., Velasquez, K., Weissman, R. S., &amp; Pezzullo, L. (2021). Social and economic cost of eating disorders in the United States: Evidence to inform policy action. </w:t>
      </w:r>
      <w:r w:rsidRPr="008C0AF9">
        <w:rPr>
          <w:rFonts w:asciiTheme="majorBidi" w:hAnsiTheme="majorBidi" w:cstheme="majorBidi"/>
          <w:i/>
          <w:iCs/>
          <w:sz w:val="24"/>
          <w:szCs w:val="24"/>
        </w:rPr>
        <w:t>The International journal of eating disorders</w:t>
      </w:r>
      <w:r w:rsidRPr="008C0AF9">
        <w:rPr>
          <w:rFonts w:asciiTheme="majorBidi" w:hAnsiTheme="majorBidi" w:cstheme="majorBidi"/>
          <w:sz w:val="24"/>
          <w:szCs w:val="24"/>
        </w:rPr>
        <w:t>, </w:t>
      </w:r>
      <w:r w:rsidRPr="008C0AF9">
        <w:rPr>
          <w:rFonts w:asciiTheme="majorBidi" w:hAnsiTheme="majorBidi" w:cstheme="majorBidi"/>
          <w:i/>
          <w:iCs/>
          <w:sz w:val="24"/>
          <w:szCs w:val="24"/>
        </w:rPr>
        <w:t>54</w:t>
      </w:r>
      <w:r w:rsidRPr="008C0AF9">
        <w:rPr>
          <w:rFonts w:asciiTheme="majorBidi" w:hAnsiTheme="majorBidi" w:cstheme="majorBidi"/>
          <w:sz w:val="24"/>
          <w:szCs w:val="24"/>
        </w:rPr>
        <w:t>(5), 851–868. https://doi.org/10.1002/eat.23486</w:t>
      </w:r>
    </w:p>
    <w:p w14:paraId="7D1476EE"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Suárez</w:t>
      </w:r>
      <w:r w:rsidRPr="008C0AF9">
        <w:rPr>
          <w:rFonts w:asciiTheme="majorBidi" w:hAnsiTheme="majorBidi" w:cstheme="majorBidi"/>
          <w:sz w:val="24"/>
          <w:szCs w:val="24"/>
          <w:shd w:val="clear" w:color="auto" w:fill="FFFFFF"/>
        </w:rPr>
        <w:noBreakHyphen/>
        <w:t xml:space="preserve">Lledo, V., &amp; Mejova, Y. (2022). Behavior </w:t>
      </w:r>
      <w:proofErr w:type="gramStart"/>
      <w:r w:rsidRPr="008C0AF9">
        <w:rPr>
          <w:rFonts w:asciiTheme="majorBidi" w:hAnsiTheme="majorBidi" w:cstheme="majorBidi"/>
          <w:sz w:val="24"/>
          <w:szCs w:val="24"/>
          <w:shd w:val="clear" w:color="auto" w:fill="FFFFFF"/>
        </w:rPr>
        <w:t>change</w:t>
      </w:r>
      <w:proofErr w:type="gramEnd"/>
      <w:r w:rsidRPr="008C0AF9">
        <w:rPr>
          <w:rFonts w:asciiTheme="majorBidi" w:hAnsiTheme="majorBidi" w:cstheme="majorBidi"/>
          <w:sz w:val="24"/>
          <w:szCs w:val="24"/>
          <w:shd w:val="clear" w:color="auto" w:fill="FFFFFF"/>
        </w:rPr>
        <w:t xml:space="preserve"> around an online health awareness campaign: A causal impact study. </w:t>
      </w:r>
      <w:r w:rsidRPr="008C0AF9">
        <w:rPr>
          <w:rFonts w:asciiTheme="majorBidi" w:hAnsiTheme="majorBidi" w:cstheme="majorBidi"/>
          <w:i/>
          <w:iCs/>
          <w:sz w:val="24"/>
          <w:szCs w:val="24"/>
          <w:shd w:val="clear" w:color="auto" w:fill="FFFFFF"/>
        </w:rPr>
        <w:t>Frontiers in Public Health</w:t>
      </w:r>
      <w:r w:rsidRPr="008C0AF9">
        <w:rPr>
          <w:rFonts w:asciiTheme="majorBidi" w:hAnsiTheme="majorBidi" w:cstheme="majorBidi"/>
          <w:sz w:val="24"/>
          <w:szCs w:val="24"/>
          <w:shd w:val="clear" w:color="auto" w:fill="FFFFFF"/>
        </w:rPr>
        <w:t>, </w:t>
      </w:r>
      <w:r w:rsidRPr="008C0AF9">
        <w:rPr>
          <w:rFonts w:asciiTheme="majorBidi" w:hAnsiTheme="majorBidi" w:cstheme="majorBidi"/>
          <w:i/>
          <w:iCs/>
          <w:sz w:val="24"/>
          <w:szCs w:val="24"/>
          <w:shd w:val="clear" w:color="auto" w:fill="FFFFFF"/>
        </w:rPr>
        <w:t>10</w:t>
      </w:r>
      <w:r w:rsidRPr="008C0AF9">
        <w:rPr>
          <w:rFonts w:asciiTheme="majorBidi" w:hAnsiTheme="majorBidi" w:cstheme="majorBidi"/>
          <w:sz w:val="24"/>
          <w:szCs w:val="24"/>
          <w:shd w:val="clear" w:color="auto" w:fill="FFFFFF"/>
        </w:rPr>
        <w:t>, Article 857531. https://doi.org/10.3389/fpubh.2022.857531</w:t>
      </w:r>
    </w:p>
    <w:p w14:paraId="15237B41" w14:textId="77777777" w:rsidR="008C0AF9" w:rsidRPr="008C0AF9" w:rsidRDefault="008C0AF9" w:rsidP="008C0AF9">
      <w:pPr>
        <w:spacing w:after="0" w:line="480" w:lineRule="auto"/>
        <w:ind w:left="720" w:hanging="720"/>
        <w:rPr>
          <w:rFonts w:asciiTheme="majorBidi" w:hAnsiTheme="majorBidi" w:cstheme="majorBidi"/>
          <w:sz w:val="24"/>
          <w:szCs w:val="24"/>
        </w:rPr>
      </w:pPr>
      <w:r w:rsidRPr="008C0AF9">
        <w:rPr>
          <w:rFonts w:asciiTheme="majorBidi" w:hAnsiTheme="majorBidi" w:cstheme="majorBidi"/>
          <w:sz w:val="24"/>
          <w:szCs w:val="24"/>
        </w:rPr>
        <w:t>Sweeney, M. M., Nayak, S., Hurwitz, E. S., Mitchell, L. N., Swift, T. C., Griffiths, R. R., &amp; Brown, K. W. (2022). Comparison of psychedelic and near-death or other non-ordinary experiences in changing attitudes about death and dying. </w:t>
      </w:r>
      <w:r w:rsidRPr="008C0AF9">
        <w:rPr>
          <w:rFonts w:asciiTheme="majorBidi" w:hAnsiTheme="majorBidi" w:cstheme="majorBidi"/>
          <w:i/>
          <w:iCs/>
          <w:sz w:val="24"/>
          <w:szCs w:val="24"/>
        </w:rPr>
        <w:t>PLOS ONE,</w:t>
      </w:r>
      <w:r w:rsidRPr="008C0AF9">
        <w:rPr>
          <w:rFonts w:asciiTheme="majorBidi" w:hAnsiTheme="majorBidi" w:cstheme="majorBidi"/>
          <w:sz w:val="24"/>
          <w:szCs w:val="24"/>
        </w:rPr>
        <w:t> </w:t>
      </w:r>
      <w:r w:rsidRPr="008C0AF9">
        <w:rPr>
          <w:rFonts w:asciiTheme="majorBidi" w:hAnsiTheme="majorBidi" w:cstheme="majorBidi"/>
          <w:i/>
          <w:iCs/>
          <w:sz w:val="24"/>
          <w:szCs w:val="24"/>
        </w:rPr>
        <w:t>17</w:t>
      </w:r>
      <w:r w:rsidRPr="008C0AF9">
        <w:rPr>
          <w:rFonts w:asciiTheme="majorBidi" w:hAnsiTheme="majorBidi" w:cstheme="majorBidi"/>
          <w:sz w:val="24"/>
          <w:szCs w:val="24"/>
        </w:rPr>
        <w:t xml:space="preserve">(8), e0271926. </w:t>
      </w:r>
    </w:p>
    <w:p w14:paraId="0D3C2A95" w14:textId="77777777" w:rsidR="008C0AF9" w:rsidRPr="008C0AF9" w:rsidRDefault="008C0AF9" w:rsidP="008C0AF9">
      <w:pPr>
        <w:spacing w:after="0" w:line="480" w:lineRule="auto"/>
        <w:ind w:left="720"/>
        <w:rPr>
          <w:rFonts w:asciiTheme="majorBidi" w:hAnsiTheme="majorBidi" w:cstheme="majorBidi"/>
          <w:sz w:val="24"/>
          <w:szCs w:val="24"/>
        </w:rPr>
      </w:pPr>
      <w:r w:rsidRPr="008C0AF9">
        <w:rPr>
          <w:rFonts w:asciiTheme="majorBidi" w:hAnsiTheme="majorBidi" w:cstheme="majorBidi"/>
          <w:sz w:val="24"/>
          <w:szCs w:val="24"/>
        </w:rPr>
        <w:t>https://doi.org/10.1371/journal.pone.0271926</w:t>
      </w:r>
    </w:p>
    <w:p w14:paraId="583A51EC"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 xml:space="preserve">Tagliazucchi, E. (2022). </w:t>
      </w:r>
      <w:r w:rsidRPr="008C0AF9">
        <w:rPr>
          <w:rFonts w:asciiTheme="majorBidi" w:hAnsiTheme="majorBidi" w:cstheme="majorBidi"/>
          <w:i/>
          <w:iCs/>
          <w:sz w:val="24"/>
          <w:szCs w:val="24"/>
          <w:shd w:val="clear" w:color="auto" w:fill="FFFFFF"/>
        </w:rPr>
        <w:t>Language as a window into the altered state of consciousness elicited by psychedelic drugs</w:t>
      </w:r>
      <w:r w:rsidRPr="008C0AF9">
        <w:rPr>
          <w:rFonts w:asciiTheme="majorBidi" w:hAnsiTheme="majorBidi" w:cstheme="majorBidi"/>
          <w:sz w:val="24"/>
          <w:szCs w:val="24"/>
          <w:shd w:val="clear" w:color="auto" w:fill="FFFFFF"/>
        </w:rPr>
        <w:t xml:space="preserve">. </w:t>
      </w:r>
      <w:r w:rsidRPr="008C0AF9">
        <w:rPr>
          <w:rFonts w:asciiTheme="majorBidi" w:hAnsiTheme="majorBidi" w:cstheme="majorBidi"/>
          <w:i/>
          <w:iCs/>
          <w:sz w:val="24"/>
          <w:szCs w:val="24"/>
          <w:shd w:val="clear" w:color="auto" w:fill="FFFFFF"/>
        </w:rPr>
        <w:t>Frontiers in Pharmacology,</w:t>
      </w:r>
      <w:r w:rsidRPr="008C0AF9">
        <w:rPr>
          <w:rFonts w:asciiTheme="majorBidi" w:hAnsiTheme="majorBidi" w:cstheme="majorBidi"/>
          <w:sz w:val="24"/>
          <w:szCs w:val="24"/>
          <w:shd w:val="clear" w:color="auto" w:fill="FFFFFF"/>
        </w:rPr>
        <w:t xml:space="preserve"> 13, Article 812227. </w:t>
      </w:r>
      <w:hyperlink r:id="rId21" w:tgtFrame="_new" w:history="1">
        <w:r w:rsidRPr="008C0AF9">
          <w:rPr>
            <w:rStyle w:val="Hyperlink"/>
            <w:rFonts w:asciiTheme="majorBidi" w:hAnsiTheme="majorBidi" w:cstheme="majorBidi"/>
            <w:color w:val="auto"/>
            <w:sz w:val="24"/>
            <w:szCs w:val="24"/>
            <w:u w:val="none"/>
            <w:shd w:val="clear" w:color="auto" w:fill="FFFFFF"/>
          </w:rPr>
          <w:t>https://doi.org/10.3389/fphar.2022.812227</w:t>
        </w:r>
      </w:hyperlink>
    </w:p>
    <w:p w14:paraId="5065A2A0"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 xml:space="preserve">Tanner, L. (2024, June 4). </w:t>
      </w:r>
      <w:r w:rsidRPr="008C0AF9">
        <w:rPr>
          <w:rFonts w:asciiTheme="majorBidi" w:hAnsiTheme="majorBidi" w:cstheme="majorBidi"/>
          <w:i/>
          <w:iCs/>
          <w:sz w:val="24"/>
          <w:szCs w:val="24"/>
          <w:shd w:val="clear" w:color="auto" w:fill="FFFFFF"/>
        </w:rPr>
        <w:t>Panel rejects psychedelic drug MDMA as a PTSD treatment in possible setback for advocates</w:t>
      </w:r>
      <w:r w:rsidRPr="008C0AF9">
        <w:rPr>
          <w:rFonts w:asciiTheme="majorBidi" w:hAnsiTheme="majorBidi" w:cstheme="majorBidi"/>
          <w:sz w:val="24"/>
          <w:szCs w:val="24"/>
          <w:shd w:val="clear" w:color="auto" w:fill="FFFFFF"/>
        </w:rPr>
        <w:t>. Associated Press. https://apnews.com/article/1f3753324fa7f91821c9ee6246fa18e1</w:t>
      </w:r>
    </w:p>
    <w:p w14:paraId="661CB06F"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lastRenderedPageBreak/>
        <w:t>Teixeira, P. J., Johnson, M. W., Timmermann, C., Watts, R., Erritzoe, D., Douglass, H., Kettner, H., &amp; Carhart-Harris, R. L. (2022). Psychedelics and health behaviour change. </w:t>
      </w:r>
      <w:r w:rsidRPr="008C0AF9">
        <w:rPr>
          <w:rFonts w:asciiTheme="majorBidi" w:hAnsiTheme="majorBidi" w:cstheme="majorBidi"/>
          <w:i/>
          <w:iCs/>
          <w:sz w:val="24"/>
          <w:szCs w:val="24"/>
          <w:shd w:val="clear" w:color="auto" w:fill="FFFFFF"/>
        </w:rPr>
        <w:t>Journal of Psychopharmacology</w:t>
      </w:r>
      <w:r w:rsidRPr="008C0AF9">
        <w:rPr>
          <w:rFonts w:asciiTheme="majorBidi" w:hAnsiTheme="majorBidi" w:cstheme="majorBidi"/>
          <w:sz w:val="24"/>
          <w:szCs w:val="24"/>
          <w:shd w:val="clear" w:color="auto" w:fill="FFFFFF"/>
        </w:rPr>
        <w:t>, </w:t>
      </w:r>
      <w:r w:rsidRPr="008C0AF9">
        <w:rPr>
          <w:rFonts w:asciiTheme="majorBidi" w:hAnsiTheme="majorBidi" w:cstheme="majorBidi"/>
          <w:i/>
          <w:iCs/>
          <w:sz w:val="24"/>
          <w:szCs w:val="24"/>
          <w:shd w:val="clear" w:color="auto" w:fill="FFFFFF"/>
        </w:rPr>
        <w:t>36</w:t>
      </w:r>
      <w:r w:rsidRPr="008C0AF9">
        <w:rPr>
          <w:rFonts w:asciiTheme="majorBidi" w:hAnsiTheme="majorBidi" w:cstheme="majorBidi"/>
          <w:sz w:val="24"/>
          <w:szCs w:val="24"/>
          <w:shd w:val="clear" w:color="auto" w:fill="FFFFFF"/>
        </w:rPr>
        <w:t>(1), 12–19. https://doi.org/10.1177/02698811211008554</w:t>
      </w:r>
    </w:p>
    <w:p w14:paraId="75A98A22"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rPr>
        <w:t xml:space="preserve">Tracy, K., &amp; Wallace, S. P. (2016). Benefits of peer support groups in the treatment of addiction. </w:t>
      </w:r>
      <w:r w:rsidRPr="008C0AF9">
        <w:rPr>
          <w:rFonts w:asciiTheme="majorBidi" w:hAnsiTheme="majorBidi" w:cstheme="majorBidi"/>
          <w:i/>
          <w:iCs/>
          <w:sz w:val="24"/>
          <w:szCs w:val="24"/>
        </w:rPr>
        <w:t>Substance Abuse and Rehabilitation, 7</w:t>
      </w:r>
      <w:r w:rsidRPr="008C0AF9">
        <w:rPr>
          <w:rFonts w:asciiTheme="majorBidi" w:hAnsiTheme="majorBidi" w:cstheme="majorBidi"/>
          <w:sz w:val="24"/>
          <w:szCs w:val="24"/>
        </w:rPr>
        <w:t>, 143–154. https://doi.org/10.2147/SAR.S81535</w:t>
      </w:r>
    </w:p>
    <w:p w14:paraId="04252534" w14:textId="77777777" w:rsidR="008C0AF9" w:rsidRPr="008C0AF9" w:rsidRDefault="008C0AF9" w:rsidP="008C0AF9">
      <w:pPr>
        <w:spacing w:after="0" w:line="480" w:lineRule="auto"/>
        <w:ind w:left="720" w:hanging="720"/>
        <w:rPr>
          <w:rFonts w:asciiTheme="majorBidi" w:hAnsiTheme="majorBidi" w:cstheme="majorBidi"/>
          <w:color w:val="212121"/>
          <w:sz w:val="24"/>
          <w:szCs w:val="24"/>
          <w:shd w:val="clear" w:color="auto" w:fill="FFFFFF"/>
        </w:rPr>
      </w:pPr>
      <w:r w:rsidRPr="008C0AF9">
        <w:rPr>
          <w:rFonts w:asciiTheme="majorBidi" w:hAnsiTheme="majorBidi" w:cstheme="majorBidi"/>
          <w:color w:val="212121"/>
          <w:sz w:val="24"/>
          <w:szCs w:val="24"/>
          <w:shd w:val="clear" w:color="auto" w:fill="FFFFFF"/>
        </w:rPr>
        <w:t xml:space="preserve">Trifan, A., Antunes, R., Matos, S., &amp; Oliveira, J. L. (2020). Understanding depression from psycholinguistic patterns in social media texts. In C. Macdonald &amp; Z. Cao (Eds.), </w:t>
      </w:r>
      <w:r w:rsidRPr="008C0AF9">
        <w:rPr>
          <w:rFonts w:asciiTheme="majorBidi" w:hAnsiTheme="majorBidi" w:cstheme="majorBidi"/>
          <w:i/>
          <w:iCs/>
          <w:color w:val="212121"/>
          <w:sz w:val="24"/>
          <w:szCs w:val="24"/>
          <w:shd w:val="clear" w:color="auto" w:fill="FFFFFF"/>
        </w:rPr>
        <w:t>Advances in Information Retrieval: 42nd European Conference on IR Research (ECIR 2020), Lisbon, Portugal, April 14–17, 2020, Proceedings, Part II</w:t>
      </w:r>
      <w:r w:rsidRPr="008C0AF9">
        <w:rPr>
          <w:rFonts w:asciiTheme="majorBidi" w:hAnsiTheme="majorBidi" w:cstheme="majorBidi"/>
          <w:color w:val="212121"/>
          <w:sz w:val="24"/>
          <w:szCs w:val="24"/>
          <w:shd w:val="clear" w:color="auto" w:fill="FFFFFF"/>
        </w:rPr>
        <w:t xml:space="preserve"> (Vol. 12036, pp. 402–409). Springer. </w:t>
      </w:r>
      <w:hyperlink r:id="rId22" w:tgtFrame="_new" w:history="1">
        <w:r w:rsidRPr="008C0AF9">
          <w:rPr>
            <w:rStyle w:val="Hyperlink"/>
            <w:rFonts w:asciiTheme="majorBidi" w:hAnsiTheme="majorBidi" w:cstheme="majorBidi"/>
            <w:color w:val="auto"/>
            <w:sz w:val="24"/>
            <w:szCs w:val="24"/>
            <w:u w:val="none"/>
            <w:shd w:val="clear" w:color="auto" w:fill="FFFFFF"/>
          </w:rPr>
          <w:t>https://doi.org/10.1007/978-3-030-45442-5_50</w:t>
        </w:r>
      </w:hyperlink>
    </w:p>
    <w:p w14:paraId="2010F045"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color w:val="212121"/>
          <w:sz w:val="24"/>
          <w:szCs w:val="24"/>
          <w:shd w:val="clear" w:color="auto" w:fill="FFFFFF"/>
        </w:rPr>
        <w:t xml:space="preserve">Udo, T., &amp; Grilo, C. M. (2018). Prevalence and correlates of </w:t>
      </w:r>
      <w:r w:rsidRPr="008C0AF9">
        <w:rPr>
          <w:rFonts w:asciiTheme="majorBidi" w:hAnsiTheme="majorBidi" w:cstheme="majorBidi"/>
          <w:i/>
          <w:iCs/>
          <w:color w:val="212121"/>
          <w:sz w:val="24"/>
          <w:szCs w:val="24"/>
          <w:shd w:val="clear" w:color="auto" w:fill="FFFFFF"/>
        </w:rPr>
        <w:t>DSM-5</w:t>
      </w:r>
      <w:r w:rsidRPr="008C0AF9">
        <w:rPr>
          <w:rFonts w:asciiTheme="majorBidi" w:hAnsiTheme="majorBidi" w:cstheme="majorBidi"/>
          <w:color w:val="212121"/>
          <w:sz w:val="24"/>
          <w:szCs w:val="24"/>
          <w:shd w:val="clear" w:color="auto" w:fill="FFFFFF"/>
        </w:rPr>
        <w:t>-defined eating disorders in a nationally representative sample of U.S. Adults. </w:t>
      </w:r>
      <w:r w:rsidRPr="008C0AF9">
        <w:rPr>
          <w:rFonts w:asciiTheme="majorBidi" w:hAnsiTheme="majorBidi" w:cstheme="majorBidi"/>
          <w:i/>
          <w:iCs/>
          <w:color w:val="212121"/>
          <w:sz w:val="24"/>
          <w:szCs w:val="24"/>
          <w:shd w:val="clear" w:color="auto" w:fill="FFFFFF"/>
        </w:rPr>
        <w:t>Biological Psychiatry</w:t>
      </w:r>
      <w:r w:rsidRPr="008C0AF9">
        <w:rPr>
          <w:rFonts w:asciiTheme="majorBidi" w:hAnsiTheme="majorBidi" w:cstheme="majorBidi"/>
          <w:color w:val="212121"/>
          <w:sz w:val="24"/>
          <w:szCs w:val="24"/>
          <w:shd w:val="clear" w:color="auto" w:fill="FFFFFF"/>
        </w:rPr>
        <w:t>, </w:t>
      </w:r>
      <w:r w:rsidRPr="008C0AF9">
        <w:rPr>
          <w:rFonts w:asciiTheme="majorBidi" w:hAnsiTheme="majorBidi" w:cstheme="majorBidi"/>
          <w:i/>
          <w:iCs/>
          <w:color w:val="212121"/>
          <w:sz w:val="24"/>
          <w:szCs w:val="24"/>
          <w:shd w:val="clear" w:color="auto" w:fill="FFFFFF"/>
        </w:rPr>
        <w:t>84</w:t>
      </w:r>
      <w:r w:rsidRPr="008C0AF9">
        <w:rPr>
          <w:rFonts w:asciiTheme="majorBidi" w:hAnsiTheme="majorBidi" w:cstheme="majorBidi"/>
          <w:color w:val="212121"/>
          <w:sz w:val="24"/>
          <w:szCs w:val="24"/>
          <w:shd w:val="clear" w:color="auto" w:fill="FFFFFF"/>
        </w:rPr>
        <w:t>(5), 345–354. https://doi.org/10.1016/j.biopsych.2018.03.014</w:t>
      </w:r>
    </w:p>
    <w:p w14:paraId="44DE3945" w14:textId="77777777" w:rsidR="008C0AF9" w:rsidRPr="008C0AF9" w:rsidRDefault="008C0AF9" w:rsidP="008C0AF9">
      <w:pPr>
        <w:spacing w:line="480" w:lineRule="auto"/>
        <w:ind w:left="720" w:hanging="720"/>
        <w:contextualSpacing/>
        <w:rPr>
          <w:rFonts w:asciiTheme="majorBidi" w:hAnsiTheme="majorBidi" w:cstheme="majorBidi"/>
          <w:sz w:val="24"/>
          <w:szCs w:val="24"/>
        </w:rPr>
      </w:pPr>
      <w:r w:rsidRPr="008C0AF9">
        <w:rPr>
          <w:rFonts w:asciiTheme="majorBidi" w:hAnsiTheme="majorBidi" w:cstheme="majorBidi"/>
          <w:sz w:val="24"/>
          <w:szCs w:val="24"/>
        </w:rPr>
        <w:t>van Hoeken, D., &amp; Hoek, H. W. (2020). Review of the burden of eating disorders: Mortality, disability, costs, quality of life, and family burden. </w:t>
      </w:r>
      <w:r w:rsidRPr="008C0AF9">
        <w:rPr>
          <w:rFonts w:asciiTheme="majorBidi" w:hAnsiTheme="majorBidi" w:cstheme="majorBidi"/>
          <w:i/>
          <w:iCs/>
          <w:sz w:val="24"/>
          <w:szCs w:val="24"/>
        </w:rPr>
        <w:t>Current opinion in psychiatry</w:t>
      </w:r>
      <w:r w:rsidRPr="008C0AF9">
        <w:rPr>
          <w:rFonts w:asciiTheme="majorBidi" w:hAnsiTheme="majorBidi" w:cstheme="majorBidi"/>
          <w:sz w:val="24"/>
          <w:szCs w:val="24"/>
        </w:rPr>
        <w:t>, </w:t>
      </w:r>
      <w:r w:rsidRPr="008C0AF9">
        <w:rPr>
          <w:rFonts w:asciiTheme="majorBidi" w:hAnsiTheme="majorBidi" w:cstheme="majorBidi"/>
          <w:i/>
          <w:iCs/>
          <w:sz w:val="24"/>
          <w:szCs w:val="24"/>
        </w:rPr>
        <w:t>33</w:t>
      </w:r>
      <w:r w:rsidRPr="008C0AF9">
        <w:rPr>
          <w:rFonts w:asciiTheme="majorBidi" w:hAnsiTheme="majorBidi" w:cstheme="majorBidi"/>
          <w:sz w:val="24"/>
          <w:szCs w:val="24"/>
        </w:rPr>
        <w:t>(6), 521–527. https://doi.org/10.1097/YCO.0000000000000641</w:t>
      </w:r>
    </w:p>
    <w:p w14:paraId="1C47DA5E" w14:textId="77777777" w:rsidR="008C0AF9" w:rsidRPr="008C0AF9" w:rsidRDefault="008C0AF9" w:rsidP="008C0AF9">
      <w:pPr>
        <w:spacing w:after="0" w:line="480" w:lineRule="auto"/>
        <w:rPr>
          <w:rFonts w:asciiTheme="majorBidi" w:hAnsiTheme="majorBidi" w:cstheme="majorBidi"/>
          <w:sz w:val="24"/>
          <w:szCs w:val="24"/>
        </w:rPr>
      </w:pPr>
      <w:r w:rsidRPr="008C0AF9">
        <w:rPr>
          <w:rFonts w:asciiTheme="majorBidi" w:hAnsiTheme="majorBidi" w:cstheme="majorBidi"/>
          <w:sz w:val="24"/>
          <w:szCs w:val="24"/>
        </w:rPr>
        <w:t xml:space="preserve">White, M., &amp; Epston, D. (1990). </w:t>
      </w:r>
      <w:r w:rsidRPr="008C0AF9">
        <w:rPr>
          <w:rFonts w:asciiTheme="majorBidi" w:hAnsiTheme="majorBidi" w:cstheme="majorBidi"/>
          <w:i/>
          <w:iCs/>
          <w:sz w:val="24"/>
          <w:szCs w:val="24"/>
        </w:rPr>
        <w:t>Narrative Means to Therapeutic Ends</w:t>
      </w:r>
      <w:r w:rsidRPr="008C0AF9">
        <w:rPr>
          <w:rFonts w:asciiTheme="majorBidi" w:hAnsiTheme="majorBidi" w:cstheme="majorBidi"/>
          <w:sz w:val="24"/>
          <w:szCs w:val="24"/>
        </w:rPr>
        <w:t>. New York: Norton.</w:t>
      </w:r>
    </w:p>
    <w:p w14:paraId="0B911ADF"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Wolfson, P. E., Andries, J., Ahlers, D., &amp; Whippo, M. (2023). Ketamine-assisted psychotherapy in adolescents with multiple psychiatric diagnoses. </w:t>
      </w:r>
      <w:r w:rsidRPr="008C0AF9">
        <w:rPr>
          <w:rFonts w:asciiTheme="majorBidi" w:hAnsiTheme="majorBidi" w:cstheme="majorBidi"/>
          <w:i/>
          <w:iCs/>
          <w:sz w:val="24"/>
          <w:szCs w:val="24"/>
          <w:shd w:val="clear" w:color="auto" w:fill="FFFFFF"/>
        </w:rPr>
        <w:t>Frontiers in Psychiatry</w:t>
      </w:r>
      <w:r w:rsidRPr="008C0AF9">
        <w:rPr>
          <w:rFonts w:asciiTheme="majorBidi" w:hAnsiTheme="majorBidi" w:cstheme="majorBidi"/>
          <w:sz w:val="24"/>
          <w:szCs w:val="24"/>
          <w:shd w:val="clear" w:color="auto" w:fill="FFFFFF"/>
        </w:rPr>
        <w:t>, </w:t>
      </w:r>
      <w:r w:rsidRPr="008C0AF9">
        <w:rPr>
          <w:rFonts w:asciiTheme="majorBidi" w:hAnsiTheme="majorBidi" w:cstheme="majorBidi"/>
          <w:i/>
          <w:iCs/>
          <w:sz w:val="24"/>
          <w:szCs w:val="24"/>
          <w:shd w:val="clear" w:color="auto" w:fill="FFFFFF"/>
        </w:rPr>
        <w:t>14</w:t>
      </w:r>
      <w:r w:rsidRPr="008C0AF9">
        <w:rPr>
          <w:rFonts w:asciiTheme="majorBidi" w:hAnsiTheme="majorBidi" w:cstheme="majorBidi"/>
          <w:sz w:val="24"/>
          <w:szCs w:val="24"/>
          <w:shd w:val="clear" w:color="auto" w:fill="FFFFFF"/>
        </w:rPr>
        <w:t>, Article 1141988. https://doi.org/10.3389/fpsyt.2023.1141988</w:t>
      </w:r>
    </w:p>
    <w:p w14:paraId="58C0A4DE" w14:textId="77777777" w:rsidR="008C0AF9" w:rsidRPr="008C0AF9" w:rsidRDefault="008C0AF9" w:rsidP="008C0AF9">
      <w:pPr>
        <w:spacing w:after="0" w:line="480" w:lineRule="auto"/>
        <w:ind w:left="720" w:hanging="720"/>
        <w:rPr>
          <w:rFonts w:asciiTheme="majorBidi" w:hAnsiTheme="majorBidi" w:cstheme="majorBidi"/>
          <w:sz w:val="24"/>
          <w:szCs w:val="24"/>
          <w:shd w:val="clear" w:color="auto" w:fill="FFFFFF"/>
        </w:rPr>
      </w:pPr>
      <w:r w:rsidRPr="008C0AF9">
        <w:rPr>
          <w:rFonts w:asciiTheme="majorBidi" w:hAnsiTheme="majorBidi" w:cstheme="majorBidi"/>
          <w:sz w:val="24"/>
          <w:szCs w:val="24"/>
          <w:shd w:val="clear" w:color="auto" w:fill="FFFFFF"/>
        </w:rPr>
        <w:t xml:space="preserve">Xu, E., Tan, T. Y. S., Wang, H., Wong, C. S., Chong, K., &amp; Prihadi, K. D. (2021). The perk of writing: How expressive writing reduces depressive symptoms. </w:t>
      </w:r>
      <w:r w:rsidRPr="008C0AF9">
        <w:rPr>
          <w:rFonts w:asciiTheme="majorBidi" w:hAnsiTheme="majorBidi" w:cstheme="majorBidi"/>
          <w:i/>
          <w:iCs/>
          <w:sz w:val="24"/>
          <w:szCs w:val="24"/>
          <w:shd w:val="clear" w:color="auto" w:fill="FFFFFF"/>
        </w:rPr>
        <w:t>International Journal of Public Health Science, 10</w:t>
      </w:r>
      <w:r w:rsidRPr="008C0AF9">
        <w:rPr>
          <w:rFonts w:asciiTheme="majorBidi" w:hAnsiTheme="majorBidi" w:cstheme="majorBidi"/>
          <w:sz w:val="24"/>
          <w:szCs w:val="24"/>
          <w:shd w:val="clear" w:color="auto" w:fill="FFFFFF"/>
        </w:rPr>
        <w:t>(4), 942–948. https://doi.org/10.11591/ijphs.v10i4.21103</w:t>
      </w:r>
    </w:p>
    <w:p w14:paraId="22BE28CC" w14:textId="062BD0DB" w:rsidR="008C0AF9" w:rsidRPr="00AC5711" w:rsidRDefault="008C0AF9" w:rsidP="008C0AF9">
      <w:pPr>
        <w:pStyle w:val="Caption"/>
        <w:ind w:left="720" w:hanging="720"/>
        <w:rPr>
          <w:b/>
          <w:bCs/>
          <w:szCs w:val="24"/>
        </w:rPr>
      </w:pPr>
      <w:r w:rsidRPr="00FA3859">
        <w:rPr>
          <w:rFonts w:asciiTheme="majorBidi" w:hAnsiTheme="majorBidi" w:cstheme="majorBidi"/>
          <w:szCs w:val="24"/>
          <w:shd w:val="clear" w:color="auto" w:fill="FFFFFF"/>
          <w:lang w:val="pl-PL"/>
        </w:rPr>
        <w:lastRenderedPageBreak/>
        <w:t xml:space="preserve">Zasiekina, L., Kennison, S., Zasiekin, S., &amp; Khvorost, K. (2019). </w:t>
      </w:r>
      <w:r w:rsidRPr="008C0AF9">
        <w:rPr>
          <w:rFonts w:asciiTheme="majorBidi" w:hAnsiTheme="majorBidi" w:cstheme="majorBidi"/>
          <w:szCs w:val="24"/>
          <w:shd w:val="clear" w:color="auto" w:fill="FFFFFF"/>
        </w:rPr>
        <w:t xml:space="preserve">Psycholinguistic markers of autobiographical and traumatic memory. </w:t>
      </w:r>
      <w:r w:rsidRPr="008C0AF9">
        <w:rPr>
          <w:rFonts w:asciiTheme="majorBidi" w:hAnsiTheme="majorBidi" w:cstheme="majorBidi"/>
          <w:i/>
          <w:szCs w:val="24"/>
          <w:shd w:val="clear" w:color="auto" w:fill="FFFFFF"/>
        </w:rPr>
        <w:t>East European Journal of Psycholinguistics</w:t>
      </w:r>
      <w:r w:rsidRPr="008C0AF9">
        <w:rPr>
          <w:rFonts w:asciiTheme="majorBidi" w:hAnsiTheme="majorBidi" w:cstheme="majorBidi"/>
          <w:szCs w:val="24"/>
          <w:shd w:val="clear" w:color="auto" w:fill="FFFFFF"/>
        </w:rPr>
        <w:t xml:space="preserve">, </w:t>
      </w:r>
      <w:r w:rsidRPr="008C0AF9">
        <w:rPr>
          <w:rFonts w:asciiTheme="majorBidi" w:hAnsiTheme="majorBidi" w:cstheme="majorBidi"/>
          <w:i/>
          <w:szCs w:val="24"/>
          <w:shd w:val="clear" w:color="auto" w:fill="FFFFFF"/>
        </w:rPr>
        <w:t>6(2)</w:t>
      </w:r>
      <w:r w:rsidRPr="008C0AF9">
        <w:rPr>
          <w:rFonts w:asciiTheme="majorBidi" w:hAnsiTheme="majorBidi" w:cstheme="majorBidi"/>
          <w:szCs w:val="24"/>
          <w:shd w:val="clear" w:color="auto" w:fill="FFFFFF"/>
        </w:rPr>
        <w:t>, 119–133. https:// doi.org/10.29038/eejpl.2019.6.2.zas</w:t>
      </w:r>
      <w:r w:rsidRPr="003763AD">
        <w:rPr>
          <w:rFonts w:asciiTheme="majorBidi" w:hAnsiTheme="majorBidi" w:cstheme="majorBidi"/>
          <w:szCs w:val="24"/>
          <w:shd w:val="clear" w:color="auto" w:fill="FFFFFF"/>
        </w:rPr>
        <w:t xml:space="preserve"> </w:t>
      </w:r>
      <w:r w:rsidRPr="003763AD">
        <w:rPr>
          <w:rFonts w:asciiTheme="majorBidi" w:hAnsiTheme="majorBidi" w:cstheme="majorBidi"/>
          <w:szCs w:val="24"/>
        </w:rPr>
        <w:br w:type="page"/>
      </w:r>
    </w:p>
    <w:p w14:paraId="6B35913E" w14:textId="77777777" w:rsidR="00E654BE" w:rsidRPr="00AC5711" w:rsidRDefault="00E654BE" w:rsidP="00865DE6">
      <w:pPr>
        <w:pStyle w:val="Caption"/>
        <w:ind w:left="720"/>
        <w:rPr>
          <w:b/>
          <w:bCs/>
          <w:szCs w:val="24"/>
        </w:rPr>
      </w:pPr>
      <w:bookmarkStart w:id="50" w:name="_Hlk216431233"/>
      <w:r w:rsidRPr="00BB563D">
        <w:rPr>
          <w:b/>
          <w:bCs/>
        </w:rPr>
        <w:lastRenderedPageBreak/>
        <w:t>Table 2.</w:t>
      </w:r>
      <w:r w:rsidRPr="00BB563D">
        <w:rPr>
          <w:b/>
          <w:bCs/>
        </w:rPr>
        <w:fldChar w:fldCharType="begin"/>
      </w:r>
      <w:r w:rsidRPr="00BB563D">
        <w:rPr>
          <w:b/>
          <w:bCs/>
        </w:rPr>
        <w:instrText xml:space="preserve"> SEQ Table \* ARABIC </w:instrText>
      </w:r>
      <w:r w:rsidRPr="00BB563D">
        <w:rPr>
          <w:b/>
          <w:bCs/>
        </w:rPr>
        <w:fldChar w:fldCharType="separate"/>
      </w:r>
      <w:r>
        <w:rPr>
          <w:b/>
          <w:bCs/>
          <w:noProof/>
        </w:rPr>
        <w:t>1</w:t>
      </w:r>
      <w:r w:rsidRPr="00BB563D">
        <w:rPr>
          <w:b/>
          <w:bCs/>
        </w:rPr>
        <w:fldChar w:fldCharType="end"/>
      </w:r>
      <w:r w:rsidRPr="00AC5711">
        <w:t xml:space="preserve"> Subreddit Lists and Comments Counts</w:t>
      </w:r>
    </w:p>
    <w:p w14:paraId="421999FF" w14:textId="77777777" w:rsidR="00E654BE" w:rsidRPr="00E654BE" w:rsidRDefault="00E654BE" w:rsidP="00865DE6">
      <w:pPr>
        <w:jc w:val="center"/>
        <w:rPr>
          <w:rFonts w:ascii="Times New Roman" w:hAnsi="Times New Roman" w:cs="Times New Roman"/>
          <w:sz w:val="24"/>
          <w:szCs w:val="24"/>
        </w:rPr>
      </w:pPr>
    </w:p>
    <w:p w14:paraId="742FE017" w14:textId="7BB3F70D" w:rsidR="008C0AF9" w:rsidRPr="008C35E9" w:rsidRDefault="008C0AF9" w:rsidP="008C0AF9">
      <w:pPr>
        <w:rPr>
          <w:rFonts w:ascii="Times New Roman" w:hAnsi="Times New Roman" w:cs="Times New Roman"/>
          <w:i/>
          <w:iCs/>
          <w:sz w:val="24"/>
          <w:szCs w:val="24"/>
        </w:rPr>
      </w:pPr>
      <w:r w:rsidRPr="008C35E9">
        <w:rPr>
          <w:rFonts w:ascii="Times New Roman" w:hAnsi="Times New Roman" w:cs="Times New Roman"/>
          <w:i/>
          <w:iCs/>
          <w:sz w:val="24"/>
          <w:szCs w:val="24"/>
        </w:rPr>
        <w:t>Subreddit Lists and Comments Counts</w:t>
      </w:r>
    </w:p>
    <w:tbl>
      <w:tblPr>
        <w:tblW w:w="4420" w:type="dxa"/>
        <w:tblLook w:val="04A0" w:firstRow="1" w:lastRow="0" w:firstColumn="1" w:lastColumn="0" w:noHBand="0" w:noVBand="1"/>
      </w:tblPr>
      <w:tblGrid>
        <w:gridCol w:w="3120"/>
        <w:gridCol w:w="1300"/>
      </w:tblGrid>
      <w:tr w:rsidR="008C0AF9" w:rsidRPr="008C35E9" w14:paraId="1CFFB190" w14:textId="77777777" w:rsidTr="00197A0C">
        <w:trPr>
          <w:trHeight w:val="320"/>
        </w:trPr>
        <w:tc>
          <w:tcPr>
            <w:tcW w:w="3120" w:type="dxa"/>
            <w:tcBorders>
              <w:top w:val="single" w:sz="4" w:space="0" w:color="auto"/>
              <w:left w:val="nil"/>
              <w:bottom w:val="single" w:sz="4" w:space="0" w:color="auto"/>
              <w:right w:val="nil"/>
            </w:tcBorders>
            <w:noWrap/>
            <w:hideMark/>
          </w:tcPr>
          <w:p w14:paraId="6BB4C538" w14:textId="77777777" w:rsidR="008C0AF9" w:rsidRPr="008C35E9" w:rsidRDefault="008C0AF9" w:rsidP="00197A0C">
            <w:pPr>
              <w:jc w:val="center"/>
              <w:rPr>
                <w:rFonts w:ascii="Times New Roman" w:hAnsi="Times New Roman" w:cs="Times New Roman"/>
                <w:color w:val="000000"/>
                <w:sz w:val="24"/>
                <w:szCs w:val="24"/>
              </w:rPr>
            </w:pPr>
            <w:r w:rsidRPr="008C35E9">
              <w:rPr>
                <w:rFonts w:ascii="Times New Roman" w:hAnsi="Times New Roman" w:cs="Times New Roman"/>
                <w:color w:val="000000"/>
                <w:sz w:val="24"/>
                <w:szCs w:val="24"/>
              </w:rPr>
              <w:t>Subreddit</w:t>
            </w:r>
          </w:p>
        </w:tc>
        <w:tc>
          <w:tcPr>
            <w:tcW w:w="1300" w:type="dxa"/>
            <w:tcBorders>
              <w:top w:val="single" w:sz="4" w:space="0" w:color="auto"/>
              <w:left w:val="nil"/>
              <w:bottom w:val="single" w:sz="4" w:space="0" w:color="auto"/>
              <w:right w:val="nil"/>
            </w:tcBorders>
            <w:noWrap/>
            <w:hideMark/>
          </w:tcPr>
          <w:p w14:paraId="10FEE0B8" w14:textId="77777777" w:rsidR="008C0AF9" w:rsidRPr="008C35E9" w:rsidRDefault="008C0AF9" w:rsidP="00197A0C">
            <w:pPr>
              <w:jc w:val="center"/>
              <w:rPr>
                <w:rFonts w:ascii="Times New Roman" w:hAnsi="Times New Roman" w:cs="Times New Roman"/>
                <w:color w:val="000000"/>
                <w:sz w:val="24"/>
                <w:szCs w:val="24"/>
              </w:rPr>
            </w:pPr>
            <w:r w:rsidRPr="008C35E9">
              <w:rPr>
                <w:rFonts w:ascii="Times New Roman" w:hAnsi="Times New Roman" w:cs="Times New Roman"/>
                <w:color w:val="000000"/>
                <w:sz w:val="24"/>
                <w:szCs w:val="24"/>
              </w:rPr>
              <w:t>Count</w:t>
            </w:r>
          </w:p>
        </w:tc>
      </w:tr>
      <w:tr w:rsidR="008C0AF9" w:rsidRPr="008C35E9" w14:paraId="7D68899D" w14:textId="77777777" w:rsidTr="00197A0C">
        <w:trPr>
          <w:trHeight w:val="320"/>
        </w:trPr>
        <w:tc>
          <w:tcPr>
            <w:tcW w:w="3120" w:type="dxa"/>
            <w:tcBorders>
              <w:top w:val="nil"/>
              <w:left w:val="nil"/>
              <w:bottom w:val="nil"/>
              <w:right w:val="nil"/>
            </w:tcBorders>
            <w:noWrap/>
            <w:hideMark/>
          </w:tcPr>
          <w:p w14:paraId="184B9611"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Psychonaut</w:t>
            </w:r>
          </w:p>
        </w:tc>
        <w:tc>
          <w:tcPr>
            <w:tcW w:w="1300" w:type="dxa"/>
            <w:tcBorders>
              <w:top w:val="nil"/>
              <w:left w:val="nil"/>
              <w:bottom w:val="nil"/>
              <w:right w:val="nil"/>
            </w:tcBorders>
            <w:noWrap/>
            <w:hideMark/>
          </w:tcPr>
          <w:p w14:paraId="26C8B8DC"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828</w:t>
            </w:r>
          </w:p>
        </w:tc>
      </w:tr>
      <w:tr w:rsidR="008C0AF9" w:rsidRPr="008C35E9" w14:paraId="16B25D4C" w14:textId="77777777" w:rsidTr="00197A0C">
        <w:trPr>
          <w:trHeight w:val="320"/>
        </w:trPr>
        <w:tc>
          <w:tcPr>
            <w:tcW w:w="3120" w:type="dxa"/>
            <w:tcBorders>
              <w:top w:val="nil"/>
              <w:left w:val="nil"/>
              <w:bottom w:val="nil"/>
              <w:right w:val="nil"/>
            </w:tcBorders>
            <w:noWrap/>
            <w:hideMark/>
          </w:tcPr>
          <w:p w14:paraId="2E7446FE"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shrooms</w:t>
            </w:r>
          </w:p>
        </w:tc>
        <w:tc>
          <w:tcPr>
            <w:tcW w:w="1300" w:type="dxa"/>
            <w:tcBorders>
              <w:top w:val="nil"/>
              <w:left w:val="nil"/>
              <w:bottom w:val="nil"/>
              <w:right w:val="nil"/>
            </w:tcBorders>
            <w:noWrap/>
            <w:hideMark/>
          </w:tcPr>
          <w:p w14:paraId="3DD45AF6"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494</w:t>
            </w:r>
          </w:p>
        </w:tc>
      </w:tr>
      <w:tr w:rsidR="008C0AF9" w:rsidRPr="008C35E9" w14:paraId="5023E165" w14:textId="77777777" w:rsidTr="00197A0C">
        <w:trPr>
          <w:trHeight w:val="320"/>
        </w:trPr>
        <w:tc>
          <w:tcPr>
            <w:tcW w:w="3120" w:type="dxa"/>
            <w:tcBorders>
              <w:top w:val="nil"/>
              <w:left w:val="nil"/>
              <w:bottom w:val="nil"/>
              <w:right w:val="nil"/>
            </w:tcBorders>
            <w:noWrap/>
            <w:hideMark/>
          </w:tcPr>
          <w:p w14:paraId="53B1DC7D"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microdosing</w:t>
            </w:r>
          </w:p>
        </w:tc>
        <w:tc>
          <w:tcPr>
            <w:tcW w:w="1300" w:type="dxa"/>
            <w:tcBorders>
              <w:top w:val="nil"/>
              <w:left w:val="nil"/>
              <w:bottom w:val="nil"/>
              <w:right w:val="nil"/>
            </w:tcBorders>
            <w:noWrap/>
            <w:hideMark/>
          </w:tcPr>
          <w:p w14:paraId="696483DF"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422</w:t>
            </w:r>
          </w:p>
        </w:tc>
      </w:tr>
      <w:tr w:rsidR="008C0AF9" w:rsidRPr="008C35E9" w14:paraId="4B6005DD" w14:textId="77777777" w:rsidTr="00197A0C">
        <w:trPr>
          <w:trHeight w:val="320"/>
        </w:trPr>
        <w:tc>
          <w:tcPr>
            <w:tcW w:w="3120" w:type="dxa"/>
            <w:tcBorders>
              <w:top w:val="nil"/>
              <w:left w:val="nil"/>
              <w:bottom w:val="nil"/>
              <w:right w:val="nil"/>
            </w:tcBorders>
            <w:noWrap/>
            <w:hideMark/>
          </w:tcPr>
          <w:p w14:paraId="0B8AC24D"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LSD</w:t>
            </w:r>
          </w:p>
        </w:tc>
        <w:tc>
          <w:tcPr>
            <w:tcW w:w="1300" w:type="dxa"/>
            <w:tcBorders>
              <w:top w:val="nil"/>
              <w:left w:val="nil"/>
              <w:bottom w:val="nil"/>
              <w:right w:val="nil"/>
            </w:tcBorders>
            <w:noWrap/>
            <w:hideMark/>
          </w:tcPr>
          <w:p w14:paraId="654CB8F2"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349</w:t>
            </w:r>
          </w:p>
        </w:tc>
      </w:tr>
      <w:tr w:rsidR="008C0AF9" w:rsidRPr="008C35E9" w14:paraId="26362BF7" w14:textId="77777777" w:rsidTr="00197A0C">
        <w:trPr>
          <w:trHeight w:val="320"/>
        </w:trPr>
        <w:tc>
          <w:tcPr>
            <w:tcW w:w="3120" w:type="dxa"/>
            <w:tcBorders>
              <w:top w:val="nil"/>
              <w:left w:val="nil"/>
              <w:bottom w:val="nil"/>
              <w:right w:val="nil"/>
            </w:tcBorders>
            <w:noWrap/>
            <w:hideMark/>
          </w:tcPr>
          <w:p w14:paraId="3DCDC2FB"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TherapeuticKetamine</w:t>
            </w:r>
          </w:p>
        </w:tc>
        <w:tc>
          <w:tcPr>
            <w:tcW w:w="1300" w:type="dxa"/>
            <w:tcBorders>
              <w:top w:val="nil"/>
              <w:left w:val="nil"/>
              <w:bottom w:val="nil"/>
              <w:right w:val="nil"/>
            </w:tcBorders>
            <w:noWrap/>
            <w:hideMark/>
          </w:tcPr>
          <w:p w14:paraId="19BDECE7"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341</w:t>
            </w:r>
          </w:p>
        </w:tc>
      </w:tr>
      <w:tr w:rsidR="008C0AF9" w:rsidRPr="008C35E9" w14:paraId="5791394D" w14:textId="77777777" w:rsidTr="00197A0C">
        <w:trPr>
          <w:trHeight w:val="320"/>
        </w:trPr>
        <w:tc>
          <w:tcPr>
            <w:tcW w:w="3120" w:type="dxa"/>
            <w:tcBorders>
              <w:top w:val="nil"/>
              <w:left w:val="nil"/>
              <w:bottom w:val="nil"/>
              <w:right w:val="nil"/>
            </w:tcBorders>
            <w:noWrap/>
            <w:hideMark/>
          </w:tcPr>
          <w:p w14:paraId="0741789A"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Ayahuasca</w:t>
            </w:r>
          </w:p>
        </w:tc>
        <w:tc>
          <w:tcPr>
            <w:tcW w:w="1300" w:type="dxa"/>
            <w:tcBorders>
              <w:top w:val="nil"/>
              <w:left w:val="nil"/>
              <w:bottom w:val="nil"/>
              <w:right w:val="nil"/>
            </w:tcBorders>
            <w:noWrap/>
            <w:hideMark/>
          </w:tcPr>
          <w:p w14:paraId="75BC6590"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321</w:t>
            </w:r>
          </w:p>
        </w:tc>
      </w:tr>
      <w:tr w:rsidR="008C0AF9" w:rsidRPr="008C35E9" w14:paraId="6C87A646" w14:textId="77777777" w:rsidTr="00197A0C">
        <w:trPr>
          <w:trHeight w:val="320"/>
        </w:trPr>
        <w:tc>
          <w:tcPr>
            <w:tcW w:w="3120" w:type="dxa"/>
            <w:tcBorders>
              <w:top w:val="nil"/>
              <w:left w:val="nil"/>
              <w:bottom w:val="nil"/>
              <w:right w:val="nil"/>
            </w:tcBorders>
            <w:noWrap/>
            <w:hideMark/>
          </w:tcPr>
          <w:p w14:paraId="79501FB4"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Psychedelics</w:t>
            </w:r>
          </w:p>
        </w:tc>
        <w:tc>
          <w:tcPr>
            <w:tcW w:w="1300" w:type="dxa"/>
            <w:tcBorders>
              <w:top w:val="nil"/>
              <w:left w:val="nil"/>
              <w:bottom w:val="nil"/>
              <w:right w:val="nil"/>
            </w:tcBorders>
            <w:noWrap/>
            <w:hideMark/>
          </w:tcPr>
          <w:p w14:paraId="11DD2957"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189</w:t>
            </w:r>
          </w:p>
        </w:tc>
      </w:tr>
      <w:tr w:rsidR="008C0AF9" w:rsidRPr="008C35E9" w14:paraId="377A191B" w14:textId="77777777" w:rsidTr="00197A0C">
        <w:trPr>
          <w:trHeight w:val="320"/>
        </w:trPr>
        <w:tc>
          <w:tcPr>
            <w:tcW w:w="3120" w:type="dxa"/>
            <w:tcBorders>
              <w:top w:val="nil"/>
              <w:left w:val="nil"/>
              <w:bottom w:val="nil"/>
              <w:right w:val="nil"/>
            </w:tcBorders>
            <w:noWrap/>
            <w:hideMark/>
          </w:tcPr>
          <w:p w14:paraId="2B02CA0F"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MDMA</w:t>
            </w:r>
          </w:p>
        </w:tc>
        <w:tc>
          <w:tcPr>
            <w:tcW w:w="1300" w:type="dxa"/>
            <w:tcBorders>
              <w:top w:val="nil"/>
              <w:left w:val="nil"/>
              <w:bottom w:val="nil"/>
              <w:right w:val="nil"/>
            </w:tcBorders>
            <w:noWrap/>
            <w:hideMark/>
          </w:tcPr>
          <w:p w14:paraId="250E7A64"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162</w:t>
            </w:r>
          </w:p>
        </w:tc>
      </w:tr>
      <w:tr w:rsidR="008C0AF9" w:rsidRPr="008C35E9" w14:paraId="6377A3AF" w14:textId="77777777" w:rsidTr="00197A0C">
        <w:trPr>
          <w:trHeight w:val="320"/>
        </w:trPr>
        <w:tc>
          <w:tcPr>
            <w:tcW w:w="3120" w:type="dxa"/>
            <w:tcBorders>
              <w:top w:val="nil"/>
              <w:left w:val="nil"/>
              <w:bottom w:val="nil"/>
              <w:right w:val="nil"/>
            </w:tcBorders>
            <w:noWrap/>
            <w:hideMark/>
          </w:tcPr>
          <w:p w14:paraId="62220549"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PsilocybinMushrooms</w:t>
            </w:r>
          </w:p>
        </w:tc>
        <w:tc>
          <w:tcPr>
            <w:tcW w:w="1300" w:type="dxa"/>
            <w:tcBorders>
              <w:top w:val="nil"/>
              <w:left w:val="nil"/>
              <w:bottom w:val="nil"/>
              <w:right w:val="nil"/>
            </w:tcBorders>
            <w:noWrap/>
            <w:hideMark/>
          </w:tcPr>
          <w:p w14:paraId="4E31B19D"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96</w:t>
            </w:r>
          </w:p>
        </w:tc>
      </w:tr>
      <w:tr w:rsidR="008C0AF9" w:rsidRPr="008C35E9" w14:paraId="56700579" w14:textId="77777777" w:rsidTr="00197A0C">
        <w:trPr>
          <w:trHeight w:val="320"/>
        </w:trPr>
        <w:tc>
          <w:tcPr>
            <w:tcW w:w="3120" w:type="dxa"/>
            <w:tcBorders>
              <w:top w:val="nil"/>
              <w:left w:val="nil"/>
              <w:bottom w:val="nil"/>
              <w:right w:val="nil"/>
            </w:tcBorders>
            <w:noWrap/>
            <w:hideMark/>
          </w:tcPr>
          <w:p w14:paraId="7FCF4DA2"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DMT</w:t>
            </w:r>
          </w:p>
        </w:tc>
        <w:tc>
          <w:tcPr>
            <w:tcW w:w="1300" w:type="dxa"/>
            <w:tcBorders>
              <w:top w:val="nil"/>
              <w:left w:val="nil"/>
              <w:bottom w:val="nil"/>
              <w:right w:val="nil"/>
            </w:tcBorders>
            <w:noWrap/>
            <w:hideMark/>
          </w:tcPr>
          <w:p w14:paraId="4EE2309E"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52</w:t>
            </w:r>
          </w:p>
        </w:tc>
      </w:tr>
      <w:tr w:rsidR="008C0AF9" w:rsidRPr="008C35E9" w14:paraId="156F3E52" w14:textId="77777777" w:rsidTr="00197A0C">
        <w:trPr>
          <w:trHeight w:val="320"/>
        </w:trPr>
        <w:tc>
          <w:tcPr>
            <w:tcW w:w="3120" w:type="dxa"/>
            <w:tcBorders>
              <w:top w:val="nil"/>
              <w:left w:val="nil"/>
              <w:bottom w:val="nil"/>
              <w:right w:val="nil"/>
            </w:tcBorders>
            <w:noWrap/>
            <w:hideMark/>
          </w:tcPr>
          <w:p w14:paraId="228ED843"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PsychedelicTherapy</w:t>
            </w:r>
          </w:p>
        </w:tc>
        <w:tc>
          <w:tcPr>
            <w:tcW w:w="1300" w:type="dxa"/>
            <w:tcBorders>
              <w:top w:val="nil"/>
              <w:left w:val="nil"/>
              <w:bottom w:val="nil"/>
              <w:right w:val="nil"/>
            </w:tcBorders>
            <w:noWrap/>
            <w:hideMark/>
          </w:tcPr>
          <w:p w14:paraId="5D0B4BFE"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48</w:t>
            </w:r>
          </w:p>
        </w:tc>
      </w:tr>
      <w:tr w:rsidR="008C0AF9" w:rsidRPr="008C35E9" w14:paraId="7DBB5A8C" w14:textId="77777777" w:rsidTr="00197A0C">
        <w:trPr>
          <w:trHeight w:val="320"/>
        </w:trPr>
        <w:tc>
          <w:tcPr>
            <w:tcW w:w="3120" w:type="dxa"/>
            <w:tcBorders>
              <w:top w:val="nil"/>
              <w:left w:val="nil"/>
              <w:bottom w:val="nil"/>
              <w:right w:val="nil"/>
            </w:tcBorders>
            <w:noWrap/>
            <w:hideMark/>
          </w:tcPr>
          <w:p w14:paraId="67B68A9B"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ketamine</w:t>
            </w:r>
          </w:p>
        </w:tc>
        <w:tc>
          <w:tcPr>
            <w:tcW w:w="1300" w:type="dxa"/>
            <w:tcBorders>
              <w:top w:val="nil"/>
              <w:left w:val="nil"/>
              <w:bottom w:val="nil"/>
              <w:right w:val="nil"/>
            </w:tcBorders>
            <w:noWrap/>
            <w:hideMark/>
          </w:tcPr>
          <w:p w14:paraId="60F04CB3"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33</w:t>
            </w:r>
          </w:p>
        </w:tc>
      </w:tr>
      <w:tr w:rsidR="008C0AF9" w:rsidRPr="008C35E9" w14:paraId="1D1CC788" w14:textId="77777777" w:rsidTr="00197A0C">
        <w:trPr>
          <w:trHeight w:val="320"/>
        </w:trPr>
        <w:tc>
          <w:tcPr>
            <w:tcW w:w="3120" w:type="dxa"/>
            <w:tcBorders>
              <w:top w:val="nil"/>
              <w:left w:val="nil"/>
              <w:bottom w:val="nil"/>
              <w:right w:val="nil"/>
            </w:tcBorders>
            <w:noWrap/>
            <w:hideMark/>
          </w:tcPr>
          <w:p w14:paraId="178D9FCD"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Ibogaine</w:t>
            </w:r>
          </w:p>
        </w:tc>
        <w:tc>
          <w:tcPr>
            <w:tcW w:w="1300" w:type="dxa"/>
            <w:tcBorders>
              <w:top w:val="nil"/>
              <w:left w:val="nil"/>
              <w:bottom w:val="nil"/>
              <w:right w:val="nil"/>
            </w:tcBorders>
            <w:noWrap/>
            <w:hideMark/>
          </w:tcPr>
          <w:p w14:paraId="2F384787"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32</w:t>
            </w:r>
          </w:p>
        </w:tc>
      </w:tr>
      <w:tr w:rsidR="008C0AF9" w:rsidRPr="008C35E9" w14:paraId="660A591D" w14:textId="77777777" w:rsidTr="00197A0C">
        <w:trPr>
          <w:trHeight w:val="320"/>
        </w:trPr>
        <w:tc>
          <w:tcPr>
            <w:tcW w:w="3120" w:type="dxa"/>
            <w:tcBorders>
              <w:top w:val="nil"/>
              <w:left w:val="nil"/>
              <w:bottom w:val="nil"/>
              <w:right w:val="nil"/>
            </w:tcBorders>
            <w:noWrap/>
            <w:hideMark/>
          </w:tcPr>
          <w:p w14:paraId="741F7CCD"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MagicMushrooms</w:t>
            </w:r>
          </w:p>
        </w:tc>
        <w:tc>
          <w:tcPr>
            <w:tcW w:w="1300" w:type="dxa"/>
            <w:tcBorders>
              <w:top w:val="nil"/>
              <w:left w:val="nil"/>
              <w:bottom w:val="nil"/>
              <w:right w:val="nil"/>
            </w:tcBorders>
            <w:noWrap/>
            <w:hideMark/>
          </w:tcPr>
          <w:p w14:paraId="7703C0DA"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17</w:t>
            </w:r>
          </w:p>
        </w:tc>
      </w:tr>
      <w:tr w:rsidR="008C0AF9" w:rsidRPr="008C35E9" w14:paraId="0EE4FD03" w14:textId="77777777" w:rsidTr="00197A0C">
        <w:trPr>
          <w:trHeight w:val="320"/>
        </w:trPr>
        <w:tc>
          <w:tcPr>
            <w:tcW w:w="3120" w:type="dxa"/>
            <w:tcBorders>
              <w:top w:val="nil"/>
              <w:left w:val="nil"/>
              <w:bottom w:val="nil"/>
              <w:right w:val="nil"/>
            </w:tcBorders>
            <w:noWrap/>
            <w:hideMark/>
          </w:tcPr>
          <w:p w14:paraId="3609995C"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1P_LSD</w:t>
            </w:r>
          </w:p>
        </w:tc>
        <w:tc>
          <w:tcPr>
            <w:tcW w:w="1300" w:type="dxa"/>
            <w:tcBorders>
              <w:top w:val="nil"/>
              <w:left w:val="nil"/>
              <w:bottom w:val="nil"/>
              <w:right w:val="nil"/>
            </w:tcBorders>
            <w:noWrap/>
            <w:hideMark/>
          </w:tcPr>
          <w:p w14:paraId="294D2083"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7</w:t>
            </w:r>
          </w:p>
        </w:tc>
      </w:tr>
      <w:tr w:rsidR="008C0AF9" w:rsidRPr="008C35E9" w14:paraId="26B7826E" w14:textId="77777777" w:rsidTr="00197A0C">
        <w:trPr>
          <w:trHeight w:val="340"/>
        </w:trPr>
        <w:tc>
          <w:tcPr>
            <w:tcW w:w="3120" w:type="dxa"/>
            <w:tcBorders>
              <w:top w:val="nil"/>
              <w:left w:val="nil"/>
              <w:bottom w:val="double" w:sz="6" w:space="0" w:color="auto"/>
              <w:right w:val="nil"/>
            </w:tcBorders>
            <w:noWrap/>
            <w:hideMark/>
          </w:tcPr>
          <w:p w14:paraId="01CB1125" w14:textId="77777777" w:rsidR="008C0AF9" w:rsidRPr="008C35E9" w:rsidRDefault="008C0AF9" w:rsidP="00197A0C">
            <w:pPr>
              <w:rPr>
                <w:rFonts w:ascii="Times New Roman" w:hAnsi="Times New Roman" w:cs="Times New Roman"/>
                <w:color w:val="000000"/>
                <w:sz w:val="24"/>
                <w:szCs w:val="24"/>
              </w:rPr>
            </w:pPr>
            <w:r w:rsidRPr="008C35E9">
              <w:rPr>
                <w:rFonts w:ascii="Times New Roman" w:hAnsi="Times New Roman" w:cs="Times New Roman"/>
                <w:color w:val="000000"/>
                <w:sz w:val="24"/>
                <w:szCs w:val="24"/>
              </w:rPr>
              <w:t>iboga</w:t>
            </w:r>
          </w:p>
        </w:tc>
        <w:tc>
          <w:tcPr>
            <w:tcW w:w="1300" w:type="dxa"/>
            <w:tcBorders>
              <w:top w:val="nil"/>
              <w:left w:val="nil"/>
              <w:bottom w:val="double" w:sz="6" w:space="0" w:color="auto"/>
              <w:right w:val="nil"/>
            </w:tcBorders>
            <w:noWrap/>
            <w:hideMark/>
          </w:tcPr>
          <w:p w14:paraId="665D5CA1"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2</w:t>
            </w:r>
          </w:p>
        </w:tc>
      </w:tr>
      <w:tr w:rsidR="008C0AF9" w:rsidRPr="008C35E9" w14:paraId="3A2A53B6" w14:textId="77777777" w:rsidTr="00197A0C">
        <w:trPr>
          <w:trHeight w:val="340"/>
        </w:trPr>
        <w:tc>
          <w:tcPr>
            <w:tcW w:w="3120" w:type="dxa"/>
            <w:tcBorders>
              <w:top w:val="nil"/>
              <w:left w:val="nil"/>
              <w:bottom w:val="single" w:sz="4" w:space="0" w:color="auto"/>
              <w:right w:val="nil"/>
            </w:tcBorders>
            <w:noWrap/>
            <w:hideMark/>
          </w:tcPr>
          <w:p w14:paraId="69137CB1" w14:textId="77777777" w:rsidR="008C0AF9" w:rsidRPr="008C35E9" w:rsidRDefault="008C0AF9" w:rsidP="00197A0C">
            <w:pPr>
              <w:jc w:val="right"/>
              <w:rPr>
                <w:rFonts w:ascii="Times New Roman" w:hAnsi="Times New Roman" w:cs="Times New Roman"/>
                <w:i/>
                <w:iCs/>
                <w:color w:val="000000"/>
                <w:sz w:val="24"/>
                <w:szCs w:val="24"/>
              </w:rPr>
            </w:pPr>
            <w:r w:rsidRPr="008C35E9">
              <w:rPr>
                <w:rFonts w:ascii="Times New Roman" w:hAnsi="Times New Roman" w:cs="Times New Roman"/>
                <w:i/>
                <w:iCs/>
                <w:color w:val="000000"/>
                <w:sz w:val="24"/>
                <w:szCs w:val="24"/>
              </w:rPr>
              <w:t>Total</w:t>
            </w:r>
          </w:p>
        </w:tc>
        <w:tc>
          <w:tcPr>
            <w:tcW w:w="1300" w:type="dxa"/>
            <w:tcBorders>
              <w:top w:val="nil"/>
              <w:left w:val="nil"/>
              <w:bottom w:val="single" w:sz="4" w:space="0" w:color="auto"/>
              <w:right w:val="nil"/>
            </w:tcBorders>
            <w:noWrap/>
            <w:hideMark/>
          </w:tcPr>
          <w:p w14:paraId="2BA37E20" w14:textId="77777777" w:rsidR="008C0AF9" w:rsidRPr="008C35E9" w:rsidRDefault="008C0AF9" w:rsidP="00197A0C">
            <w:pPr>
              <w:jc w:val="right"/>
              <w:rPr>
                <w:rFonts w:ascii="Times New Roman" w:hAnsi="Times New Roman" w:cs="Times New Roman"/>
                <w:color w:val="000000"/>
                <w:sz w:val="24"/>
                <w:szCs w:val="24"/>
              </w:rPr>
            </w:pPr>
            <w:r w:rsidRPr="008C35E9">
              <w:rPr>
                <w:rFonts w:ascii="Times New Roman" w:hAnsi="Times New Roman" w:cs="Times New Roman"/>
                <w:color w:val="000000"/>
                <w:sz w:val="24"/>
                <w:szCs w:val="24"/>
              </w:rPr>
              <w:t>3393</w:t>
            </w:r>
          </w:p>
        </w:tc>
      </w:tr>
    </w:tbl>
    <w:p w14:paraId="04DA4EE7" w14:textId="77777777" w:rsidR="008C0AF9" w:rsidRDefault="008C0AF9" w:rsidP="008C0AF9">
      <w:pPr>
        <w:rPr>
          <w:rFonts w:ascii="Times New Roman" w:hAnsi="Times New Roman" w:cs="Times New Roman"/>
          <w:i/>
          <w:iCs/>
          <w:sz w:val="24"/>
          <w:szCs w:val="24"/>
        </w:rPr>
      </w:pPr>
      <w:r w:rsidRPr="008C35E9">
        <w:rPr>
          <w:rFonts w:ascii="Times New Roman" w:hAnsi="Times New Roman" w:cs="Times New Roman"/>
          <w:i/>
          <w:iCs/>
          <w:sz w:val="24"/>
          <w:szCs w:val="24"/>
        </w:rPr>
        <w:br w:type="page"/>
      </w:r>
    </w:p>
    <w:p w14:paraId="4611A8F8" w14:textId="77777777" w:rsidR="008C0AF9" w:rsidRPr="00F97599" w:rsidRDefault="008C0AF9" w:rsidP="008C0AF9">
      <w:pPr>
        <w:pStyle w:val="Caption"/>
        <w:rPr>
          <w:rFonts w:asciiTheme="majorBidi" w:hAnsiTheme="majorBidi" w:cstheme="majorBidi"/>
          <w:b/>
          <w:bCs/>
          <w:szCs w:val="24"/>
        </w:rPr>
      </w:pPr>
      <w:bookmarkStart w:id="51" w:name="_Toc203735342"/>
      <w:r w:rsidRPr="00BB563D">
        <w:rPr>
          <w:b/>
          <w:bCs/>
        </w:rPr>
        <w:lastRenderedPageBreak/>
        <w:t>Table 2.</w:t>
      </w:r>
      <w:r w:rsidRPr="00BB563D">
        <w:rPr>
          <w:b/>
          <w:bCs/>
        </w:rPr>
        <w:fldChar w:fldCharType="begin"/>
      </w:r>
      <w:r w:rsidRPr="00BB563D">
        <w:rPr>
          <w:b/>
          <w:bCs/>
        </w:rPr>
        <w:instrText xml:space="preserve"> SEQ Table \* ARABIC </w:instrText>
      </w:r>
      <w:r w:rsidRPr="00BB563D">
        <w:rPr>
          <w:b/>
          <w:bCs/>
        </w:rPr>
        <w:fldChar w:fldCharType="separate"/>
      </w:r>
      <w:r>
        <w:rPr>
          <w:b/>
          <w:bCs/>
          <w:noProof/>
        </w:rPr>
        <w:t>2</w:t>
      </w:r>
      <w:r w:rsidRPr="00BB563D">
        <w:rPr>
          <w:b/>
          <w:bCs/>
        </w:rPr>
        <w:fldChar w:fldCharType="end"/>
      </w:r>
      <w:r>
        <w:t xml:space="preserve"> </w:t>
      </w:r>
      <w:r w:rsidRPr="00BB563D">
        <w:rPr>
          <w:color w:val="FFFFFF" w:themeColor="background1"/>
        </w:rPr>
        <w:t>Descriptive Statistical Results (RQ1)</w:t>
      </w:r>
      <w:bookmarkEnd w:id="51"/>
    </w:p>
    <w:p w14:paraId="2E8BFCA6" w14:textId="77777777" w:rsidR="008C0AF9" w:rsidRPr="00A313E2" w:rsidRDefault="008C0AF9" w:rsidP="008C0AF9">
      <w:pPr>
        <w:rPr>
          <w:rFonts w:asciiTheme="majorBidi" w:hAnsiTheme="majorBidi" w:cstheme="majorBidi"/>
          <w:i/>
          <w:iCs/>
          <w:sz w:val="24"/>
          <w:szCs w:val="24"/>
        </w:rPr>
      </w:pPr>
      <w:r w:rsidRPr="00F97599">
        <w:rPr>
          <w:rFonts w:asciiTheme="majorBidi" w:hAnsiTheme="majorBidi" w:cstheme="majorBidi"/>
          <w:i/>
          <w:iCs/>
          <w:sz w:val="24"/>
          <w:szCs w:val="24"/>
        </w:rPr>
        <w:t>Descriptive Statistical Results (RQ1)</w:t>
      </w:r>
    </w:p>
    <w:tbl>
      <w:tblPr>
        <w:tblW w:w="9360" w:type="dxa"/>
        <w:tblLook w:val="04A0" w:firstRow="1" w:lastRow="0" w:firstColumn="1" w:lastColumn="0" w:noHBand="0" w:noVBand="1"/>
      </w:tblPr>
      <w:tblGrid>
        <w:gridCol w:w="1513"/>
        <w:gridCol w:w="1727"/>
        <w:gridCol w:w="814"/>
        <w:gridCol w:w="1653"/>
        <w:gridCol w:w="769"/>
        <w:gridCol w:w="1809"/>
        <w:gridCol w:w="1075"/>
      </w:tblGrid>
      <w:tr w:rsidR="008C0AF9" w:rsidRPr="00BB4EF3" w14:paraId="67BB345A" w14:textId="77777777" w:rsidTr="00197A0C">
        <w:trPr>
          <w:trHeight w:val="320"/>
        </w:trPr>
        <w:tc>
          <w:tcPr>
            <w:tcW w:w="1513" w:type="dxa"/>
            <w:tcBorders>
              <w:top w:val="single" w:sz="4" w:space="0" w:color="auto"/>
              <w:left w:val="nil"/>
              <w:bottom w:val="nil"/>
              <w:right w:val="nil"/>
            </w:tcBorders>
            <w:noWrap/>
            <w:vAlign w:val="bottom"/>
            <w:hideMark/>
          </w:tcPr>
          <w:p w14:paraId="4B683BE1" w14:textId="77777777" w:rsidR="008C0AF9" w:rsidRPr="00BB4EF3" w:rsidRDefault="008C0AF9" w:rsidP="00197A0C">
            <w:pPr>
              <w:jc w:val="center"/>
              <w:rPr>
                <w:rFonts w:asciiTheme="majorBidi" w:hAnsiTheme="majorBidi" w:cstheme="majorBidi"/>
                <w:color w:val="000000"/>
                <w:sz w:val="20"/>
                <w:szCs w:val="20"/>
              </w:rPr>
            </w:pPr>
            <w:r w:rsidRPr="00BB4EF3">
              <w:rPr>
                <w:rFonts w:asciiTheme="majorBidi" w:hAnsiTheme="majorBidi" w:cstheme="majorBidi"/>
                <w:color w:val="000000"/>
                <w:sz w:val="20"/>
                <w:szCs w:val="20"/>
              </w:rPr>
              <w:t> </w:t>
            </w:r>
          </w:p>
        </w:tc>
        <w:tc>
          <w:tcPr>
            <w:tcW w:w="1727" w:type="dxa"/>
            <w:tcBorders>
              <w:top w:val="single" w:sz="4" w:space="0" w:color="auto"/>
              <w:left w:val="nil"/>
              <w:bottom w:val="nil"/>
              <w:right w:val="nil"/>
            </w:tcBorders>
            <w:noWrap/>
            <w:vAlign w:val="bottom"/>
            <w:hideMark/>
          </w:tcPr>
          <w:p w14:paraId="78CDFCD4" w14:textId="77777777" w:rsidR="008C0AF9" w:rsidRPr="00BB4EF3" w:rsidRDefault="008C0AF9" w:rsidP="00197A0C">
            <w:pPr>
              <w:jc w:val="center"/>
              <w:rPr>
                <w:rFonts w:asciiTheme="majorBidi" w:hAnsiTheme="majorBidi" w:cstheme="majorBidi"/>
                <w:color w:val="000000"/>
                <w:sz w:val="20"/>
                <w:szCs w:val="20"/>
              </w:rPr>
            </w:pPr>
            <w:r w:rsidRPr="00BB4EF3">
              <w:rPr>
                <w:rFonts w:asciiTheme="majorBidi" w:hAnsiTheme="majorBidi" w:cstheme="majorBidi"/>
                <w:color w:val="000000"/>
                <w:sz w:val="20"/>
                <w:szCs w:val="20"/>
              </w:rPr>
              <w:t> </w:t>
            </w:r>
          </w:p>
        </w:tc>
        <w:tc>
          <w:tcPr>
            <w:tcW w:w="3236" w:type="dxa"/>
            <w:gridSpan w:val="3"/>
            <w:tcBorders>
              <w:top w:val="single" w:sz="4" w:space="0" w:color="auto"/>
              <w:left w:val="nil"/>
              <w:bottom w:val="nil"/>
              <w:right w:val="nil"/>
            </w:tcBorders>
            <w:noWrap/>
            <w:vAlign w:val="bottom"/>
            <w:hideMark/>
          </w:tcPr>
          <w:p w14:paraId="116945E8" w14:textId="77777777" w:rsidR="008C0AF9" w:rsidRPr="00BB4EF3" w:rsidRDefault="008C0AF9" w:rsidP="00197A0C">
            <w:pPr>
              <w:jc w:val="center"/>
              <w:rPr>
                <w:rFonts w:asciiTheme="majorBidi" w:hAnsiTheme="majorBidi" w:cstheme="majorBidi"/>
                <w:color w:val="000000"/>
                <w:sz w:val="20"/>
                <w:szCs w:val="20"/>
              </w:rPr>
            </w:pPr>
            <w:r w:rsidRPr="00BB4EF3">
              <w:rPr>
                <w:rFonts w:asciiTheme="majorBidi" w:hAnsiTheme="majorBidi" w:cstheme="majorBidi"/>
                <w:color w:val="000000"/>
                <w:sz w:val="20"/>
                <w:szCs w:val="20"/>
              </w:rPr>
              <w:t xml:space="preserve">Study </w:t>
            </w:r>
          </w:p>
        </w:tc>
        <w:tc>
          <w:tcPr>
            <w:tcW w:w="2884" w:type="dxa"/>
            <w:gridSpan w:val="2"/>
            <w:tcBorders>
              <w:top w:val="single" w:sz="4" w:space="0" w:color="auto"/>
              <w:left w:val="nil"/>
              <w:bottom w:val="nil"/>
              <w:right w:val="nil"/>
            </w:tcBorders>
            <w:noWrap/>
            <w:vAlign w:val="bottom"/>
            <w:hideMark/>
          </w:tcPr>
          <w:p w14:paraId="0EAB968C" w14:textId="77777777" w:rsidR="008C0AF9" w:rsidRPr="00BB4EF3" w:rsidRDefault="008C0AF9" w:rsidP="00197A0C">
            <w:pPr>
              <w:jc w:val="center"/>
              <w:rPr>
                <w:rFonts w:asciiTheme="majorBidi" w:hAnsiTheme="majorBidi" w:cstheme="majorBidi"/>
                <w:color w:val="000000"/>
                <w:sz w:val="20"/>
                <w:szCs w:val="20"/>
              </w:rPr>
            </w:pPr>
            <w:r w:rsidRPr="00BB4EF3">
              <w:rPr>
                <w:rFonts w:asciiTheme="majorBidi" w:hAnsiTheme="majorBidi" w:cstheme="majorBidi"/>
                <w:color w:val="000000"/>
                <w:sz w:val="20"/>
                <w:szCs w:val="20"/>
              </w:rPr>
              <w:t>Reference</w:t>
            </w:r>
          </w:p>
        </w:tc>
      </w:tr>
      <w:tr w:rsidR="008C0AF9" w:rsidRPr="00BB4EF3" w14:paraId="1AE442E1" w14:textId="77777777" w:rsidTr="00197A0C">
        <w:trPr>
          <w:trHeight w:val="320"/>
        </w:trPr>
        <w:tc>
          <w:tcPr>
            <w:tcW w:w="1513" w:type="dxa"/>
            <w:tcBorders>
              <w:top w:val="nil"/>
              <w:left w:val="nil"/>
              <w:bottom w:val="single" w:sz="4" w:space="0" w:color="auto"/>
              <w:right w:val="nil"/>
            </w:tcBorders>
            <w:noWrap/>
            <w:vAlign w:val="bottom"/>
            <w:hideMark/>
          </w:tcPr>
          <w:p w14:paraId="13D44314" w14:textId="77777777" w:rsidR="008C0AF9" w:rsidRPr="00BB4EF3" w:rsidRDefault="008C0AF9" w:rsidP="00197A0C">
            <w:pPr>
              <w:jc w:val="center"/>
              <w:rPr>
                <w:rFonts w:asciiTheme="majorBidi" w:hAnsiTheme="majorBidi" w:cstheme="majorBidi"/>
                <w:color w:val="000000"/>
                <w:sz w:val="20"/>
                <w:szCs w:val="20"/>
              </w:rPr>
            </w:pPr>
            <w:r w:rsidRPr="00BB4EF3">
              <w:rPr>
                <w:rFonts w:asciiTheme="majorBidi" w:hAnsiTheme="majorBidi" w:cstheme="majorBidi"/>
                <w:color w:val="000000"/>
                <w:sz w:val="20"/>
                <w:szCs w:val="20"/>
              </w:rPr>
              <w:t>Category</w:t>
            </w:r>
          </w:p>
        </w:tc>
        <w:tc>
          <w:tcPr>
            <w:tcW w:w="1727" w:type="dxa"/>
            <w:tcBorders>
              <w:top w:val="nil"/>
              <w:left w:val="nil"/>
              <w:bottom w:val="single" w:sz="4" w:space="0" w:color="auto"/>
              <w:right w:val="nil"/>
            </w:tcBorders>
            <w:noWrap/>
            <w:vAlign w:val="bottom"/>
            <w:hideMark/>
          </w:tcPr>
          <w:p w14:paraId="511E1CB3" w14:textId="77777777" w:rsidR="008C0AF9" w:rsidRPr="00BB4EF3" w:rsidRDefault="008C0AF9" w:rsidP="00197A0C">
            <w:pPr>
              <w:jc w:val="center"/>
              <w:rPr>
                <w:rFonts w:asciiTheme="majorBidi" w:hAnsiTheme="majorBidi" w:cstheme="majorBidi"/>
                <w:color w:val="000000"/>
                <w:sz w:val="20"/>
                <w:szCs w:val="20"/>
              </w:rPr>
            </w:pPr>
            <w:r w:rsidRPr="00BB4EF3">
              <w:rPr>
                <w:rFonts w:asciiTheme="majorBidi" w:hAnsiTheme="majorBidi" w:cstheme="majorBidi"/>
                <w:color w:val="000000"/>
                <w:sz w:val="20"/>
                <w:szCs w:val="20"/>
              </w:rPr>
              <w:t>Variable</w:t>
            </w:r>
          </w:p>
        </w:tc>
        <w:tc>
          <w:tcPr>
            <w:tcW w:w="814" w:type="dxa"/>
            <w:tcBorders>
              <w:top w:val="nil"/>
              <w:left w:val="nil"/>
              <w:bottom w:val="single" w:sz="4" w:space="0" w:color="auto"/>
              <w:right w:val="nil"/>
            </w:tcBorders>
            <w:noWrap/>
            <w:vAlign w:val="bottom"/>
            <w:hideMark/>
          </w:tcPr>
          <w:p w14:paraId="0B3FCEFB" w14:textId="77777777" w:rsidR="008C0AF9" w:rsidRPr="00BB4EF3" w:rsidRDefault="008C0AF9" w:rsidP="00197A0C">
            <w:pPr>
              <w:jc w:val="center"/>
              <w:rPr>
                <w:rFonts w:asciiTheme="majorBidi" w:hAnsiTheme="majorBidi" w:cstheme="majorBidi"/>
                <w:i/>
                <w:iCs/>
                <w:color w:val="000000"/>
                <w:sz w:val="20"/>
                <w:szCs w:val="20"/>
              </w:rPr>
            </w:pPr>
            <w:r w:rsidRPr="00BB4EF3">
              <w:rPr>
                <w:rFonts w:asciiTheme="majorBidi" w:hAnsiTheme="majorBidi" w:cstheme="majorBidi"/>
                <w:i/>
                <w:iCs/>
                <w:color w:val="000000"/>
                <w:sz w:val="20"/>
                <w:szCs w:val="20"/>
              </w:rPr>
              <w:t>M</w:t>
            </w:r>
          </w:p>
        </w:tc>
        <w:tc>
          <w:tcPr>
            <w:tcW w:w="1653" w:type="dxa"/>
            <w:tcBorders>
              <w:top w:val="nil"/>
              <w:left w:val="nil"/>
              <w:bottom w:val="single" w:sz="4" w:space="0" w:color="auto"/>
              <w:right w:val="nil"/>
            </w:tcBorders>
            <w:noWrap/>
            <w:vAlign w:val="bottom"/>
            <w:hideMark/>
          </w:tcPr>
          <w:p w14:paraId="29F41F65" w14:textId="77777777" w:rsidR="008C0AF9" w:rsidRPr="00BB4EF3" w:rsidRDefault="008C0AF9" w:rsidP="00197A0C">
            <w:pPr>
              <w:jc w:val="center"/>
              <w:rPr>
                <w:rFonts w:asciiTheme="majorBidi" w:hAnsiTheme="majorBidi" w:cstheme="majorBidi"/>
                <w:i/>
                <w:iCs/>
                <w:color w:val="000000"/>
                <w:sz w:val="20"/>
                <w:szCs w:val="20"/>
              </w:rPr>
            </w:pPr>
            <w:r w:rsidRPr="00BB4EF3">
              <w:rPr>
                <w:rFonts w:asciiTheme="majorBidi" w:hAnsiTheme="majorBidi" w:cstheme="majorBidi"/>
                <w:i/>
                <w:iCs/>
                <w:color w:val="000000"/>
                <w:sz w:val="20"/>
                <w:szCs w:val="20"/>
              </w:rPr>
              <w:t>SD</w:t>
            </w:r>
          </w:p>
        </w:tc>
        <w:tc>
          <w:tcPr>
            <w:tcW w:w="769" w:type="dxa"/>
            <w:tcBorders>
              <w:top w:val="nil"/>
              <w:left w:val="nil"/>
              <w:bottom w:val="single" w:sz="4" w:space="0" w:color="auto"/>
              <w:right w:val="nil"/>
            </w:tcBorders>
            <w:noWrap/>
            <w:vAlign w:val="bottom"/>
            <w:hideMark/>
          </w:tcPr>
          <w:p w14:paraId="15651F9D" w14:textId="77777777" w:rsidR="008C0AF9" w:rsidRPr="00BB4EF3" w:rsidRDefault="008C0AF9" w:rsidP="00197A0C">
            <w:pPr>
              <w:jc w:val="center"/>
              <w:rPr>
                <w:rFonts w:asciiTheme="majorBidi" w:hAnsiTheme="majorBidi" w:cstheme="majorBidi"/>
                <w:i/>
                <w:iCs/>
                <w:color w:val="000000"/>
                <w:sz w:val="20"/>
                <w:szCs w:val="20"/>
              </w:rPr>
            </w:pPr>
            <w:r w:rsidRPr="00BB4EF3">
              <w:rPr>
                <w:rFonts w:asciiTheme="majorBidi" w:hAnsiTheme="majorBidi" w:cstheme="majorBidi"/>
                <w:i/>
                <w:iCs/>
                <w:color w:val="000000"/>
                <w:sz w:val="20"/>
                <w:szCs w:val="20"/>
              </w:rPr>
              <w:t>Skew.</w:t>
            </w:r>
          </w:p>
        </w:tc>
        <w:tc>
          <w:tcPr>
            <w:tcW w:w="1809" w:type="dxa"/>
            <w:tcBorders>
              <w:top w:val="nil"/>
              <w:left w:val="nil"/>
              <w:bottom w:val="single" w:sz="4" w:space="0" w:color="auto"/>
              <w:right w:val="nil"/>
            </w:tcBorders>
            <w:noWrap/>
            <w:vAlign w:val="bottom"/>
            <w:hideMark/>
          </w:tcPr>
          <w:p w14:paraId="637A8D2B" w14:textId="77777777" w:rsidR="008C0AF9" w:rsidRPr="00BB4EF3" w:rsidRDefault="008C0AF9" w:rsidP="00197A0C">
            <w:pPr>
              <w:jc w:val="center"/>
              <w:rPr>
                <w:rFonts w:asciiTheme="majorBidi" w:hAnsiTheme="majorBidi" w:cstheme="majorBidi"/>
                <w:i/>
                <w:iCs/>
                <w:color w:val="000000"/>
                <w:sz w:val="20"/>
                <w:szCs w:val="20"/>
              </w:rPr>
            </w:pPr>
            <w:r w:rsidRPr="00BB4EF3">
              <w:rPr>
                <w:rFonts w:asciiTheme="majorBidi" w:hAnsiTheme="majorBidi" w:cstheme="majorBidi"/>
                <w:i/>
                <w:iCs/>
                <w:color w:val="000000"/>
                <w:sz w:val="20"/>
                <w:szCs w:val="20"/>
              </w:rPr>
              <w:t>M</w:t>
            </w:r>
          </w:p>
        </w:tc>
        <w:tc>
          <w:tcPr>
            <w:tcW w:w="1075" w:type="dxa"/>
            <w:tcBorders>
              <w:top w:val="nil"/>
              <w:left w:val="nil"/>
              <w:bottom w:val="single" w:sz="4" w:space="0" w:color="auto"/>
              <w:right w:val="nil"/>
            </w:tcBorders>
            <w:noWrap/>
            <w:vAlign w:val="bottom"/>
            <w:hideMark/>
          </w:tcPr>
          <w:p w14:paraId="6F86A13B" w14:textId="77777777" w:rsidR="008C0AF9" w:rsidRPr="00BB4EF3" w:rsidRDefault="008C0AF9" w:rsidP="00197A0C">
            <w:pPr>
              <w:jc w:val="center"/>
              <w:rPr>
                <w:rFonts w:asciiTheme="majorBidi" w:hAnsiTheme="majorBidi" w:cstheme="majorBidi"/>
                <w:i/>
                <w:iCs/>
                <w:color w:val="000000"/>
                <w:sz w:val="20"/>
                <w:szCs w:val="20"/>
              </w:rPr>
            </w:pPr>
            <w:r w:rsidRPr="00BB4EF3">
              <w:rPr>
                <w:rFonts w:asciiTheme="majorBidi" w:hAnsiTheme="majorBidi" w:cstheme="majorBidi"/>
                <w:i/>
                <w:iCs/>
                <w:color w:val="000000"/>
                <w:sz w:val="20"/>
                <w:szCs w:val="20"/>
              </w:rPr>
              <w:t>SD</w:t>
            </w:r>
          </w:p>
        </w:tc>
      </w:tr>
      <w:tr w:rsidR="008C0AF9" w:rsidRPr="00BB4EF3" w14:paraId="30D722B3" w14:textId="77777777" w:rsidTr="00197A0C">
        <w:trPr>
          <w:trHeight w:val="320"/>
        </w:trPr>
        <w:tc>
          <w:tcPr>
            <w:tcW w:w="1513" w:type="dxa"/>
            <w:tcBorders>
              <w:top w:val="nil"/>
              <w:left w:val="nil"/>
              <w:bottom w:val="nil"/>
              <w:right w:val="nil"/>
            </w:tcBorders>
            <w:noWrap/>
            <w:vAlign w:val="bottom"/>
            <w:hideMark/>
          </w:tcPr>
          <w:p w14:paraId="41E681B0"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Broad</w:t>
            </w:r>
          </w:p>
        </w:tc>
        <w:tc>
          <w:tcPr>
            <w:tcW w:w="1727" w:type="dxa"/>
            <w:tcBorders>
              <w:top w:val="nil"/>
              <w:left w:val="nil"/>
              <w:bottom w:val="nil"/>
              <w:right w:val="nil"/>
            </w:tcBorders>
            <w:noWrap/>
            <w:vAlign w:val="bottom"/>
            <w:hideMark/>
          </w:tcPr>
          <w:p w14:paraId="430A0F82"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Analytic</w:t>
            </w:r>
          </w:p>
        </w:tc>
        <w:tc>
          <w:tcPr>
            <w:tcW w:w="814" w:type="dxa"/>
            <w:tcBorders>
              <w:top w:val="nil"/>
              <w:left w:val="nil"/>
              <w:bottom w:val="nil"/>
              <w:right w:val="nil"/>
            </w:tcBorders>
            <w:noWrap/>
            <w:vAlign w:val="bottom"/>
            <w:hideMark/>
          </w:tcPr>
          <w:p w14:paraId="7401CE82"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2</w:t>
            </w:r>
            <w:r>
              <w:rPr>
                <w:rFonts w:asciiTheme="majorBidi" w:hAnsiTheme="majorBidi" w:cstheme="majorBidi"/>
                <w:color w:val="000000"/>
                <w:sz w:val="20"/>
                <w:szCs w:val="20"/>
              </w:rPr>
              <w:t>9.73</w:t>
            </w:r>
          </w:p>
        </w:tc>
        <w:tc>
          <w:tcPr>
            <w:tcW w:w="1653" w:type="dxa"/>
            <w:tcBorders>
              <w:top w:val="nil"/>
              <w:left w:val="nil"/>
              <w:bottom w:val="nil"/>
              <w:right w:val="nil"/>
            </w:tcBorders>
            <w:noWrap/>
            <w:vAlign w:val="bottom"/>
            <w:hideMark/>
          </w:tcPr>
          <w:p w14:paraId="045C3ABB"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8.34</w:t>
            </w:r>
          </w:p>
        </w:tc>
        <w:tc>
          <w:tcPr>
            <w:tcW w:w="769" w:type="dxa"/>
            <w:tcBorders>
              <w:top w:val="nil"/>
              <w:left w:val="nil"/>
              <w:bottom w:val="nil"/>
              <w:right w:val="nil"/>
            </w:tcBorders>
            <w:noWrap/>
            <w:vAlign w:val="bottom"/>
            <w:hideMark/>
          </w:tcPr>
          <w:p w14:paraId="6145C1D1"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1.05</w:t>
            </w:r>
          </w:p>
        </w:tc>
        <w:tc>
          <w:tcPr>
            <w:tcW w:w="1809" w:type="dxa"/>
            <w:tcBorders>
              <w:top w:val="nil"/>
              <w:left w:val="nil"/>
              <w:bottom w:val="nil"/>
              <w:right w:val="nil"/>
            </w:tcBorders>
            <w:noWrap/>
            <w:vAlign w:val="bottom"/>
            <w:hideMark/>
          </w:tcPr>
          <w:p w14:paraId="4C295D5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35.21</w:t>
            </w:r>
          </w:p>
        </w:tc>
        <w:tc>
          <w:tcPr>
            <w:tcW w:w="1075" w:type="dxa"/>
            <w:tcBorders>
              <w:top w:val="nil"/>
              <w:left w:val="nil"/>
              <w:bottom w:val="nil"/>
              <w:right w:val="nil"/>
            </w:tcBorders>
            <w:noWrap/>
            <w:vAlign w:val="bottom"/>
            <w:hideMark/>
          </w:tcPr>
          <w:p w14:paraId="69EFD54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16.03</w:t>
            </w:r>
          </w:p>
        </w:tc>
      </w:tr>
      <w:tr w:rsidR="008C0AF9" w:rsidRPr="00BB4EF3" w14:paraId="362CCBEB" w14:textId="77777777" w:rsidTr="00197A0C">
        <w:trPr>
          <w:trHeight w:val="320"/>
        </w:trPr>
        <w:tc>
          <w:tcPr>
            <w:tcW w:w="1513" w:type="dxa"/>
            <w:tcBorders>
              <w:top w:val="nil"/>
              <w:left w:val="nil"/>
              <w:bottom w:val="nil"/>
              <w:right w:val="nil"/>
            </w:tcBorders>
            <w:noWrap/>
            <w:vAlign w:val="bottom"/>
            <w:hideMark/>
          </w:tcPr>
          <w:p w14:paraId="485AEF30"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Broad</w:t>
            </w:r>
          </w:p>
        </w:tc>
        <w:tc>
          <w:tcPr>
            <w:tcW w:w="1727" w:type="dxa"/>
            <w:tcBorders>
              <w:top w:val="nil"/>
              <w:left w:val="nil"/>
              <w:bottom w:val="nil"/>
              <w:right w:val="nil"/>
            </w:tcBorders>
            <w:noWrap/>
            <w:vAlign w:val="bottom"/>
            <w:hideMark/>
          </w:tcPr>
          <w:p w14:paraId="6396ED2F"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Authentic</w:t>
            </w:r>
          </w:p>
        </w:tc>
        <w:tc>
          <w:tcPr>
            <w:tcW w:w="814" w:type="dxa"/>
            <w:tcBorders>
              <w:top w:val="nil"/>
              <w:left w:val="nil"/>
              <w:bottom w:val="nil"/>
              <w:right w:val="nil"/>
            </w:tcBorders>
            <w:noWrap/>
            <w:vAlign w:val="bottom"/>
            <w:hideMark/>
          </w:tcPr>
          <w:p w14:paraId="301621BB"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72.07</w:t>
            </w:r>
          </w:p>
        </w:tc>
        <w:tc>
          <w:tcPr>
            <w:tcW w:w="1653" w:type="dxa"/>
            <w:tcBorders>
              <w:top w:val="nil"/>
              <w:left w:val="nil"/>
              <w:bottom w:val="nil"/>
              <w:right w:val="nil"/>
            </w:tcBorders>
            <w:noWrap/>
            <w:vAlign w:val="bottom"/>
            <w:hideMark/>
          </w:tcPr>
          <w:p w14:paraId="5C18CDDC"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12.96</w:t>
            </w:r>
          </w:p>
        </w:tc>
        <w:tc>
          <w:tcPr>
            <w:tcW w:w="769" w:type="dxa"/>
            <w:tcBorders>
              <w:top w:val="nil"/>
              <w:left w:val="nil"/>
              <w:bottom w:val="nil"/>
              <w:right w:val="nil"/>
            </w:tcBorders>
            <w:noWrap/>
            <w:vAlign w:val="bottom"/>
            <w:hideMark/>
          </w:tcPr>
          <w:p w14:paraId="3E9E6356"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-0.29</w:t>
            </w:r>
          </w:p>
        </w:tc>
        <w:tc>
          <w:tcPr>
            <w:tcW w:w="1809" w:type="dxa"/>
            <w:tcBorders>
              <w:top w:val="nil"/>
              <w:left w:val="nil"/>
              <w:bottom w:val="nil"/>
              <w:right w:val="nil"/>
            </w:tcBorders>
            <w:noWrap/>
            <w:vAlign w:val="bottom"/>
            <w:hideMark/>
          </w:tcPr>
          <w:p w14:paraId="5D55C21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61.74</w:t>
            </w:r>
          </w:p>
        </w:tc>
        <w:tc>
          <w:tcPr>
            <w:tcW w:w="1075" w:type="dxa"/>
            <w:tcBorders>
              <w:top w:val="nil"/>
              <w:left w:val="nil"/>
              <w:bottom w:val="nil"/>
              <w:right w:val="nil"/>
            </w:tcBorders>
            <w:noWrap/>
            <w:vAlign w:val="bottom"/>
            <w:hideMark/>
          </w:tcPr>
          <w:p w14:paraId="3E03E31E"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20.09</w:t>
            </w:r>
          </w:p>
        </w:tc>
      </w:tr>
      <w:tr w:rsidR="008C0AF9" w:rsidRPr="00BB4EF3" w14:paraId="2180A06A" w14:textId="77777777" w:rsidTr="00197A0C">
        <w:trPr>
          <w:trHeight w:val="320"/>
        </w:trPr>
        <w:tc>
          <w:tcPr>
            <w:tcW w:w="1513" w:type="dxa"/>
            <w:tcBorders>
              <w:top w:val="nil"/>
              <w:left w:val="nil"/>
              <w:bottom w:val="nil"/>
              <w:right w:val="nil"/>
            </w:tcBorders>
            <w:noWrap/>
            <w:vAlign w:val="bottom"/>
            <w:hideMark/>
          </w:tcPr>
          <w:p w14:paraId="6F97BDED"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Broad</w:t>
            </w:r>
          </w:p>
        </w:tc>
        <w:tc>
          <w:tcPr>
            <w:tcW w:w="1727" w:type="dxa"/>
            <w:tcBorders>
              <w:top w:val="nil"/>
              <w:left w:val="nil"/>
              <w:bottom w:val="nil"/>
              <w:right w:val="nil"/>
            </w:tcBorders>
            <w:noWrap/>
            <w:vAlign w:val="bottom"/>
            <w:hideMark/>
          </w:tcPr>
          <w:p w14:paraId="2B5E18D9"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Clout</w:t>
            </w:r>
          </w:p>
        </w:tc>
        <w:tc>
          <w:tcPr>
            <w:tcW w:w="814" w:type="dxa"/>
            <w:tcBorders>
              <w:top w:val="nil"/>
              <w:left w:val="nil"/>
              <w:bottom w:val="nil"/>
              <w:right w:val="nil"/>
            </w:tcBorders>
            <w:noWrap/>
            <w:vAlign w:val="bottom"/>
            <w:hideMark/>
          </w:tcPr>
          <w:p w14:paraId="53EBF819"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38.89</w:t>
            </w:r>
          </w:p>
        </w:tc>
        <w:tc>
          <w:tcPr>
            <w:tcW w:w="1653" w:type="dxa"/>
            <w:tcBorders>
              <w:top w:val="nil"/>
              <w:left w:val="nil"/>
              <w:bottom w:val="nil"/>
              <w:right w:val="nil"/>
            </w:tcBorders>
            <w:noWrap/>
            <w:vAlign w:val="bottom"/>
            <w:hideMark/>
          </w:tcPr>
          <w:p w14:paraId="1E99CAEC"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17.23</w:t>
            </w:r>
          </w:p>
        </w:tc>
        <w:tc>
          <w:tcPr>
            <w:tcW w:w="769" w:type="dxa"/>
            <w:tcBorders>
              <w:top w:val="nil"/>
              <w:left w:val="nil"/>
              <w:bottom w:val="nil"/>
              <w:right w:val="nil"/>
            </w:tcBorders>
            <w:noWrap/>
            <w:vAlign w:val="bottom"/>
            <w:hideMark/>
          </w:tcPr>
          <w:p w14:paraId="0D0A9289"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23</w:t>
            </w:r>
          </w:p>
        </w:tc>
        <w:tc>
          <w:tcPr>
            <w:tcW w:w="1809" w:type="dxa"/>
            <w:tcBorders>
              <w:top w:val="nil"/>
              <w:left w:val="nil"/>
              <w:bottom w:val="nil"/>
              <w:right w:val="nil"/>
            </w:tcBorders>
            <w:noWrap/>
            <w:vAlign w:val="bottom"/>
            <w:hideMark/>
          </w:tcPr>
          <w:p w14:paraId="69A43A3B"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31.39</w:t>
            </w:r>
          </w:p>
        </w:tc>
        <w:tc>
          <w:tcPr>
            <w:tcW w:w="1075" w:type="dxa"/>
            <w:tcBorders>
              <w:top w:val="nil"/>
              <w:left w:val="nil"/>
              <w:bottom w:val="nil"/>
              <w:right w:val="nil"/>
            </w:tcBorders>
            <w:noWrap/>
            <w:vAlign w:val="bottom"/>
            <w:hideMark/>
          </w:tcPr>
          <w:p w14:paraId="5C5AC691"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19.14</w:t>
            </w:r>
          </w:p>
        </w:tc>
      </w:tr>
      <w:tr w:rsidR="008C0AF9" w:rsidRPr="00BB4EF3" w14:paraId="30F0CCAA" w14:textId="77777777" w:rsidTr="00197A0C">
        <w:trPr>
          <w:trHeight w:val="320"/>
        </w:trPr>
        <w:tc>
          <w:tcPr>
            <w:tcW w:w="1513" w:type="dxa"/>
            <w:tcBorders>
              <w:top w:val="nil"/>
              <w:left w:val="nil"/>
              <w:bottom w:val="nil"/>
              <w:right w:val="nil"/>
            </w:tcBorders>
            <w:noWrap/>
            <w:vAlign w:val="bottom"/>
            <w:hideMark/>
          </w:tcPr>
          <w:p w14:paraId="5E96C006"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Broad</w:t>
            </w:r>
          </w:p>
        </w:tc>
        <w:tc>
          <w:tcPr>
            <w:tcW w:w="1727" w:type="dxa"/>
            <w:tcBorders>
              <w:top w:val="nil"/>
              <w:left w:val="nil"/>
              <w:bottom w:val="nil"/>
              <w:right w:val="nil"/>
            </w:tcBorders>
            <w:noWrap/>
            <w:vAlign w:val="bottom"/>
            <w:hideMark/>
          </w:tcPr>
          <w:p w14:paraId="585184E3"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Tone</w:t>
            </w:r>
          </w:p>
        </w:tc>
        <w:tc>
          <w:tcPr>
            <w:tcW w:w="814" w:type="dxa"/>
            <w:tcBorders>
              <w:top w:val="nil"/>
              <w:left w:val="nil"/>
              <w:bottom w:val="nil"/>
              <w:right w:val="nil"/>
            </w:tcBorders>
            <w:noWrap/>
            <w:vAlign w:val="bottom"/>
            <w:hideMark/>
          </w:tcPr>
          <w:p w14:paraId="4A63E915"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42.45</w:t>
            </w:r>
          </w:p>
        </w:tc>
        <w:tc>
          <w:tcPr>
            <w:tcW w:w="1653" w:type="dxa"/>
            <w:tcBorders>
              <w:top w:val="nil"/>
              <w:left w:val="nil"/>
              <w:bottom w:val="nil"/>
              <w:right w:val="nil"/>
            </w:tcBorders>
            <w:noWrap/>
            <w:vAlign w:val="bottom"/>
            <w:hideMark/>
          </w:tcPr>
          <w:p w14:paraId="75F1A4B1"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16.22</w:t>
            </w:r>
          </w:p>
        </w:tc>
        <w:tc>
          <w:tcPr>
            <w:tcW w:w="769" w:type="dxa"/>
            <w:tcBorders>
              <w:top w:val="nil"/>
              <w:left w:val="nil"/>
              <w:bottom w:val="nil"/>
              <w:right w:val="nil"/>
            </w:tcBorders>
            <w:noWrap/>
            <w:vAlign w:val="bottom"/>
            <w:hideMark/>
          </w:tcPr>
          <w:p w14:paraId="524800E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48</w:t>
            </w:r>
          </w:p>
        </w:tc>
        <w:tc>
          <w:tcPr>
            <w:tcW w:w="1809" w:type="dxa"/>
            <w:tcBorders>
              <w:top w:val="nil"/>
              <w:left w:val="nil"/>
              <w:bottom w:val="nil"/>
              <w:right w:val="nil"/>
            </w:tcBorders>
            <w:noWrap/>
            <w:vAlign w:val="bottom"/>
            <w:hideMark/>
          </w:tcPr>
          <w:p w14:paraId="2F5684D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33.53</w:t>
            </w:r>
          </w:p>
        </w:tc>
        <w:tc>
          <w:tcPr>
            <w:tcW w:w="1075" w:type="dxa"/>
            <w:tcBorders>
              <w:top w:val="nil"/>
              <w:left w:val="nil"/>
              <w:bottom w:val="nil"/>
              <w:right w:val="nil"/>
            </w:tcBorders>
            <w:noWrap/>
            <w:vAlign w:val="bottom"/>
            <w:hideMark/>
          </w:tcPr>
          <w:p w14:paraId="2533026D"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19.07</w:t>
            </w:r>
          </w:p>
        </w:tc>
      </w:tr>
      <w:tr w:rsidR="008C0AF9" w:rsidRPr="00BB4EF3" w14:paraId="03A83548" w14:textId="77777777" w:rsidTr="00197A0C">
        <w:trPr>
          <w:trHeight w:val="320"/>
        </w:trPr>
        <w:tc>
          <w:tcPr>
            <w:tcW w:w="1513" w:type="dxa"/>
            <w:tcBorders>
              <w:top w:val="nil"/>
              <w:left w:val="nil"/>
              <w:bottom w:val="nil"/>
              <w:right w:val="nil"/>
            </w:tcBorders>
            <w:noWrap/>
            <w:vAlign w:val="bottom"/>
            <w:hideMark/>
          </w:tcPr>
          <w:p w14:paraId="20E87106"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Linguistic</w:t>
            </w:r>
          </w:p>
        </w:tc>
        <w:tc>
          <w:tcPr>
            <w:tcW w:w="1727" w:type="dxa"/>
            <w:tcBorders>
              <w:top w:val="nil"/>
              <w:left w:val="nil"/>
              <w:bottom w:val="nil"/>
              <w:right w:val="nil"/>
            </w:tcBorders>
            <w:noWrap/>
            <w:vAlign w:val="bottom"/>
            <w:hideMark/>
          </w:tcPr>
          <w:p w14:paraId="1044AFCD"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i</w:t>
            </w:r>
          </w:p>
        </w:tc>
        <w:tc>
          <w:tcPr>
            <w:tcW w:w="814" w:type="dxa"/>
            <w:tcBorders>
              <w:top w:val="nil"/>
              <w:left w:val="nil"/>
              <w:bottom w:val="nil"/>
              <w:right w:val="nil"/>
            </w:tcBorders>
            <w:noWrap/>
            <w:vAlign w:val="bottom"/>
            <w:hideMark/>
          </w:tcPr>
          <w:p w14:paraId="3618FCED"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5.</w:t>
            </w:r>
            <w:r>
              <w:rPr>
                <w:rFonts w:asciiTheme="majorBidi" w:hAnsiTheme="majorBidi" w:cstheme="majorBidi"/>
                <w:color w:val="000000"/>
                <w:sz w:val="20"/>
                <w:szCs w:val="20"/>
              </w:rPr>
              <w:t>21</w:t>
            </w:r>
          </w:p>
        </w:tc>
        <w:tc>
          <w:tcPr>
            <w:tcW w:w="1653" w:type="dxa"/>
            <w:tcBorders>
              <w:top w:val="nil"/>
              <w:left w:val="nil"/>
              <w:bottom w:val="nil"/>
              <w:right w:val="nil"/>
            </w:tcBorders>
            <w:noWrap/>
            <w:vAlign w:val="bottom"/>
            <w:hideMark/>
          </w:tcPr>
          <w:p w14:paraId="77ABE570"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1.50</w:t>
            </w:r>
          </w:p>
        </w:tc>
        <w:tc>
          <w:tcPr>
            <w:tcW w:w="769" w:type="dxa"/>
            <w:tcBorders>
              <w:top w:val="nil"/>
              <w:left w:val="nil"/>
              <w:bottom w:val="nil"/>
              <w:right w:val="nil"/>
            </w:tcBorders>
            <w:noWrap/>
            <w:vAlign w:val="bottom"/>
            <w:hideMark/>
          </w:tcPr>
          <w:p w14:paraId="188DF59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12</w:t>
            </w:r>
          </w:p>
        </w:tc>
        <w:tc>
          <w:tcPr>
            <w:tcW w:w="1809" w:type="dxa"/>
            <w:tcBorders>
              <w:top w:val="nil"/>
              <w:left w:val="nil"/>
              <w:bottom w:val="nil"/>
              <w:right w:val="nil"/>
            </w:tcBorders>
            <w:noWrap/>
            <w:vAlign w:val="bottom"/>
            <w:hideMark/>
          </w:tcPr>
          <w:p w14:paraId="19149906"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5.24</w:t>
            </w:r>
          </w:p>
        </w:tc>
        <w:tc>
          <w:tcPr>
            <w:tcW w:w="1075" w:type="dxa"/>
            <w:tcBorders>
              <w:top w:val="nil"/>
              <w:left w:val="nil"/>
              <w:bottom w:val="nil"/>
              <w:right w:val="nil"/>
            </w:tcBorders>
            <w:noWrap/>
            <w:vAlign w:val="bottom"/>
            <w:hideMark/>
          </w:tcPr>
          <w:p w14:paraId="463F40DD"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2.15</w:t>
            </w:r>
          </w:p>
        </w:tc>
      </w:tr>
      <w:tr w:rsidR="008C0AF9" w:rsidRPr="00BB4EF3" w14:paraId="6F86F43B" w14:textId="77777777" w:rsidTr="00197A0C">
        <w:trPr>
          <w:trHeight w:val="320"/>
        </w:trPr>
        <w:tc>
          <w:tcPr>
            <w:tcW w:w="1513" w:type="dxa"/>
            <w:tcBorders>
              <w:top w:val="nil"/>
              <w:left w:val="nil"/>
              <w:bottom w:val="nil"/>
              <w:right w:val="nil"/>
            </w:tcBorders>
            <w:noWrap/>
            <w:vAlign w:val="bottom"/>
            <w:hideMark/>
          </w:tcPr>
          <w:p w14:paraId="6710BA36"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Linguistic</w:t>
            </w:r>
          </w:p>
        </w:tc>
        <w:tc>
          <w:tcPr>
            <w:tcW w:w="1727" w:type="dxa"/>
            <w:tcBorders>
              <w:top w:val="nil"/>
              <w:left w:val="nil"/>
              <w:bottom w:val="nil"/>
              <w:right w:val="nil"/>
            </w:tcBorders>
            <w:noWrap/>
            <w:vAlign w:val="bottom"/>
            <w:hideMark/>
          </w:tcPr>
          <w:p w14:paraId="07C48628"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we</w:t>
            </w:r>
          </w:p>
        </w:tc>
        <w:tc>
          <w:tcPr>
            <w:tcW w:w="814" w:type="dxa"/>
            <w:tcBorders>
              <w:top w:val="nil"/>
              <w:left w:val="nil"/>
              <w:bottom w:val="nil"/>
              <w:right w:val="nil"/>
            </w:tcBorders>
            <w:noWrap/>
            <w:vAlign w:val="bottom"/>
            <w:hideMark/>
          </w:tcPr>
          <w:p w14:paraId="195B6C86"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41</w:t>
            </w:r>
          </w:p>
        </w:tc>
        <w:tc>
          <w:tcPr>
            <w:tcW w:w="1653" w:type="dxa"/>
            <w:tcBorders>
              <w:top w:val="nil"/>
              <w:left w:val="nil"/>
              <w:bottom w:val="nil"/>
              <w:right w:val="nil"/>
            </w:tcBorders>
            <w:noWrap/>
            <w:vAlign w:val="bottom"/>
            <w:hideMark/>
          </w:tcPr>
          <w:p w14:paraId="635F08CD"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0.45</w:t>
            </w:r>
          </w:p>
        </w:tc>
        <w:tc>
          <w:tcPr>
            <w:tcW w:w="769" w:type="dxa"/>
            <w:tcBorders>
              <w:top w:val="nil"/>
              <w:left w:val="nil"/>
              <w:bottom w:val="nil"/>
              <w:right w:val="nil"/>
            </w:tcBorders>
            <w:noWrap/>
            <w:vAlign w:val="bottom"/>
            <w:hideMark/>
          </w:tcPr>
          <w:p w14:paraId="4FE17C2F"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3.79</w:t>
            </w:r>
          </w:p>
        </w:tc>
        <w:tc>
          <w:tcPr>
            <w:tcW w:w="1809" w:type="dxa"/>
            <w:tcBorders>
              <w:top w:val="nil"/>
              <w:left w:val="nil"/>
              <w:bottom w:val="nil"/>
              <w:right w:val="nil"/>
            </w:tcBorders>
            <w:noWrap/>
            <w:vAlign w:val="bottom"/>
            <w:hideMark/>
          </w:tcPr>
          <w:p w14:paraId="1865FD81"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0.54</w:t>
            </w:r>
          </w:p>
        </w:tc>
        <w:tc>
          <w:tcPr>
            <w:tcW w:w="1075" w:type="dxa"/>
            <w:tcBorders>
              <w:top w:val="nil"/>
              <w:left w:val="nil"/>
              <w:bottom w:val="nil"/>
              <w:right w:val="nil"/>
            </w:tcBorders>
            <w:noWrap/>
            <w:vAlign w:val="bottom"/>
            <w:hideMark/>
          </w:tcPr>
          <w:p w14:paraId="1BBAFCF5"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0.53</w:t>
            </w:r>
          </w:p>
        </w:tc>
      </w:tr>
      <w:tr w:rsidR="008C0AF9" w:rsidRPr="00BB4EF3" w14:paraId="3D51AC40" w14:textId="77777777" w:rsidTr="00197A0C">
        <w:trPr>
          <w:trHeight w:val="320"/>
        </w:trPr>
        <w:tc>
          <w:tcPr>
            <w:tcW w:w="1513" w:type="dxa"/>
            <w:tcBorders>
              <w:top w:val="nil"/>
              <w:left w:val="nil"/>
              <w:bottom w:val="nil"/>
              <w:right w:val="nil"/>
            </w:tcBorders>
            <w:noWrap/>
            <w:vAlign w:val="bottom"/>
            <w:hideMark/>
          </w:tcPr>
          <w:p w14:paraId="2754623D"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Linguistic</w:t>
            </w:r>
          </w:p>
        </w:tc>
        <w:tc>
          <w:tcPr>
            <w:tcW w:w="1727" w:type="dxa"/>
            <w:tcBorders>
              <w:top w:val="nil"/>
              <w:left w:val="nil"/>
              <w:bottom w:val="nil"/>
              <w:right w:val="nil"/>
            </w:tcBorders>
            <w:noWrap/>
            <w:vAlign w:val="bottom"/>
            <w:hideMark/>
          </w:tcPr>
          <w:p w14:paraId="6B4979BA"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shehe</w:t>
            </w:r>
          </w:p>
        </w:tc>
        <w:tc>
          <w:tcPr>
            <w:tcW w:w="814" w:type="dxa"/>
            <w:tcBorders>
              <w:top w:val="nil"/>
              <w:left w:val="nil"/>
              <w:bottom w:val="nil"/>
              <w:right w:val="nil"/>
            </w:tcBorders>
            <w:noWrap/>
            <w:vAlign w:val="bottom"/>
            <w:hideMark/>
          </w:tcPr>
          <w:p w14:paraId="7CCFBDEB"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39</w:t>
            </w:r>
          </w:p>
        </w:tc>
        <w:tc>
          <w:tcPr>
            <w:tcW w:w="1653" w:type="dxa"/>
            <w:tcBorders>
              <w:top w:val="nil"/>
              <w:left w:val="nil"/>
              <w:bottom w:val="nil"/>
              <w:right w:val="nil"/>
            </w:tcBorders>
            <w:noWrap/>
            <w:vAlign w:val="bottom"/>
            <w:hideMark/>
          </w:tcPr>
          <w:p w14:paraId="48B5C932"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0.43</w:t>
            </w:r>
          </w:p>
        </w:tc>
        <w:tc>
          <w:tcPr>
            <w:tcW w:w="769" w:type="dxa"/>
            <w:tcBorders>
              <w:top w:val="nil"/>
              <w:left w:val="nil"/>
              <w:bottom w:val="nil"/>
              <w:right w:val="nil"/>
            </w:tcBorders>
            <w:noWrap/>
            <w:vAlign w:val="bottom"/>
            <w:hideMark/>
          </w:tcPr>
          <w:p w14:paraId="00F46181"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1.92</w:t>
            </w:r>
          </w:p>
        </w:tc>
        <w:tc>
          <w:tcPr>
            <w:tcW w:w="1809" w:type="dxa"/>
            <w:tcBorders>
              <w:top w:val="nil"/>
              <w:left w:val="nil"/>
              <w:bottom w:val="nil"/>
              <w:right w:val="nil"/>
            </w:tcBorders>
            <w:noWrap/>
            <w:vAlign w:val="bottom"/>
            <w:hideMark/>
          </w:tcPr>
          <w:p w14:paraId="3A4D394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0.62</w:t>
            </w:r>
          </w:p>
        </w:tc>
        <w:tc>
          <w:tcPr>
            <w:tcW w:w="1075" w:type="dxa"/>
            <w:tcBorders>
              <w:top w:val="nil"/>
              <w:left w:val="nil"/>
              <w:bottom w:val="nil"/>
              <w:right w:val="nil"/>
            </w:tcBorders>
            <w:noWrap/>
            <w:vAlign w:val="bottom"/>
            <w:hideMark/>
          </w:tcPr>
          <w:p w14:paraId="3F9B211A"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1.26</w:t>
            </w:r>
          </w:p>
        </w:tc>
      </w:tr>
      <w:tr w:rsidR="008C0AF9" w:rsidRPr="00BB4EF3" w14:paraId="1F1FF8D8" w14:textId="77777777" w:rsidTr="00197A0C">
        <w:trPr>
          <w:trHeight w:val="320"/>
        </w:trPr>
        <w:tc>
          <w:tcPr>
            <w:tcW w:w="1513" w:type="dxa"/>
            <w:tcBorders>
              <w:top w:val="nil"/>
              <w:left w:val="nil"/>
              <w:bottom w:val="nil"/>
              <w:right w:val="nil"/>
            </w:tcBorders>
            <w:noWrap/>
            <w:vAlign w:val="bottom"/>
            <w:hideMark/>
          </w:tcPr>
          <w:p w14:paraId="0149E9DF"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Linguistic</w:t>
            </w:r>
          </w:p>
        </w:tc>
        <w:tc>
          <w:tcPr>
            <w:tcW w:w="1727" w:type="dxa"/>
            <w:tcBorders>
              <w:top w:val="nil"/>
              <w:left w:val="nil"/>
              <w:bottom w:val="nil"/>
              <w:right w:val="nil"/>
            </w:tcBorders>
            <w:noWrap/>
            <w:vAlign w:val="bottom"/>
            <w:hideMark/>
          </w:tcPr>
          <w:p w14:paraId="0B9DC298"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they</w:t>
            </w:r>
          </w:p>
        </w:tc>
        <w:tc>
          <w:tcPr>
            <w:tcW w:w="814" w:type="dxa"/>
            <w:tcBorders>
              <w:top w:val="nil"/>
              <w:left w:val="nil"/>
              <w:bottom w:val="nil"/>
              <w:right w:val="nil"/>
            </w:tcBorders>
            <w:noWrap/>
            <w:vAlign w:val="bottom"/>
            <w:hideMark/>
          </w:tcPr>
          <w:p w14:paraId="3E3EE5A3"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0.63</w:t>
            </w:r>
          </w:p>
        </w:tc>
        <w:tc>
          <w:tcPr>
            <w:tcW w:w="1653" w:type="dxa"/>
            <w:tcBorders>
              <w:top w:val="nil"/>
              <w:left w:val="nil"/>
              <w:bottom w:val="nil"/>
              <w:right w:val="nil"/>
            </w:tcBorders>
            <w:noWrap/>
            <w:vAlign w:val="bottom"/>
            <w:hideMark/>
          </w:tcPr>
          <w:p w14:paraId="0DFC67D6"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0.29</w:t>
            </w:r>
          </w:p>
        </w:tc>
        <w:tc>
          <w:tcPr>
            <w:tcW w:w="769" w:type="dxa"/>
            <w:tcBorders>
              <w:top w:val="nil"/>
              <w:left w:val="nil"/>
              <w:bottom w:val="nil"/>
              <w:right w:val="nil"/>
            </w:tcBorders>
            <w:noWrap/>
            <w:vAlign w:val="bottom"/>
            <w:hideMark/>
          </w:tcPr>
          <w:p w14:paraId="27282ECC"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30</w:t>
            </w:r>
          </w:p>
        </w:tc>
        <w:tc>
          <w:tcPr>
            <w:tcW w:w="1809" w:type="dxa"/>
            <w:tcBorders>
              <w:top w:val="nil"/>
              <w:left w:val="nil"/>
              <w:bottom w:val="nil"/>
              <w:right w:val="nil"/>
            </w:tcBorders>
            <w:noWrap/>
            <w:vAlign w:val="bottom"/>
            <w:hideMark/>
          </w:tcPr>
          <w:p w14:paraId="4B980879"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1.04</w:t>
            </w:r>
          </w:p>
        </w:tc>
        <w:tc>
          <w:tcPr>
            <w:tcW w:w="1075" w:type="dxa"/>
            <w:tcBorders>
              <w:top w:val="nil"/>
              <w:left w:val="nil"/>
              <w:bottom w:val="nil"/>
              <w:right w:val="nil"/>
            </w:tcBorders>
            <w:noWrap/>
            <w:vAlign w:val="bottom"/>
            <w:hideMark/>
          </w:tcPr>
          <w:p w14:paraId="2289E4EC"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0.71</w:t>
            </w:r>
          </w:p>
        </w:tc>
      </w:tr>
      <w:tr w:rsidR="008C0AF9" w:rsidRPr="00BB4EF3" w14:paraId="1358AA6B" w14:textId="77777777" w:rsidTr="00197A0C">
        <w:trPr>
          <w:trHeight w:val="320"/>
        </w:trPr>
        <w:tc>
          <w:tcPr>
            <w:tcW w:w="1513" w:type="dxa"/>
            <w:tcBorders>
              <w:top w:val="nil"/>
              <w:left w:val="nil"/>
              <w:bottom w:val="nil"/>
              <w:right w:val="nil"/>
            </w:tcBorders>
            <w:noWrap/>
            <w:vAlign w:val="bottom"/>
            <w:hideMark/>
          </w:tcPr>
          <w:p w14:paraId="289A3868"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Psych.</w:t>
            </w:r>
          </w:p>
        </w:tc>
        <w:tc>
          <w:tcPr>
            <w:tcW w:w="1727" w:type="dxa"/>
            <w:tcBorders>
              <w:top w:val="nil"/>
              <w:left w:val="nil"/>
              <w:bottom w:val="nil"/>
              <w:right w:val="nil"/>
            </w:tcBorders>
            <w:noWrap/>
            <w:vAlign w:val="bottom"/>
            <w:hideMark/>
          </w:tcPr>
          <w:p w14:paraId="3F72C1A0"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emo_pos</w:t>
            </w:r>
          </w:p>
        </w:tc>
        <w:tc>
          <w:tcPr>
            <w:tcW w:w="814" w:type="dxa"/>
            <w:tcBorders>
              <w:top w:val="nil"/>
              <w:left w:val="nil"/>
              <w:bottom w:val="nil"/>
              <w:right w:val="nil"/>
            </w:tcBorders>
            <w:noWrap/>
            <w:vAlign w:val="bottom"/>
            <w:hideMark/>
          </w:tcPr>
          <w:p w14:paraId="307AFAC8"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1.02</w:t>
            </w:r>
          </w:p>
        </w:tc>
        <w:tc>
          <w:tcPr>
            <w:tcW w:w="1653" w:type="dxa"/>
            <w:tcBorders>
              <w:top w:val="nil"/>
              <w:left w:val="nil"/>
              <w:bottom w:val="nil"/>
              <w:right w:val="nil"/>
            </w:tcBorders>
            <w:noWrap/>
            <w:vAlign w:val="bottom"/>
            <w:hideMark/>
          </w:tcPr>
          <w:p w14:paraId="78F39475"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.45</w:t>
            </w:r>
          </w:p>
        </w:tc>
        <w:tc>
          <w:tcPr>
            <w:tcW w:w="769" w:type="dxa"/>
            <w:tcBorders>
              <w:top w:val="nil"/>
              <w:left w:val="nil"/>
              <w:bottom w:val="nil"/>
              <w:right w:val="nil"/>
            </w:tcBorders>
            <w:noWrap/>
            <w:vAlign w:val="bottom"/>
            <w:hideMark/>
          </w:tcPr>
          <w:p w14:paraId="3393497C"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1.17</w:t>
            </w:r>
          </w:p>
        </w:tc>
        <w:tc>
          <w:tcPr>
            <w:tcW w:w="1809" w:type="dxa"/>
            <w:tcBorders>
              <w:top w:val="nil"/>
              <w:left w:val="nil"/>
              <w:bottom w:val="nil"/>
              <w:right w:val="nil"/>
            </w:tcBorders>
            <w:noWrap/>
            <w:vAlign w:val="bottom"/>
            <w:hideMark/>
          </w:tcPr>
          <w:p w14:paraId="3476F2FD"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0.19</w:t>
            </w:r>
          </w:p>
        </w:tc>
        <w:tc>
          <w:tcPr>
            <w:tcW w:w="1075" w:type="dxa"/>
            <w:tcBorders>
              <w:top w:val="nil"/>
              <w:left w:val="nil"/>
              <w:bottom w:val="nil"/>
              <w:right w:val="nil"/>
            </w:tcBorders>
            <w:noWrap/>
            <w:vAlign w:val="bottom"/>
            <w:hideMark/>
          </w:tcPr>
          <w:p w14:paraId="52549EB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0.25</w:t>
            </w:r>
          </w:p>
        </w:tc>
      </w:tr>
      <w:tr w:rsidR="008C0AF9" w:rsidRPr="00BB4EF3" w14:paraId="084DA006" w14:textId="77777777" w:rsidTr="00197A0C">
        <w:trPr>
          <w:trHeight w:val="320"/>
        </w:trPr>
        <w:tc>
          <w:tcPr>
            <w:tcW w:w="1513" w:type="dxa"/>
            <w:tcBorders>
              <w:top w:val="nil"/>
              <w:left w:val="nil"/>
              <w:bottom w:val="nil"/>
              <w:right w:val="nil"/>
            </w:tcBorders>
            <w:noWrap/>
            <w:vAlign w:val="bottom"/>
            <w:hideMark/>
          </w:tcPr>
          <w:p w14:paraId="4B8E949A"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Psych.</w:t>
            </w:r>
          </w:p>
        </w:tc>
        <w:tc>
          <w:tcPr>
            <w:tcW w:w="1727" w:type="dxa"/>
            <w:tcBorders>
              <w:top w:val="nil"/>
              <w:left w:val="nil"/>
              <w:bottom w:val="nil"/>
              <w:right w:val="nil"/>
            </w:tcBorders>
            <w:noWrap/>
            <w:vAlign w:val="bottom"/>
            <w:hideMark/>
          </w:tcPr>
          <w:p w14:paraId="37E7A798"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emo_neg</w:t>
            </w:r>
          </w:p>
        </w:tc>
        <w:tc>
          <w:tcPr>
            <w:tcW w:w="814" w:type="dxa"/>
            <w:tcBorders>
              <w:top w:val="nil"/>
              <w:left w:val="nil"/>
              <w:bottom w:val="nil"/>
              <w:right w:val="nil"/>
            </w:tcBorders>
            <w:noWrap/>
            <w:vAlign w:val="bottom"/>
            <w:hideMark/>
          </w:tcPr>
          <w:p w14:paraId="4D154F4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w:t>
            </w:r>
            <w:r>
              <w:rPr>
                <w:rFonts w:asciiTheme="majorBidi" w:hAnsiTheme="majorBidi" w:cstheme="majorBidi"/>
                <w:color w:val="000000"/>
                <w:sz w:val="20"/>
                <w:szCs w:val="20"/>
              </w:rPr>
              <w:t>17</w:t>
            </w:r>
          </w:p>
        </w:tc>
        <w:tc>
          <w:tcPr>
            <w:tcW w:w="1653" w:type="dxa"/>
            <w:tcBorders>
              <w:top w:val="nil"/>
              <w:left w:val="nil"/>
              <w:bottom w:val="nil"/>
              <w:right w:val="nil"/>
            </w:tcBorders>
            <w:noWrap/>
            <w:vAlign w:val="bottom"/>
            <w:hideMark/>
          </w:tcPr>
          <w:p w14:paraId="458F478F"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0.43</w:t>
            </w:r>
          </w:p>
        </w:tc>
        <w:tc>
          <w:tcPr>
            <w:tcW w:w="769" w:type="dxa"/>
            <w:tcBorders>
              <w:top w:val="nil"/>
              <w:left w:val="nil"/>
              <w:bottom w:val="nil"/>
              <w:right w:val="nil"/>
            </w:tcBorders>
            <w:noWrap/>
            <w:vAlign w:val="bottom"/>
            <w:hideMark/>
          </w:tcPr>
          <w:p w14:paraId="24B920F4"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40</w:t>
            </w:r>
          </w:p>
        </w:tc>
        <w:tc>
          <w:tcPr>
            <w:tcW w:w="1809" w:type="dxa"/>
            <w:tcBorders>
              <w:top w:val="nil"/>
              <w:left w:val="nil"/>
              <w:bottom w:val="nil"/>
              <w:right w:val="nil"/>
            </w:tcBorders>
            <w:noWrap/>
            <w:vAlign w:val="bottom"/>
            <w:hideMark/>
          </w:tcPr>
          <w:p w14:paraId="6D31E89C"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1.02</w:t>
            </w:r>
          </w:p>
        </w:tc>
        <w:tc>
          <w:tcPr>
            <w:tcW w:w="1075" w:type="dxa"/>
            <w:tcBorders>
              <w:top w:val="nil"/>
              <w:left w:val="nil"/>
              <w:bottom w:val="nil"/>
              <w:right w:val="nil"/>
            </w:tcBorders>
            <w:noWrap/>
            <w:vAlign w:val="bottom"/>
            <w:hideMark/>
          </w:tcPr>
          <w:p w14:paraId="2EB59CD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0.53</w:t>
            </w:r>
          </w:p>
        </w:tc>
      </w:tr>
      <w:tr w:rsidR="008C0AF9" w:rsidRPr="00BB4EF3" w14:paraId="4634FD1B" w14:textId="77777777" w:rsidTr="00197A0C">
        <w:trPr>
          <w:trHeight w:val="320"/>
        </w:trPr>
        <w:tc>
          <w:tcPr>
            <w:tcW w:w="1513" w:type="dxa"/>
            <w:tcBorders>
              <w:top w:val="nil"/>
              <w:left w:val="nil"/>
              <w:bottom w:val="nil"/>
              <w:right w:val="nil"/>
            </w:tcBorders>
            <w:noWrap/>
            <w:vAlign w:val="bottom"/>
            <w:hideMark/>
          </w:tcPr>
          <w:p w14:paraId="2500AC18"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Psych.</w:t>
            </w:r>
          </w:p>
        </w:tc>
        <w:tc>
          <w:tcPr>
            <w:tcW w:w="1727" w:type="dxa"/>
            <w:tcBorders>
              <w:top w:val="nil"/>
              <w:left w:val="nil"/>
              <w:bottom w:val="nil"/>
              <w:right w:val="nil"/>
            </w:tcBorders>
            <w:noWrap/>
            <w:vAlign w:val="bottom"/>
            <w:hideMark/>
          </w:tcPr>
          <w:p w14:paraId="25D6EB1D"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 xml:space="preserve">family </w:t>
            </w:r>
          </w:p>
        </w:tc>
        <w:tc>
          <w:tcPr>
            <w:tcW w:w="814" w:type="dxa"/>
            <w:tcBorders>
              <w:top w:val="nil"/>
              <w:left w:val="nil"/>
              <w:bottom w:val="nil"/>
              <w:right w:val="nil"/>
            </w:tcBorders>
            <w:noWrap/>
            <w:vAlign w:val="bottom"/>
            <w:hideMark/>
          </w:tcPr>
          <w:p w14:paraId="41067B92"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0.70</w:t>
            </w:r>
          </w:p>
        </w:tc>
        <w:tc>
          <w:tcPr>
            <w:tcW w:w="1653" w:type="dxa"/>
            <w:tcBorders>
              <w:top w:val="nil"/>
              <w:left w:val="nil"/>
              <w:bottom w:val="nil"/>
              <w:right w:val="nil"/>
            </w:tcBorders>
            <w:noWrap/>
            <w:vAlign w:val="bottom"/>
            <w:hideMark/>
          </w:tcPr>
          <w:p w14:paraId="30BF672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0.45</w:t>
            </w:r>
          </w:p>
        </w:tc>
        <w:tc>
          <w:tcPr>
            <w:tcW w:w="769" w:type="dxa"/>
            <w:tcBorders>
              <w:top w:val="nil"/>
              <w:left w:val="nil"/>
              <w:bottom w:val="nil"/>
              <w:right w:val="nil"/>
            </w:tcBorders>
            <w:noWrap/>
            <w:vAlign w:val="bottom"/>
            <w:hideMark/>
          </w:tcPr>
          <w:p w14:paraId="39E63311"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1.78</w:t>
            </w:r>
          </w:p>
        </w:tc>
        <w:tc>
          <w:tcPr>
            <w:tcW w:w="1809" w:type="dxa"/>
            <w:tcBorders>
              <w:top w:val="nil"/>
              <w:left w:val="nil"/>
              <w:bottom w:val="nil"/>
              <w:right w:val="nil"/>
            </w:tcBorders>
            <w:noWrap/>
            <w:vAlign w:val="bottom"/>
            <w:hideMark/>
          </w:tcPr>
          <w:p w14:paraId="4F41E778"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0.70</w:t>
            </w:r>
          </w:p>
        </w:tc>
        <w:tc>
          <w:tcPr>
            <w:tcW w:w="1075" w:type="dxa"/>
            <w:tcBorders>
              <w:top w:val="nil"/>
              <w:left w:val="nil"/>
              <w:bottom w:val="nil"/>
              <w:right w:val="nil"/>
            </w:tcBorders>
            <w:noWrap/>
            <w:vAlign w:val="bottom"/>
            <w:hideMark/>
          </w:tcPr>
          <w:p w14:paraId="2E59CDB2"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0.45</w:t>
            </w:r>
          </w:p>
        </w:tc>
      </w:tr>
      <w:tr w:rsidR="008C0AF9" w:rsidRPr="00BB4EF3" w14:paraId="0337AD4D" w14:textId="77777777" w:rsidTr="00197A0C">
        <w:trPr>
          <w:trHeight w:val="320"/>
        </w:trPr>
        <w:tc>
          <w:tcPr>
            <w:tcW w:w="1513" w:type="dxa"/>
            <w:tcBorders>
              <w:top w:val="nil"/>
              <w:left w:val="nil"/>
              <w:bottom w:val="nil"/>
              <w:right w:val="nil"/>
            </w:tcBorders>
            <w:noWrap/>
            <w:vAlign w:val="bottom"/>
            <w:hideMark/>
          </w:tcPr>
          <w:p w14:paraId="79DECDAC"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Psych.</w:t>
            </w:r>
          </w:p>
        </w:tc>
        <w:tc>
          <w:tcPr>
            <w:tcW w:w="1727" w:type="dxa"/>
            <w:tcBorders>
              <w:top w:val="nil"/>
              <w:left w:val="nil"/>
              <w:bottom w:val="nil"/>
              <w:right w:val="nil"/>
            </w:tcBorders>
            <w:noWrap/>
            <w:vAlign w:val="bottom"/>
            <w:hideMark/>
          </w:tcPr>
          <w:p w14:paraId="738529A8"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 xml:space="preserve">friends </w:t>
            </w:r>
          </w:p>
        </w:tc>
        <w:tc>
          <w:tcPr>
            <w:tcW w:w="814" w:type="dxa"/>
            <w:tcBorders>
              <w:top w:val="nil"/>
              <w:left w:val="nil"/>
              <w:bottom w:val="nil"/>
              <w:right w:val="nil"/>
            </w:tcBorders>
            <w:noWrap/>
            <w:vAlign w:val="bottom"/>
            <w:hideMark/>
          </w:tcPr>
          <w:p w14:paraId="569BFAB4"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w:t>
            </w:r>
            <w:r>
              <w:rPr>
                <w:rFonts w:asciiTheme="majorBidi" w:hAnsiTheme="majorBidi" w:cstheme="majorBidi"/>
                <w:color w:val="000000"/>
                <w:sz w:val="20"/>
                <w:szCs w:val="20"/>
              </w:rPr>
              <w:t>6</w:t>
            </w:r>
          </w:p>
        </w:tc>
        <w:tc>
          <w:tcPr>
            <w:tcW w:w="1653" w:type="dxa"/>
            <w:tcBorders>
              <w:top w:val="nil"/>
              <w:left w:val="nil"/>
              <w:bottom w:val="nil"/>
              <w:right w:val="nil"/>
            </w:tcBorders>
            <w:noWrap/>
            <w:vAlign w:val="bottom"/>
            <w:hideMark/>
          </w:tcPr>
          <w:p w14:paraId="38EDC22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14</w:t>
            </w:r>
          </w:p>
        </w:tc>
        <w:tc>
          <w:tcPr>
            <w:tcW w:w="769" w:type="dxa"/>
            <w:tcBorders>
              <w:top w:val="nil"/>
              <w:left w:val="nil"/>
              <w:bottom w:val="nil"/>
              <w:right w:val="nil"/>
            </w:tcBorders>
            <w:noWrap/>
            <w:vAlign w:val="bottom"/>
            <w:hideMark/>
          </w:tcPr>
          <w:p w14:paraId="143E2830"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1.15</w:t>
            </w:r>
          </w:p>
        </w:tc>
        <w:tc>
          <w:tcPr>
            <w:tcW w:w="1809" w:type="dxa"/>
            <w:tcBorders>
              <w:top w:val="nil"/>
              <w:left w:val="nil"/>
              <w:bottom w:val="nil"/>
              <w:right w:val="nil"/>
            </w:tcBorders>
            <w:noWrap/>
            <w:vAlign w:val="bottom"/>
            <w:hideMark/>
          </w:tcPr>
          <w:p w14:paraId="2F9880F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0.14</w:t>
            </w:r>
          </w:p>
        </w:tc>
        <w:tc>
          <w:tcPr>
            <w:tcW w:w="1075" w:type="dxa"/>
            <w:tcBorders>
              <w:top w:val="nil"/>
              <w:left w:val="nil"/>
              <w:bottom w:val="nil"/>
              <w:right w:val="nil"/>
            </w:tcBorders>
            <w:noWrap/>
            <w:vAlign w:val="bottom"/>
            <w:hideMark/>
          </w:tcPr>
          <w:p w14:paraId="08997C06"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0.23</w:t>
            </w:r>
          </w:p>
        </w:tc>
      </w:tr>
      <w:tr w:rsidR="008C0AF9" w:rsidRPr="00BB4EF3" w14:paraId="135A255B" w14:textId="77777777" w:rsidTr="00197A0C">
        <w:trPr>
          <w:trHeight w:val="320"/>
        </w:trPr>
        <w:tc>
          <w:tcPr>
            <w:tcW w:w="1513" w:type="dxa"/>
            <w:tcBorders>
              <w:top w:val="nil"/>
              <w:left w:val="nil"/>
              <w:bottom w:val="nil"/>
              <w:right w:val="nil"/>
            </w:tcBorders>
            <w:noWrap/>
            <w:vAlign w:val="bottom"/>
            <w:hideMark/>
          </w:tcPr>
          <w:p w14:paraId="0A002284"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Psych.</w:t>
            </w:r>
          </w:p>
        </w:tc>
        <w:tc>
          <w:tcPr>
            <w:tcW w:w="1727" w:type="dxa"/>
            <w:tcBorders>
              <w:top w:val="nil"/>
              <w:left w:val="nil"/>
              <w:bottom w:val="nil"/>
              <w:right w:val="nil"/>
            </w:tcBorders>
            <w:noWrap/>
            <w:vAlign w:val="bottom"/>
            <w:hideMark/>
          </w:tcPr>
          <w:p w14:paraId="4238D6A1"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 xml:space="preserve">causation </w:t>
            </w:r>
          </w:p>
        </w:tc>
        <w:tc>
          <w:tcPr>
            <w:tcW w:w="814" w:type="dxa"/>
            <w:tcBorders>
              <w:top w:val="nil"/>
              <w:left w:val="nil"/>
              <w:bottom w:val="nil"/>
              <w:right w:val="nil"/>
            </w:tcBorders>
            <w:noWrap/>
            <w:vAlign w:val="bottom"/>
            <w:hideMark/>
          </w:tcPr>
          <w:p w14:paraId="198EC38F"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1.90</w:t>
            </w:r>
          </w:p>
        </w:tc>
        <w:tc>
          <w:tcPr>
            <w:tcW w:w="1653" w:type="dxa"/>
            <w:tcBorders>
              <w:top w:val="nil"/>
              <w:left w:val="nil"/>
              <w:bottom w:val="nil"/>
              <w:right w:val="nil"/>
            </w:tcBorders>
            <w:noWrap/>
            <w:vAlign w:val="bottom"/>
            <w:hideMark/>
          </w:tcPr>
          <w:p w14:paraId="14F110C8"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42</w:t>
            </w:r>
          </w:p>
        </w:tc>
        <w:tc>
          <w:tcPr>
            <w:tcW w:w="769" w:type="dxa"/>
            <w:tcBorders>
              <w:top w:val="nil"/>
              <w:left w:val="nil"/>
              <w:bottom w:val="nil"/>
              <w:right w:val="nil"/>
            </w:tcBorders>
            <w:noWrap/>
            <w:vAlign w:val="bottom"/>
            <w:hideMark/>
          </w:tcPr>
          <w:p w14:paraId="7F1D753C"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w:t>
            </w:r>
            <w:r w:rsidRPr="00BB4EF3">
              <w:rPr>
                <w:rFonts w:asciiTheme="majorBidi" w:hAnsiTheme="majorBidi" w:cstheme="majorBidi"/>
                <w:color w:val="000000"/>
                <w:sz w:val="20"/>
                <w:szCs w:val="20"/>
              </w:rPr>
              <w:t>0.0</w:t>
            </w:r>
            <w:r>
              <w:rPr>
                <w:rFonts w:asciiTheme="majorBidi" w:hAnsiTheme="majorBidi" w:cstheme="majorBidi"/>
                <w:color w:val="000000"/>
                <w:sz w:val="20"/>
                <w:szCs w:val="20"/>
              </w:rPr>
              <w:t>7</w:t>
            </w:r>
          </w:p>
        </w:tc>
        <w:tc>
          <w:tcPr>
            <w:tcW w:w="1809" w:type="dxa"/>
            <w:tcBorders>
              <w:top w:val="nil"/>
              <w:left w:val="nil"/>
              <w:bottom w:val="nil"/>
              <w:right w:val="nil"/>
            </w:tcBorders>
            <w:noWrap/>
            <w:vAlign w:val="bottom"/>
            <w:hideMark/>
          </w:tcPr>
          <w:p w14:paraId="282781EC"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0.59</w:t>
            </w:r>
          </w:p>
        </w:tc>
        <w:tc>
          <w:tcPr>
            <w:tcW w:w="1075" w:type="dxa"/>
            <w:tcBorders>
              <w:top w:val="nil"/>
              <w:left w:val="nil"/>
              <w:bottom w:val="nil"/>
              <w:right w:val="nil"/>
            </w:tcBorders>
            <w:noWrap/>
            <w:vAlign w:val="bottom"/>
            <w:hideMark/>
          </w:tcPr>
          <w:p w14:paraId="0EB00FC8"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0.50</w:t>
            </w:r>
          </w:p>
        </w:tc>
      </w:tr>
      <w:tr w:rsidR="008C0AF9" w:rsidRPr="00BB4EF3" w14:paraId="6FCC9478" w14:textId="77777777" w:rsidTr="00197A0C">
        <w:trPr>
          <w:trHeight w:val="320"/>
        </w:trPr>
        <w:tc>
          <w:tcPr>
            <w:tcW w:w="1513" w:type="dxa"/>
            <w:tcBorders>
              <w:top w:val="nil"/>
              <w:left w:val="nil"/>
              <w:bottom w:val="nil"/>
              <w:right w:val="nil"/>
            </w:tcBorders>
            <w:noWrap/>
            <w:vAlign w:val="bottom"/>
          </w:tcPr>
          <w:p w14:paraId="0457C24B"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Psych.</w:t>
            </w:r>
          </w:p>
        </w:tc>
        <w:tc>
          <w:tcPr>
            <w:tcW w:w="1727" w:type="dxa"/>
            <w:tcBorders>
              <w:top w:val="nil"/>
              <w:left w:val="nil"/>
              <w:bottom w:val="nil"/>
              <w:right w:val="nil"/>
            </w:tcBorders>
            <w:noWrap/>
            <w:vAlign w:val="bottom"/>
          </w:tcPr>
          <w:p w14:paraId="35C56D7F"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insight</w:t>
            </w:r>
          </w:p>
        </w:tc>
        <w:tc>
          <w:tcPr>
            <w:tcW w:w="814" w:type="dxa"/>
            <w:tcBorders>
              <w:top w:val="nil"/>
              <w:left w:val="nil"/>
              <w:bottom w:val="nil"/>
              <w:right w:val="nil"/>
            </w:tcBorders>
            <w:noWrap/>
            <w:vAlign w:val="bottom"/>
          </w:tcPr>
          <w:p w14:paraId="72066817"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3.48</w:t>
            </w:r>
          </w:p>
        </w:tc>
        <w:tc>
          <w:tcPr>
            <w:tcW w:w="1653" w:type="dxa"/>
            <w:tcBorders>
              <w:top w:val="nil"/>
              <w:left w:val="nil"/>
              <w:bottom w:val="nil"/>
              <w:right w:val="nil"/>
            </w:tcBorders>
            <w:noWrap/>
            <w:vAlign w:val="bottom"/>
          </w:tcPr>
          <w:p w14:paraId="7AD43B14"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.60</w:t>
            </w:r>
          </w:p>
        </w:tc>
        <w:tc>
          <w:tcPr>
            <w:tcW w:w="769" w:type="dxa"/>
            <w:tcBorders>
              <w:top w:val="nil"/>
              <w:left w:val="nil"/>
              <w:bottom w:val="nil"/>
              <w:right w:val="nil"/>
            </w:tcBorders>
            <w:noWrap/>
            <w:vAlign w:val="bottom"/>
          </w:tcPr>
          <w:p w14:paraId="3AEB70DE"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56</w:t>
            </w:r>
          </w:p>
        </w:tc>
        <w:tc>
          <w:tcPr>
            <w:tcW w:w="1809" w:type="dxa"/>
            <w:tcBorders>
              <w:top w:val="nil"/>
              <w:left w:val="nil"/>
              <w:bottom w:val="nil"/>
              <w:right w:val="nil"/>
            </w:tcBorders>
            <w:noWrap/>
            <w:vAlign w:val="bottom"/>
          </w:tcPr>
          <w:p w14:paraId="7555BF33"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0.59</w:t>
            </w:r>
          </w:p>
        </w:tc>
        <w:tc>
          <w:tcPr>
            <w:tcW w:w="1075" w:type="dxa"/>
            <w:tcBorders>
              <w:top w:val="nil"/>
              <w:left w:val="nil"/>
              <w:bottom w:val="nil"/>
              <w:right w:val="nil"/>
            </w:tcBorders>
            <w:noWrap/>
            <w:vAlign w:val="bottom"/>
          </w:tcPr>
          <w:p w14:paraId="7594FD76"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0.50</w:t>
            </w:r>
          </w:p>
        </w:tc>
      </w:tr>
      <w:tr w:rsidR="008C0AF9" w:rsidRPr="00BB4EF3" w14:paraId="1F010588" w14:textId="77777777" w:rsidTr="00197A0C">
        <w:trPr>
          <w:trHeight w:val="320"/>
        </w:trPr>
        <w:tc>
          <w:tcPr>
            <w:tcW w:w="1513" w:type="dxa"/>
            <w:tcBorders>
              <w:top w:val="nil"/>
              <w:left w:val="nil"/>
              <w:bottom w:val="nil"/>
              <w:right w:val="nil"/>
            </w:tcBorders>
            <w:noWrap/>
            <w:vAlign w:val="bottom"/>
            <w:hideMark/>
          </w:tcPr>
          <w:p w14:paraId="1668C27F"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4BFA4233"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visual</w:t>
            </w:r>
          </w:p>
        </w:tc>
        <w:tc>
          <w:tcPr>
            <w:tcW w:w="814" w:type="dxa"/>
            <w:tcBorders>
              <w:top w:val="nil"/>
              <w:left w:val="nil"/>
              <w:bottom w:val="nil"/>
              <w:right w:val="nil"/>
            </w:tcBorders>
            <w:noWrap/>
            <w:vAlign w:val="bottom"/>
            <w:hideMark/>
          </w:tcPr>
          <w:p w14:paraId="5ACA83FB"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0.74</w:t>
            </w:r>
          </w:p>
        </w:tc>
        <w:tc>
          <w:tcPr>
            <w:tcW w:w="1653" w:type="dxa"/>
            <w:tcBorders>
              <w:top w:val="nil"/>
              <w:left w:val="nil"/>
              <w:bottom w:val="nil"/>
              <w:right w:val="nil"/>
            </w:tcBorders>
            <w:noWrap/>
            <w:vAlign w:val="bottom"/>
            <w:hideMark/>
          </w:tcPr>
          <w:p w14:paraId="26360BC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0.3</w:t>
            </w:r>
            <w:r>
              <w:rPr>
                <w:rFonts w:asciiTheme="majorBidi" w:hAnsiTheme="majorBidi" w:cstheme="majorBidi"/>
                <w:color w:val="000000"/>
                <w:sz w:val="20"/>
                <w:szCs w:val="20"/>
              </w:rPr>
              <w:t>1</w:t>
            </w:r>
          </w:p>
        </w:tc>
        <w:tc>
          <w:tcPr>
            <w:tcW w:w="769" w:type="dxa"/>
            <w:tcBorders>
              <w:top w:val="nil"/>
              <w:left w:val="nil"/>
              <w:bottom w:val="nil"/>
              <w:right w:val="nil"/>
            </w:tcBorders>
            <w:noWrap/>
            <w:vAlign w:val="bottom"/>
            <w:hideMark/>
          </w:tcPr>
          <w:p w14:paraId="026E91BC"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69</w:t>
            </w:r>
          </w:p>
        </w:tc>
        <w:tc>
          <w:tcPr>
            <w:tcW w:w="1809" w:type="dxa"/>
            <w:tcBorders>
              <w:top w:val="nil"/>
              <w:left w:val="nil"/>
              <w:bottom w:val="nil"/>
              <w:right w:val="nil"/>
            </w:tcBorders>
            <w:noWrap/>
            <w:vAlign w:val="bottom"/>
            <w:hideMark/>
          </w:tcPr>
          <w:p w14:paraId="66D994DD"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1.68</w:t>
            </w:r>
          </w:p>
        </w:tc>
        <w:tc>
          <w:tcPr>
            <w:tcW w:w="1075" w:type="dxa"/>
            <w:tcBorders>
              <w:top w:val="nil"/>
              <w:left w:val="nil"/>
              <w:bottom w:val="nil"/>
              <w:right w:val="nil"/>
            </w:tcBorders>
            <w:noWrap/>
            <w:vAlign w:val="bottom"/>
            <w:hideMark/>
          </w:tcPr>
          <w:p w14:paraId="4430CBA3"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0.32</w:t>
            </w:r>
          </w:p>
        </w:tc>
      </w:tr>
      <w:tr w:rsidR="008C0AF9" w:rsidRPr="00BB4EF3" w14:paraId="6D1F31A5" w14:textId="77777777" w:rsidTr="00197A0C">
        <w:trPr>
          <w:trHeight w:val="320"/>
        </w:trPr>
        <w:tc>
          <w:tcPr>
            <w:tcW w:w="1513" w:type="dxa"/>
            <w:tcBorders>
              <w:top w:val="nil"/>
              <w:left w:val="nil"/>
              <w:bottom w:val="nil"/>
              <w:right w:val="nil"/>
            </w:tcBorders>
            <w:noWrap/>
            <w:vAlign w:val="bottom"/>
            <w:hideMark/>
          </w:tcPr>
          <w:p w14:paraId="053DF9AB"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359FBEA2"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feeling</w:t>
            </w:r>
          </w:p>
        </w:tc>
        <w:tc>
          <w:tcPr>
            <w:tcW w:w="814" w:type="dxa"/>
            <w:tcBorders>
              <w:top w:val="nil"/>
              <w:left w:val="nil"/>
              <w:bottom w:val="nil"/>
              <w:right w:val="nil"/>
            </w:tcBorders>
            <w:noWrap/>
            <w:vAlign w:val="bottom"/>
            <w:hideMark/>
          </w:tcPr>
          <w:p w14:paraId="4C611874"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81</w:t>
            </w:r>
          </w:p>
        </w:tc>
        <w:tc>
          <w:tcPr>
            <w:tcW w:w="1653" w:type="dxa"/>
            <w:tcBorders>
              <w:top w:val="nil"/>
              <w:left w:val="nil"/>
              <w:bottom w:val="nil"/>
              <w:right w:val="nil"/>
            </w:tcBorders>
            <w:noWrap/>
            <w:vAlign w:val="bottom"/>
            <w:hideMark/>
          </w:tcPr>
          <w:p w14:paraId="43F3FE8B"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30</w:t>
            </w:r>
          </w:p>
        </w:tc>
        <w:tc>
          <w:tcPr>
            <w:tcW w:w="769" w:type="dxa"/>
            <w:tcBorders>
              <w:top w:val="nil"/>
              <w:left w:val="nil"/>
              <w:bottom w:val="nil"/>
              <w:right w:val="nil"/>
            </w:tcBorders>
            <w:noWrap/>
            <w:vAlign w:val="bottom"/>
            <w:hideMark/>
          </w:tcPr>
          <w:p w14:paraId="027903A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53</w:t>
            </w:r>
          </w:p>
        </w:tc>
        <w:tc>
          <w:tcPr>
            <w:tcW w:w="1809" w:type="dxa"/>
            <w:tcBorders>
              <w:top w:val="nil"/>
              <w:left w:val="nil"/>
              <w:bottom w:val="nil"/>
              <w:right w:val="nil"/>
            </w:tcBorders>
            <w:noWrap/>
            <w:vAlign w:val="bottom"/>
            <w:hideMark/>
          </w:tcPr>
          <w:p w14:paraId="778CBE8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hideMark/>
          </w:tcPr>
          <w:p w14:paraId="6D764418"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6BBAF383" w14:textId="77777777" w:rsidTr="00197A0C">
        <w:trPr>
          <w:trHeight w:val="320"/>
        </w:trPr>
        <w:tc>
          <w:tcPr>
            <w:tcW w:w="1513" w:type="dxa"/>
            <w:tcBorders>
              <w:top w:val="nil"/>
              <w:left w:val="nil"/>
              <w:bottom w:val="nil"/>
              <w:right w:val="nil"/>
            </w:tcBorders>
            <w:noWrap/>
            <w:vAlign w:val="bottom"/>
            <w:hideMark/>
          </w:tcPr>
          <w:p w14:paraId="60C07A8E"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532A7DEA"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 xml:space="preserve">illness </w:t>
            </w:r>
          </w:p>
        </w:tc>
        <w:tc>
          <w:tcPr>
            <w:tcW w:w="814" w:type="dxa"/>
            <w:tcBorders>
              <w:top w:val="nil"/>
              <w:left w:val="nil"/>
              <w:bottom w:val="nil"/>
              <w:right w:val="nil"/>
            </w:tcBorders>
            <w:noWrap/>
            <w:vAlign w:val="bottom"/>
            <w:hideMark/>
          </w:tcPr>
          <w:p w14:paraId="202D5C2B"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27</w:t>
            </w:r>
          </w:p>
        </w:tc>
        <w:tc>
          <w:tcPr>
            <w:tcW w:w="1653" w:type="dxa"/>
            <w:tcBorders>
              <w:top w:val="nil"/>
              <w:left w:val="nil"/>
              <w:bottom w:val="nil"/>
              <w:right w:val="nil"/>
            </w:tcBorders>
            <w:noWrap/>
            <w:vAlign w:val="bottom"/>
            <w:hideMark/>
          </w:tcPr>
          <w:p w14:paraId="07358F2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24</w:t>
            </w:r>
          </w:p>
        </w:tc>
        <w:tc>
          <w:tcPr>
            <w:tcW w:w="769" w:type="dxa"/>
            <w:tcBorders>
              <w:top w:val="nil"/>
              <w:left w:val="nil"/>
              <w:bottom w:val="nil"/>
              <w:right w:val="nil"/>
            </w:tcBorders>
            <w:noWrap/>
            <w:vAlign w:val="bottom"/>
            <w:hideMark/>
          </w:tcPr>
          <w:p w14:paraId="2CC1811E"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1.52</w:t>
            </w:r>
          </w:p>
        </w:tc>
        <w:tc>
          <w:tcPr>
            <w:tcW w:w="1809" w:type="dxa"/>
            <w:tcBorders>
              <w:top w:val="nil"/>
              <w:left w:val="nil"/>
              <w:bottom w:val="nil"/>
              <w:right w:val="nil"/>
            </w:tcBorders>
            <w:noWrap/>
            <w:vAlign w:val="bottom"/>
            <w:hideMark/>
          </w:tcPr>
          <w:p w14:paraId="16832D59"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hideMark/>
          </w:tcPr>
          <w:p w14:paraId="416F73D1"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499E0E93" w14:textId="77777777" w:rsidTr="00197A0C">
        <w:trPr>
          <w:trHeight w:val="320"/>
        </w:trPr>
        <w:tc>
          <w:tcPr>
            <w:tcW w:w="1513" w:type="dxa"/>
            <w:tcBorders>
              <w:top w:val="nil"/>
              <w:left w:val="nil"/>
              <w:bottom w:val="nil"/>
              <w:right w:val="nil"/>
            </w:tcBorders>
            <w:noWrap/>
            <w:vAlign w:val="bottom"/>
            <w:hideMark/>
          </w:tcPr>
          <w:p w14:paraId="7E1CD994"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33D3FFAC"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wellness</w:t>
            </w:r>
          </w:p>
        </w:tc>
        <w:tc>
          <w:tcPr>
            <w:tcW w:w="814" w:type="dxa"/>
            <w:tcBorders>
              <w:top w:val="nil"/>
              <w:left w:val="nil"/>
              <w:bottom w:val="nil"/>
              <w:right w:val="nil"/>
            </w:tcBorders>
            <w:noWrap/>
            <w:vAlign w:val="bottom"/>
            <w:hideMark/>
          </w:tcPr>
          <w:p w14:paraId="67043B8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3</w:t>
            </w:r>
            <w:r w:rsidRPr="00BB4EF3">
              <w:rPr>
                <w:rFonts w:asciiTheme="majorBidi" w:hAnsiTheme="majorBidi" w:cstheme="majorBidi"/>
                <w:color w:val="000000"/>
                <w:sz w:val="20"/>
                <w:szCs w:val="20"/>
              </w:rPr>
              <w:t>5</w:t>
            </w:r>
          </w:p>
        </w:tc>
        <w:tc>
          <w:tcPr>
            <w:tcW w:w="1653" w:type="dxa"/>
            <w:tcBorders>
              <w:top w:val="nil"/>
              <w:left w:val="nil"/>
              <w:bottom w:val="nil"/>
              <w:right w:val="nil"/>
            </w:tcBorders>
            <w:noWrap/>
            <w:vAlign w:val="bottom"/>
            <w:hideMark/>
          </w:tcPr>
          <w:p w14:paraId="286CA64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22</w:t>
            </w:r>
          </w:p>
        </w:tc>
        <w:tc>
          <w:tcPr>
            <w:tcW w:w="769" w:type="dxa"/>
            <w:tcBorders>
              <w:top w:val="nil"/>
              <w:left w:val="nil"/>
              <w:bottom w:val="nil"/>
              <w:right w:val="nil"/>
            </w:tcBorders>
            <w:noWrap/>
            <w:vAlign w:val="bottom"/>
            <w:hideMark/>
          </w:tcPr>
          <w:p w14:paraId="6B33AB69"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1.25</w:t>
            </w:r>
          </w:p>
        </w:tc>
        <w:tc>
          <w:tcPr>
            <w:tcW w:w="1809" w:type="dxa"/>
            <w:tcBorders>
              <w:top w:val="nil"/>
              <w:left w:val="nil"/>
              <w:bottom w:val="nil"/>
              <w:right w:val="nil"/>
            </w:tcBorders>
            <w:noWrap/>
            <w:vAlign w:val="bottom"/>
            <w:hideMark/>
          </w:tcPr>
          <w:p w14:paraId="3843CF22"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hideMark/>
          </w:tcPr>
          <w:p w14:paraId="1C6E2C16"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3FD41157" w14:textId="77777777" w:rsidTr="00197A0C">
        <w:trPr>
          <w:trHeight w:val="320"/>
        </w:trPr>
        <w:tc>
          <w:tcPr>
            <w:tcW w:w="1513" w:type="dxa"/>
            <w:tcBorders>
              <w:top w:val="nil"/>
              <w:left w:val="nil"/>
              <w:bottom w:val="nil"/>
              <w:right w:val="nil"/>
            </w:tcBorders>
            <w:noWrap/>
            <w:vAlign w:val="bottom"/>
          </w:tcPr>
          <w:p w14:paraId="4FA1FB49"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tcPr>
          <w:p w14:paraId="14321037"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mental_illness</w:t>
            </w:r>
          </w:p>
        </w:tc>
        <w:tc>
          <w:tcPr>
            <w:tcW w:w="814" w:type="dxa"/>
            <w:tcBorders>
              <w:top w:val="nil"/>
              <w:left w:val="nil"/>
              <w:bottom w:val="nil"/>
              <w:right w:val="nil"/>
            </w:tcBorders>
            <w:noWrap/>
            <w:vAlign w:val="bottom"/>
          </w:tcPr>
          <w:p w14:paraId="5FA4C8A6"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79</w:t>
            </w:r>
          </w:p>
        </w:tc>
        <w:tc>
          <w:tcPr>
            <w:tcW w:w="1653" w:type="dxa"/>
            <w:tcBorders>
              <w:top w:val="nil"/>
              <w:left w:val="nil"/>
              <w:bottom w:val="nil"/>
              <w:right w:val="nil"/>
            </w:tcBorders>
            <w:noWrap/>
            <w:vAlign w:val="bottom"/>
          </w:tcPr>
          <w:p w14:paraId="4FB26AC3"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37</w:t>
            </w:r>
          </w:p>
        </w:tc>
        <w:tc>
          <w:tcPr>
            <w:tcW w:w="769" w:type="dxa"/>
            <w:tcBorders>
              <w:top w:val="nil"/>
              <w:left w:val="nil"/>
              <w:bottom w:val="nil"/>
              <w:right w:val="nil"/>
            </w:tcBorders>
            <w:noWrap/>
            <w:vAlign w:val="bottom"/>
          </w:tcPr>
          <w:p w14:paraId="0AB6883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41</w:t>
            </w:r>
          </w:p>
        </w:tc>
        <w:tc>
          <w:tcPr>
            <w:tcW w:w="1809" w:type="dxa"/>
            <w:tcBorders>
              <w:top w:val="nil"/>
              <w:left w:val="nil"/>
              <w:bottom w:val="nil"/>
              <w:right w:val="nil"/>
            </w:tcBorders>
            <w:noWrap/>
            <w:vAlign w:val="bottom"/>
          </w:tcPr>
          <w:p w14:paraId="17957E5B"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tcPr>
          <w:p w14:paraId="5D1D15A4"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2CEC1FD6" w14:textId="77777777" w:rsidTr="00197A0C">
        <w:trPr>
          <w:trHeight w:val="320"/>
        </w:trPr>
        <w:tc>
          <w:tcPr>
            <w:tcW w:w="1513" w:type="dxa"/>
            <w:tcBorders>
              <w:top w:val="nil"/>
              <w:left w:val="nil"/>
              <w:bottom w:val="nil"/>
              <w:right w:val="nil"/>
            </w:tcBorders>
            <w:noWrap/>
            <w:vAlign w:val="bottom"/>
            <w:hideMark/>
          </w:tcPr>
          <w:p w14:paraId="45AA0B80"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2787FFA0"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sexual</w:t>
            </w:r>
          </w:p>
        </w:tc>
        <w:tc>
          <w:tcPr>
            <w:tcW w:w="814" w:type="dxa"/>
            <w:tcBorders>
              <w:top w:val="nil"/>
              <w:left w:val="nil"/>
              <w:bottom w:val="nil"/>
              <w:right w:val="nil"/>
            </w:tcBorders>
            <w:noWrap/>
            <w:vAlign w:val="bottom"/>
            <w:hideMark/>
          </w:tcPr>
          <w:p w14:paraId="2766539A"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03</w:t>
            </w:r>
          </w:p>
        </w:tc>
        <w:tc>
          <w:tcPr>
            <w:tcW w:w="1653" w:type="dxa"/>
            <w:tcBorders>
              <w:top w:val="nil"/>
              <w:left w:val="nil"/>
              <w:bottom w:val="nil"/>
              <w:right w:val="nil"/>
            </w:tcBorders>
            <w:noWrap/>
            <w:vAlign w:val="bottom"/>
            <w:hideMark/>
          </w:tcPr>
          <w:p w14:paraId="1BA1F072"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06</w:t>
            </w:r>
          </w:p>
        </w:tc>
        <w:tc>
          <w:tcPr>
            <w:tcW w:w="769" w:type="dxa"/>
            <w:tcBorders>
              <w:top w:val="nil"/>
              <w:left w:val="nil"/>
              <w:bottom w:val="nil"/>
              <w:right w:val="nil"/>
            </w:tcBorders>
            <w:noWrap/>
            <w:vAlign w:val="bottom"/>
            <w:hideMark/>
          </w:tcPr>
          <w:p w14:paraId="2E92136A"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3.24</w:t>
            </w:r>
          </w:p>
        </w:tc>
        <w:tc>
          <w:tcPr>
            <w:tcW w:w="1809" w:type="dxa"/>
            <w:tcBorders>
              <w:top w:val="nil"/>
              <w:left w:val="nil"/>
              <w:bottom w:val="nil"/>
              <w:right w:val="nil"/>
            </w:tcBorders>
            <w:noWrap/>
            <w:vAlign w:val="bottom"/>
            <w:hideMark/>
          </w:tcPr>
          <w:p w14:paraId="34FFA6B8"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hideMark/>
          </w:tcPr>
          <w:p w14:paraId="4EABB92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2FAFD482" w14:textId="77777777" w:rsidTr="00197A0C">
        <w:trPr>
          <w:trHeight w:val="320"/>
        </w:trPr>
        <w:tc>
          <w:tcPr>
            <w:tcW w:w="1513" w:type="dxa"/>
            <w:tcBorders>
              <w:top w:val="nil"/>
              <w:left w:val="nil"/>
              <w:bottom w:val="nil"/>
              <w:right w:val="nil"/>
            </w:tcBorders>
            <w:noWrap/>
            <w:vAlign w:val="bottom"/>
          </w:tcPr>
          <w:p w14:paraId="798E0D76"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tcPr>
          <w:p w14:paraId="59A754F6"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food</w:t>
            </w:r>
          </w:p>
        </w:tc>
        <w:tc>
          <w:tcPr>
            <w:tcW w:w="814" w:type="dxa"/>
            <w:tcBorders>
              <w:top w:val="nil"/>
              <w:left w:val="nil"/>
              <w:bottom w:val="nil"/>
              <w:right w:val="nil"/>
            </w:tcBorders>
            <w:noWrap/>
            <w:vAlign w:val="bottom"/>
          </w:tcPr>
          <w:p w14:paraId="03734D31"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0.5</w:t>
            </w:r>
            <w:r>
              <w:rPr>
                <w:rFonts w:asciiTheme="majorBidi" w:hAnsiTheme="majorBidi" w:cstheme="majorBidi"/>
                <w:color w:val="000000"/>
                <w:sz w:val="20"/>
                <w:szCs w:val="20"/>
              </w:rPr>
              <w:t>8</w:t>
            </w:r>
          </w:p>
        </w:tc>
        <w:tc>
          <w:tcPr>
            <w:tcW w:w="1653" w:type="dxa"/>
            <w:tcBorders>
              <w:top w:val="nil"/>
              <w:left w:val="nil"/>
              <w:bottom w:val="nil"/>
              <w:right w:val="nil"/>
            </w:tcBorders>
            <w:noWrap/>
            <w:vAlign w:val="bottom"/>
          </w:tcPr>
          <w:p w14:paraId="796512E2"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39</w:t>
            </w:r>
          </w:p>
        </w:tc>
        <w:tc>
          <w:tcPr>
            <w:tcW w:w="769" w:type="dxa"/>
            <w:tcBorders>
              <w:top w:val="nil"/>
              <w:left w:val="nil"/>
              <w:bottom w:val="nil"/>
              <w:right w:val="nil"/>
            </w:tcBorders>
            <w:noWrap/>
            <w:vAlign w:val="bottom"/>
          </w:tcPr>
          <w:p w14:paraId="3592703F"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92</w:t>
            </w:r>
          </w:p>
        </w:tc>
        <w:tc>
          <w:tcPr>
            <w:tcW w:w="1809" w:type="dxa"/>
            <w:tcBorders>
              <w:top w:val="nil"/>
              <w:left w:val="nil"/>
              <w:bottom w:val="nil"/>
              <w:right w:val="nil"/>
            </w:tcBorders>
            <w:noWrap/>
            <w:vAlign w:val="bottom"/>
          </w:tcPr>
          <w:p w14:paraId="4DE8FC6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tcPr>
          <w:p w14:paraId="7E26C065"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751A022E" w14:textId="77777777" w:rsidTr="00197A0C">
        <w:trPr>
          <w:trHeight w:val="320"/>
        </w:trPr>
        <w:tc>
          <w:tcPr>
            <w:tcW w:w="1513" w:type="dxa"/>
            <w:tcBorders>
              <w:top w:val="nil"/>
              <w:left w:val="nil"/>
              <w:bottom w:val="nil"/>
              <w:right w:val="nil"/>
            </w:tcBorders>
            <w:noWrap/>
            <w:vAlign w:val="bottom"/>
            <w:hideMark/>
          </w:tcPr>
          <w:p w14:paraId="077855C6"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2E7F388A"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past focus</w:t>
            </w:r>
          </w:p>
        </w:tc>
        <w:tc>
          <w:tcPr>
            <w:tcW w:w="814" w:type="dxa"/>
            <w:tcBorders>
              <w:top w:val="nil"/>
              <w:left w:val="nil"/>
              <w:bottom w:val="nil"/>
              <w:right w:val="nil"/>
            </w:tcBorders>
            <w:noWrap/>
            <w:vAlign w:val="bottom"/>
            <w:hideMark/>
          </w:tcPr>
          <w:p w14:paraId="61A8D508"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4.33</w:t>
            </w:r>
          </w:p>
        </w:tc>
        <w:tc>
          <w:tcPr>
            <w:tcW w:w="1653" w:type="dxa"/>
            <w:tcBorders>
              <w:top w:val="nil"/>
              <w:left w:val="nil"/>
              <w:bottom w:val="nil"/>
              <w:right w:val="nil"/>
            </w:tcBorders>
            <w:noWrap/>
            <w:vAlign w:val="bottom"/>
            <w:hideMark/>
          </w:tcPr>
          <w:p w14:paraId="25017803"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1.21</w:t>
            </w:r>
          </w:p>
        </w:tc>
        <w:tc>
          <w:tcPr>
            <w:tcW w:w="769" w:type="dxa"/>
            <w:tcBorders>
              <w:top w:val="nil"/>
              <w:left w:val="nil"/>
              <w:bottom w:val="nil"/>
              <w:right w:val="nil"/>
            </w:tcBorders>
            <w:noWrap/>
            <w:vAlign w:val="bottom"/>
            <w:hideMark/>
          </w:tcPr>
          <w:p w14:paraId="4465D85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82</w:t>
            </w:r>
          </w:p>
        </w:tc>
        <w:tc>
          <w:tcPr>
            <w:tcW w:w="1809" w:type="dxa"/>
            <w:tcBorders>
              <w:top w:val="nil"/>
              <w:left w:val="nil"/>
              <w:bottom w:val="nil"/>
              <w:right w:val="nil"/>
            </w:tcBorders>
            <w:noWrap/>
            <w:vAlign w:val="bottom"/>
            <w:hideMark/>
          </w:tcPr>
          <w:p w14:paraId="122965DD"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hideMark/>
          </w:tcPr>
          <w:p w14:paraId="5935841C"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4677444B" w14:textId="77777777" w:rsidTr="00197A0C">
        <w:trPr>
          <w:trHeight w:val="320"/>
        </w:trPr>
        <w:tc>
          <w:tcPr>
            <w:tcW w:w="1513" w:type="dxa"/>
            <w:tcBorders>
              <w:top w:val="nil"/>
              <w:left w:val="nil"/>
              <w:bottom w:val="nil"/>
              <w:right w:val="nil"/>
            </w:tcBorders>
            <w:noWrap/>
            <w:vAlign w:val="bottom"/>
            <w:hideMark/>
          </w:tcPr>
          <w:p w14:paraId="01D2A104"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0877C523"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 xml:space="preserve">present focus </w:t>
            </w:r>
          </w:p>
        </w:tc>
        <w:tc>
          <w:tcPr>
            <w:tcW w:w="814" w:type="dxa"/>
            <w:tcBorders>
              <w:top w:val="nil"/>
              <w:left w:val="nil"/>
              <w:bottom w:val="nil"/>
              <w:right w:val="nil"/>
            </w:tcBorders>
            <w:noWrap/>
            <w:vAlign w:val="bottom"/>
            <w:hideMark/>
          </w:tcPr>
          <w:p w14:paraId="75D28969"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5</w:t>
            </w:r>
            <w:r>
              <w:rPr>
                <w:rFonts w:asciiTheme="majorBidi" w:hAnsiTheme="majorBidi" w:cstheme="majorBidi"/>
                <w:color w:val="000000"/>
                <w:sz w:val="20"/>
                <w:szCs w:val="20"/>
              </w:rPr>
              <w:t>.32</w:t>
            </w:r>
          </w:p>
        </w:tc>
        <w:tc>
          <w:tcPr>
            <w:tcW w:w="1653" w:type="dxa"/>
            <w:tcBorders>
              <w:top w:val="nil"/>
              <w:left w:val="nil"/>
              <w:bottom w:val="nil"/>
              <w:right w:val="nil"/>
            </w:tcBorders>
            <w:noWrap/>
            <w:vAlign w:val="bottom"/>
            <w:hideMark/>
          </w:tcPr>
          <w:p w14:paraId="28EE6CBC"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90</w:t>
            </w:r>
          </w:p>
        </w:tc>
        <w:tc>
          <w:tcPr>
            <w:tcW w:w="769" w:type="dxa"/>
            <w:tcBorders>
              <w:top w:val="nil"/>
              <w:left w:val="nil"/>
              <w:bottom w:val="nil"/>
              <w:right w:val="nil"/>
            </w:tcBorders>
            <w:noWrap/>
            <w:vAlign w:val="bottom"/>
            <w:hideMark/>
          </w:tcPr>
          <w:p w14:paraId="5DCE2CB4"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w:t>
            </w:r>
            <w:r w:rsidRPr="00BB4EF3">
              <w:rPr>
                <w:rFonts w:asciiTheme="majorBidi" w:hAnsiTheme="majorBidi" w:cstheme="majorBidi"/>
                <w:color w:val="000000"/>
                <w:sz w:val="20"/>
                <w:szCs w:val="20"/>
              </w:rPr>
              <w:t>0.</w:t>
            </w:r>
            <w:r>
              <w:rPr>
                <w:rFonts w:asciiTheme="majorBidi" w:hAnsiTheme="majorBidi" w:cstheme="majorBidi"/>
                <w:color w:val="000000"/>
                <w:sz w:val="20"/>
                <w:szCs w:val="20"/>
              </w:rPr>
              <w:t>60</w:t>
            </w:r>
          </w:p>
        </w:tc>
        <w:tc>
          <w:tcPr>
            <w:tcW w:w="1809" w:type="dxa"/>
            <w:tcBorders>
              <w:top w:val="nil"/>
              <w:left w:val="nil"/>
              <w:bottom w:val="nil"/>
              <w:right w:val="nil"/>
            </w:tcBorders>
            <w:noWrap/>
            <w:vAlign w:val="bottom"/>
            <w:hideMark/>
          </w:tcPr>
          <w:p w14:paraId="4995EF6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hideMark/>
          </w:tcPr>
          <w:p w14:paraId="180D04A1"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2B53CAD7" w14:textId="77777777" w:rsidTr="00197A0C">
        <w:trPr>
          <w:trHeight w:val="320"/>
        </w:trPr>
        <w:tc>
          <w:tcPr>
            <w:tcW w:w="1513" w:type="dxa"/>
            <w:tcBorders>
              <w:top w:val="nil"/>
              <w:left w:val="nil"/>
              <w:bottom w:val="nil"/>
              <w:right w:val="nil"/>
            </w:tcBorders>
            <w:noWrap/>
            <w:vAlign w:val="bottom"/>
            <w:hideMark/>
          </w:tcPr>
          <w:p w14:paraId="6883C6BD"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226C242B"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future focus</w:t>
            </w:r>
          </w:p>
        </w:tc>
        <w:tc>
          <w:tcPr>
            <w:tcW w:w="814" w:type="dxa"/>
            <w:tcBorders>
              <w:top w:val="nil"/>
              <w:left w:val="nil"/>
              <w:bottom w:val="nil"/>
              <w:right w:val="nil"/>
            </w:tcBorders>
            <w:noWrap/>
            <w:vAlign w:val="bottom"/>
            <w:hideMark/>
          </w:tcPr>
          <w:p w14:paraId="29B4417E"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1.54</w:t>
            </w:r>
          </w:p>
        </w:tc>
        <w:tc>
          <w:tcPr>
            <w:tcW w:w="1653" w:type="dxa"/>
            <w:tcBorders>
              <w:top w:val="nil"/>
              <w:left w:val="nil"/>
              <w:bottom w:val="nil"/>
              <w:right w:val="nil"/>
            </w:tcBorders>
            <w:noWrap/>
            <w:vAlign w:val="bottom"/>
            <w:hideMark/>
          </w:tcPr>
          <w:p w14:paraId="03413746"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40</w:t>
            </w:r>
          </w:p>
        </w:tc>
        <w:tc>
          <w:tcPr>
            <w:tcW w:w="769" w:type="dxa"/>
            <w:tcBorders>
              <w:top w:val="nil"/>
              <w:left w:val="nil"/>
              <w:bottom w:val="nil"/>
              <w:right w:val="nil"/>
            </w:tcBorders>
            <w:noWrap/>
            <w:vAlign w:val="bottom"/>
            <w:hideMark/>
          </w:tcPr>
          <w:p w14:paraId="77F22A41"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0.0</w:t>
            </w:r>
            <w:r>
              <w:rPr>
                <w:rFonts w:asciiTheme="majorBidi" w:hAnsiTheme="majorBidi" w:cstheme="majorBidi"/>
                <w:color w:val="000000"/>
                <w:sz w:val="20"/>
                <w:szCs w:val="20"/>
              </w:rPr>
              <w:t>7</w:t>
            </w:r>
          </w:p>
        </w:tc>
        <w:tc>
          <w:tcPr>
            <w:tcW w:w="1809" w:type="dxa"/>
            <w:tcBorders>
              <w:top w:val="nil"/>
              <w:left w:val="nil"/>
              <w:bottom w:val="nil"/>
              <w:right w:val="nil"/>
            </w:tcBorders>
            <w:noWrap/>
            <w:vAlign w:val="bottom"/>
            <w:hideMark/>
          </w:tcPr>
          <w:p w14:paraId="204BF7CE"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c>
          <w:tcPr>
            <w:tcW w:w="1075" w:type="dxa"/>
            <w:tcBorders>
              <w:top w:val="nil"/>
              <w:left w:val="nil"/>
              <w:bottom w:val="nil"/>
              <w:right w:val="nil"/>
            </w:tcBorders>
            <w:noWrap/>
            <w:vAlign w:val="bottom"/>
            <w:hideMark/>
          </w:tcPr>
          <w:p w14:paraId="1D6E4B84"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0.15</w:t>
            </w:r>
          </w:p>
        </w:tc>
      </w:tr>
      <w:tr w:rsidR="008C0AF9" w:rsidRPr="00BB4EF3" w14:paraId="4CB66954" w14:textId="77777777" w:rsidTr="00197A0C">
        <w:trPr>
          <w:trHeight w:val="320"/>
        </w:trPr>
        <w:tc>
          <w:tcPr>
            <w:tcW w:w="1513" w:type="dxa"/>
            <w:tcBorders>
              <w:top w:val="nil"/>
              <w:left w:val="nil"/>
              <w:bottom w:val="nil"/>
              <w:right w:val="nil"/>
            </w:tcBorders>
            <w:noWrap/>
            <w:vAlign w:val="bottom"/>
            <w:hideMark/>
          </w:tcPr>
          <w:p w14:paraId="4899634F"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Expand.</w:t>
            </w:r>
          </w:p>
        </w:tc>
        <w:tc>
          <w:tcPr>
            <w:tcW w:w="1727" w:type="dxa"/>
            <w:tcBorders>
              <w:top w:val="nil"/>
              <w:left w:val="nil"/>
              <w:bottom w:val="nil"/>
              <w:right w:val="nil"/>
            </w:tcBorders>
            <w:noWrap/>
            <w:vAlign w:val="bottom"/>
            <w:hideMark/>
          </w:tcPr>
          <w:p w14:paraId="3F83B94C" w14:textId="77777777" w:rsidR="008C0AF9" w:rsidRPr="00BB4EF3" w:rsidRDefault="008C0AF9" w:rsidP="00197A0C">
            <w:pPr>
              <w:rPr>
                <w:rFonts w:asciiTheme="majorBidi" w:hAnsiTheme="majorBidi" w:cstheme="majorBidi"/>
                <w:color w:val="000000"/>
                <w:sz w:val="20"/>
                <w:szCs w:val="20"/>
              </w:rPr>
            </w:pPr>
            <w:r w:rsidRPr="00BB4EF3">
              <w:rPr>
                <w:rFonts w:asciiTheme="majorBidi" w:hAnsiTheme="majorBidi" w:cstheme="majorBidi"/>
                <w:color w:val="000000"/>
                <w:sz w:val="20"/>
                <w:szCs w:val="20"/>
              </w:rPr>
              <w:t>risk</w:t>
            </w:r>
          </w:p>
        </w:tc>
        <w:tc>
          <w:tcPr>
            <w:tcW w:w="814" w:type="dxa"/>
            <w:tcBorders>
              <w:top w:val="nil"/>
              <w:left w:val="nil"/>
              <w:bottom w:val="nil"/>
              <w:right w:val="nil"/>
            </w:tcBorders>
            <w:noWrap/>
            <w:vAlign w:val="bottom"/>
            <w:hideMark/>
          </w:tcPr>
          <w:p w14:paraId="3B686C28"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37</w:t>
            </w:r>
          </w:p>
        </w:tc>
        <w:tc>
          <w:tcPr>
            <w:tcW w:w="1653" w:type="dxa"/>
            <w:tcBorders>
              <w:top w:val="nil"/>
              <w:left w:val="nil"/>
              <w:bottom w:val="nil"/>
              <w:right w:val="nil"/>
            </w:tcBorders>
            <w:noWrap/>
            <w:vAlign w:val="bottom"/>
            <w:hideMark/>
          </w:tcPr>
          <w:p w14:paraId="300A025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w:t>
            </w:r>
            <w:r>
              <w:rPr>
                <w:rFonts w:asciiTheme="majorBidi" w:hAnsiTheme="majorBidi" w:cstheme="majorBidi"/>
                <w:color w:val="000000"/>
                <w:sz w:val="20"/>
                <w:szCs w:val="20"/>
              </w:rPr>
              <w:t>1</w:t>
            </w:r>
            <w:r w:rsidRPr="00BB4EF3">
              <w:rPr>
                <w:rFonts w:asciiTheme="majorBidi" w:hAnsiTheme="majorBidi" w:cstheme="majorBidi"/>
                <w:color w:val="000000"/>
                <w:sz w:val="20"/>
                <w:szCs w:val="20"/>
              </w:rPr>
              <w:t>9</w:t>
            </w:r>
          </w:p>
        </w:tc>
        <w:tc>
          <w:tcPr>
            <w:tcW w:w="769" w:type="dxa"/>
            <w:tcBorders>
              <w:top w:val="nil"/>
              <w:left w:val="nil"/>
              <w:bottom w:val="nil"/>
              <w:right w:val="nil"/>
            </w:tcBorders>
            <w:noWrap/>
            <w:vAlign w:val="bottom"/>
            <w:hideMark/>
          </w:tcPr>
          <w:p w14:paraId="0B07915B"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1.24</w:t>
            </w:r>
          </w:p>
        </w:tc>
        <w:tc>
          <w:tcPr>
            <w:tcW w:w="1809" w:type="dxa"/>
            <w:tcBorders>
              <w:top w:val="nil"/>
              <w:left w:val="nil"/>
              <w:bottom w:val="nil"/>
              <w:right w:val="nil"/>
            </w:tcBorders>
            <w:noWrap/>
            <w:vAlign w:val="bottom"/>
            <w:hideMark/>
          </w:tcPr>
          <w:p w14:paraId="3C5FFED0"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0.01</w:t>
            </w:r>
          </w:p>
        </w:tc>
        <w:tc>
          <w:tcPr>
            <w:tcW w:w="1075" w:type="dxa"/>
            <w:tcBorders>
              <w:top w:val="nil"/>
              <w:left w:val="nil"/>
              <w:bottom w:val="nil"/>
              <w:right w:val="nil"/>
            </w:tcBorders>
            <w:noWrap/>
            <w:vAlign w:val="bottom"/>
            <w:hideMark/>
          </w:tcPr>
          <w:p w14:paraId="49BF5897" w14:textId="77777777" w:rsidR="008C0AF9" w:rsidRPr="00BB4EF3" w:rsidRDefault="008C0AF9" w:rsidP="00197A0C">
            <w:pPr>
              <w:jc w:val="right"/>
              <w:rPr>
                <w:rFonts w:asciiTheme="majorBidi" w:hAnsiTheme="majorBidi" w:cstheme="majorBidi"/>
                <w:color w:val="000000"/>
                <w:sz w:val="20"/>
                <w:szCs w:val="20"/>
              </w:rPr>
            </w:pPr>
            <w:r w:rsidRPr="00BB4EF3">
              <w:rPr>
                <w:rFonts w:asciiTheme="majorBidi" w:hAnsiTheme="majorBidi" w:cstheme="majorBidi"/>
                <w:color w:val="000000"/>
                <w:sz w:val="20"/>
                <w:szCs w:val="20"/>
              </w:rPr>
              <w:t>0.20</w:t>
            </w:r>
          </w:p>
        </w:tc>
      </w:tr>
      <w:tr w:rsidR="008C0AF9" w:rsidRPr="00BB4EF3" w14:paraId="2CB5B903" w14:textId="77777777" w:rsidTr="00197A0C">
        <w:trPr>
          <w:trHeight w:val="320"/>
        </w:trPr>
        <w:tc>
          <w:tcPr>
            <w:tcW w:w="1513" w:type="dxa"/>
            <w:tcBorders>
              <w:top w:val="nil"/>
              <w:left w:val="nil"/>
              <w:bottom w:val="single" w:sz="4" w:space="0" w:color="auto"/>
              <w:right w:val="nil"/>
            </w:tcBorders>
            <w:noWrap/>
            <w:vAlign w:val="bottom"/>
          </w:tcPr>
          <w:p w14:paraId="0CF39881" w14:textId="77777777" w:rsidR="008C0AF9" w:rsidRPr="00BB4EF3"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Expand.</w:t>
            </w:r>
          </w:p>
        </w:tc>
        <w:tc>
          <w:tcPr>
            <w:tcW w:w="1727" w:type="dxa"/>
            <w:tcBorders>
              <w:top w:val="nil"/>
              <w:left w:val="nil"/>
              <w:bottom w:val="single" w:sz="4" w:space="0" w:color="auto"/>
              <w:right w:val="nil"/>
            </w:tcBorders>
            <w:noWrap/>
            <w:vAlign w:val="bottom"/>
          </w:tcPr>
          <w:p w14:paraId="782E504C" w14:textId="77777777" w:rsidR="008C0AF9" w:rsidRPr="00BB4EF3"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auditory</w:t>
            </w:r>
          </w:p>
        </w:tc>
        <w:tc>
          <w:tcPr>
            <w:tcW w:w="814" w:type="dxa"/>
            <w:tcBorders>
              <w:top w:val="nil"/>
              <w:left w:val="nil"/>
              <w:bottom w:val="single" w:sz="4" w:space="0" w:color="auto"/>
              <w:right w:val="nil"/>
            </w:tcBorders>
            <w:noWrap/>
            <w:vAlign w:val="bottom"/>
          </w:tcPr>
          <w:p w14:paraId="23CB5FBC" w14:textId="77777777" w:rsidR="008C0AF9" w:rsidRPr="00BB4EF3" w:rsidRDefault="008C0AF9" w:rsidP="00197A0C">
            <w:pPr>
              <w:jc w:val="center"/>
              <w:rPr>
                <w:rFonts w:asciiTheme="majorBidi" w:hAnsiTheme="majorBidi" w:cstheme="majorBidi"/>
                <w:color w:val="000000"/>
                <w:sz w:val="20"/>
                <w:szCs w:val="20"/>
              </w:rPr>
            </w:pPr>
            <w:r>
              <w:rPr>
                <w:rFonts w:asciiTheme="majorBidi" w:hAnsiTheme="majorBidi" w:cstheme="majorBidi"/>
                <w:color w:val="000000"/>
                <w:sz w:val="20"/>
                <w:szCs w:val="20"/>
              </w:rPr>
              <w:t xml:space="preserve">    0.28</w:t>
            </w:r>
          </w:p>
        </w:tc>
        <w:tc>
          <w:tcPr>
            <w:tcW w:w="1653" w:type="dxa"/>
            <w:tcBorders>
              <w:top w:val="nil"/>
              <w:left w:val="nil"/>
              <w:bottom w:val="single" w:sz="4" w:space="0" w:color="auto"/>
              <w:right w:val="nil"/>
            </w:tcBorders>
            <w:noWrap/>
            <w:vAlign w:val="bottom"/>
          </w:tcPr>
          <w:p w14:paraId="4C2466F8"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0.19</w:t>
            </w:r>
          </w:p>
        </w:tc>
        <w:tc>
          <w:tcPr>
            <w:tcW w:w="769" w:type="dxa"/>
            <w:tcBorders>
              <w:top w:val="nil"/>
              <w:left w:val="nil"/>
              <w:bottom w:val="single" w:sz="4" w:space="0" w:color="auto"/>
              <w:right w:val="nil"/>
            </w:tcBorders>
            <w:noWrap/>
            <w:vAlign w:val="bottom"/>
          </w:tcPr>
          <w:p w14:paraId="2B8F105C" w14:textId="77777777" w:rsidR="008C0AF9"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0.66</w:t>
            </w:r>
          </w:p>
        </w:tc>
        <w:tc>
          <w:tcPr>
            <w:tcW w:w="1809" w:type="dxa"/>
            <w:tcBorders>
              <w:top w:val="nil"/>
              <w:left w:val="nil"/>
              <w:bottom w:val="single" w:sz="4" w:space="0" w:color="auto"/>
              <w:right w:val="nil"/>
            </w:tcBorders>
            <w:noWrap/>
            <w:vAlign w:val="bottom"/>
          </w:tcPr>
          <w:p w14:paraId="2A737237"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0.37</w:t>
            </w:r>
          </w:p>
        </w:tc>
        <w:tc>
          <w:tcPr>
            <w:tcW w:w="1075" w:type="dxa"/>
            <w:tcBorders>
              <w:top w:val="nil"/>
              <w:left w:val="nil"/>
              <w:bottom w:val="single" w:sz="4" w:space="0" w:color="auto"/>
              <w:right w:val="nil"/>
            </w:tcBorders>
            <w:noWrap/>
            <w:vAlign w:val="bottom"/>
          </w:tcPr>
          <w:p w14:paraId="29F164D3" w14:textId="77777777" w:rsidR="008C0AF9" w:rsidRPr="00BB4EF3" w:rsidRDefault="008C0AF9" w:rsidP="00197A0C">
            <w:pPr>
              <w:jc w:val="right"/>
              <w:rPr>
                <w:rFonts w:asciiTheme="majorBidi" w:hAnsiTheme="majorBidi" w:cstheme="majorBidi"/>
                <w:color w:val="000000"/>
                <w:sz w:val="20"/>
                <w:szCs w:val="20"/>
              </w:rPr>
            </w:pPr>
            <w:r>
              <w:rPr>
                <w:rFonts w:asciiTheme="majorBidi" w:hAnsiTheme="majorBidi" w:cstheme="majorBidi"/>
                <w:color w:val="000000"/>
                <w:sz w:val="20"/>
                <w:szCs w:val="20"/>
              </w:rPr>
              <w:t>0.37</w:t>
            </w:r>
          </w:p>
        </w:tc>
      </w:tr>
    </w:tbl>
    <w:p w14:paraId="52877112" w14:textId="77777777" w:rsidR="008C0AF9" w:rsidRPr="00BB4EF3" w:rsidRDefault="008C0AF9" w:rsidP="008C0AF9">
      <w:pPr>
        <w:rPr>
          <w:rFonts w:asciiTheme="majorBidi" w:hAnsiTheme="majorBidi" w:cstheme="majorBidi"/>
          <w:b/>
          <w:bCs/>
          <w:sz w:val="20"/>
          <w:szCs w:val="20"/>
        </w:rPr>
      </w:pPr>
      <w:r w:rsidRPr="00BB4EF3">
        <w:rPr>
          <w:rFonts w:asciiTheme="majorBidi" w:hAnsiTheme="majorBidi" w:cstheme="majorBidi"/>
          <w:b/>
          <w:bCs/>
          <w:sz w:val="20"/>
          <w:szCs w:val="20"/>
        </w:rPr>
        <w:br w:type="page"/>
      </w:r>
    </w:p>
    <w:p w14:paraId="3109963B" w14:textId="77777777" w:rsidR="008C0AF9" w:rsidRPr="00BB563D" w:rsidRDefault="008C0AF9" w:rsidP="008C0AF9">
      <w:pPr>
        <w:pStyle w:val="Caption"/>
        <w:rPr>
          <w:rFonts w:asciiTheme="majorBidi" w:hAnsiTheme="majorBidi" w:cstheme="majorBidi"/>
          <w:b/>
          <w:bCs/>
          <w:szCs w:val="24"/>
        </w:rPr>
      </w:pPr>
      <w:bookmarkStart w:id="52" w:name="_Toc203735343"/>
      <w:r w:rsidRPr="00BB563D">
        <w:rPr>
          <w:b/>
          <w:bCs/>
        </w:rPr>
        <w:lastRenderedPageBreak/>
        <w:t>Table 2.</w:t>
      </w:r>
      <w:r w:rsidRPr="00BB563D">
        <w:rPr>
          <w:b/>
          <w:bCs/>
        </w:rPr>
        <w:fldChar w:fldCharType="begin"/>
      </w:r>
      <w:r w:rsidRPr="00BB563D">
        <w:rPr>
          <w:b/>
          <w:bCs/>
        </w:rPr>
        <w:instrText xml:space="preserve"> SEQ Table \* ARABIC </w:instrText>
      </w:r>
      <w:r w:rsidRPr="00BB563D">
        <w:rPr>
          <w:b/>
          <w:bCs/>
        </w:rPr>
        <w:fldChar w:fldCharType="separate"/>
      </w:r>
      <w:r>
        <w:rPr>
          <w:b/>
          <w:bCs/>
          <w:noProof/>
        </w:rPr>
        <w:t>3</w:t>
      </w:r>
      <w:r w:rsidRPr="00BB563D">
        <w:rPr>
          <w:b/>
          <w:bCs/>
        </w:rPr>
        <w:fldChar w:fldCharType="end"/>
      </w:r>
      <w:r>
        <w:t xml:space="preserve"> </w:t>
      </w:r>
      <w:r w:rsidRPr="00BB563D">
        <w:rPr>
          <w:color w:val="FFFFFF" w:themeColor="background1"/>
        </w:rPr>
        <w:t>Distribution of LIWC Variables</w:t>
      </w:r>
      <w:bookmarkEnd w:id="52"/>
    </w:p>
    <w:p w14:paraId="626DF706" w14:textId="7D124D0E" w:rsidR="00FC2768" w:rsidRPr="00FC2768" w:rsidRDefault="008C0AF9" w:rsidP="00FC2768">
      <w:pPr>
        <w:rPr>
          <w:rFonts w:asciiTheme="majorBidi" w:hAnsiTheme="majorBidi" w:cstheme="majorBidi"/>
          <w:i/>
          <w:iCs/>
          <w:sz w:val="24"/>
          <w:szCs w:val="24"/>
        </w:rPr>
      </w:pPr>
      <w:r w:rsidRPr="00FC2768">
        <w:rPr>
          <w:rFonts w:asciiTheme="majorBidi" w:hAnsiTheme="majorBidi" w:cstheme="majorBidi"/>
          <w:i/>
          <w:iCs/>
          <w:sz w:val="24"/>
          <w:szCs w:val="24"/>
        </w:rPr>
        <w:t>Distribution of LIWC Variables</w:t>
      </w:r>
      <w:r w:rsidR="00FC2768" w:rsidRPr="00FC2768">
        <w:rPr>
          <w:rFonts w:asciiTheme="majorBidi" w:hAnsiTheme="majorBidi" w:cstheme="majorBidi"/>
          <w:i/>
          <w:iCs/>
          <w:sz w:val="24"/>
          <w:szCs w:val="24"/>
        </w:rPr>
        <w:t xml:space="preserve"> across the corpus, offering further insight into linguistic patterns observed in the dataset</w:t>
      </w:r>
    </w:p>
    <w:p w14:paraId="296C37A1" w14:textId="77777777" w:rsidR="008C0AF9" w:rsidRPr="00AF6A75" w:rsidRDefault="008C0AF9" w:rsidP="008C0AF9">
      <w:pPr>
        <w:rPr>
          <w:rFonts w:asciiTheme="majorBidi" w:hAnsiTheme="majorBidi" w:cstheme="majorBidi"/>
          <w:b/>
          <w:bCs/>
          <w:sz w:val="20"/>
          <w:szCs w:val="20"/>
        </w:rPr>
      </w:pPr>
      <w:r w:rsidRPr="00AF6A75">
        <w:rPr>
          <w:rFonts w:asciiTheme="majorBidi" w:hAnsiTheme="majorBidi" w:cstheme="majorBidi"/>
          <w:b/>
          <w:bCs/>
          <w:noProof/>
          <w:sz w:val="20"/>
          <w:szCs w:val="20"/>
        </w:rPr>
        <w:drawing>
          <wp:inline distT="0" distB="0" distL="0" distR="0" wp14:anchorId="50CBFDB4" wp14:editId="3CD0BCC1">
            <wp:extent cx="5943600" cy="3639820"/>
            <wp:effectExtent l="0" t="0" r="0" b="0"/>
            <wp:docPr id="1655528416" name="Picture 2" descr="A screenshot of a graph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528416" name="Picture 2" descr="A screenshot of a graph  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639820"/>
                    </a:xfrm>
                    <a:prstGeom prst="rect">
                      <a:avLst/>
                    </a:prstGeom>
                    <a:noFill/>
                    <a:ln>
                      <a:noFill/>
                    </a:ln>
                  </pic:spPr>
                </pic:pic>
              </a:graphicData>
            </a:graphic>
          </wp:inline>
        </w:drawing>
      </w:r>
    </w:p>
    <w:p w14:paraId="379ED9FB" w14:textId="77777777" w:rsidR="008C0AF9" w:rsidRDefault="008C0AF9" w:rsidP="008C0AF9">
      <w:pPr>
        <w:rPr>
          <w:rFonts w:asciiTheme="majorBidi" w:hAnsiTheme="majorBidi" w:cstheme="majorBidi"/>
          <w:b/>
          <w:bCs/>
          <w:sz w:val="20"/>
          <w:szCs w:val="20"/>
        </w:rPr>
      </w:pPr>
    </w:p>
    <w:p w14:paraId="641D3864" w14:textId="77777777" w:rsidR="008C0AF9" w:rsidRDefault="008C0AF9" w:rsidP="008C0AF9">
      <w:pPr>
        <w:rPr>
          <w:rFonts w:asciiTheme="majorBidi" w:hAnsiTheme="majorBidi" w:cstheme="majorBidi"/>
          <w:b/>
          <w:bCs/>
          <w:sz w:val="20"/>
          <w:szCs w:val="20"/>
        </w:rPr>
      </w:pPr>
    </w:p>
    <w:p w14:paraId="500935BC" w14:textId="77777777" w:rsidR="008C0AF9" w:rsidRDefault="008C0AF9" w:rsidP="008C0AF9">
      <w:pPr>
        <w:rPr>
          <w:rFonts w:asciiTheme="majorBidi" w:hAnsiTheme="majorBidi" w:cstheme="majorBidi"/>
          <w:b/>
          <w:bCs/>
          <w:sz w:val="20"/>
          <w:szCs w:val="20"/>
        </w:rPr>
      </w:pPr>
    </w:p>
    <w:p w14:paraId="0C5F4C3C" w14:textId="77777777" w:rsidR="008C0AF9" w:rsidRDefault="008C0AF9" w:rsidP="008C0AF9">
      <w:pPr>
        <w:rPr>
          <w:rFonts w:asciiTheme="majorBidi" w:eastAsia="Times New Roman" w:hAnsiTheme="majorBidi" w:cstheme="majorBidi"/>
          <w:b/>
          <w:bCs/>
          <w:iCs/>
          <w:sz w:val="24"/>
          <w:szCs w:val="24"/>
        </w:rPr>
      </w:pPr>
      <w:r>
        <w:rPr>
          <w:rFonts w:asciiTheme="majorBidi" w:hAnsiTheme="majorBidi" w:cstheme="majorBidi"/>
          <w:b/>
          <w:bCs/>
          <w:szCs w:val="24"/>
        </w:rPr>
        <w:br w:type="page"/>
      </w:r>
    </w:p>
    <w:p w14:paraId="3EFC5298" w14:textId="77777777" w:rsidR="008C0AF9" w:rsidRPr="00BB563D" w:rsidRDefault="008C0AF9" w:rsidP="008C0AF9">
      <w:pPr>
        <w:pStyle w:val="Caption"/>
        <w:rPr>
          <w:rFonts w:asciiTheme="majorBidi" w:hAnsiTheme="majorBidi" w:cstheme="majorBidi"/>
          <w:b/>
          <w:bCs/>
          <w:szCs w:val="24"/>
        </w:rPr>
      </w:pPr>
      <w:bookmarkStart w:id="53" w:name="_Toc203735344"/>
      <w:r w:rsidRPr="00BB563D">
        <w:rPr>
          <w:b/>
          <w:bCs/>
        </w:rPr>
        <w:lastRenderedPageBreak/>
        <w:t>Table 2.</w:t>
      </w:r>
      <w:r w:rsidRPr="00BB563D">
        <w:rPr>
          <w:b/>
          <w:bCs/>
        </w:rPr>
        <w:fldChar w:fldCharType="begin"/>
      </w:r>
      <w:r w:rsidRPr="00BB563D">
        <w:rPr>
          <w:b/>
          <w:bCs/>
        </w:rPr>
        <w:instrText xml:space="preserve"> SEQ Table \* ARABIC </w:instrText>
      </w:r>
      <w:r w:rsidRPr="00BB563D">
        <w:rPr>
          <w:b/>
          <w:bCs/>
        </w:rPr>
        <w:fldChar w:fldCharType="separate"/>
      </w:r>
      <w:r>
        <w:rPr>
          <w:b/>
          <w:bCs/>
          <w:noProof/>
        </w:rPr>
        <w:t>4</w:t>
      </w:r>
      <w:r w:rsidRPr="00BB563D">
        <w:rPr>
          <w:b/>
          <w:bCs/>
        </w:rPr>
        <w:fldChar w:fldCharType="end"/>
      </w:r>
      <w:r>
        <w:t xml:space="preserve"> </w:t>
      </w:r>
      <w:r w:rsidRPr="00BB563D">
        <w:rPr>
          <w:color w:val="FFFFFF" w:themeColor="background1"/>
        </w:rPr>
        <w:t>Inferential Statistical Results (RQ2)</w:t>
      </w:r>
      <w:bookmarkEnd w:id="53"/>
    </w:p>
    <w:p w14:paraId="70F95EEB" w14:textId="77777777" w:rsidR="008C0AF9" w:rsidRPr="00BB563D" w:rsidRDefault="008C0AF9" w:rsidP="008C0AF9">
      <w:pPr>
        <w:spacing w:after="0" w:line="480" w:lineRule="auto"/>
        <w:rPr>
          <w:rFonts w:asciiTheme="majorBidi" w:hAnsiTheme="majorBidi" w:cstheme="majorBidi"/>
          <w:i/>
          <w:iCs/>
          <w:sz w:val="24"/>
          <w:szCs w:val="24"/>
        </w:rPr>
      </w:pPr>
      <w:r w:rsidRPr="00BB563D">
        <w:rPr>
          <w:rFonts w:asciiTheme="majorBidi" w:hAnsiTheme="majorBidi" w:cstheme="majorBidi"/>
          <w:i/>
          <w:iCs/>
          <w:sz w:val="24"/>
          <w:szCs w:val="24"/>
        </w:rPr>
        <w:t xml:space="preserve">Inferential Statistical Results (RQ2) </w:t>
      </w:r>
    </w:p>
    <w:tbl>
      <w:tblPr>
        <w:tblW w:w="9468" w:type="dxa"/>
        <w:tblInd w:w="-108" w:type="dxa"/>
        <w:tblLook w:val="04A0" w:firstRow="1" w:lastRow="0" w:firstColumn="1" w:lastColumn="0" w:noHBand="0" w:noVBand="1"/>
      </w:tblPr>
      <w:tblGrid>
        <w:gridCol w:w="888"/>
        <w:gridCol w:w="252"/>
        <w:gridCol w:w="1317"/>
        <w:gridCol w:w="960"/>
        <w:gridCol w:w="799"/>
        <w:gridCol w:w="733"/>
        <w:gridCol w:w="944"/>
        <w:gridCol w:w="319"/>
        <w:gridCol w:w="669"/>
        <w:gridCol w:w="759"/>
        <w:gridCol w:w="1828"/>
      </w:tblGrid>
      <w:tr w:rsidR="008C0AF9" w:rsidRPr="001766C1" w14:paraId="6EF91DFE" w14:textId="77777777" w:rsidTr="00197A0C">
        <w:trPr>
          <w:trHeight w:val="318"/>
        </w:trPr>
        <w:tc>
          <w:tcPr>
            <w:tcW w:w="879" w:type="dxa"/>
            <w:tcBorders>
              <w:top w:val="single" w:sz="4" w:space="0" w:color="auto"/>
              <w:left w:val="nil"/>
              <w:bottom w:val="single" w:sz="4" w:space="0" w:color="auto"/>
              <w:right w:val="nil"/>
            </w:tcBorders>
            <w:noWrap/>
            <w:hideMark/>
          </w:tcPr>
          <w:p w14:paraId="29BB4513" w14:textId="77777777" w:rsidR="008C0AF9" w:rsidRPr="00A36D9C" w:rsidRDefault="008C0AF9" w:rsidP="00197A0C">
            <w:pPr>
              <w:jc w:val="center"/>
              <w:rPr>
                <w:rFonts w:asciiTheme="majorBidi" w:hAnsiTheme="majorBidi" w:cstheme="majorBidi"/>
                <w:color w:val="000000"/>
                <w:sz w:val="18"/>
                <w:szCs w:val="18"/>
              </w:rPr>
            </w:pPr>
            <w:r w:rsidRPr="00A36D9C">
              <w:rPr>
                <w:rFonts w:asciiTheme="majorBidi" w:hAnsiTheme="majorBidi" w:cstheme="majorBidi"/>
                <w:color w:val="000000"/>
                <w:sz w:val="18"/>
                <w:szCs w:val="18"/>
              </w:rPr>
              <w:t>Category</w:t>
            </w:r>
          </w:p>
        </w:tc>
        <w:tc>
          <w:tcPr>
            <w:tcW w:w="1551" w:type="dxa"/>
            <w:gridSpan w:val="2"/>
            <w:tcBorders>
              <w:top w:val="single" w:sz="4" w:space="0" w:color="auto"/>
              <w:left w:val="nil"/>
              <w:bottom w:val="single" w:sz="4" w:space="0" w:color="auto"/>
              <w:right w:val="nil"/>
            </w:tcBorders>
            <w:noWrap/>
            <w:hideMark/>
          </w:tcPr>
          <w:p w14:paraId="1055AC5E" w14:textId="77777777" w:rsidR="008C0AF9" w:rsidRPr="001766C1" w:rsidRDefault="008C0AF9" w:rsidP="00197A0C">
            <w:pPr>
              <w:jc w:val="center"/>
              <w:rPr>
                <w:rFonts w:asciiTheme="majorBidi" w:hAnsiTheme="majorBidi" w:cstheme="majorBidi"/>
                <w:color w:val="000000"/>
                <w:sz w:val="20"/>
                <w:szCs w:val="20"/>
              </w:rPr>
            </w:pPr>
            <w:r w:rsidRPr="001766C1">
              <w:rPr>
                <w:rFonts w:asciiTheme="majorBidi" w:hAnsiTheme="majorBidi" w:cstheme="majorBidi"/>
                <w:color w:val="000000"/>
                <w:sz w:val="20"/>
                <w:szCs w:val="20"/>
              </w:rPr>
              <w:t>Variable</w:t>
            </w:r>
          </w:p>
        </w:tc>
        <w:tc>
          <w:tcPr>
            <w:tcW w:w="949" w:type="dxa"/>
            <w:tcBorders>
              <w:top w:val="single" w:sz="4" w:space="0" w:color="auto"/>
              <w:left w:val="nil"/>
              <w:bottom w:val="single" w:sz="4" w:space="0" w:color="auto"/>
              <w:right w:val="nil"/>
            </w:tcBorders>
            <w:noWrap/>
            <w:hideMark/>
          </w:tcPr>
          <w:p w14:paraId="41C24A0C" w14:textId="77777777" w:rsidR="008C0AF9" w:rsidRPr="001766C1" w:rsidRDefault="008C0AF9" w:rsidP="00197A0C">
            <w:pPr>
              <w:jc w:val="center"/>
              <w:rPr>
                <w:rFonts w:asciiTheme="majorBidi" w:hAnsiTheme="majorBidi" w:cstheme="majorBidi"/>
                <w:i/>
                <w:iCs/>
                <w:color w:val="000000"/>
                <w:sz w:val="20"/>
                <w:szCs w:val="20"/>
              </w:rPr>
            </w:pPr>
            <w:r w:rsidRPr="001766C1">
              <w:rPr>
                <w:rFonts w:asciiTheme="majorBidi" w:hAnsiTheme="majorBidi" w:cstheme="majorBidi"/>
                <w:i/>
                <w:iCs/>
                <w:color w:val="000000"/>
                <w:sz w:val="20"/>
                <w:szCs w:val="20"/>
              </w:rPr>
              <w:t>t</w:t>
            </w:r>
          </w:p>
        </w:tc>
        <w:tc>
          <w:tcPr>
            <w:tcW w:w="790" w:type="dxa"/>
            <w:tcBorders>
              <w:top w:val="single" w:sz="4" w:space="0" w:color="auto"/>
              <w:left w:val="nil"/>
              <w:bottom w:val="single" w:sz="4" w:space="0" w:color="auto"/>
              <w:right w:val="nil"/>
            </w:tcBorders>
            <w:noWrap/>
            <w:hideMark/>
          </w:tcPr>
          <w:p w14:paraId="559F752A" w14:textId="77777777" w:rsidR="008C0AF9" w:rsidRPr="001766C1" w:rsidRDefault="008C0AF9" w:rsidP="00197A0C">
            <w:pPr>
              <w:jc w:val="center"/>
              <w:rPr>
                <w:rFonts w:asciiTheme="majorBidi" w:hAnsiTheme="majorBidi" w:cstheme="majorBidi"/>
                <w:i/>
                <w:iCs/>
                <w:color w:val="000000"/>
                <w:sz w:val="20"/>
                <w:szCs w:val="20"/>
              </w:rPr>
            </w:pPr>
            <w:r w:rsidRPr="001766C1">
              <w:rPr>
                <w:rFonts w:asciiTheme="majorBidi" w:hAnsiTheme="majorBidi" w:cstheme="majorBidi"/>
                <w:i/>
                <w:iCs/>
                <w:color w:val="000000"/>
                <w:sz w:val="20"/>
                <w:szCs w:val="20"/>
              </w:rPr>
              <w:t>p</w:t>
            </w:r>
          </w:p>
        </w:tc>
        <w:tc>
          <w:tcPr>
            <w:tcW w:w="725" w:type="dxa"/>
            <w:tcBorders>
              <w:top w:val="single" w:sz="4" w:space="0" w:color="auto"/>
              <w:left w:val="nil"/>
              <w:bottom w:val="single" w:sz="4" w:space="0" w:color="auto"/>
              <w:right w:val="nil"/>
            </w:tcBorders>
            <w:noWrap/>
            <w:hideMark/>
          </w:tcPr>
          <w:p w14:paraId="615EBF0C" w14:textId="77777777" w:rsidR="008C0AF9" w:rsidRPr="001766C1" w:rsidRDefault="008C0AF9" w:rsidP="00197A0C">
            <w:pPr>
              <w:jc w:val="center"/>
              <w:rPr>
                <w:rFonts w:asciiTheme="majorBidi" w:hAnsiTheme="majorBidi" w:cstheme="majorBidi"/>
                <w:i/>
                <w:iCs/>
                <w:color w:val="000000"/>
                <w:sz w:val="20"/>
                <w:szCs w:val="20"/>
              </w:rPr>
            </w:pPr>
            <w:r w:rsidRPr="001766C1">
              <w:rPr>
                <w:rFonts w:asciiTheme="majorBidi" w:hAnsiTheme="majorBidi" w:cstheme="majorBidi"/>
                <w:i/>
                <w:iCs/>
                <w:color w:val="000000"/>
                <w:sz w:val="20"/>
                <w:szCs w:val="20"/>
              </w:rPr>
              <w:t>d</w:t>
            </w:r>
          </w:p>
        </w:tc>
        <w:tc>
          <w:tcPr>
            <w:tcW w:w="1248" w:type="dxa"/>
            <w:gridSpan w:val="2"/>
            <w:tcBorders>
              <w:top w:val="single" w:sz="4" w:space="0" w:color="auto"/>
              <w:left w:val="nil"/>
              <w:bottom w:val="single" w:sz="4" w:space="0" w:color="auto"/>
              <w:right w:val="nil"/>
            </w:tcBorders>
            <w:noWrap/>
            <w:hideMark/>
          </w:tcPr>
          <w:p w14:paraId="0AD413B1" w14:textId="77777777" w:rsidR="008C0AF9" w:rsidRPr="001766C1" w:rsidRDefault="008C0AF9" w:rsidP="00197A0C">
            <w:pPr>
              <w:jc w:val="center"/>
              <w:rPr>
                <w:rFonts w:asciiTheme="majorBidi" w:hAnsiTheme="majorBidi" w:cstheme="majorBidi"/>
                <w:color w:val="000000"/>
                <w:sz w:val="20"/>
                <w:szCs w:val="20"/>
              </w:rPr>
            </w:pPr>
            <w:r w:rsidRPr="001766C1">
              <w:rPr>
                <w:rFonts w:asciiTheme="majorBidi" w:hAnsiTheme="majorBidi" w:cstheme="majorBidi"/>
                <w:color w:val="000000"/>
                <w:sz w:val="20"/>
                <w:szCs w:val="20"/>
              </w:rPr>
              <w:t>Magnitude</w:t>
            </w:r>
          </w:p>
        </w:tc>
        <w:tc>
          <w:tcPr>
            <w:tcW w:w="661" w:type="dxa"/>
            <w:tcBorders>
              <w:top w:val="single" w:sz="4" w:space="0" w:color="auto"/>
              <w:left w:val="nil"/>
              <w:bottom w:val="single" w:sz="4" w:space="0" w:color="auto"/>
              <w:right w:val="nil"/>
            </w:tcBorders>
            <w:noWrap/>
            <w:hideMark/>
          </w:tcPr>
          <w:p w14:paraId="05042919" w14:textId="77777777" w:rsidR="008C0AF9" w:rsidRPr="001766C1" w:rsidRDefault="008C0AF9" w:rsidP="00197A0C">
            <w:pPr>
              <w:rPr>
                <w:rFonts w:asciiTheme="majorBidi" w:hAnsiTheme="majorBidi" w:cstheme="majorBidi"/>
                <w:color w:val="000000"/>
                <w:sz w:val="20"/>
                <w:szCs w:val="20"/>
              </w:rPr>
            </w:pPr>
            <w:r w:rsidRPr="001766C1">
              <w:rPr>
                <w:rFonts w:asciiTheme="majorBidi" w:hAnsiTheme="majorBidi" w:cstheme="majorBidi"/>
                <w:color w:val="000000"/>
                <w:sz w:val="20"/>
                <w:szCs w:val="20"/>
              </w:rPr>
              <w:t>BF10</w:t>
            </w:r>
          </w:p>
        </w:tc>
        <w:tc>
          <w:tcPr>
            <w:tcW w:w="750" w:type="dxa"/>
            <w:tcBorders>
              <w:top w:val="single" w:sz="4" w:space="0" w:color="auto"/>
              <w:left w:val="nil"/>
              <w:bottom w:val="single" w:sz="4" w:space="0" w:color="auto"/>
              <w:right w:val="nil"/>
            </w:tcBorders>
            <w:noWrap/>
            <w:hideMark/>
          </w:tcPr>
          <w:p w14:paraId="0BA9559D" w14:textId="77777777" w:rsidR="008C0AF9" w:rsidRPr="001766C1" w:rsidRDefault="008C0AF9" w:rsidP="00197A0C">
            <w:pPr>
              <w:jc w:val="center"/>
              <w:rPr>
                <w:rFonts w:asciiTheme="majorBidi" w:hAnsiTheme="majorBidi" w:cstheme="majorBidi"/>
                <w:color w:val="000000"/>
                <w:sz w:val="20"/>
                <w:szCs w:val="20"/>
              </w:rPr>
            </w:pPr>
            <w:r w:rsidRPr="001766C1">
              <w:rPr>
                <w:rFonts w:asciiTheme="majorBidi" w:hAnsiTheme="majorBidi" w:cstheme="majorBidi"/>
                <w:color w:val="000000"/>
                <w:sz w:val="20"/>
                <w:szCs w:val="20"/>
              </w:rPr>
              <w:t>BF01</w:t>
            </w:r>
          </w:p>
        </w:tc>
        <w:tc>
          <w:tcPr>
            <w:tcW w:w="1807" w:type="dxa"/>
            <w:tcBorders>
              <w:top w:val="single" w:sz="4" w:space="0" w:color="auto"/>
              <w:left w:val="nil"/>
              <w:bottom w:val="single" w:sz="4" w:space="0" w:color="auto"/>
              <w:right w:val="nil"/>
            </w:tcBorders>
            <w:noWrap/>
            <w:hideMark/>
          </w:tcPr>
          <w:p w14:paraId="7A461DFB" w14:textId="77777777" w:rsidR="008C0AF9" w:rsidRPr="001766C1" w:rsidRDefault="008C0AF9" w:rsidP="00197A0C">
            <w:pPr>
              <w:rPr>
                <w:rFonts w:asciiTheme="majorBidi" w:hAnsiTheme="majorBidi" w:cstheme="majorBidi"/>
                <w:color w:val="000000"/>
                <w:sz w:val="20"/>
                <w:szCs w:val="20"/>
              </w:rPr>
            </w:pPr>
            <w:r w:rsidRPr="001766C1">
              <w:rPr>
                <w:rFonts w:asciiTheme="majorBidi" w:hAnsiTheme="majorBidi" w:cstheme="majorBidi"/>
                <w:color w:val="000000"/>
                <w:sz w:val="20"/>
                <w:szCs w:val="20"/>
              </w:rPr>
              <w:t>Evidence Level</w:t>
            </w:r>
          </w:p>
        </w:tc>
      </w:tr>
      <w:tr w:rsidR="008C0AF9" w:rsidRPr="001766C1" w14:paraId="4E3406EF" w14:textId="77777777" w:rsidTr="00197A0C">
        <w:trPr>
          <w:trHeight w:val="287"/>
        </w:trPr>
        <w:tc>
          <w:tcPr>
            <w:tcW w:w="1128" w:type="dxa"/>
            <w:gridSpan w:val="2"/>
            <w:tcBorders>
              <w:top w:val="nil"/>
              <w:left w:val="nil"/>
              <w:bottom w:val="nil"/>
              <w:right w:val="nil"/>
            </w:tcBorders>
            <w:noWrap/>
            <w:hideMark/>
          </w:tcPr>
          <w:p w14:paraId="66008432"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Broad</w:t>
            </w:r>
          </w:p>
        </w:tc>
        <w:tc>
          <w:tcPr>
            <w:tcW w:w="1302" w:type="dxa"/>
            <w:tcBorders>
              <w:top w:val="nil"/>
              <w:left w:val="nil"/>
              <w:bottom w:val="nil"/>
              <w:right w:val="nil"/>
            </w:tcBorders>
            <w:noWrap/>
            <w:hideMark/>
          </w:tcPr>
          <w:p w14:paraId="3CDC53C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Analytic</w:t>
            </w:r>
          </w:p>
        </w:tc>
        <w:tc>
          <w:tcPr>
            <w:tcW w:w="949" w:type="dxa"/>
            <w:tcBorders>
              <w:top w:val="nil"/>
              <w:left w:val="nil"/>
              <w:bottom w:val="nil"/>
              <w:right w:val="nil"/>
            </w:tcBorders>
            <w:noWrap/>
            <w:vAlign w:val="bottom"/>
            <w:hideMark/>
          </w:tcPr>
          <w:p w14:paraId="6B87869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-10.52</w:t>
            </w:r>
          </w:p>
        </w:tc>
        <w:tc>
          <w:tcPr>
            <w:tcW w:w="790" w:type="dxa"/>
            <w:tcBorders>
              <w:top w:val="nil"/>
              <w:left w:val="nil"/>
              <w:bottom w:val="nil"/>
              <w:right w:val="nil"/>
            </w:tcBorders>
            <w:noWrap/>
            <w:hideMark/>
          </w:tcPr>
          <w:p w14:paraId="4942FB4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29AF14C9"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-0.43</w:t>
            </w:r>
          </w:p>
        </w:tc>
        <w:tc>
          <w:tcPr>
            <w:tcW w:w="933" w:type="dxa"/>
            <w:tcBorders>
              <w:top w:val="nil"/>
              <w:left w:val="nil"/>
              <w:bottom w:val="nil"/>
              <w:right w:val="nil"/>
            </w:tcBorders>
            <w:noWrap/>
            <w:vAlign w:val="bottom"/>
            <w:hideMark/>
          </w:tcPr>
          <w:p w14:paraId="3CBD20C3"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3E9EA61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6756A49C"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01F5CFDD"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79E543D5" w14:textId="77777777" w:rsidTr="00197A0C">
        <w:trPr>
          <w:trHeight w:val="318"/>
        </w:trPr>
        <w:tc>
          <w:tcPr>
            <w:tcW w:w="1128" w:type="dxa"/>
            <w:gridSpan w:val="2"/>
            <w:tcBorders>
              <w:top w:val="nil"/>
              <w:left w:val="nil"/>
              <w:bottom w:val="nil"/>
              <w:right w:val="nil"/>
            </w:tcBorders>
            <w:noWrap/>
            <w:hideMark/>
          </w:tcPr>
          <w:p w14:paraId="3CFADAC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Broad</w:t>
            </w:r>
          </w:p>
        </w:tc>
        <w:tc>
          <w:tcPr>
            <w:tcW w:w="1302" w:type="dxa"/>
            <w:tcBorders>
              <w:top w:val="nil"/>
              <w:left w:val="nil"/>
              <w:bottom w:val="nil"/>
              <w:right w:val="nil"/>
            </w:tcBorders>
            <w:noWrap/>
            <w:hideMark/>
          </w:tcPr>
          <w:p w14:paraId="7EA756C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Authentic</w:t>
            </w:r>
          </w:p>
        </w:tc>
        <w:tc>
          <w:tcPr>
            <w:tcW w:w="949" w:type="dxa"/>
            <w:tcBorders>
              <w:top w:val="nil"/>
              <w:left w:val="nil"/>
              <w:bottom w:val="nil"/>
              <w:right w:val="nil"/>
            </w:tcBorders>
            <w:noWrap/>
            <w:vAlign w:val="bottom"/>
            <w:hideMark/>
          </w:tcPr>
          <w:p w14:paraId="74BA399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15.57</w:t>
            </w:r>
          </w:p>
        </w:tc>
        <w:tc>
          <w:tcPr>
            <w:tcW w:w="790" w:type="dxa"/>
            <w:tcBorders>
              <w:top w:val="nil"/>
              <w:left w:val="nil"/>
              <w:bottom w:val="nil"/>
              <w:right w:val="nil"/>
            </w:tcBorders>
            <w:noWrap/>
            <w:hideMark/>
          </w:tcPr>
          <w:p w14:paraId="27400909"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5EA75424"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0.61</w:t>
            </w:r>
          </w:p>
        </w:tc>
        <w:tc>
          <w:tcPr>
            <w:tcW w:w="933" w:type="dxa"/>
            <w:tcBorders>
              <w:top w:val="nil"/>
              <w:left w:val="nil"/>
              <w:bottom w:val="nil"/>
              <w:right w:val="nil"/>
            </w:tcBorders>
            <w:noWrap/>
            <w:vAlign w:val="bottom"/>
            <w:hideMark/>
          </w:tcPr>
          <w:p w14:paraId="5453D9EB"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Medium </w:t>
            </w:r>
          </w:p>
        </w:tc>
        <w:tc>
          <w:tcPr>
            <w:tcW w:w="976" w:type="dxa"/>
            <w:gridSpan w:val="2"/>
            <w:tcBorders>
              <w:top w:val="nil"/>
              <w:left w:val="nil"/>
              <w:bottom w:val="nil"/>
              <w:right w:val="nil"/>
            </w:tcBorders>
            <w:noWrap/>
            <w:hideMark/>
          </w:tcPr>
          <w:p w14:paraId="2FDBFB5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254612D2"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0C4CD071"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2A6D5714" w14:textId="77777777" w:rsidTr="00197A0C">
        <w:trPr>
          <w:trHeight w:val="318"/>
        </w:trPr>
        <w:tc>
          <w:tcPr>
            <w:tcW w:w="1128" w:type="dxa"/>
            <w:gridSpan w:val="2"/>
            <w:tcBorders>
              <w:top w:val="nil"/>
              <w:left w:val="nil"/>
              <w:bottom w:val="nil"/>
              <w:right w:val="nil"/>
            </w:tcBorders>
            <w:noWrap/>
            <w:hideMark/>
          </w:tcPr>
          <w:p w14:paraId="6B6838D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Broad</w:t>
            </w:r>
          </w:p>
        </w:tc>
        <w:tc>
          <w:tcPr>
            <w:tcW w:w="1302" w:type="dxa"/>
            <w:tcBorders>
              <w:top w:val="nil"/>
              <w:left w:val="nil"/>
              <w:bottom w:val="nil"/>
              <w:right w:val="nil"/>
            </w:tcBorders>
            <w:noWrap/>
            <w:hideMark/>
          </w:tcPr>
          <w:p w14:paraId="185970B1"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Clout</w:t>
            </w:r>
          </w:p>
        </w:tc>
        <w:tc>
          <w:tcPr>
            <w:tcW w:w="949" w:type="dxa"/>
            <w:tcBorders>
              <w:top w:val="nil"/>
              <w:left w:val="nil"/>
              <w:bottom w:val="nil"/>
              <w:right w:val="nil"/>
            </w:tcBorders>
            <w:noWrap/>
            <w:vAlign w:val="bottom"/>
            <w:hideMark/>
          </w:tcPr>
          <w:p w14:paraId="3A44EF06"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11.41</w:t>
            </w:r>
          </w:p>
        </w:tc>
        <w:tc>
          <w:tcPr>
            <w:tcW w:w="790" w:type="dxa"/>
            <w:tcBorders>
              <w:top w:val="nil"/>
              <w:left w:val="nil"/>
              <w:bottom w:val="nil"/>
              <w:right w:val="nil"/>
            </w:tcBorders>
            <w:noWrap/>
            <w:hideMark/>
          </w:tcPr>
          <w:p w14:paraId="01927FEB"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6C41F977"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0.41</w:t>
            </w:r>
          </w:p>
        </w:tc>
        <w:tc>
          <w:tcPr>
            <w:tcW w:w="933" w:type="dxa"/>
            <w:tcBorders>
              <w:top w:val="nil"/>
              <w:left w:val="nil"/>
              <w:bottom w:val="nil"/>
              <w:right w:val="nil"/>
            </w:tcBorders>
            <w:noWrap/>
            <w:vAlign w:val="bottom"/>
            <w:hideMark/>
          </w:tcPr>
          <w:p w14:paraId="3A0C32AF"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01012A8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24C97DC6"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60EACAA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1186B991" w14:textId="77777777" w:rsidTr="00197A0C">
        <w:trPr>
          <w:trHeight w:val="318"/>
        </w:trPr>
        <w:tc>
          <w:tcPr>
            <w:tcW w:w="1128" w:type="dxa"/>
            <w:gridSpan w:val="2"/>
            <w:tcBorders>
              <w:top w:val="nil"/>
              <w:left w:val="nil"/>
              <w:bottom w:val="nil"/>
              <w:right w:val="nil"/>
            </w:tcBorders>
            <w:noWrap/>
            <w:hideMark/>
          </w:tcPr>
          <w:p w14:paraId="3FB2535D"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Broad</w:t>
            </w:r>
          </w:p>
        </w:tc>
        <w:tc>
          <w:tcPr>
            <w:tcW w:w="1302" w:type="dxa"/>
            <w:tcBorders>
              <w:top w:val="nil"/>
              <w:left w:val="nil"/>
              <w:bottom w:val="nil"/>
              <w:right w:val="nil"/>
            </w:tcBorders>
            <w:noWrap/>
            <w:hideMark/>
          </w:tcPr>
          <w:p w14:paraId="3734D9F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Tone</w:t>
            </w:r>
          </w:p>
        </w:tc>
        <w:tc>
          <w:tcPr>
            <w:tcW w:w="949" w:type="dxa"/>
            <w:tcBorders>
              <w:top w:val="nil"/>
              <w:left w:val="nil"/>
              <w:bottom w:val="nil"/>
              <w:right w:val="nil"/>
            </w:tcBorders>
            <w:noWrap/>
            <w:vAlign w:val="bottom"/>
            <w:hideMark/>
          </w:tcPr>
          <w:p w14:paraId="019BE2DB"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13.75</w:t>
            </w:r>
          </w:p>
        </w:tc>
        <w:tc>
          <w:tcPr>
            <w:tcW w:w="790" w:type="dxa"/>
            <w:tcBorders>
              <w:top w:val="nil"/>
              <w:left w:val="nil"/>
              <w:bottom w:val="nil"/>
              <w:right w:val="nil"/>
            </w:tcBorders>
            <w:noWrap/>
            <w:hideMark/>
          </w:tcPr>
          <w:p w14:paraId="545AAF85"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360C517E"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0.50</w:t>
            </w:r>
          </w:p>
        </w:tc>
        <w:tc>
          <w:tcPr>
            <w:tcW w:w="933" w:type="dxa"/>
            <w:tcBorders>
              <w:top w:val="nil"/>
              <w:left w:val="nil"/>
              <w:bottom w:val="nil"/>
              <w:right w:val="nil"/>
            </w:tcBorders>
            <w:noWrap/>
            <w:vAlign w:val="bottom"/>
            <w:hideMark/>
          </w:tcPr>
          <w:p w14:paraId="119F1B5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Medium </w:t>
            </w:r>
          </w:p>
        </w:tc>
        <w:tc>
          <w:tcPr>
            <w:tcW w:w="976" w:type="dxa"/>
            <w:gridSpan w:val="2"/>
            <w:tcBorders>
              <w:top w:val="nil"/>
              <w:left w:val="nil"/>
              <w:bottom w:val="nil"/>
              <w:right w:val="nil"/>
            </w:tcBorders>
            <w:noWrap/>
            <w:hideMark/>
          </w:tcPr>
          <w:p w14:paraId="1FE9179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4C3B227F"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13A73AC8"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5F21DD38" w14:textId="77777777" w:rsidTr="00197A0C">
        <w:trPr>
          <w:trHeight w:val="318"/>
        </w:trPr>
        <w:tc>
          <w:tcPr>
            <w:tcW w:w="1128" w:type="dxa"/>
            <w:gridSpan w:val="2"/>
            <w:tcBorders>
              <w:top w:val="nil"/>
              <w:left w:val="nil"/>
              <w:bottom w:val="nil"/>
              <w:right w:val="nil"/>
            </w:tcBorders>
            <w:noWrap/>
            <w:hideMark/>
          </w:tcPr>
          <w:p w14:paraId="788997E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Linguistic</w:t>
            </w:r>
          </w:p>
        </w:tc>
        <w:tc>
          <w:tcPr>
            <w:tcW w:w="1302" w:type="dxa"/>
            <w:tcBorders>
              <w:top w:val="nil"/>
              <w:left w:val="nil"/>
              <w:bottom w:val="nil"/>
              <w:right w:val="nil"/>
            </w:tcBorders>
            <w:noWrap/>
            <w:hideMark/>
          </w:tcPr>
          <w:p w14:paraId="5195B43D"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i</w:t>
            </w:r>
          </w:p>
        </w:tc>
        <w:tc>
          <w:tcPr>
            <w:tcW w:w="949" w:type="dxa"/>
            <w:tcBorders>
              <w:top w:val="nil"/>
              <w:left w:val="nil"/>
              <w:bottom w:val="nil"/>
              <w:right w:val="nil"/>
            </w:tcBorders>
            <w:noWrap/>
            <w:vAlign w:val="bottom"/>
            <w:hideMark/>
          </w:tcPr>
          <w:p w14:paraId="773065E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-0.42</w:t>
            </w:r>
          </w:p>
        </w:tc>
        <w:tc>
          <w:tcPr>
            <w:tcW w:w="790" w:type="dxa"/>
            <w:tcBorders>
              <w:top w:val="nil"/>
              <w:left w:val="nil"/>
              <w:bottom w:val="nil"/>
              <w:right w:val="nil"/>
            </w:tcBorders>
            <w:noWrap/>
            <w:hideMark/>
          </w:tcPr>
          <w:p w14:paraId="16C1E4F3"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0.68</w:t>
            </w:r>
          </w:p>
        </w:tc>
        <w:tc>
          <w:tcPr>
            <w:tcW w:w="725" w:type="dxa"/>
            <w:tcBorders>
              <w:top w:val="nil"/>
              <w:left w:val="nil"/>
              <w:bottom w:val="nil"/>
              <w:right w:val="nil"/>
            </w:tcBorders>
            <w:noWrap/>
            <w:vAlign w:val="bottom"/>
            <w:hideMark/>
          </w:tcPr>
          <w:p w14:paraId="27790157"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-0.02</w:t>
            </w:r>
          </w:p>
        </w:tc>
        <w:tc>
          <w:tcPr>
            <w:tcW w:w="933" w:type="dxa"/>
            <w:tcBorders>
              <w:top w:val="nil"/>
              <w:left w:val="nil"/>
              <w:bottom w:val="nil"/>
              <w:right w:val="nil"/>
            </w:tcBorders>
            <w:noWrap/>
            <w:vAlign w:val="bottom"/>
            <w:hideMark/>
          </w:tcPr>
          <w:p w14:paraId="68352FE2"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Trivial </w:t>
            </w:r>
          </w:p>
        </w:tc>
        <w:tc>
          <w:tcPr>
            <w:tcW w:w="976" w:type="dxa"/>
            <w:gridSpan w:val="2"/>
            <w:tcBorders>
              <w:top w:val="nil"/>
              <w:left w:val="nil"/>
              <w:bottom w:val="nil"/>
              <w:right w:val="nil"/>
            </w:tcBorders>
            <w:noWrap/>
            <w:hideMark/>
          </w:tcPr>
          <w:p w14:paraId="5B7AE3AA"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0.04</w:t>
            </w:r>
          </w:p>
        </w:tc>
        <w:tc>
          <w:tcPr>
            <w:tcW w:w="750" w:type="dxa"/>
            <w:tcBorders>
              <w:top w:val="nil"/>
              <w:left w:val="nil"/>
              <w:bottom w:val="nil"/>
              <w:right w:val="nil"/>
            </w:tcBorders>
            <w:noWrap/>
            <w:hideMark/>
          </w:tcPr>
          <w:p w14:paraId="147CE68C"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23.32</w:t>
            </w:r>
          </w:p>
        </w:tc>
        <w:tc>
          <w:tcPr>
            <w:tcW w:w="1807" w:type="dxa"/>
            <w:tcBorders>
              <w:top w:val="nil"/>
              <w:left w:val="nil"/>
              <w:bottom w:val="nil"/>
              <w:right w:val="nil"/>
            </w:tcBorders>
            <w:noWrap/>
            <w:hideMark/>
          </w:tcPr>
          <w:p w14:paraId="16A55105"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Strong for H0</w:t>
            </w:r>
          </w:p>
        </w:tc>
      </w:tr>
      <w:tr w:rsidR="008C0AF9" w:rsidRPr="001766C1" w14:paraId="0BBE396D" w14:textId="77777777" w:rsidTr="00197A0C">
        <w:trPr>
          <w:trHeight w:val="318"/>
        </w:trPr>
        <w:tc>
          <w:tcPr>
            <w:tcW w:w="1128" w:type="dxa"/>
            <w:gridSpan w:val="2"/>
            <w:tcBorders>
              <w:top w:val="nil"/>
              <w:left w:val="nil"/>
              <w:bottom w:val="nil"/>
              <w:right w:val="nil"/>
            </w:tcBorders>
            <w:noWrap/>
            <w:hideMark/>
          </w:tcPr>
          <w:p w14:paraId="3130943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Linguistic</w:t>
            </w:r>
          </w:p>
        </w:tc>
        <w:tc>
          <w:tcPr>
            <w:tcW w:w="1302" w:type="dxa"/>
            <w:tcBorders>
              <w:top w:val="nil"/>
              <w:left w:val="nil"/>
              <w:bottom w:val="nil"/>
              <w:right w:val="nil"/>
            </w:tcBorders>
            <w:noWrap/>
            <w:hideMark/>
          </w:tcPr>
          <w:p w14:paraId="2FB3113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we</w:t>
            </w:r>
          </w:p>
        </w:tc>
        <w:tc>
          <w:tcPr>
            <w:tcW w:w="949" w:type="dxa"/>
            <w:tcBorders>
              <w:top w:val="nil"/>
              <w:left w:val="nil"/>
              <w:bottom w:val="nil"/>
              <w:right w:val="nil"/>
            </w:tcBorders>
            <w:noWrap/>
            <w:vAlign w:val="bottom"/>
            <w:hideMark/>
          </w:tcPr>
          <w:p w14:paraId="03A95CC1"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-7.22</w:t>
            </w:r>
          </w:p>
        </w:tc>
        <w:tc>
          <w:tcPr>
            <w:tcW w:w="790" w:type="dxa"/>
            <w:tcBorders>
              <w:top w:val="nil"/>
              <w:left w:val="nil"/>
              <w:bottom w:val="nil"/>
              <w:right w:val="nil"/>
            </w:tcBorders>
            <w:noWrap/>
            <w:hideMark/>
          </w:tcPr>
          <w:p w14:paraId="13581ACD"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3608F746"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-0.27</w:t>
            </w:r>
          </w:p>
        </w:tc>
        <w:tc>
          <w:tcPr>
            <w:tcW w:w="933" w:type="dxa"/>
            <w:tcBorders>
              <w:top w:val="nil"/>
              <w:left w:val="nil"/>
              <w:bottom w:val="nil"/>
              <w:right w:val="nil"/>
            </w:tcBorders>
            <w:noWrap/>
            <w:vAlign w:val="bottom"/>
            <w:hideMark/>
          </w:tcPr>
          <w:p w14:paraId="1103193D"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3EEC06B6"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7FCA4DE1"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0F1AA1C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694230E8" w14:textId="77777777" w:rsidTr="00197A0C">
        <w:trPr>
          <w:trHeight w:val="318"/>
        </w:trPr>
        <w:tc>
          <w:tcPr>
            <w:tcW w:w="1128" w:type="dxa"/>
            <w:gridSpan w:val="2"/>
            <w:tcBorders>
              <w:top w:val="nil"/>
              <w:left w:val="nil"/>
              <w:bottom w:val="nil"/>
              <w:right w:val="nil"/>
            </w:tcBorders>
            <w:noWrap/>
            <w:hideMark/>
          </w:tcPr>
          <w:p w14:paraId="1BADB90E"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Linguistic</w:t>
            </w:r>
          </w:p>
        </w:tc>
        <w:tc>
          <w:tcPr>
            <w:tcW w:w="1302" w:type="dxa"/>
            <w:tcBorders>
              <w:top w:val="nil"/>
              <w:left w:val="nil"/>
              <w:bottom w:val="nil"/>
              <w:right w:val="nil"/>
            </w:tcBorders>
            <w:noWrap/>
            <w:hideMark/>
          </w:tcPr>
          <w:p w14:paraId="72A1193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shehe</w:t>
            </w:r>
          </w:p>
        </w:tc>
        <w:tc>
          <w:tcPr>
            <w:tcW w:w="949" w:type="dxa"/>
            <w:tcBorders>
              <w:top w:val="nil"/>
              <w:left w:val="nil"/>
              <w:bottom w:val="nil"/>
              <w:right w:val="nil"/>
            </w:tcBorders>
            <w:noWrap/>
            <w:vAlign w:val="bottom"/>
            <w:hideMark/>
          </w:tcPr>
          <w:p w14:paraId="29521A1E"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-23.95</w:t>
            </w:r>
          </w:p>
        </w:tc>
        <w:tc>
          <w:tcPr>
            <w:tcW w:w="790" w:type="dxa"/>
            <w:tcBorders>
              <w:top w:val="nil"/>
              <w:left w:val="nil"/>
              <w:bottom w:val="nil"/>
              <w:right w:val="nil"/>
            </w:tcBorders>
            <w:noWrap/>
            <w:hideMark/>
          </w:tcPr>
          <w:p w14:paraId="4DC0CC89"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7873833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-1.03</w:t>
            </w:r>
          </w:p>
        </w:tc>
        <w:tc>
          <w:tcPr>
            <w:tcW w:w="933" w:type="dxa"/>
            <w:tcBorders>
              <w:top w:val="nil"/>
              <w:left w:val="nil"/>
              <w:bottom w:val="nil"/>
              <w:right w:val="nil"/>
            </w:tcBorders>
            <w:noWrap/>
            <w:vAlign w:val="bottom"/>
            <w:hideMark/>
          </w:tcPr>
          <w:p w14:paraId="027E31A6"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Large </w:t>
            </w:r>
          </w:p>
        </w:tc>
        <w:tc>
          <w:tcPr>
            <w:tcW w:w="976" w:type="dxa"/>
            <w:gridSpan w:val="2"/>
            <w:tcBorders>
              <w:top w:val="nil"/>
              <w:left w:val="nil"/>
              <w:bottom w:val="nil"/>
              <w:right w:val="nil"/>
            </w:tcBorders>
            <w:noWrap/>
            <w:hideMark/>
          </w:tcPr>
          <w:p w14:paraId="3E435E3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3982EEBA"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6F0D389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43438707" w14:textId="77777777" w:rsidTr="00197A0C">
        <w:trPr>
          <w:trHeight w:val="318"/>
        </w:trPr>
        <w:tc>
          <w:tcPr>
            <w:tcW w:w="1128" w:type="dxa"/>
            <w:gridSpan w:val="2"/>
            <w:tcBorders>
              <w:top w:val="nil"/>
              <w:left w:val="nil"/>
              <w:bottom w:val="nil"/>
              <w:right w:val="nil"/>
            </w:tcBorders>
            <w:noWrap/>
            <w:hideMark/>
          </w:tcPr>
          <w:p w14:paraId="2B5B2BF1"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Linguistic</w:t>
            </w:r>
          </w:p>
        </w:tc>
        <w:tc>
          <w:tcPr>
            <w:tcW w:w="1302" w:type="dxa"/>
            <w:tcBorders>
              <w:top w:val="nil"/>
              <w:left w:val="nil"/>
              <w:bottom w:val="nil"/>
              <w:right w:val="nil"/>
            </w:tcBorders>
            <w:noWrap/>
            <w:hideMark/>
          </w:tcPr>
          <w:p w14:paraId="63B19976"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they</w:t>
            </w:r>
          </w:p>
        </w:tc>
        <w:tc>
          <w:tcPr>
            <w:tcW w:w="949" w:type="dxa"/>
            <w:tcBorders>
              <w:top w:val="nil"/>
              <w:left w:val="nil"/>
              <w:bottom w:val="nil"/>
              <w:right w:val="nil"/>
            </w:tcBorders>
            <w:noWrap/>
            <w:vAlign w:val="bottom"/>
            <w:hideMark/>
          </w:tcPr>
          <w:p w14:paraId="2F5926B3"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-17.45</w:t>
            </w:r>
          </w:p>
        </w:tc>
        <w:tc>
          <w:tcPr>
            <w:tcW w:w="790" w:type="dxa"/>
            <w:tcBorders>
              <w:top w:val="nil"/>
              <w:left w:val="nil"/>
              <w:bottom w:val="nil"/>
              <w:right w:val="nil"/>
            </w:tcBorders>
            <w:noWrap/>
            <w:hideMark/>
          </w:tcPr>
          <w:p w14:paraId="0A2E6AE9"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31C823DE"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-0.74</w:t>
            </w:r>
          </w:p>
        </w:tc>
        <w:tc>
          <w:tcPr>
            <w:tcW w:w="933" w:type="dxa"/>
            <w:tcBorders>
              <w:top w:val="nil"/>
              <w:left w:val="nil"/>
              <w:bottom w:val="nil"/>
              <w:right w:val="nil"/>
            </w:tcBorders>
            <w:noWrap/>
            <w:vAlign w:val="bottom"/>
            <w:hideMark/>
          </w:tcPr>
          <w:p w14:paraId="6614D077"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Medium </w:t>
            </w:r>
          </w:p>
        </w:tc>
        <w:tc>
          <w:tcPr>
            <w:tcW w:w="976" w:type="dxa"/>
            <w:gridSpan w:val="2"/>
            <w:tcBorders>
              <w:top w:val="nil"/>
              <w:left w:val="nil"/>
              <w:bottom w:val="nil"/>
              <w:right w:val="nil"/>
            </w:tcBorders>
            <w:noWrap/>
            <w:hideMark/>
          </w:tcPr>
          <w:p w14:paraId="478E56B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3AA2BE58"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106D1176"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19660640" w14:textId="77777777" w:rsidTr="00197A0C">
        <w:trPr>
          <w:trHeight w:val="318"/>
        </w:trPr>
        <w:tc>
          <w:tcPr>
            <w:tcW w:w="1128" w:type="dxa"/>
            <w:gridSpan w:val="2"/>
            <w:tcBorders>
              <w:top w:val="nil"/>
              <w:left w:val="nil"/>
              <w:bottom w:val="nil"/>
              <w:right w:val="nil"/>
            </w:tcBorders>
            <w:noWrap/>
            <w:hideMark/>
          </w:tcPr>
          <w:p w14:paraId="109FE300"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Psych.</w:t>
            </w:r>
          </w:p>
        </w:tc>
        <w:tc>
          <w:tcPr>
            <w:tcW w:w="1302" w:type="dxa"/>
            <w:tcBorders>
              <w:top w:val="nil"/>
              <w:left w:val="nil"/>
              <w:bottom w:val="nil"/>
              <w:right w:val="nil"/>
            </w:tcBorders>
            <w:noWrap/>
            <w:hideMark/>
          </w:tcPr>
          <w:p w14:paraId="60D4271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emo_pos</w:t>
            </w:r>
          </w:p>
        </w:tc>
        <w:tc>
          <w:tcPr>
            <w:tcW w:w="949" w:type="dxa"/>
            <w:tcBorders>
              <w:top w:val="nil"/>
              <w:left w:val="nil"/>
              <w:bottom w:val="nil"/>
              <w:right w:val="nil"/>
            </w:tcBorders>
            <w:noWrap/>
            <w:vAlign w:val="bottom"/>
            <w:hideMark/>
          </w:tcPr>
          <w:p w14:paraId="45ED01D0"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7</w:t>
            </w:r>
          </w:p>
        </w:tc>
        <w:tc>
          <w:tcPr>
            <w:tcW w:w="790" w:type="dxa"/>
            <w:tcBorders>
              <w:top w:val="nil"/>
              <w:left w:val="nil"/>
              <w:bottom w:val="nil"/>
              <w:right w:val="nil"/>
            </w:tcBorders>
            <w:noWrap/>
            <w:hideMark/>
          </w:tcPr>
          <w:p w14:paraId="306B5B96"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21A546DC"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0.27</w:t>
            </w:r>
          </w:p>
        </w:tc>
        <w:tc>
          <w:tcPr>
            <w:tcW w:w="933" w:type="dxa"/>
            <w:tcBorders>
              <w:top w:val="nil"/>
              <w:left w:val="nil"/>
              <w:bottom w:val="nil"/>
              <w:right w:val="nil"/>
            </w:tcBorders>
            <w:noWrap/>
            <w:vAlign w:val="bottom"/>
            <w:hideMark/>
          </w:tcPr>
          <w:p w14:paraId="5C9C36B1"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Small</w:t>
            </w:r>
          </w:p>
        </w:tc>
        <w:tc>
          <w:tcPr>
            <w:tcW w:w="976" w:type="dxa"/>
            <w:gridSpan w:val="2"/>
            <w:tcBorders>
              <w:top w:val="nil"/>
              <w:left w:val="nil"/>
              <w:bottom w:val="nil"/>
              <w:right w:val="nil"/>
            </w:tcBorders>
            <w:noWrap/>
            <w:hideMark/>
          </w:tcPr>
          <w:p w14:paraId="6FEB1D28"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29CA8736"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59B1E9D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0F8124DC" w14:textId="77777777" w:rsidTr="00197A0C">
        <w:trPr>
          <w:trHeight w:val="318"/>
        </w:trPr>
        <w:tc>
          <w:tcPr>
            <w:tcW w:w="1128" w:type="dxa"/>
            <w:gridSpan w:val="2"/>
            <w:tcBorders>
              <w:top w:val="nil"/>
              <w:left w:val="nil"/>
              <w:bottom w:val="nil"/>
              <w:right w:val="nil"/>
            </w:tcBorders>
            <w:noWrap/>
            <w:hideMark/>
          </w:tcPr>
          <w:p w14:paraId="7A0A90D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Psych.</w:t>
            </w:r>
          </w:p>
        </w:tc>
        <w:tc>
          <w:tcPr>
            <w:tcW w:w="1302" w:type="dxa"/>
            <w:tcBorders>
              <w:top w:val="nil"/>
              <w:left w:val="nil"/>
              <w:bottom w:val="nil"/>
              <w:right w:val="nil"/>
            </w:tcBorders>
            <w:noWrap/>
            <w:hideMark/>
          </w:tcPr>
          <w:p w14:paraId="0263DF9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emo_neg</w:t>
            </w:r>
          </w:p>
        </w:tc>
        <w:tc>
          <w:tcPr>
            <w:tcW w:w="949" w:type="dxa"/>
            <w:tcBorders>
              <w:top w:val="nil"/>
              <w:left w:val="nil"/>
              <w:bottom w:val="nil"/>
              <w:right w:val="nil"/>
            </w:tcBorders>
            <w:noWrap/>
            <w:vAlign w:val="bottom"/>
            <w:hideMark/>
          </w:tcPr>
          <w:p w14:paraId="4C85D9B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20.</w:t>
            </w:r>
            <w:r>
              <w:rPr>
                <w:rFonts w:asciiTheme="majorBidi" w:hAnsiTheme="majorBidi" w:cstheme="majorBidi"/>
                <w:color w:val="000000"/>
                <w:sz w:val="20"/>
                <w:szCs w:val="20"/>
              </w:rPr>
              <w:t>9</w:t>
            </w:r>
          </w:p>
        </w:tc>
        <w:tc>
          <w:tcPr>
            <w:tcW w:w="790" w:type="dxa"/>
            <w:tcBorders>
              <w:top w:val="nil"/>
              <w:left w:val="nil"/>
              <w:bottom w:val="nil"/>
              <w:right w:val="nil"/>
            </w:tcBorders>
            <w:noWrap/>
            <w:hideMark/>
          </w:tcPr>
          <w:p w14:paraId="45FDC887"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3402B05F"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0.78</w:t>
            </w:r>
          </w:p>
        </w:tc>
        <w:tc>
          <w:tcPr>
            <w:tcW w:w="933" w:type="dxa"/>
            <w:tcBorders>
              <w:top w:val="nil"/>
              <w:left w:val="nil"/>
              <w:bottom w:val="nil"/>
              <w:right w:val="nil"/>
            </w:tcBorders>
            <w:noWrap/>
            <w:vAlign w:val="bottom"/>
            <w:hideMark/>
          </w:tcPr>
          <w:p w14:paraId="6634F15E"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Medium</w:t>
            </w:r>
          </w:p>
        </w:tc>
        <w:tc>
          <w:tcPr>
            <w:tcW w:w="976" w:type="dxa"/>
            <w:gridSpan w:val="2"/>
            <w:tcBorders>
              <w:top w:val="nil"/>
              <w:left w:val="nil"/>
              <w:bottom w:val="nil"/>
              <w:right w:val="nil"/>
            </w:tcBorders>
            <w:noWrap/>
            <w:hideMark/>
          </w:tcPr>
          <w:p w14:paraId="181CA09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1D492A28"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1AE2F296"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1F62A4D1" w14:textId="77777777" w:rsidTr="00197A0C">
        <w:trPr>
          <w:trHeight w:val="318"/>
        </w:trPr>
        <w:tc>
          <w:tcPr>
            <w:tcW w:w="1128" w:type="dxa"/>
            <w:gridSpan w:val="2"/>
            <w:tcBorders>
              <w:top w:val="nil"/>
              <w:left w:val="nil"/>
              <w:bottom w:val="nil"/>
              <w:right w:val="nil"/>
            </w:tcBorders>
            <w:noWrap/>
            <w:hideMark/>
          </w:tcPr>
          <w:p w14:paraId="686FC08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Psych.</w:t>
            </w:r>
          </w:p>
        </w:tc>
        <w:tc>
          <w:tcPr>
            <w:tcW w:w="1302" w:type="dxa"/>
            <w:tcBorders>
              <w:top w:val="nil"/>
              <w:left w:val="nil"/>
              <w:bottom w:val="nil"/>
              <w:right w:val="nil"/>
            </w:tcBorders>
            <w:noWrap/>
            <w:hideMark/>
          </w:tcPr>
          <w:p w14:paraId="22399BC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 xml:space="preserve">family </w:t>
            </w:r>
          </w:p>
        </w:tc>
        <w:tc>
          <w:tcPr>
            <w:tcW w:w="949" w:type="dxa"/>
            <w:tcBorders>
              <w:top w:val="nil"/>
              <w:left w:val="nil"/>
              <w:bottom w:val="nil"/>
              <w:right w:val="nil"/>
            </w:tcBorders>
            <w:noWrap/>
            <w:vAlign w:val="bottom"/>
            <w:hideMark/>
          </w:tcPr>
          <w:p w14:paraId="171A5653"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w:t>
            </w:r>
            <w:r>
              <w:rPr>
                <w:rFonts w:asciiTheme="majorBidi" w:hAnsiTheme="majorBidi" w:cstheme="majorBidi"/>
                <w:color w:val="000000"/>
                <w:sz w:val="20"/>
                <w:szCs w:val="20"/>
              </w:rPr>
              <w:t>19.63</w:t>
            </w:r>
          </w:p>
        </w:tc>
        <w:tc>
          <w:tcPr>
            <w:tcW w:w="790" w:type="dxa"/>
            <w:tcBorders>
              <w:top w:val="nil"/>
              <w:left w:val="nil"/>
              <w:bottom w:val="nil"/>
              <w:right w:val="nil"/>
            </w:tcBorders>
            <w:noWrap/>
            <w:hideMark/>
          </w:tcPr>
          <w:p w14:paraId="686E5BA2"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6CBE3981"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-0.85</w:t>
            </w:r>
          </w:p>
        </w:tc>
        <w:tc>
          <w:tcPr>
            <w:tcW w:w="933" w:type="dxa"/>
            <w:tcBorders>
              <w:top w:val="nil"/>
              <w:left w:val="nil"/>
              <w:bottom w:val="nil"/>
              <w:right w:val="nil"/>
            </w:tcBorders>
            <w:noWrap/>
            <w:vAlign w:val="bottom"/>
            <w:hideMark/>
          </w:tcPr>
          <w:p w14:paraId="58B0FA0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Large </w:t>
            </w:r>
          </w:p>
        </w:tc>
        <w:tc>
          <w:tcPr>
            <w:tcW w:w="976" w:type="dxa"/>
            <w:gridSpan w:val="2"/>
            <w:tcBorders>
              <w:top w:val="nil"/>
              <w:left w:val="nil"/>
              <w:bottom w:val="nil"/>
              <w:right w:val="nil"/>
            </w:tcBorders>
            <w:noWrap/>
            <w:hideMark/>
          </w:tcPr>
          <w:p w14:paraId="1874DB9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56195C7D"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25FE146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334612D3" w14:textId="77777777" w:rsidTr="00197A0C">
        <w:trPr>
          <w:trHeight w:val="318"/>
        </w:trPr>
        <w:tc>
          <w:tcPr>
            <w:tcW w:w="1128" w:type="dxa"/>
            <w:gridSpan w:val="2"/>
            <w:tcBorders>
              <w:top w:val="nil"/>
              <w:left w:val="nil"/>
              <w:bottom w:val="nil"/>
              <w:right w:val="nil"/>
            </w:tcBorders>
            <w:noWrap/>
            <w:hideMark/>
          </w:tcPr>
          <w:p w14:paraId="2659AC23"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Psych.</w:t>
            </w:r>
          </w:p>
        </w:tc>
        <w:tc>
          <w:tcPr>
            <w:tcW w:w="1302" w:type="dxa"/>
            <w:tcBorders>
              <w:top w:val="nil"/>
              <w:left w:val="nil"/>
              <w:bottom w:val="nil"/>
              <w:right w:val="nil"/>
            </w:tcBorders>
            <w:noWrap/>
            <w:hideMark/>
          </w:tcPr>
          <w:p w14:paraId="592D75C2"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 xml:space="preserve">friends </w:t>
            </w:r>
          </w:p>
        </w:tc>
        <w:tc>
          <w:tcPr>
            <w:tcW w:w="949" w:type="dxa"/>
            <w:tcBorders>
              <w:top w:val="nil"/>
              <w:left w:val="nil"/>
              <w:bottom w:val="nil"/>
              <w:right w:val="nil"/>
            </w:tcBorders>
            <w:noWrap/>
            <w:vAlign w:val="bottom"/>
            <w:hideMark/>
          </w:tcPr>
          <w:p w14:paraId="400B726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w:t>
            </w:r>
            <w:r>
              <w:rPr>
                <w:rFonts w:asciiTheme="majorBidi" w:hAnsiTheme="majorBidi" w:cstheme="majorBidi"/>
                <w:color w:val="000000"/>
                <w:sz w:val="20"/>
                <w:szCs w:val="20"/>
              </w:rPr>
              <w:t>8.36</w:t>
            </w:r>
          </w:p>
        </w:tc>
        <w:tc>
          <w:tcPr>
            <w:tcW w:w="790" w:type="dxa"/>
            <w:tcBorders>
              <w:top w:val="nil"/>
              <w:left w:val="nil"/>
              <w:bottom w:val="nil"/>
              <w:right w:val="nil"/>
            </w:tcBorders>
            <w:noWrap/>
            <w:hideMark/>
          </w:tcPr>
          <w:p w14:paraId="1231054E"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7DA54F0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-0.34</w:t>
            </w:r>
          </w:p>
        </w:tc>
        <w:tc>
          <w:tcPr>
            <w:tcW w:w="933" w:type="dxa"/>
            <w:tcBorders>
              <w:top w:val="nil"/>
              <w:left w:val="nil"/>
              <w:bottom w:val="nil"/>
              <w:right w:val="nil"/>
            </w:tcBorders>
            <w:noWrap/>
            <w:vAlign w:val="bottom"/>
            <w:hideMark/>
          </w:tcPr>
          <w:p w14:paraId="49D5F3F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2FFD59EB"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256F6AA2"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3E5A8FA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0ECFDB60" w14:textId="77777777" w:rsidTr="00197A0C">
        <w:trPr>
          <w:trHeight w:val="318"/>
        </w:trPr>
        <w:tc>
          <w:tcPr>
            <w:tcW w:w="1128" w:type="dxa"/>
            <w:gridSpan w:val="2"/>
            <w:tcBorders>
              <w:top w:val="nil"/>
              <w:left w:val="nil"/>
              <w:bottom w:val="nil"/>
              <w:right w:val="nil"/>
            </w:tcBorders>
            <w:noWrap/>
            <w:hideMark/>
          </w:tcPr>
          <w:p w14:paraId="224CE69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Psych.</w:t>
            </w:r>
          </w:p>
        </w:tc>
        <w:tc>
          <w:tcPr>
            <w:tcW w:w="1302" w:type="dxa"/>
            <w:tcBorders>
              <w:top w:val="nil"/>
              <w:left w:val="nil"/>
              <w:bottom w:val="nil"/>
              <w:right w:val="nil"/>
            </w:tcBorders>
            <w:noWrap/>
            <w:hideMark/>
          </w:tcPr>
          <w:p w14:paraId="7B381D8D"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 xml:space="preserve">causation </w:t>
            </w:r>
          </w:p>
        </w:tc>
        <w:tc>
          <w:tcPr>
            <w:tcW w:w="949" w:type="dxa"/>
            <w:tcBorders>
              <w:top w:val="nil"/>
              <w:left w:val="nil"/>
              <w:bottom w:val="nil"/>
              <w:right w:val="nil"/>
            </w:tcBorders>
            <w:noWrap/>
            <w:vAlign w:val="bottom"/>
            <w:hideMark/>
          </w:tcPr>
          <w:p w14:paraId="32D2A87A"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9.38</w:t>
            </w:r>
          </w:p>
        </w:tc>
        <w:tc>
          <w:tcPr>
            <w:tcW w:w="790" w:type="dxa"/>
            <w:tcBorders>
              <w:top w:val="nil"/>
              <w:left w:val="nil"/>
              <w:bottom w:val="nil"/>
              <w:right w:val="nil"/>
            </w:tcBorders>
            <w:noWrap/>
            <w:hideMark/>
          </w:tcPr>
          <w:p w14:paraId="56962CB5"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5A3DF42B"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0.37</w:t>
            </w:r>
          </w:p>
        </w:tc>
        <w:tc>
          <w:tcPr>
            <w:tcW w:w="933" w:type="dxa"/>
            <w:tcBorders>
              <w:top w:val="nil"/>
              <w:left w:val="nil"/>
              <w:bottom w:val="nil"/>
              <w:right w:val="nil"/>
            </w:tcBorders>
            <w:noWrap/>
            <w:vAlign w:val="bottom"/>
            <w:hideMark/>
          </w:tcPr>
          <w:p w14:paraId="15CCFC5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73F9BD4B"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4EDFD3B7"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7BC9FBD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02228294" w14:textId="77777777" w:rsidTr="00197A0C">
        <w:trPr>
          <w:trHeight w:val="318"/>
        </w:trPr>
        <w:tc>
          <w:tcPr>
            <w:tcW w:w="1128" w:type="dxa"/>
            <w:gridSpan w:val="2"/>
            <w:tcBorders>
              <w:top w:val="nil"/>
              <w:left w:val="nil"/>
              <w:bottom w:val="nil"/>
              <w:right w:val="nil"/>
            </w:tcBorders>
            <w:noWrap/>
          </w:tcPr>
          <w:p w14:paraId="571FAB0B"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Psych.</w:t>
            </w:r>
          </w:p>
        </w:tc>
        <w:tc>
          <w:tcPr>
            <w:tcW w:w="1302" w:type="dxa"/>
            <w:tcBorders>
              <w:top w:val="nil"/>
              <w:left w:val="nil"/>
              <w:bottom w:val="nil"/>
              <w:right w:val="nil"/>
            </w:tcBorders>
            <w:noWrap/>
          </w:tcPr>
          <w:p w14:paraId="74F1B58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insight</w:t>
            </w:r>
          </w:p>
        </w:tc>
        <w:tc>
          <w:tcPr>
            <w:tcW w:w="949" w:type="dxa"/>
            <w:tcBorders>
              <w:top w:val="nil"/>
              <w:left w:val="nil"/>
              <w:bottom w:val="nil"/>
              <w:right w:val="nil"/>
            </w:tcBorders>
            <w:noWrap/>
            <w:vAlign w:val="bottom"/>
          </w:tcPr>
          <w:p w14:paraId="77CE423A"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29.75</w:t>
            </w:r>
          </w:p>
        </w:tc>
        <w:tc>
          <w:tcPr>
            <w:tcW w:w="790" w:type="dxa"/>
            <w:tcBorders>
              <w:top w:val="nil"/>
              <w:left w:val="nil"/>
              <w:bottom w:val="nil"/>
              <w:right w:val="nil"/>
            </w:tcBorders>
            <w:noWrap/>
          </w:tcPr>
          <w:p w14:paraId="3ECF95D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tcPr>
          <w:p w14:paraId="3CB4532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1.18</w:t>
            </w:r>
          </w:p>
        </w:tc>
        <w:tc>
          <w:tcPr>
            <w:tcW w:w="933" w:type="dxa"/>
            <w:tcBorders>
              <w:top w:val="nil"/>
              <w:left w:val="nil"/>
              <w:bottom w:val="nil"/>
              <w:right w:val="nil"/>
            </w:tcBorders>
            <w:noWrap/>
            <w:vAlign w:val="bottom"/>
          </w:tcPr>
          <w:p w14:paraId="6CE747F9"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Large </w:t>
            </w:r>
          </w:p>
        </w:tc>
        <w:tc>
          <w:tcPr>
            <w:tcW w:w="976" w:type="dxa"/>
            <w:gridSpan w:val="2"/>
            <w:tcBorders>
              <w:top w:val="nil"/>
              <w:left w:val="nil"/>
              <w:bottom w:val="nil"/>
              <w:right w:val="nil"/>
            </w:tcBorders>
            <w:noWrap/>
          </w:tcPr>
          <w:p w14:paraId="7FC113DD"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tcPr>
          <w:p w14:paraId="2D240198"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tcPr>
          <w:p w14:paraId="595DE4E1"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Extreme for H1</w:t>
            </w:r>
          </w:p>
        </w:tc>
      </w:tr>
      <w:tr w:rsidR="008C0AF9" w:rsidRPr="001766C1" w14:paraId="024AA6D8" w14:textId="77777777" w:rsidTr="00197A0C">
        <w:trPr>
          <w:trHeight w:val="318"/>
        </w:trPr>
        <w:tc>
          <w:tcPr>
            <w:tcW w:w="1128" w:type="dxa"/>
            <w:gridSpan w:val="2"/>
            <w:tcBorders>
              <w:top w:val="nil"/>
              <w:left w:val="nil"/>
              <w:bottom w:val="nil"/>
              <w:right w:val="nil"/>
            </w:tcBorders>
            <w:noWrap/>
            <w:hideMark/>
          </w:tcPr>
          <w:p w14:paraId="00F81E6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Psych.</w:t>
            </w:r>
          </w:p>
        </w:tc>
        <w:tc>
          <w:tcPr>
            <w:tcW w:w="1302" w:type="dxa"/>
            <w:tcBorders>
              <w:top w:val="nil"/>
              <w:left w:val="nil"/>
              <w:bottom w:val="nil"/>
              <w:right w:val="nil"/>
            </w:tcBorders>
            <w:noWrap/>
            <w:hideMark/>
          </w:tcPr>
          <w:p w14:paraId="49B2A5C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visual</w:t>
            </w:r>
          </w:p>
        </w:tc>
        <w:tc>
          <w:tcPr>
            <w:tcW w:w="949" w:type="dxa"/>
            <w:tcBorders>
              <w:top w:val="nil"/>
              <w:left w:val="nil"/>
              <w:bottom w:val="nil"/>
              <w:right w:val="nil"/>
            </w:tcBorders>
            <w:noWrap/>
            <w:vAlign w:val="bottom"/>
            <w:hideMark/>
          </w:tcPr>
          <w:p w14:paraId="658E2CF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w:t>
            </w:r>
            <w:r>
              <w:rPr>
                <w:rFonts w:asciiTheme="majorBidi" w:hAnsiTheme="majorBidi" w:cstheme="majorBidi"/>
                <w:color w:val="000000"/>
                <w:sz w:val="20"/>
                <w:szCs w:val="20"/>
              </w:rPr>
              <w:t>10.58</w:t>
            </w:r>
          </w:p>
        </w:tc>
        <w:tc>
          <w:tcPr>
            <w:tcW w:w="790" w:type="dxa"/>
            <w:tcBorders>
              <w:top w:val="nil"/>
              <w:left w:val="nil"/>
              <w:bottom w:val="nil"/>
              <w:right w:val="nil"/>
            </w:tcBorders>
            <w:noWrap/>
            <w:hideMark/>
          </w:tcPr>
          <w:p w14:paraId="1A5F9B2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60D01370"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-0.43</w:t>
            </w:r>
          </w:p>
        </w:tc>
        <w:tc>
          <w:tcPr>
            <w:tcW w:w="933" w:type="dxa"/>
            <w:tcBorders>
              <w:top w:val="nil"/>
              <w:left w:val="nil"/>
              <w:bottom w:val="nil"/>
              <w:right w:val="nil"/>
            </w:tcBorders>
            <w:noWrap/>
            <w:vAlign w:val="bottom"/>
            <w:hideMark/>
          </w:tcPr>
          <w:p w14:paraId="29869B96"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2C0B928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5301E285"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0A5BE41B"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Extreme for H1</w:t>
            </w:r>
          </w:p>
        </w:tc>
      </w:tr>
      <w:tr w:rsidR="008C0AF9" w:rsidRPr="001766C1" w14:paraId="44DF1B85" w14:textId="77777777" w:rsidTr="00197A0C">
        <w:trPr>
          <w:trHeight w:val="318"/>
        </w:trPr>
        <w:tc>
          <w:tcPr>
            <w:tcW w:w="1128" w:type="dxa"/>
            <w:gridSpan w:val="2"/>
            <w:tcBorders>
              <w:top w:val="nil"/>
              <w:left w:val="nil"/>
              <w:bottom w:val="nil"/>
              <w:right w:val="nil"/>
            </w:tcBorders>
            <w:noWrap/>
            <w:hideMark/>
          </w:tcPr>
          <w:p w14:paraId="04EF6771"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hideMark/>
          </w:tcPr>
          <w:p w14:paraId="6F600BA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 xml:space="preserve">auditory </w:t>
            </w:r>
          </w:p>
        </w:tc>
        <w:tc>
          <w:tcPr>
            <w:tcW w:w="949" w:type="dxa"/>
            <w:tcBorders>
              <w:top w:val="nil"/>
              <w:left w:val="nil"/>
              <w:bottom w:val="nil"/>
              <w:right w:val="nil"/>
            </w:tcBorders>
            <w:noWrap/>
            <w:vAlign w:val="bottom"/>
            <w:hideMark/>
          </w:tcPr>
          <w:p w14:paraId="52ABFFF1"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-7.10</w:t>
            </w:r>
          </w:p>
        </w:tc>
        <w:tc>
          <w:tcPr>
            <w:tcW w:w="790" w:type="dxa"/>
            <w:tcBorders>
              <w:top w:val="nil"/>
              <w:left w:val="nil"/>
              <w:bottom w:val="nil"/>
              <w:right w:val="nil"/>
            </w:tcBorders>
            <w:noWrap/>
            <w:hideMark/>
          </w:tcPr>
          <w:p w14:paraId="2B869C0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661CFD27"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-0.29</w:t>
            </w:r>
          </w:p>
        </w:tc>
        <w:tc>
          <w:tcPr>
            <w:tcW w:w="933" w:type="dxa"/>
            <w:tcBorders>
              <w:top w:val="nil"/>
              <w:left w:val="nil"/>
              <w:bottom w:val="nil"/>
              <w:right w:val="nil"/>
            </w:tcBorders>
            <w:noWrap/>
            <w:vAlign w:val="bottom"/>
            <w:hideMark/>
          </w:tcPr>
          <w:p w14:paraId="0128B2FD"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1167440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41A91875"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0F1C1F0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3C880EE6" w14:textId="77777777" w:rsidTr="00197A0C">
        <w:trPr>
          <w:trHeight w:val="318"/>
        </w:trPr>
        <w:tc>
          <w:tcPr>
            <w:tcW w:w="1128" w:type="dxa"/>
            <w:gridSpan w:val="2"/>
            <w:tcBorders>
              <w:top w:val="nil"/>
              <w:left w:val="nil"/>
              <w:bottom w:val="nil"/>
              <w:right w:val="nil"/>
            </w:tcBorders>
            <w:noWrap/>
            <w:hideMark/>
          </w:tcPr>
          <w:p w14:paraId="3E2F9E33"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hideMark/>
          </w:tcPr>
          <w:p w14:paraId="43D4DF0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feeling</w:t>
            </w:r>
          </w:p>
        </w:tc>
        <w:tc>
          <w:tcPr>
            <w:tcW w:w="949" w:type="dxa"/>
            <w:tcBorders>
              <w:top w:val="nil"/>
              <w:left w:val="nil"/>
              <w:bottom w:val="nil"/>
              <w:right w:val="nil"/>
            </w:tcBorders>
            <w:noWrap/>
            <w:vAlign w:val="bottom"/>
            <w:hideMark/>
          </w:tcPr>
          <w:p w14:paraId="587DA500"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2</w:t>
            </w:r>
            <w:r>
              <w:rPr>
                <w:rFonts w:asciiTheme="majorBidi" w:hAnsiTheme="majorBidi" w:cstheme="majorBidi"/>
                <w:color w:val="000000"/>
                <w:sz w:val="20"/>
                <w:szCs w:val="20"/>
              </w:rPr>
              <w:t>3.32</w:t>
            </w:r>
          </w:p>
        </w:tc>
        <w:tc>
          <w:tcPr>
            <w:tcW w:w="790" w:type="dxa"/>
            <w:tcBorders>
              <w:top w:val="nil"/>
              <w:left w:val="nil"/>
              <w:bottom w:val="nil"/>
              <w:right w:val="nil"/>
            </w:tcBorders>
            <w:noWrap/>
            <w:hideMark/>
          </w:tcPr>
          <w:p w14:paraId="672FE270"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330EE30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0.88</w:t>
            </w:r>
          </w:p>
        </w:tc>
        <w:tc>
          <w:tcPr>
            <w:tcW w:w="933" w:type="dxa"/>
            <w:tcBorders>
              <w:top w:val="nil"/>
              <w:left w:val="nil"/>
              <w:bottom w:val="nil"/>
              <w:right w:val="nil"/>
            </w:tcBorders>
            <w:noWrap/>
            <w:vAlign w:val="bottom"/>
            <w:hideMark/>
          </w:tcPr>
          <w:p w14:paraId="5D28D63D"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Large </w:t>
            </w:r>
          </w:p>
        </w:tc>
        <w:tc>
          <w:tcPr>
            <w:tcW w:w="976" w:type="dxa"/>
            <w:gridSpan w:val="2"/>
            <w:tcBorders>
              <w:top w:val="nil"/>
              <w:left w:val="nil"/>
              <w:bottom w:val="nil"/>
              <w:right w:val="nil"/>
            </w:tcBorders>
            <w:noWrap/>
            <w:hideMark/>
          </w:tcPr>
          <w:p w14:paraId="02AFD9AD"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2F3E6A76"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0886F59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167B27EE" w14:textId="77777777" w:rsidTr="00197A0C">
        <w:trPr>
          <w:trHeight w:val="318"/>
        </w:trPr>
        <w:tc>
          <w:tcPr>
            <w:tcW w:w="1128" w:type="dxa"/>
            <w:gridSpan w:val="2"/>
            <w:tcBorders>
              <w:top w:val="nil"/>
              <w:left w:val="nil"/>
              <w:bottom w:val="nil"/>
              <w:right w:val="nil"/>
            </w:tcBorders>
            <w:noWrap/>
            <w:hideMark/>
          </w:tcPr>
          <w:p w14:paraId="4AB0691E"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vAlign w:val="bottom"/>
            <w:hideMark/>
          </w:tcPr>
          <w:p w14:paraId="6CBD7C63"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 xml:space="preserve">illness </w:t>
            </w:r>
          </w:p>
        </w:tc>
        <w:tc>
          <w:tcPr>
            <w:tcW w:w="949" w:type="dxa"/>
            <w:tcBorders>
              <w:top w:val="nil"/>
              <w:left w:val="nil"/>
              <w:bottom w:val="nil"/>
              <w:right w:val="nil"/>
            </w:tcBorders>
            <w:noWrap/>
            <w:vAlign w:val="bottom"/>
            <w:hideMark/>
          </w:tcPr>
          <w:p w14:paraId="3C59CFA9"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8.43</w:t>
            </w:r>
          </w:p>
        </w:tc>
        <w:tc>
          <w:tcPr>
            <w:tcW w:w="790" w:type="dxa"/>
            <w:tcBorders>
              <w:top w:val="nil"/>
              <w:left w:val="nil"/>
              <w:bottom w:val="nil"/>
              <w:right w:val="nil"/>
            </w:tcBorders>
            <w:noWrap/>
            <w:hideMark/>
          </w:tcPr>
          <w:p w14:paraId="5C805D3C"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4385B4A4"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0.32</w:t>
            </w:r>
          </w:p>
        </w:tc>
        <w:tc>
          <w:tcPr>
            <w:tcW w:w="933" w:type="dxa"/>
            <w:tcBorders>
              <w:top w:val="nil"/>
              <w:left w:val="nil"/>
              <w:bottom w:val="nil"/>
              <w:right w:val="nil"/>
            </w:tcBorders>
            <w:noWrap/>
            <w:vAlign w:val="bottom"/>
            <w:hideMark/>
          </w:tcPr>
          <w:p w14:paraId="7B6FDC5A"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hideMark/>
          </w:tcPr>
          <w:p w14:paraId="0D6574A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08395CED"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1BAEA84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345FF396" w14:textId="77777777" w:rsidTr="00197A0C">
        <w:trPr>
          <w:trHeight w:val="396"/>
        </w:trPr>
        <w:tc>
          <w:tcPr>
            <w:tcW w:w="1128" w:type="dxa"/>
            <w:gridSpan w:val="2"/>
            <w:tcBorders>
              <w:top w:val="nil"/>
              <w:left w:val="nil"/>
              <w:bottom w:val="nil"/>
              <w:right w:val="nil"/>
            </w:tcBorders>
            <w:noWrap/>
            <w:hideMark/>
          </w:tcPr>
          <w:p w14:paraId="0DB79168"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vAlign w:val="bottom"/>
            <w:hideMark/>
          </w:tcPr>
          <w:p w14:paraId="5652023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wellness</w:t>
            </w:r>
          </w:p>
        </w:tc>
        <w:tc>
          <w:tcPr>
            <w:tcW w:w="949" w:type="dxa"/>
            <w:tcBorders>
              <w:top w:val="nil"/>
              <w:left w:val="nil"/>
              <w:bottom w:val="nil"/>
              <w:right w:val="nil"/>
            </w:tcBorders>
            <w:noWrap/>
            <w:vAlign w:val="bottom"/>
            <w:hideMark/>
          </w:tcPr>
          <w:p w14:paraId="232CFEF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48.94</w:t>
            </w:r>
          </w:p>
        </w:tc>
        <w:tc>
          <w:tcPr>
            <w:tcW w:w="790" w:type="dxa"/>
            <w:tcBorders>
              <w:top w:val="nil"/>
              <w:left w:val="nil"/>
              <w:bottom w:val="nil"/>
              <w:right w:val="nil"/>
            </w:tcBorders>
            <w:noWrap/>
            <w:hideMark/>
          </w:tcPr>
          <w:p w14:paraId="103DCF34"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2E42BB55"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1.53</w:t>
            </w:r>
          </w:p>
        </w:tc>
        <w:tc>
          <w:tcPr>
            <w:tcW w:w="933" w:type="dxa"/>
            <w:tcBorders>
              <w:top w:val="nil"/>
              <w:left w:val="nil"/>
              <w:bottom w:val="nil"/>
              <w:right w:val="nil"/>
            </w:tcBorders>
            <w:noWrap/>
            <w:vAlign w:val="bottom"/>
            <w:hideMark/>
          </w:tcPr>
          <w:p w14:paraId="5119839F"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Large </w:t>
            </w:r>
          </w:p>
        </w:tc>
        <w:tc>
          <w:tcPr>
            <w:tcW w:w="976" w:type="dxa"/>
            <w:gridSpan w:val="2"/>
            <w:tcBorders>
              <w:top w:val="nil"/>
              <w:left w:val="nil"/>
              <w:bottom w:val="nil"/>
              <w:right w:val="nil"/>
            </w:tcBorders>
            <w:noWrap/>
            <w:hideMark/>
          </w:tcPr>
          <w:p w14:paraId="5ADB3923"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272BCD68"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 </w:t>
            </w:r>
          </w:p>
        </w:tc>
        <w:tc>
          <w:tcPr>
            <w:tcW w:w="1807" w:type="dxa"/>
            <w:tcBorders>
              <w:top w:val="nil"/>
              <w:left w:val="nil"/>
              <w:bottom w:val="nil"/>
              <w:right w:val="nil"/>
            </w:tcBorders>
            <w:noWrap/>
            <w:hideMark/>
          </w:tcPr>
          <w:p w14:paraId="5673D28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25DD8789" w14:textId="77777777" w:rsidTr="00197A0C">
        <w:trPr>
          <w:trHeight w:val="318"/>
        </w:trPr>
        <w:tc>
          <w:tcPr>
            <w:tcW w:w="1128" w:type="dxa"/>
            <w:gridSpan w:val="2"/>
            <w:tcBorders>
              <w:top w:val="nil"/>
              <w:left w:val="nil"/>
              <w:bottom w:val="nil"/>
              <w:right w:val="nil"/>
            </w:tcBorders>
            <w:noWrap/>
          </w:tcPr>
          <w:p w14:paraId="60108EF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vAlign w:val="bottom"/>
          </w:tcPr>
          <w:p w14:paraId="764992E3"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mental_illnes</w:t>
            </w:r>
          </w:p>
        </w:tc>
        <w:tc>
          <w:tcPr>
            <w:tcW w:w="949" w:type="dxa"/>
            <w:tcBorders>
              <w:top w:val="nil"/>
              <w:left w:val="nil"/>
              <w:bottom w:val="nil"/>
              <w:right w:val="nil"/>
            </w:tcBorders>
            <w:noWrap/>
            <w:vAlign w:val="bottom"/>
          </w:tcPr>
          <w:p w14:paraId="7F9503A6"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79.48</w:t>
            </w:r>
          </w:p>
        </w:tc>
        <w:tc>
          <w:tcPr>
            <w:tcW w:w="790" w:type="dxa"/>
            <w:tcBorders>
              <w:top w:val="nil"/>
              <w:left w:val="nil"/>
              <w:bottom w:val="nil"/>
              <w:right w:val="nil"/>
            </w:tcBorders>
            <w:noWrap/>
          </w:tcPr>
          <w:p w14:paraId="12B9FACF"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tcPr>
          <w:p w14:paraId="03D78249"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2.29</w:t>
            </w:r>
          </w:p>
        </w:tc>
        <w:tc>
          <w:tcPr>
            <w:tcW w:w="933" w:type="dxa"/>
            <w:tcBorders>
              <w:top w:val="nil"/>
              <w:left w:val="nil"/>
              <w:bottom w:val="nil"/>
              <w:right w:val="nil"/>
            </w:tcBorders>
            <w:noWrap/>
            <w:vAlign w:val="bottom"/>
          </w:tcPr>
          <w:p w14:paraId="7DADEF00"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Large </w:t>
            </w:r>
          </w:p>
        </w:tc>
        <w:tc>
          <w:tcPr>
            <w:tcW w:w="976" w:type="dxa"/>
            <w:gridSpan w:val="2"/>
            <w:tcBorders>
              <w:top w:val="nil"/>
              <w:left w:val="nil"/>
              <w:bottom w:val="nil"/>
              <w:right w:val="nil"/>
            </w:tcBorders>
            <w:noWrap/>
          </w:tcPr>
          <w:p w14:paraId="14B6D3F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tcPr>
          <w:p w14:paraId="44EE0258"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tcPr>
          <w:p w14:paraId="79DCC77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3CE12A4A" w14:textId="77777777" w:rsidTr="00197A0C">
        <w:trPr>
          <w:trHeight w:val="405"/>
        </w:trPr>
        <w:tc>
          <w:tcPr>
            <w:tcW w:w="1128" w:type="dxa"/>
            <w:gridSpan w:val="2"/>
            <w:tcBorders>
              <w:top w:val="nil"/>
              <w:left w:val="nil"/>
              <w:bottom w:val="nil"/>
              <w:right w:val="nil"/>
            </w:tcBorders>
            <w:noWrap/>
            <w:hideMark/>
          </w:tcPr>
          <w:p w14:paraId="3EA5621E"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hideMark/>
          </w:tcPr>
          <w:p w14:paraId="69B20072"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sexual</w:t>
            </w:r>
          </w:p>
        </w:tc>
        <w:tc>
          <w:tcPr>
            <w:tcW w:w="949" w:type="dxa"/>
            <w:tcBorders>
              <w:top w:val="nil"/>
              <w:left w:val="nil"/>
              <w:bottom w:val="nil"/>
              <w:right w:val="nil"/>
            </w:tcBorders>
            <w:noWrap/>
            <w:vAlign w:val="bottom"/>
            <w:hideMark/>
          </w:tcPr>
          <w:p w14:paraId="6CC816AA"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-17.90</w:t>
            </w:r>
          </w:p>
        </w:tc>
        <w:tc>
          <w:tcPr>
            <w:tcW w:w="790" w:type="dxa"/>
            <w:tcBorders>
              <w:top w:val="nil"/>
              <w:left w:val="nil"/>
              <w:bottom w:val="nil"/>
              <w:right w:val="nil"/>
            </w:tcBorders>
            <w:noWrap/>
            <w:hideMark/>
          </w:tcPr>
          <w:p w14:paraId="531A5E42"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w:t>
            </w:r>
            <w:r>
              <w:rPr>
                <w:rFonts w:asciiTheme="majorBidi" w:hAnsiTheme="majorBidi" w:cstheme="majorBidi"/>
                <w:color w:val="000000"/>
                <w:sz w:val="20"/>
                <w:szCs w:val="20"/>
              </w:rPr>
              <w:t>0</w:t>
            </w:r>
            <w:r w:rsidRPr="009D1219">
              <w:rPr>
                <w:rFonts w:asciiTheme="majorBidi" w:hAnsiTheme="majorBidi" w:cstheme="majorBidi"/>
                <w:color w:val="000000"/>
                <w:sz w:val="20"/>
                <w:szCs w:val="20"/>
              </w:rPr>
              <w:t>0</w:t>
            </w:r>
            <w:r>
              <w:rPr>
                <w:rFonts w:asciiTheme="majorBidi" w:hAnsiTheme="majorBidi" w:cstheme="majorBidi"/>
                <w:color w:val="000000"/>
                <w:sz w:val="20"/>
                <w:szCs w:val="20"/>
              </w:rPr>
              <w:t>1</w:t>
            </w:r>
          </w:p>
        </w:tc>
        <w:tc>
          <w:tcPr>
            <w:tcW w:w="725" w:type="dxa"/>
            <w:tcBorders>
              <w:top w:val="nil"/>
              <w:left w:val="nil"/>
              <w:bottom w:val="nil"/>
              <w:right w:val="nil"/>
            </w:tcBorders>
            <w:noWrap/>
            <w:vAlign w:val="bottom"/>
            <w:hideMark/>
          </w:tcPr>
          <w:p w14:paraId="359EF666"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-0.80</w:t>
            </w:r>
          </w:p>
        </w:tc>
        <w:tc>
          <w:tcPr>
            <w:tcW w:w="933" w:type="dxa"/>
            <w:tcBorders>
              <w:top w:val="nil"/>
              <w:left w:val="nil"/>
              <w:bottom w:val="nil"/>
              <w:right w:val="nil"/>
            </w:tcBorders>
            <w:noWrap/>
            <w:vAlign w:val="bottom"/>
            <w:hideMark/>
          </w:tcPr>
          <w:p w14:paraId="2E5F7A87"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Large </w:t>
            </w:r>
          </w:p>
        </w:tc>
        <w:tc>
          <w:tcPr>
            <w:tcW w:w="976" w:type="dxa"/>
            <w:gridSpan w:val="2"/>
            <w:tcBorders>
              <w:top w:val="nil"/>
              <w:left w:val="nil"/>
              <w:bottom w:val="nil"/>
              <w:right w:val="nil"/>
            </w:tcBorders>
            <w:noWrap/>
            <w:hideMark/>
          </w:tcPr>
          <w:p w14:paraId="1FEC4DD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4773A8F8"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3B2606D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5971C051" w14:textId="77777777" w:rsidTr="00197A0C">
        <w:trPr>
          <w:trHeight w:val="318"/>
        </w:trPr>
        <w:tc>
          <w:tcPr>
            <w:tcW w:w="1128" w:type="dxa"/>
            <w:gridSpan w:val="2"/>
            <w:tcBorders>
              <w:top w:val="nil"/>
              <w:left w:val="nil"/>
              <w:bottom w:val="nil"/>
              <w:right w:val="nil"/>
            </w:tcBorders>
            <w:noWrap/>
          </w:tcPr>
          <w:p w14:paraId="25203DF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tcPr>
          <w:p w14:paraId="60F5E17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food</w:t>
            </w:r>
          </w:p>
        </w:tc>
        <w:tc>
          <w:tcPr>
            <w:tcW w:w="949" w:type="dxa"/>
            <w:tcBorders>
              <w:top w:val="nil"/>
              <w:left w:val="nil"/>
              <w:bottom w:val="nil"/>
              <w:right w:val="nil"/>
            </w:tcBorders>
            <w:noWrap/>
            <w:vAlign w:val="bottom"/>
          </w:tcPr>
          <w:p w14:paraId="53D800BA"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w:t>
            </w:r>
            <w:r>
              <w:rPr>
                <w:rFonts w:asciiTheme="majorBidi" w:hAnsiTheme="majorBidi" w:cstheme="majorBidi"/>
                <w:color w:val="000000"/>
                <w:sz w:val="20"/>
                <w:szCs w:val="20"/>
              </w:rPr>
              <w:t>5.78</w:t>
            </w:r>
          </w:p>
        </w:tc>
        <w:tc>
          <w:tcPr>
            <w:tcW w:w="790" w:type="dxa"/>
            <w:tcBorders>
              <w:top w:val="nil"/>
              <w:left w:val="nil"/>
              <w:bottom w:val="nil"/>
              <w:right w:val="nil"/>
            </w:tcBorders>
            <w:noWrap/>
          </w:tcPr>
          <w:p w14:paraId="20A0BFA1"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tcPr>
          <w:p w14:paraId="51E45815"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-0.24</w:t>
            </w:r>
          </w:p>
        </w:tc>
        <w:tc>
          <w:tcPr>
            <w:tcW w:w="933" w:type="dxa"/>
            <w:tcBorders>
              <w:top w:val="nil"/>
              <w:left w:val="nil"/>
              <w:bottom w:val="nil"/>
              <w:right w:val="nil"/>
            </w:tcBorders>
            <w:noWrap/>
            <w:vAlign w:val="bottom"/>
          </w:tcPr>
          <w:p w14:paraId="4013FA3E"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Small </w:t>
            </w:r>
          </w:p>
        </w:tc>
        <w:tc>
          <w:tcPr>
            <w:tcW w:w="976" w:type="dxa"/>
            <w:gridSpan w:val="2"/>
            <w:tcBorders>
              <w:top w:val="nil"/>
              <w:left w:val="nil"/>
              <w:bottom w:val="nil"/>
              <w:right w:val="nil"/>
            </w:tcBorders>
            <w:noWrap/>
          </w:tcPr>
          <w:p w14:paraId="5973E37B"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tcPr>
          <w:p w14:paraId="4DEAC00C"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tcPr>
          <w:p w14:paraId="41D66872"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61EE5F4C" w14:textId="77777777" w:rsidTr="00197A0C">
        <w:trPr>
          <w:trHeight w:val="318"/>
        </w:trPr>
        <w:tc>
          <w:tcPr>
            <w:tcW w:w="1128" w:type="dxa"/>
            <w:gridSpan w:val="2"/>
            <w:tcBorders>
              <w:top w:val="nil"/>
              <w:left w:val="nil"/>
              <w:bottom w:val="nil"/>
              <w:right w:val="nil"/>
            </w:tcBorders>
            <w:noWrap/>
            <w:hideMark/>
          </w:tcPr>
          <w:p w14:paraId="7BEBDAA2"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hideMark/>
          </w:tcPr>
          <w:p w14:paraId="222F78AE"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past focus</w:t>
            </w:r>
          </w:p>
        </w:tc>
        <w:tc>
          <w:tcPr>
            <w:tcW w:w="949" w:type="dxa"/>
            <w:tcBorders>
              <w:top w:val="nil"/>
              <w:left w:val="nil"/>
              <w:bottom w:val="nil"/>
              <w:right w:val="nil"/>
            </w:tcBorders>
            <w:noWrap/>
            <w:vAlign w:val="bottom"/>
            <w:hideMark/>
          </w:tcPr>
          <w:p w14:paraId="1235808F"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-4.29</w:t>
            </w:r>
          </w:p>
        </w:tc>
        <w:tc>
          <w:tcPr>
            <w:tcW w:w="790" w:type="dxa"/>
            <w:tcBorders>
              <w:top w:val="nil"/>
              <w:left w:val="nil"/>
              <w:bottom w:val="nil"/>
              <w:right w:val="nil"/>
            </w:tcBorders>
            <w:noWrap/>
            <w:hideMark/>
          </w:tcPr>
          <w:p w14:paraId="29919D2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hideMark/>
          </w:tcPr>
          <w:p w14:paraId="5246CBA4"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-0.17</w:t>
            </w:r>
          </w:p>
        </w:tc>
        <w:tc>
          <w:tcPr>
            <w:tcW w:w="933" w:type="dxa"/>
            <w:tcBorders>
              <w:top w:val="nil"/>
              <w:left w:val="nil"/>
              <w:bottom w:val="nil"/>
              <w:right w:val="nil"/>
            </w:tcBorders>
            <w:noWrap/>
            <w:vAlign w:val="bottom"/>
            <w:hideMark/>
          </w:tcPr>
          <w:p w14:paraId="00FF30B1"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Trivial </w:t>
            </w:r>
          </w:p>
        </w:tc>
        <w:tc>
          <w:tcPr>
            <w:tcW w:w="976" w:type="dxa"/>
            <w:gridSpan w:val="2"/>
            <w:tcBorders>
              <w:top w:val="nil"/>
              <w:left w:val="nil"/>
              <w:bottom w:val="nil"/>
              <w:right w:val="nil"/>
            </w:tcBorders>
            <w:noWrap/>
            <w:hideMark/>
          </w:tcPr>
          <w:p w14:paraId="58FBAF2C"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4A7BFFA7"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120B98B7"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7F8FD3B4" w14:textId="77777777" w:rsidTr="00197A0C">
        <w:trPr>
          <w:trHeight w:val="318"/>
        </w:trPr>
        <w:tc>
          <w:tcPr>
            <w:tcW w:w="1128" w:type="dxa"/>
            <w:gridSpan w:val="2"/>
            <w:tcBorders>
              <w:top w:val="nil"/>
              <w:left w:val="nil"/>
              <w:bottom w:val="nil"/>
              <w:right w:val="nil"/>
            </w:tcBorders>
            <w:noWrap/>
            <w:hideMark/>
          </w:tcPr>
          <w:p w14:paraId="10CAD701"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hideMark/>
          </w:tcPr>
          <w:p w14:paraId="50A70685"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 xml:space="preserve">present focus </w:t>
            </w:r>
          </w:p>
        </w:tc>
        <w:tc>
          <w:tcPr>
            <w:tcW w:w="949" w:type="dxa"/>
            <w:tcBorders>
              <w:top w:val="nil"/>
              <w:left w:val="nil"/>
              <w:bottom w:val="nil"/>
              <w:right w:val="nil"/>
            </w:tcBorders>
            <w:noWrap/>
            <w:vAlign w:val="bottom"/>
            <w:hideMark/>
          </w:tcPr>
          <w:p w14:paraId="32B20F42"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-1</w:t>
            </w:r>
            <w:r>
              <w:rPr>
                <w:rFonts w:asciiTheme="majorBidi" w:hAnsiTheme="majorBidi" w:cstheme="majorBidi"/>
                <w:color w:val="000000"/>
                <w:sz w:val="20"/>
                <w:szCs w:val="20"/>
              </w:rPr>
              <w:t>.78</w:t>
            </w:r>
          </w:p>
        </w:tc>
        <w:tc>
          <w:tcPr>
            <w:tcW w:w="790" w:type="dxa"/>
            <w:tcBorders>
              <w:top w:val="nil"/>
              <w:left w:val="nil"/>
              <w:bottom w:val="nil"/>
              <w:right w:val="nil"/>
            </w:tcBorders>
            <w:noWrap/>
            <w:hideMark/>
          </w:tcPr>
          <w:p w14:paraId="740022E0"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0.08</w:t>
            </w:r>
          </w:p>
        </w:tc>
        <w:tc>
          <w:tcPr>
            <w:tcW w:w="725" w:type="dxa"/>
            <w:tcBorders>
              <w:top w:val="nil"/>
              <w:left w:val="nil"/>
              <w:bottom w:val="nil"/>
              <w:right w:val="nil"/>
            </w:tcBorders>
            <w:noWrap/>
            <w:vAlign w:val="bottom"/>
            <w:hideMark/>
          </w:tcPr>
          <w:p w14:paraId="4446EBA7"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-0.07</w:t>
            </w:r>
          </w:p>
        </w:tc>
        <w:tc>
          <w:tcPr>
            <w:tcW w:w="933" w:type="dxa"/>
            <w:tcBorders>
              <w:top w:val="nil"/>
              <w:left w:val="nil"/>
              <w:bottom w:val="nil"/>
              <w:right w:val="nil"/>
            </w:tcBorders>
            <w:noWrap/>
            <w:vAlign w:val="bottom"/>
            <w:hideMark/>
          </w:tcPr>
          <w:p w14:paraId="6FCB3E4E"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Trivial</w:t>
            </w:r>
          </w:p>
        </w:tc>
        <w:tc>
          <w:tcPr>
            <w:tcW w:w="976" w:type="dxa"/>
            <w:gridSpan w:val="2"/>
            <w:tcBorders>
              <w:top w:val="nil"/>
              <w:left w:val="nil"/>
              <w:bottom w:val="nil"/>
              <w:right w:val="nil"/>
            </w:tcBorders>
            <w:noWrap/>
            <w:hideMark/>
          </w:tcPr>
          <w:p w14:paraId="632231F7"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0.19</w:t>
            </w:r>
          </w:p>
        </w:tc>
        <w:tc>
          <w:tcPr>
            <w:tcW w:w="750" w:type="dxa"/>
            <w:tcBorders>
              <w:top w:val="nil"/>
              <w:left w:val="nil"/>
              <w:bottom w:val="nil"/>
              <w:right w:val="nil"/>
            </w:tcBorders>
            <w:noWrap/>
            <w:hideMark/>
          </w:tcPr>
          <w:p w14:paraId="31E3C5D8"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5.29</w:t>
            </w:r>
          </w:p>
        </w:tc>
        <w:tc>
          <w:tcPr>
            <w:tcW w:w="1807" w:type="dxa"/>
            <w:tcBorders>
              <w:top w:val="nil"/>
              <w:left w:val="nil"/>
              <w:bottom w:val="nil"/>
              <w:right w:val="nil"/>
            </w:tcBorders>
            <w:noWrap/>
            <w:hideMark/>
          </w:tcPr>
          <w:p w14:paraId="0A29C5A4"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 xml:space="preserve">Moderate </w:t>
            </w:r>
            <w:r w:rsidRPr="003A33C6">
              <w:rPr>
                <w:rFonts w:asciiTheme="majorBidi" w:hAnsiTheme="majorBidi" w:cstheme="majorBidi"/>
                <w:color w:val="000000"/>
                <w:sz w:val="20"/>
                <w:szCs w:val="20"/>
              </w:rPr>
              <w:t>for H</w:t>
            </w:r>
            <w:r>
              <w:rPr>
                <w:rFonts w:asciiTheme="majorBidi" w:hAnsiTheme="majorBidi" w:cstheme="majorBidi"/>
                <w:color w:val="000000"/>
                <w:sz w:val="20"/>
                <w:szCs w:val="20"/>
              </w:rPr>
              <w:t>0</w:t>
            </w:r>
          </w:p>
        </w:tc>
      </w:tr>
      <w:tr w:rsidR="008C0AF9" w:rsidRPr="001766C1" w14:paraId="2168E818" w14:textId="77777777" w:rsidTr="00197A0C">
        <w:trPr>
          <w:trHeight w:val="318"/>
        </w:trPr>
        <w:tc>
          <w:tcPr>
            <w:tcW w:w="1128" w:type="dxa"/>
            <w:gridSpan w:val="2"/>
            <w:tcBorders>
              <w:top w:val="nil"/>
              <w:left w:val="nil"/>
              <w:bottom w:val="nil"/>
              <w:right w:val="nil"/>
            </w:tcBorders>
            <w:noWrap/>
            <w:hideMark/>
          </w:tcPr>
          <w:p w14:paraId="4BB9AA42"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nil"/>
              <w:right w:val="nil"/>
            </w:tcBorders>
            <w:noWrap/>
            <w:hideMark/>
          </w:tcPr>
          <w:p w14:paraId="2CC58836"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future focus</w:t>
            </w:r>
          </w:p>
        </w:tc>
        <w:tc>
          <w:tcPr>
            <w:tcW w:w="949" w:type="dxa"/>
            <w:tcBorders>
              <w:top w:val="nil"/>
              <w:left w:val="nil"/>
              <w:bottom w:val="nil"/>
              <w:right w:val="nil"/>
            </w:tcBorders>
            <w:noWrap/>
            <w:vAlign w:val="bottom"/>
            <w:hideMark/>
          </w:tcPr>
          <w:p w14:paraId="3107381D"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20.18</w:t>
            </w:r>
          </w:p>
        </w:tc>
        <w:tc>
          <w:tcPr>
            <w:tcW w:w="790" w:type="dxa"/>
            <w:tcBorders>
              <w:top w:val="nil"/>
              <w:left w:val="nil"/>
              <w:bottom w:val="nil"/>
              <w:right w:val="nil"/>
            </w:tcBorders>
            <w:noWrap/>
            <w:hideMark/>
          </w:tcPr>
          <w:p w14:paraId="7D0088B9"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&lt;0.001</w:t>
            </w:r>
          </w:p>
        </w:tc>
        <w:tc>
          <w:tcPr>
            <w:tcW w:w="725" w:type="dxa"/>
            <w:tcBorders>
              <w:top w:val="nil"/>
              <w:left w:val="nil"/>
              <w:bottom w:val="nil"/>
              <w:right w:val="nil"/>
            </w:tcBorders>
            <w:noWrap/>
            <w:vAlign w:val="bottom"/>
            <w:hideMark/>
          </w:tcPr>
          <w:p w14:paraId="188A1965"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0.79</w:t>
            </w:r>
          </w:p>
        </w:tc>
        <w:tc>
          <w:tcPr>
            <w:tcW w:w="933" w:type="dxa"/>
            <w:tcBorders>
              <w:top w:val="nil"/>
              <w:left w:val="nil"/>
              <w:bottom w:val="nil"/>
              <w:right w:val="nil"/>
            </w:tcBorders>
            <w:noWrap/>
            <w:vAlign w:val="bottom"/>
            <w:hideMark/>
          </w:tcPr>
          <w:p w14:paraId="04FCF8A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Large</w:t>
            </w:r>
          </w:p>
        </w:tc>
        <w:tc>
          <w:tcPr>
            <w:tcW w:w="976" w:type="dxa"/>
            <w:gridSpan w:val="2"/>
            <w:tcBorders>
              <w:top w:val="nil"/>
              <w:left w:val="nil"/>
              <w:bottom w:val="nil"/>
              <w:right w:val="nil"/>
            </w:tcBorders>
            <w:noWrap/>
            <w:hideMark/>
          </w:tcPr>
          <w:p w14:paraId="77DC0B03"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nil"/>
              <w:right w:val="nil"/>
            </w:tcBorders>
            <w:noWrap/>
            <w:hideMark/>
          </w:tcPr>
          <w:p w14:paraId="4F9F64F4"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hideMark/>
          </w:tcPr>
          <w:p w14:paraId="30F0D004"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3A8EA05F" w14:textId="77777777" w:rsidTr="00197A0C">
        <w:trPr>
          <w:trHeight w:val="318"/>
        </w:trPr>
        <w:tc>
          <w:tcPr>
            <w:tcW w:w="1128" w:type="dxa"/>
            <w:gridSpan w:val="2"/>
            <w:tcBorders>
              <w:top w:val="nil"/>
              <w:left w:val="nil"/>
              <w:bottom w:val="nil"/>
              <w:right w:val="nil"/>
            </w:tcBorders>
            <w:noWrap/>
          </w:tcPr>
          <w:p w14:paraId="509CB4DD"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Expand.</w:t>
            </w:r>
          </w:p>
        </w:tc>
        <w:tc>
          <w:tcPr>
            <w:tcW w:w="1302" w:type="dxa"/>
            <w:tcBorders>
              <w:top w:val="nil"/>
              <w:left w:val="nil"/>
              <w:bottom w:val="nil"/>
              <w:right w:val="nil"/>
            </w:tcBorders>
            <w:noWrap/>
          </w:tcPr>
          <w:p w14:paraId="26D35B74" w14:textId="77777777" w:rsidR="008C0AF9" w:rsidRPr="003A33C6"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illness</w:t>
            </w:r>
          </w:p>
        </w:tc>
        <w:tc>
          <w:tcPr>
            <w:tcW w:w="949" w:type="dxa"/>
            <w:tcBorders>
              <w:top w:val="nil"/>
              <w:left w:val="nil"/>
              <w:bottom w:val="nil"/>
              <w:right w:val="nil"/>
            </w:tcBorders>
            <w:noWrap/>
            <w:vAlign w:val="bottom"/>
          </w:tcPr>
          <w:p w14:paraId="15682A77" w14:textId="77777777" w:rsidR="008C0AF9"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8.43</w:t>
            </w:r>
          </w:p>
        </w:tc>
        <w:tc>
          <w:tcPr>
            <w:tcW w:w="790" w:type="dxa"/>
            <w:tcBorders>
              <w:top w:val="nil"/>
              <w:left w:val="nil"/>
              <w:bottom w:val="nil"/>
              <w:right w:val="nil"/>
            </w:tcBorders>
            <w:noWrap/>
          </w:tcPr>
          <w:p w14:paraId="5831C8FB"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nil"/>
              <w:right w:val="nil"/>
            </w:tcBorders>
            <w:noWrap/>
            <w:vAlign w:val="bottom"/>
          </w:tcPr>
          <w:p w14:paraId="08F83667" w14:textId="77777777" w:rsidR="008C0AF9" w:rsidRPr="009D1219"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0.32</w:t>
            </w:r>
          </w:p>
        </w:tc>
        <w:tc>
          <w:tcPr>
            <w:tcW w:w="933" w:type="dxa"/>
            <w:tcBorders>
              <w:top w:val="nil"/>
              <w:left w:val="nil"/>
              <w:bottom w:val="nil"/>
              <w:right w:val="nil"/>
            </w:tcBorders>
            <w:noWrap/>
            <w:vAlign w:val="bottom"/>
          </w:tcPr>
          <w:p w14:paraId="354BD281" w14:textId="77777777" w:rsidR="008C0AF9" w:rsidRPr="009D1219" w:rsidRDefault="008C0AF9" w:rsidP="00197A0C">
            <w:pPr>
              <w:rPr>
                <w:rFonts w:asciiTheme="majorBidi" w:hAnsiTheme="majorBidi" w:cstheme="majorBidi"/>
                <w:color w:val="000000"/>
                <w:sz w:val="20"/>
                <w:szCs w:val="20"/>
              </w:rPr>
            </w:pPr>
            <w:r>
              <w:rPr>
                <w:rFonts w:asciiTheme="majorBidi" w:hAnsiTheme="majorBidi" w:cstheme="majorBidi"/>
                <w:color w:val="000000"/>
                <w:sz w:val="20"/>
                <w:szCs w:val="20"/>
              </w:rPr>
              <w:t>Small</w:t>
            </w:r>
          </w:p>
        </w:tc>
        <w:tc>
          <w:tcPr>
            <w:tcW w:w="976" w:type="dxa"/>
            <w:gridSpan w:val="2"/>
            <w:tcBorders>
              <w:top w:val="nil"/>
              <w:left w:val="nil"/>
              <w:bottom w:val="nil"/>
              <w:right w:val="nil"/>
            </w:tcBorders>
            <w:noWrap/>
          </w:tcPr>
          <w:p w14:paraId="38D76479" w14:textId="77777777" w:rsidR="008C0AF9" w:rsidRPr="003A33C6" w:rsidRDefault="008C0AF9" w:rsidP="00197A0C">
            <w:pPr>
              <w:rPr>
                <w:rFonts w:asciiTheme="majorBidi" w:hAnsiTheme="majorBidi" w:cstheme="majorBidi"/>
                <w:color w:val="000000"/>
                <w:sz w:val="20"/>
                <w:szCs w:val="20"/>
              </w:rPr>
            </w:pPr>
            <w:r w:rsidRPr="000319CA">
              <w:rPr>
                <w:rFonts w:asciiTheme="majorBidi" w:hAnsiTheme="majorBidi" w:cstheme="majorBidi"/>
                <w:color w:val="000000"/>
                <w:sz w:val="20"/>
                <w:szCs w:val="20"/>
              </w:rPr>
              <w:t>&gt; 100</w:t>
            </w:r>
          </w:p>
        </w:tc>
        <w:tc>
          <w:tcPr>
            <w:tcW w:w="750" w:type="dxa"/>
            <w:tcBorders>
              <w:top w:val="nil"/>
              <w:left w:val="nil"/>
              <w:bottom w:val="nil"/>
              <w:right w:val="nil"/>
            </w:tcBorders>
            <w:noWrap/>
          </w:tcPr>
          <w:p w14:paraId="3A3645FB"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nil"/>
              <w:right w:val="nil"/>
            </w:tcBorders>
            <w:noWrap/>
          </w:tcPr>
          <w:p w14:paraId="4F2787B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tr w:rsidR="008C0AF9" w:rsidRPr="001766C1" w14:paraId="6B7F4905" w14:textId="77777777" w:rsidTr="00197A0C">
        <w:trPr>
          <w:trHeight w:val="318"/>
        </w:trPr>
        <w:tc>
          <w:tcPr>
            <w:tcW w:w="1128" w:type="dxa"/>
            <w:gridSpan w:val="2"/>
            <w:tcBorders>
              <w:top w:val="nil"/>
              <w:left w:val="nil"/>
              <w:bottom w:val="single" w:sz="4" w:space="0" w:color="auto"/>
              <w:right w:val="nil"/>
            </w:tcBorders>
            <w:noWrap/>
            <w:hideMark/>
          </w:tcPr>
          <w:p w14:paraId="0CAB2007" w14:textId="77777777" w:rsidR="008C0AF9" w:rsidRPr="003A33C6" w:rsidRDefault="008C0AF9" w:rsidP="00197A0C">
            <w:pPr>
              <w:rPr>
                <w:rFonts w:asciiTheme="majorBidi" w:hAnsiTheme="majorBidi" w:cstheme="majorBidi"/>
                <w:sz w:val="20"/>
                <w:szCs w:val="20"/>
              </w:rPr>
            </w:pPr>
            <w:r w:rsidRPr="003A33C6">
              <w:rPr>
                <w:rFonts w:asciiTheme="majorBidi" w:hAnsiTheme="majorBidi" w:cstheme="majorBidi"/>
                <w:color w:val="000000"/>
                <w:sz w:val="20"/>
                <w:szCs w:val="20"/>
              </w:rPr>
              <w:t>Expand.</w:t>
            </w:r>
          </w:p>
        </w:tc>
        <w:tc>
          <w:tcPr>
            <w:tcW w:w="1302" w:type="dxa"/>
            <w:tcBorders>
              <w:top w:val="nil"/>
              <w:left w:val="nil"/>
              <w:bottom w:val="single" w:sz="4" w:space="0" w:color="auto"/>
              <w:right w:val="nil"/>
            </w:tcBorders>
            <w:noWrap/>
            <w:hideMark/>
          </w:tcPr>
          <w:p w14:paraId="1BF852E9"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risk</w:t>
            </w:r>
          </w:p>
        </w:tc>
        <w:tc>
          <w:tcPr>
            <w:tcW w:w="949" w:type="dxa"/>
            <w:tcBorders>
              <w:top w:val="nil"/>
              <w:left w:val="nil"/>
              <w:bottom w:val="single" w:sz="4" w:space="0" w:color="auto"/>
              <w:right w:val="nil"/>
            </w:tcBorders>
            <w:noWrap/>
            <w:vAlign w:val="bottom"/>
            <w:hideMark/>
          </w:tcPr>
          <w:p w14:paraId="2091681F"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13.69</w:t>
            </w:r>
          </w:p>
        </w:tc>
        <w:tc>
          <w:tcPr>
            <w:tcW w:w="790" w:type="dxa"/>
            <w:tcBorders>
              <w:top w:val="nil"/>
              <w:left w:val="nil"/>
              <w:bottom w:val="single" w:sz="4" w:space="0" w:color="auto"/>
              <w:right w:val="nil"/>
            </w:tcBorders>
            <w:noWrap/>
            <w:hideMark/>
          </w:tcPr>
          <w:p w14:paraId="05543EF0"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&lt;0.0</w:t>
            </w:r>
            <w:r>
              <w:rPr>
                <w:rFonts w:asciiTheme="majorBidi" w:hAnsiTheme="majorBidi" w:cstheme="majorBidi"/>
                <w:color w:val="000000"/>
                <w:sz w:val="20"/>
                <w:szCs w:val="20"/>
              </w:rPr>
              <w:t>01</w:t>
            </w:r>
          </w:p>
        </w:tc>
        <w:tc>
          <w:tcPr>
            <w:tcW w:w="725" w:type="dxa"/>
            <w:tcBorders>
              <w:top w:val="nil"/>
              <w:left w:val="nil"/>
              <w:bottom w:val="single" w:sz="4" w:space="0" w:color="auto"/>
              <w:right w:val="nil"/>
            </w:tcBorders>
            <w:noWrap/>
            <w:vAlign w:val="bottom"/>
            <w:hideMark/>
          </w:tcPr>
          <w:p w14:paraId="0BFF3038"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0.53</w:t>
            </w:r>
          </w:p>
        </w:tc>
        <w:tc>
          <w:tcPr>
            <w:tcW w:w="933" w:type="dxa"/>
            <w:tcBorders>
              <w:top w:val="nil"/>
              <w:left w:val="nil"/>
              <w:bottom w:val="single" w:sz="4" w:space="0" w:color="auto"/>
              <w:right w:val="nil"/>
            </w:tcBorders>
            <w:noWrap/>
            <w:vAlign w:val="bottom"/>
            <w:hideMark/>
          </w:tcPr>
          <w:p w14:paraId="57E97C34" w14:textId="77777777" w:rsidR="008C0AF9" w:rsidRPr="009D1219" w:rsidRDefault="008C0AF9" w:rsidP="00197A0C">
            <w:pPr>
              <w:rPr>
                <w:rFonts w:asciiTheme="majorBidi" w:hAnsiTheme="majorBidi" w:cstheme="majorBidi"/>
                <w:color w:val="000000"/>
                <w:sz w:val="20"/>
                <w:szCs w:val="20"/>
              </w:rPr>
            </w:pPr>
            <w:r w:rsidRPr="009D1219">
              <w:rPr>
                <w:rFonts w:asciiTheme="majorBidi" w:hAnsiTheme="majorBidi" w:cstheme="majorBidi"/>
                <w:color w:val="000000"/>
                <w:sz w:val="20"/>
                <w:szCs w:val="20"/>
              </w:rPr>
              <w:t xml:space="preserve">Medium </w:t>
            </w:r>
          </w:p>
        </w:tc>
        <w:tc>
          <w:tcPr>
            <w:tcW w:w="976" w:type="dxa"/>
            <w:gridSpan w:val="2"/>
            <w:tcBorders>
              <w:top w:val="nil"/>
              <w:left w:val="nil"/>
              <w:bottom w:val="single" w:sz="4" w:space="0" w:color="auto"/>
              <w:right w:val="nil"/>
            </w:tcBorders>
            <w:noWrap/>
            <w:hideMark/>
          </w:tcPr>
          <w:p w14:paraId="334EC902"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&gt;100</w:t>
            </w:r>
          </w:p>
        </w:tc>
        <w:tc>
          <w:tcPr>
            <w:tcW w:w="750" w:type="dxa"/>
            <w:tcBorders>
              <w:top w:val="nil"/>
              <w:left w:val="nil"/>
              <w:bottom w:val="single" w:sz="4" w:space="0" w:color="auto"/>
              <w:right w:val="nil"/>
            </w:tcBorders>
            <w:noWrap/>
            <w:hideMark/>
          </w:tcPr>
          <w:p w14:paraId="70821DB4" w14:textId="77777777" w:rsidR="008C0AF9" w:rsidRPr="003A33C6" w:rsidRDefault="008C0AF9" w:rsidP="00197A0C">
            <w:pPr>
              <w:rPr>
                <w:rFonts w:asciiTheme="majorBidi" w:hAnsiTheme="majorBidi" w:cstheme="majorBidi"/>
                <w:color w:val="000000"/>
                <w:sz w:val="20"/>
                <w:szCs w:val="20"/>
              </w:rPr>
            </w:pPr>
          </w:p>
        </w:tc>
        <w:tc>
          <w:tcPr>
            <w:tcW w:w="1807" w:type="dxa"/>
            <w:tcBorders>
              <w:top w:val="nil"/>
              <w:left w:val="nil"/>
              <w:bottom w:val="single" w:sz="4" w:space="0" w:color="auto"/>
              <w:right w:val="nil"/>
            </w:tcBorders>
            <w:noWrap/>
            <w:hideMark/>
          </w:tcPr>
          <w:p w14:paraId="4ABA6346" w14:textId="77777777" w:rsidR="008C0AF9" w:rsidRPr="003A33C6" w:rsidRDefault="008C0AF9" w:rsidP="00197A0C">
            <w:pPr>
              <w:rPr>
                <w:rFonts w:asciiTheme="majorBidi" w:hAnsiTheme="majorBidi" w:cstheme="majorBidi"/>
                <w:color w:val="000000"/>
                <w:sz w:val="20"/>
                <w:szCs w:val="20"/>
              </w:rPr>
            </w:pPr>
            <w:r w:rsidRPr="003A33C6">
              <w:rPr>
                <w:rFonts w:asciiTheme="majorBidi" w:hAnsiTheme="majorBidi" w:cstheme="majorBidi"/>
                <w:color w:val="000000"/>
                <w:sz w:val="20"/>
                <w:szCs w:val="20"/>
              </w:rPr>
              <w:t>Extreme for H1</w:t>
            </w:r>
          </w:p>
        </w:tc>
      </w:tr>
      <w:bookmarkEnd w:id="50"/>
    </w:tbl>
    <w:p w14:paraId="067640C8" w14:textId="0D2147CB" w:rsidR="008C0AF9" w:rsidRDefault="008C0AF9" w:rsidP="008C0AF9">
      <w:pPr>
        <w:ind w:left="720" w:hanging="720"/>
      </w:pPr>
    </w:p>
    <w:p w14:paraId="41D8BF2E" w14:textId="05BA517F" w:rsidR="00494EE5" w:rsidRPr="003D5E2F" w:rsidRDefault="003D5E2F" w:rsidP="003D5E2F">
      <w:pPr>
        <w:spacing w:after="0" w:line="480" w:lineRule="auto"/>
        <w:ind w:firstLine="720"/>
        <w:jc w:val="center"/>
        <w:rPr>
          <w:rFonts w:ascii="Times New Roman" w:hAnsi="Times New Roman" w:cs="Times New Roman"/>
          <w:b/>
          <w:bCs/>
          <w:sz w:val="24"/>
          <w:szCs w:val="24"/>
        </w:rPr>
      </w:pPr>
      <w:r w:rsidRPr="003D5E2F">
        <w:rPr>
          <w:rFonts w:ascii="Times New Roman" w:hAnsi="Times New Roman" w:cs="Times New Roman"/>
          <w:b/>
          <w:bCs/>
          <w:sz w:val="24"/>
          <w:szCs w:val="24"/>
        </w:rPr>
        <w:lastRenderedPageBreak/>
        <w:t>Appendix A: Humans Subjects Review Statement</w:t>
      </w:r>
    </w:p>
    <w:p w14:paraId="05C7A807" w14:textId="5785C4B9" w:rsidR="00494EE5" w:rsidRDefault="00244C4D" w:rsidP="00244C4D">
      <w:pPr>
        <w:spacing w:after="0" w:line="480" w:lineRule="auto"/>
        <w:ind w:firstLine="720"/>
        <w:rPr>
          <w:rFonts w:ascii="Times New Roman" w:hAnsi="Times New Roman" w:cs="Times New Roman"/>
          <w:sz w:val="24"/>
          <w:szCs w:val="24"/>
        </w:rPr>
      </w:pPr>
      <w:r w:rsidRPr="00244C4D">
        <w:rPr>
          <w:rFonts w:ascii="Times New Roman" w:hAnsi="Times New Roman" w:cs="Times New Roman"/>
          <w:sz w:val="24"/>
          <w:szCs w:val="24"/>
        </w:rPr>
        <w:t>Ethics and Consent to Publish declarations: not applicable</w:t>
      </w:r>
    </w:p>
    <w:p w14:paraId="7D02F744" w14:textId="4ABB12A9" w:rsidR="00FF72E9" w:rsidRDefault="00FF72E9" w:rsidP="00244C4D">
      <w:pPr>
        <w:spacing w:after="0" w:line="480" w:lineRule="auto"/>
        <w:ind w:firstLine="720"/>
        <w:rPr>
          <w:rFonts w:ascii="Times New Roman" w:hAnsi="Times New Roman" w:cs="Times New Roman"/>
          <w:sz w:val="24"/>
          <w:szCs w:val="24"/>
        </w:rPr>
      </w:pPr>
      <w:r w:rsidRPr="004067B1">
        <w:rPr>
          <w:rFonts w:ascii="Times New Roman" w:hAnsi="Times New Roman" w:cs="Times New Roman"/>
          <w:sz w:val="24"/>
          <w:szCs w:val="24"/>
        </w:rPr>
        <w:t xml:space="preserve">Given the public and published nature of the data used for this dissertation (academic articles and lyrics), no human subjects review was required.  </w:t>
      </w:r>
    </w:p>
    <w:p w14:paraId="1F14D382" w14:textId="72E5FF9B" w:rsidR="00FF72E9" w:rsidRDefault="00FF72E9" w:rsidP="008C0AF9">
      <w:pPr>
        <w:ind w:left="720" w:hanging="720"/>
      </w:pPr>
    </w:p>
    <w:sectPr w:rsidR="00FF72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647E2"/>
    <w:multiLevelType w:val="multilevel"/>
    <w:tmpl w:val="C14E5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125853"/>
    <w:multiLevelType w:val="multilevel"/>
    <w:tmpl w:val="414EB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5D25D1"/>
    <w:multiLevelType w:val="multilevel"/>
    <w:tmpl w:val="D7FED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C1063D"/>
    <w:multiLevelType w:val="multilevel"/>
    <w:tmpl w:val="E62E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6767CE"/>
    <w:multiLevelType w:val="hybridMultilevel"/>
    <w:tmpl w:val="FF8A05B8"/>
    <w:lvl w:ilvl="0" w:tplc="10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18384B12"/>
    <w:multiLevelType w:val="multilevel"/>
    <w:tmpl w:val="4D56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015E01"/>
    <w:multiLevelType w:val="multilevel"/>
    <w:tmpl w:val="4BEAA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7D67E7"/>
    <w:multiLevelType w:val="multilevel"/>
    <w:tmpl w:val="B9BE5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C23A40"/>
    <w:multiLevelType w:val="multilevel"/>
    <w:tmpl w:val="EB4696FA"/>
    <w:lvl w:ilvl="0">
      <w:start w:val="3"/>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1F443286"/>
    <w:multiLevelType w:val="multilevel"/>
    <w:tmpl w:val="E9D8C598"/>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 w15:restartNumberingAfterBreak="0">
    <w:nsid w:val="26327BB0"/>
    <w:multiLevelType w:val="multilevel"/>
    <w:tmpl w:val="E3F2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594FA9"/>
    <w:multiLevelType w:val="multilevel"/>
    <w:tmpl w:val="78E8B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752F6D"/>
    <w:multiLevelType w:val="multilevel"/>
    <w:tmpl w:val="536CD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B573C4"/>
    <w:multiLevelType w:val="hybridMultilevel"/>
    <w:tmpl w:val="592A288E"/>
    <w:lvl w:ilvl="0" w:tplc="59F0AEC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CD4203"/>
    <w:multiLevelType w:val="hybridMultilevel"/>
    <w:tmpl w:val="5A84CF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4CA056E"/>
    <w:multiLevelType w:val="multilevel"/>
    <w:tmpl w:val="154A1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58928BE"/>
    <w:multiLevelType w:val="multilevel"/>
    <w:tmpl w:val="69A43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877C08"/>
    <w:multiLevelType w:val="hybridMultilevel"/>
    <w:tmpl w:val="02C80D5C"/>
    <w:lvl w:ilvl="0" w:tplc="27AAF560">
      <w:numFmt w:val="bullet"/>
      <w:lvlText w:val="-"/>
      <w:lvlJc w:val="left"/>
      <w:pPr>
        <w:ind w:left="720" w:hanging="360"/>
      </w:pPr>
      <w:rPr>
        <w:rFonts w:ascii="Arial" w:eastAsia="Calibri" w:hAnsi="Arial" w:cs="Arial" w:hint="default"/>
        <w:color w:val="202124"/>
        <w:sz w:val="21"/>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721851"/>
    <w:multiLevelType w:val="multilevel"/>
    <w:tmpl w:val="387E8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9CE635D"/>
    <w:multiLevelType w:val="hybridMultilevel"/>
    <w:tmpl w:val="4BE066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BD77795"/>
    <w:multiLevelType w:val="multilevel"/>
    <w:tmpl w:val="C3647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606FAC"/>
    <w:multiLevelType w:val="multilevel"/>
    <w:tmpl w:val="F368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0B66DC"/>
    <w:multiLevelType w:val="multilevel"/>
    <w:tmpl w:val="C464A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746A23"/>
    <w:multiLevelType w:val="multilevel"/>
    <w:tmpl w:val="27822A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F0F416F"/>
    <w:multiLevelType w:val="multilevel"/>
    <w:tmpl w:val="FBCA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9447857">
    <w:abstractNumId w:val="8"/>
  </w:num>
  <w:num w:numId="2" w16cid:durableId="1256553040">
    <w:abstractNumId w:val="17"/>
  </w:num>
  <w:num w:numId="3" w16cid:durableId="733428216">
    <w:abstractNumId w:val="6"/>
  </w:num>
  <w:num w:numId="4" w16cid:durableId="683750427">
    <w:abstractNumId w:val="23"/>
  </w:num>
  <w:num w:numId="5" w16cid:durableId="825513334">
    <w:abstractNumId w:val="13"/>
  </w:num>
  <w:num w:numId="6" w16cid:durableId="13465967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28622027">
    <w:abstractNumId w:val="4"/>
  </w:num>
  <w:num w:numId="8" w16cid:durableId="1805729460">
    <w:abstractNumId w:val="14"/>
  </w:num>
  <w:num w:numId="9" w16cid:durableId="617184215">
    <w:abstractNumId w:val="1"/>
  </w:num>
  <w:num w:numId="10" w16cid:durableId="434011880">
    <w:abstractNumId w:val="3"/>
  </w:num>
  <w:num w:numId="11" w16cid:durableId="1025711821">
    <w:abstractNumId w:val="7"/>
  </w:num>
  <w:num w:numId="12" w16cid:durableId="437069708">
    <w:abstractNumId w:val="22"/>
  </w:num>
  <w:num w:numId="13" w16cid:durableId="993878812">
    <w:abstractNumId w:val="15"/>
  </w:num>
  <w:num w:numId="14" w16cid:durableId="1452632581">
    <w:abstractNumId w:val="11"/>
  </w:num>
  <w:num w:numId="15" w16cid:durableId="1269436119">
    <w:abstractNumId w:val="20"/>
  </w:num>
  <w:num w:numId="16" w16cid:durableId="1482387765">
    <w:abstractNumId w:val="12"/>
  </w:num>
  <w:num w:numId="17" w16cid:durableId="731781358">
    <w:abstractNumId w:val="16"/>
  </w:num>
  <w:num w:numId="18" w16cid:durableId="2046060930">
    <w:abstractNumId w:val="0"/>
  </w:num>
  <w:num w:numId="19" w16cid:durableId="2112892347">
    <w:abstractNumId w:val="18"/>
  </w:num>
  <w:num w:numId="20" w16cid:durableId="967859022">
    <w:abstractNumId w:val="10"/>
  </w:num>
  <w:num w:numId="21" w16cid:durableId="2068914779">
    <w:abstractNumId w:val="2"/>
  </w:num>
  <w:num w:numId="22" w16cid:durableId="1375929022">
    <w:abstractNumId w:val="19"/>
  </w:num>
  <w:num w:numId="23" w16cid:durableId="780144194">
    <w:abstractNumId w:val="24"/>
  </w:num>
  <w:num w:numId="24" w16cid:durableId="1381513408">
    <w:abstractNumId w:val="21"/>
  </w:num>
  <w:num w:numId="25" w16cid:durableId="6033466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AF9"/>
    <w:rsid w:val="000C4AFC"/>
    <w:rsid w:val="00193A21"/>
    <w:rsid w:val="001978D4"/>
    <w:rsid w:val="00234B80"/>
    <w:rsid w:val="00244C4D"/>
    <w:rsid w:val="00245543"/>
    <w:rsid w:val="002C0387"/>
    <w:rsid w:val="002F374F"/>
    <w:rsid w:val="003D5E2F"/>
    <w:rsid w:val="004622A1"/>
    <w:rsid w:val="00494EE5"/>
    <w:rsid w:val="00682738"/>
    <w:rsid w:val="00737E79"/>
    <w:rsid w:val="007B6FFD"/>
    <w:rsid w:val="00865DE6"/>
    <w:rsid w:val="008C0AF9"/>
    <w:rsid w:val="008C1006"/>
    <w:rsid w:val="008D038C"/>
    <w:rsid w:val="009079C8"/>
    <w:rsid w:val="00C85562"/>
    <w:rsid w:val="00D73504"/>
    <w:rsid w:val="00E654BE"/>
    <w:rsid w:val="00E86DC9"/>
    <w:rsid w:val="00F45C2D"/>
    <w:rsid w:val="00FA3859"/>
    <w:rsid w:val="00FC2768"/>
    <w:rsid w:val="00FF72E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1110A"/>
  <w15:chartTrackingRefBased/>
  <w15:docId w15:val="{D69E1D52-5B9C-44E2-98E5-DA4652F25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AF9"/>
    <w:pPr>
      <w:spacing w:line="259"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8C0A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8C0A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C0A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C0A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0A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0A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0A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0A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0A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0A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8C0A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C0A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C0A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0A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0A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0A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0A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0AF9"/>
    <w:rPr>
      <w:rFonts w:eastAsiaTheme="majorEastAsia" w:cstheme="majorBidi"/>
      <w:color w:val="272727" w:themeColor="text1" w:themeTint="D8"/>
    </w:rPr>
  </w:style>
  <w:style w:type="paragraph" w:styleId="Title">
    <w:name w:val="Title"/>
    <w:basedOn w:val="Normal"/>
    <w:next w:val="Normal"/>
    <w:link w:val="TitleChar"/>
    <w:uiPriority w:val="10"/>
    <w:qFormat/>
    <w:rsid w:val="008C0A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0A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0A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0A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0AF9"/>
    <w:pPr>
      <w:spacing w:before="160"/>
      <w:jc w:val="center"/>
    </w:pPr>
    <w:rPr>
      <w:i/>
      <w:iCs/>
      <w:color w:val="404040" w:themeColor="text1" w:themeTint="BF"/>
    </w:rPr>
  </w:style>
  <w:style w:type="character" w:customStyle="1" w:styleId="QuoteChar">
    <w:name w:val="Quote Char"/>
    <w:basedOn w:val="DefaultParagraphFont"/>
    <w:link w:val="Quote"/>
    <w:uiPriority w:val="29"/>
    <w:rsid w:val="008C0AF9"/>
    <w:rPr>
      <w:i/>
      <w:iCs/>
      <w:color w:val="404040" w:themeColor="text1" w:themeTint="BF"/>
    </w:rPr>
  </w:style>
  <w:style w:type="paragraph" w:styleId="ListParagraph">
    <w:name w:val="List Paragraph"/>
    <w:basedOn w:val="Normal"/>
    <w:uiPriority w:val="34"/>
    <w:qFormat/>
    <w:rsid w:val="008C0AF9"/>
    <w:pPr>
      <w:ind w:left="720"/>
      <w:contextualSpacing/>
    </w:pPr>
  </w:style>
  <w:style w:type="character" w:styleId="IntenseEmphasis">
    <w:name w:val="Intense Emphasis"/>
    <w:basedOn w:val="DefaultParagraphFont"/>
    <w:uiPriority w:val="21"/>
    <w:qFormat/>
    <w:rsid w:val="008C0AF9"/>
    <w:rPr>
      <w:i/>
      <w:iCs/>
      <w:color w:val="0F4761" w:themeColor="accent1" w:themeShade="BF"/>
    </w:rPr>
  </w:style>
  <w:style w:type="paragraph" w:styleId="IntenseQuote">
    <w:name w:val="Intense Quote"/>
    <w:basedOn w:val="Normal"/>
    <w:next w:val="Normal"/>
    <w:link w:val="IntenseQuoteChar"/>
    <w:uiPriority w:val="30"/>
    <w:qFormat/>
    <w:rsid w:val="008C0A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0AF9"/>
    <w:rPr>
      <w:i/>
      <w:iCs/>
      <w:color w:val="0F4761" w:themeColor="accent1" w:themeShade="BF"/>
    </w:rPr>
  </w:style>
  <w:style w:type="character" w:styleId="IntenseReference">
    <w:name w:val="Intense Reference"/>
    <w:basedOn w:val="DefaultParagraphFont"/>
    <w:uiPriority w:val="32"/>
    <w:qFormat/>
    <w:rsid w:val="008C0AF9"/>
    <w:rPr>
      <w:b/>
      <w:bCs/>
      <w:smallCaps/>
      <w:color w:val="0F4761" w:themeColor="accent1" w:themeShade="BF"/>
      <w:spacing w:val="5"/>
    </w:rPr>
  </w:style>
  <w:style w:type="paragraph" w:styleId="NormalWeb">
    <w:name w:val="Normal (Web)"/>
    <w:basedOn w:val="Normal"/>
    <w:uiPriority w:val="99"/>
    <w:unhideWhenUsed/>
    <w:rsid w:val="008C0AF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C0AF9"/>
    <w:rPr>
      <w:color w:val="467886" w:themeColor="hyperlink"/>
      <w:u w:val="single"/>
    </w:rPr>
  </w:style>
  <w:style w:type="character" w:styleId="Emphasis">
    <w:name w:val="Emphasis"/>
    <w:basedOn w:val="DefaultParagraphFont"/>
    <w:uiPriority w:val="20"/>
    <w:qFormat/>
    <w:rsid w:val="008C0AF9"/>
    <w:rPr>
      <w:i/>
      <w:iCs/>
    </w:rPr>
  </w:style>
  <w:style w:type="character" w:customStyle="1" w:styleId="rxerq">
    <w:name w:val="rxerq"/>
    <w:basedOn w:val="DefaultParagraphFont"/>
    <w:rsid w:val="008C0AF9"/>
  </w:style>
  <w:style w:type="character" w:customStyle="1" w:styleId="il">
    <w:name w:val="il"/>
    <w:basedOn w:val="DefaultParagraphFont"/>
    <w:rsid w:val="008C0AF9"/>
  </w:style>
  <w:style w:type="character" w:customStyle="1" w:styleId="apple-tab-span">
    <w:name w:val="apple-tab-span"/>
    <w:basedOn w:val="DefaultParagraphFont"/>
    <w:rsid w:val="008C0AF9"/>
  </w:style>
  <w:style w:type="paragraph" w:styleId="Header">
    <w:name w:val="header"/>
    <w:basedOn w:val="Normal"/>
    <w:link w:val="HeaderChar"/>
    <w:uiPriority w:val="99"/>
    <w:unhideWhenUsed/>
    <w:rsid w:val="008C0AF9"/>
    <w:pPr>
      <w:tabs>
        <w:tab w:val="center" w:pos="4680"/>
        <w:tab w:val="right" w:pos="9360"/>
      </w:tabs>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8C0AF9"/>
    <w:rPr>
      <w:kern w:val="0"/>
      <w14:ligatures w14:val="none"/>
    </w:rPr>
  </w:style>
  <w:style w:type="paragraph" w:styleId="Footer">
    <w:name w:val="footer"/>
    <w:basedOn w:val="Normal"/>
    <w:link w:val="FooterChar"/>
    <w:uiPriority w:val="99"/>
    <w:unhideWhenUsed/>
    <w:rsid w:val="008C0AF9"/>
    <w:pPr>
      <w:tabs>
        <w:tab w:val="center" w:pos="4680"/>
        <w:tab w:val="right" w:pos="9360"/>
      </w:tabs>
      <w:spacing w:after="0" w:line="240" w:lineRule="auto"/>
    </w:pPr>
    <w:rPr>
      <w:rFonts w:asciiTheme="minorHAnsi" w:eastAsiaTheme="minorHAnsi" w:hAnsiTheme="minorHAnsi" w:cstheme="minorBidi"/>
      <w:sz w:val="24"/>
      <w:szCs w:val="24"/>
    </w:rPr>
  </w:style>
  <w:style w:type="character" w:customStyle="1" w:styleId="FooterChar">
    <w:name w:val="Footer Char"/>
    <w:basedOn w:val="DefaultParagraphFont"/>
    <w:link w:val="Footer"/>
    <w:uiPriority w:val="99"/>
    <w:rsid w:val="008C0AF9"/>
    <w:rPr>
      <w:kern w:val="0"/>
      <w14:ligatures w14:val="none"/>
    </w:rPr>
  </w:style>
  <w:style w:type="character" w:customStyle="1" w:styleId="nlmyear">
    <w:name w:val="nlm_year"/>
    <w:basedOn w:val="DefaultParagraphFont"/>
    <w:rsid w:val="008C0AF9"/>
  </w:style>
  <w:style w:type="character" w:customStyle="1" w:styleId="nlmarticle-title">
    <w:name w:val="nlm_article-title"/>
    <w:basedOn w:val="DefaultParagraphFont"/>
    <w:rsid w:val="008C0AF9"/>
  </w:style>
  <w:style w:type="character" w:customStyle="1" w:styleId="nlmfpage">
    <w:name w:val="nlm_fpage"/>
    <w:basedOn w:val="DefaultParagraphFont"/>
    <w:rsid w:val="008C0AF9"/>
  </w:style>
  <w:style w:type="character" w:customStyle="1" w:styleId="nlmlpage">
    <w:name w:val="nlm_lpage"/>
    <w:basedOn w:val="DefaultParagraphFont"/>
    <w:rsid w:val="008C0AF9"/>
  </w:style>
  <w:style w:type="character" w:styleId="CommentReference">
    <w:name w:val="annotation reference"/>
    <w:basedOn w:val="DefaultParagraphFont"/>
    <w:uiPriority w:val="99"/>
    <w:semiHidden/>
    <w:unhideWhenUsed/>
    <w:rsid w:val="008C0AF9"/>
    <w:rPr>
      <w:sz w:val="16"/>
      <w:szCs w:val="16"/>
    </w:rPr>
  </w:style>
  <w:style w:type="paragraph" w:styleId="CommentText">
    <w:name w:val="annotation text"/>
    <w:basedOn w:val="Normal"/>
    <w:link w:val="CommentTextChar"/>
    <w:uiPriority w:val="99"/>
    <w:unhideWhenUsed/>
    <w:rsid w:val="008C0AF9"/>
    <w:pPr>
      <w:spacing w:after="0"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8C0AF9"/>
    <w:rPr>
      <w:kern w:val="0"/>
      <w:sz w:val="20"/>
      <w:szCs w:val="20"/>
      <w14:ligatures w14:val="none"/>
    </w:rPr>
  </w:style>
  <w:style w:type="paragraph" w:styleId="BalloonText">
    <w:name w:val="Balloon Text"/>
    <w:basedOn w:val="Normal"/>
    <w:link w:val="BalloonTextChar"/>
    <w:uiPriority w:val="99"/>
    <w:semiHidden/>
    <w:unhideWhenUsed/>
    <w:rsid w:val="008C0AF9"/>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8C0AF9"/>
    <w:rPr>
      <w:rFonts w:ascii="Segoe UI" w:hAnsi="Segoe UI" w:cs="Segoe UI"/>
      <w:kern w:val="0"/>
      <w:sz w:val="18"/>
      <w:szCs w:val="18"/>
      <w14:ligatures w14:val="none"/>
    </w:rPr>
  </w:style>
  <w:style w:type="character" w:styleId="FollowedHyperlink">
    <w:name w:val="FollowedHyperlink"/>
    <w:basedOn w:val="DefaultParagraphFont"/>
    <w:uiPriority w:val="99"/>
    <w:semiHidden/>
    <w:unhideWhenUsed/>
    <w:rsid w:val="008C0AF9"/>
    <w:rPr>
      <w:color w:val="96607D" w:themeColor="followedHyperlink"/>
      <w:u w:val="single"/>
    </w:rPr>
  </w:style>
  <w:style w:type="table" w:styleId="TableGrid">
    <w:name w:val="Table Grid"/>
    <w:basedOn w:val="TableNormal"/>
    <w:uiPriority w:val="59"/>
    <w:rsid w:val="008C0AF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8C0AF9"/>
    <w:rPr>
      <w:b/>
      <w:bCs/>
    </w:rPr>
  </w:style>
  <w:style w:type="character" w:customStyle="1" w:styleId="CommentSubjectChar">
    <w:name w:val="Comment Subject Char"/>
    <w:basedOn w:val="CommentTextChar"/>
    <w:link w:val="CommentSubject"/>
    <w:uiPriority w:val="99"/>
    <w:semiHidden/>
    <w:rsid w:val="008C0AF9"/>
    <w:rPr>
      <w:b/>
      <w:bCs/>
      <w:kern w:val="0"/>
      <w:sz w:val="20"/>
      <w:szCs w:val="20"/>
      <w14:ligatures w14:val="none"/>
    </w:rPr>
  </w:style>
  <w:style w:type="character" w:styleId="UnresolvedMention">
    <w:name w:val="Unresolved Mention"/>
    <w:basedOn w:val="DefaultParagraphFont"/>
    <w:uiPriority w:val="99"/>
    <w:semiHidden/>
    <w:unhideWhenUsed/>
    <w:rsid w:val="008C0AF9"/>
    <w:rPr>
      <w:color w:val="605E5C"/>
      <w:shd w:val="clear" w:color="auto" w:fill="E1DFDD"/>
    </w:rPr>
  </w:style>
  <w:style w:type="paragraph" w:styleId="HTMLPreformatted">
    <w:name w:val="HTML Preformatted"/>
    <w:basedOn w:val="Normal"/>
    <w:link w:val="HTMLPreformattedChar"/>
    <w:uiPriority w:val="99"/>
    <w:semiHidden/>
    <w:unhideWhenUsed/>
    <w:rsid w:val="008C0A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C0AF9"/>
    <w:rPr>
      <w:rFonts w:ascii="Courier New" w:eastAsia="Times New Roman" w:hAnsi="Courier New" w:cs="Courier New"/>
      <w:kern w:val="0"/>
      <w:sz w:val="20"/>
      <w:szCs w:val="20"/>
      <w14:ligatures w14:val="none"/>
    </w:rPr>
  </w:style>
  <w:style w:type="paragraph" w:styleId="Caption">
    <w:name w:val="caption"/>
    <w:basedOn w:val="Normal"/>
    <w:next w:val="Normal"/>
    <w:uiPriority w:val="35"/>
    <w:unhideWhenUsed/>
    <w:qFormat/>
    <w:rsid w:val="008C0AF9"/>
    <w:pPr>
      <w:spacing w:after="0" w:line="480" w:lineRule="auto"/>
    </w:pPr>
    <w:rPr>
      <w:rFonts w:ascii="Times New Roman" w:eastAsia="Times New Roman" w:hAnsi="Times New Roman" w:cs="Times New Roman"/>
      <w:iCs/>
      <w:sz w:val="24"/>
      <w:szCs w:val="18"/>
    </w:rPr>
  </w:style>
  <w:style w:type="table" w:styleId="PlainTable2">
    <w:name w:val="Plain Table 2"/>
    <w:basedOn w:val="TableNormal"/>
    <w:uiPriority w:val="42"/>
    <w:rsid w:val="008C0AF9"/>
    <w:pPr>
      <w:spacing w:after="0" w:line="240" w:lineRule="auto"/>
    </w:pPr>
    <w:rPr>
      <w:kern w:val="0"/>
      <w:sz w:val="22"/>
      <w:szCs w:val="22"/>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8C0AF9"/>
    <w:pPr>
      <w:spacing w:after="0" w:line="240" w:lineRule="auto"/>
    </w:pPr>
    <w:rPr>
      <w:rFonts w:ascii="Calibri" w:eastAsia="Calibri" w:hAnsi="Calibri" w:cs="Calibri"/>
      <w:kern w:val="0"/>
      <w:sz w:val="22"/>
      <w:szCs w:val="22"/>
      <w14:ligatures w14:val="none"/>
    </w:rPr>
  </w:style>
  <w:style w:type="paragraph" w:styleId="TOCHeading">
    <w:name w:val="TOC Heading"/>
    <w:basedOn w:val="Heading1"/>
    <w:next w:val="Normal"/>
    <w:uiPriority w:val="39"/>
    <w:unhideWhenUsed/>
    <w:qFormat/>
    <w:rsid w:val="008C0AF9"/>
    <w:pPr>
      <w:spacing w:before="240" w:after="0"/>
      <w:outlineLvl w:val="9"/>
    </w:pPr>
    <w:rPr>
      <w:sz w:val="32"/>
      <w:szCs w:val="32"/>
    </w:rPr>
  </w:style>
  <w:style w:type="paragraph" w:styleId="TOC1">
    <w:name w:val="toc 1"/>
    <w:basedOn w:val="Normal"/>
    <w:next w:val="Normal"/>
    <w:autoRedefine/>
    <w:uiPriority w:val="39"/>
    <w:unhideWhenUsed/>
    <w:rsid w:val="008C0AF9"/>
    <w:pPr>
      <w:spacing w:after="0" w:line="480" w:lineRule="auto"/>
    </w:pPr>
    <w:rPr>
      <w:rFonts w:ascii="Times New Roman" w:hAnsi="Times New Roman"/>
      <w:sz w:val="24"/>
    </w:rPr>
  </w:style>
  <w:style w:type="paragraph" w:styleId="TOC3">
    <w:name w:val="toc 3"/>
    <w:basedOn w:val="Normal"/>
    <w:next w:val="Normal"/>
    <w:autoRedefine/>
    <w:uiPriority w:val="39"/>
    <w:unhideWhenUsed/>
    <w:rsid w:val="008C0AF9"/>
    <w:pPr>
      <w:tabs>
        <w:tab w:val="right" w:leader="dot" w:pos="9350"/>
      </w:tabs>
      <w:spacing w:after="0" w:line="480" w:lineRule="auto"/>
      <w:ind w:left="1152"/>
      <w:jc w:val="center"/>
    </w:pPr>
    <w:rPr>
      <w:rFonts w:ascii="Times New Roman" w:hAnsi="Times New Roman"/>
      <w:sz w:val="24"/>
    </w:rPr>
  </w:style>
  <w:style w:type="paragraph" w:styleId="TOC2">
    <w:name w:val="toc 2"/>
    <w:basedOn w:val="Normal"/>
    <w:next w:val="Normal"/>
    <w:autoRedefine/>
    <w:uiPriority w:val="39"/>
    <w:unhideWhenUsed/>
    <w:rsid w:val="008C0AF9"/>
    <w:pPr>
      <w:tabs>
        <w:tab w:val="right" w:leader="dot" w:pos="9350"/>
      </w:tabs>
      <w:spacing w:after="0" w:line="480" w:lineRule="auto"/>
      <w:ind w:left="720"/>
      <w:jc w:val="center"/>
    </w:pPr>
    <w:rPr>
      <w:rFonts w:ascii="Times New Roman" w:hAnsi="Times New Roman" w:cs="Times New Roman"/>
      <w:sz w:val="28"/>
      <w:szCs w:val="28"/>
    </w:rPr>
  </w:style>
  <w:style w:type="paragraph" w:styleId="TableofFigures">
    <w:name w:val="table of figures"/>
    <w:basedOn w:val="Normal"/>
    <w:next w:val="Normal"/>
    <w:uiPriority w:val="99"/>
    <w:unhideWhenUsed/>
    <w:rsid w:val="008C0AF9"/>
    <w:pPr>
      <w:spacing w:after="0" w:line="480" w:lineRule="auto"/>
    </w:pPr>
    <w:rPr>
      <w:rFonts w:ascii="Times New Roman" w:hAnsi="Times New Roman"/>
      <w:sz w:val="24"/>
    </w:rPr>
  </w:style>
  <w:style w:type="character" w:customStyle="1" w:styleId="person-name">
    <w:name w:val="person-name"/>
    <w:basedOn w:val="DefaultParagraphFont"/>
    <w:rsid w:val="008C0AF9"/>
  </w:style>
  <w:style w:type="character" w:customStyle="1" w:styleId="surname">
    <w:name w:val="surname"/>
    <w:basedOn w:val="DefaultParagraphFont"/>
    <w:rsid w:val="008C0AF9"/>
  </w:style>
  <w:style w:type="character" w:customStyle="1" w:styleId="givennames">
    <w:name w:val="givennames"/>
    <w:basedOn w:val="DefaultParagraphFont"/>
    <w:rsid w:val="008C0AF9"/>
  </w:style>
  <w:style w:type="character" w:styleId="HTMLCite">
    <w:name w:val="HTML Cite"/>
    <w:basedOn w:val="DefaultParagraphFont"/>
    <w:uiPriority w:val="99"/>
    <w:semiHidden/>
    <w:unhideWhenUsed/>
    <w:rsid w:val="008C0AF9"/>
    <w:rPr>
      <w:i/>
      <w:iCs/>
    </w:rPr>
  </w:style>
  <w:style w:type="paragraph" w:styleId="NoSpacing">
    <w:name w:val="No Spacing"/>
    <w:uiPriority w:val="1"/>
    <w:qFormat/>
    <w:rsid w:val="008C0AF9"/>
    <w:pPr>
      <w:spacing w:after="0" w:line="240" w:lineRule="auto"/>
    </w:pPr>
    <w:rPr>
      <w:kern w:val="0"/>
      <w14:ligatures w14:val="none"/>
    </w:rPr>
  </w:style>
  <w:style w:type="character" w:customStyle="1" w:styleId="yiv7253395006apple-tab-span">
    <w:name w:val="yiv7253395006apple-tab-span"/>
    <w:basedOn w:val="DefaultParagraphFont"/>
    <w:rsid w:val="008C0AF9"/>
  </w:style>
  <w:style w:type="character" w:customStyle="1" w:styleId="hlfld-contribauthor">
    <w:name w:val="hlfld-contribauthor"/>
    <w:basedOn w:val="DefaultParagraphFont"/>
    <w:rsid w:val="008C0AF9"/>
  </w:style>
  <w:style w:type="character" w:customStyle="1" w:styleId="nlmgiven-names">
    <w:name w:val="nlm_given-names"/>
    <w:basedOn w:val="DefaultParagraphFont"/>
    <w:rsid w:val="008C0AF9"/>
  </w:style>
  <w:style w:type="character" w:customStyle="1" w:styleId="markaorr7uh11">
    <w:name w:val="markaorr7uh11"/>
    <w:basedOn w:val="DefaultParagraphFont"/>
    <w:rsid w:val="008C0AF9"/>
  </w:style>
  <w:style w:type="character" w:customStyle="1" w:styleId="markmgvg3i2s2">
    <w:name w:val="markmgvg3i2s2"/>
    <w:basedOn w:val="DefaultParagraphFont"/>
    <w:rsid w:val="008C0AF9"/>
  </w:style>
  <w:style w:type="table" w:customStyle="1" w:styleId="TableGrid1">
    <w:name w:val="Table Grid1"/>
    <w:basedOn w:val="TableNormal"/>
    <w:next w:val="TableGrid"/>
    <w:uiPriority w:val="59"/>
    <w:rsid w:val="008C0AF9"/>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f@oregonstate.edu" TargetMode="External"/><Relationship Id="rId13" Type="http://schemas.openxmlformats.org/officeDocument/2006/relationships/hyperlink" Target="https://doi.org/10.46743/2160-3715/2014.1104" TargetMode="External"/><Relationship Id="rId18" Type="http://schemas.openxmlformats.org/officeDocument/2006/relationships/hyperlink" Target="https://doi.org/10.1177/10944281221098607" TargetMode="External"/><Relationship Id="rId3" Type="http://schemas.openxmlformats.org/officeDocument/2006/relationships/settings" Target="settings.xml"/><Relationship Id="rId21" Type="http://schemas.openxmlformats.org/officeDocument/2006/relationships/hyperlink" Target="https://doi.org/10.3389/fphar.2022.812227" TargetMode="External"/><Relationship Id="rId7" Type="http://schemas.openxmlformats.org/officeDocument/2006/relationships/hyperlink" Target="https://orcid.org/0009-0009-3156-3707" TargetMode="External"/><Relationship Id="rId12" Type="http://schemas.openxmlformats.org/officeDocument/2006/relationships/hyperlink" Target="https://doi.org/10.3389/fpsyt.2022.933495" TargetMode="External"/><Relationship Id="rId17" Type="http://schemas.openxmlformats.org/officeDocument/2006/relationships/hyperlink" Target="https://doi.org/10.1016/j.euroneuro.2022.10.008"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1038/s41380-024-02875-0" TargetMode="External"/><Relationship Id="rId20" Type="http://schemas.openxmlformats.org/officeDocument/2006/relationships/hyperlink" Target="https://doi.org/10.1007/s10804-022-09419-2"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i.org/10.1371/journal.pone.0293349"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psycnet.apa.org/doi/10.1037/ppm0000461" TargetMode="External"/><Relationship Id="rId23" Type="http://schemas.openxmlformats.org/officeDocument/2006/relationships/image" Target="media/image3.png"/><Relationship Id="rId10" Type="http://schemas.openxmlformats.org/officeDocument/2006/relationships/hyperlink" Target="https://doi.org/10.1016/j.jrp.2017.02.005" TargetMode="External"/><Relationship Id="rId19" Type="http://schemas.openxmlformats.org/officeDocument/2006/relationships/hyperlink" Target="https://doi.org/10.3390/psychoactives2040017" TargetMode="External"/><Relationship Id="rId4" Type="http://schemas.openxmlformats.org/officeDocument/2006/relationships/webSettings" Target="webSettings.xml"/><Relationship Id="rId9" Type="http://schemas.openxmlformats.org/officeDocument/2006/relationships/hyperlink" Target="https://www.tandfonline.com/doi/full/10.1080/02791072.2025.2474236?src=exp-la" TargetMode="External"/><Relationship Id="rId14" Type="http://schemas.openxmlformats.org/officeDocument/2006/relationships/hyperlink" Target="https://doi.org/10.1186/s40337-022-00711-w" TargetMode="External"/><Relationship Id="rId22" Type="http://schemas.openxmlformats.org/officeDocument/2006/relationships/hyperlink" Target="https://doi.org/10.1007/978-3-030-45442-5_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12117</Words>
  <Characters>62164</Characters>
  <Application>Microsoft Office Word</Application>
  <DocSecurity>0</DocSecurity>
  <Lines>12432</Lines>
  <Paragraphs>10611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 Pawar</dc:creator>
  <cp:lastModifiedBy>Sachin Pawar</cp:lastModifiedBy>
  <cp:revision>2</cp:revision>
  <dcterms:created xsi:type="dcterms:W3CDTF">2025-12-12T05:58:00Z</dcterms:created>
  <dcterms:modified xsi:type="dcterms:W3CDTF">2025-12-12T05:58:00Z</dcterms:modified>
</cp:coreProperties>
</file>