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2F" w:rsidRDefault="0077751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>
            <wp:extent cx="3431540" cy="5104765"/>
            <wp:effectExtent l="0" t="0" r="16510" b="635"/>
            <wp:docPr id="3" name="图片 3" descr="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510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Cs w:val="21"/>
        </w:rPr>
        <w:t>Supplementary Figure 1.</w:t>
      </w:r>
      <w:proofErr w:type="gramEnd"/>
      <w:r>
        <w:rPr>
          <w:rFonts w:ascii="Times New Roman" w:hAnsi="Times New Roman" w:cs="Times New Roman"/>
          <w:b/>
          <w:bCs/>
          <w:szCs w:val="21"/>
        </w:rPr>
        <w:t xml:space="preserve"> Intercellular communication analysis reveals key signaling networks in tumor microenvironment.</w:t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(A) </w:t>
      </w:r>
      <w:proofErr w:type="spellStart"/>
      <w:r>
        <w:rPr>
          <w:rFonts w:ascii="Times New Roman" w:hAnsi="Times New Roman" w:cs="Times New Roman"/>
          <w:szCs w:val="21"/>
        </w:rPr>
        <w:t>Heatmap</w:t>
      </w:r>
      <w:proofErr w:type="spellEnd"/>
      <w:r>
        <w:rPr>
          <w:rFonts w:ascii="Times New Roman" w:hAnsi="Times New Roman" w:cs="Times New Roman"/>
          <w:szCs w:val="21"/>
        </w:rPr>
        <w:t xml:space="preserve"> of interaction intensity between different cell types, with x-axis representing signal sending and y-axis representing </w:t>
      </w:r>
      <w:r>
        <w:rPr>
          <w:rFonts w:ascii="Times New Roman" w:hAnsi="Times New Roman" w:cs="Times New Roman"/>
          <w:szCs w:val="21"/>
        </w:rPr>
        <w:t xml:space="preserve">signal receiving. (B) Bubble plot of top 20 </w:t>
      </w:r>
      <w:proofErr w:type="spellStart"/>
      <w:r>
        <w:rPr>
          <w:rFonts w:ascii="Times New Roman" w:hAnsi="Times New Roman" w:cs="Times New Roman"/>
          <w:szCs w:val="21"/>
        </w:rPr>
        <w:t>upregulated</w:t>
      </w:r>
      <w:proofErr w:type="spellEnd"/>
      <w:r>
        <w:rPr>
          <w:rFonts w:ascii="Times New Roman" w:hAnsi="Times New Roman" w:cs="Times New Roman"/>
          <w:szCs w:val="21"/>
        </w:rPr>
        <w:t xml:space="preserve"> sender-receiver cell type pairs. (C) Key ligand-receptor pair interaction scores for intercellular interactions between </w:t>
      </w:r>
      <w:proofErr w:type="spellStart"/>
      <w:r>
        <w:rPr>
          <w:rFonts w:ascii="Times New Roman" w:hAnsi="Times New Roman" w:cs="Times New Roman"/>
          <w:szCs w:val="21"/>
        </w:rPr>
        <w:t>pericytes</w:t>
      </w:r>
      <w:proofErr w:type="spellEnd"/>
      <w:r>
        <w:rPr>
          <w:rFonts w:ascii="Times New Roman" w:hAnsi="Times New Roman" w:cs="Times New Roman"/>
          <w:szCs w:val="21"/>
        </w:rPr>
        <w:t xml:space="preserve"> and mature excitatory neurons. (D) KEGG pathway enrichment analysis of</w:t>
      </w: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upregulated</w:t>
      </w:r>
      <w:proofErr w:type="spellEnd"/>
      <w:r>
        <w:rPr>
          <w:rFonts w:ascii="Times New Roman" w:hAnsi="Times New Roman" w:cs="Times New Roman"/>
          <w:szCs w:val="21"/>
        </w:rPr>
        <w:t xml:space="preserve"> intercellular communication. (E) GO biological process enrichment analysis of </w:t>
      </w:r>
      <w:proofErr w:type="spellStart"/>
      <w:r>
        <w:rPr>
          <w:rFonts w:ascii="Times New Roman" w:hAnsi="Times New Roman" w:cs="Times New Roman"/>
          <w:szCs w:val="21"/>
        </w:rPr>
        <w:t>upregulated</w:t>
      </w:r>
      <w:proofErr w:type="spellEnd"/>
      <w:r>
        <w:rPr>
          <w:rFonts w:ascii="Times New Roman" w:hAnsi="Times New Roman" w:cs="Times New Roman"/>
          <w:szCs w:val="21"/>
        </w:rPr>
        <w:t xml:space="preserve"> intercellular communication. ORA scores represent the enrichment degree of corresponding processes in differential cellular communication.</w:t>
      </w:r>
      <w:r w:rsidR="00501ABB" w:rsidRPr="00501ABB">
        <w:rPr>
          <w:rFonts w:ascii="Times New Roman" w:hAnsi="Times New Roman" w:cs="Times New Roman"/>
          <w:szCs w:val="21"/>
        </w:rPr>
        <w:t xml:space="preserve"> </w:t>
      </w:r>
      <w:r w:rsidR="00501ABB" w:rsidRPr="00501ABB">
        <w:rPr>
          <w:rFonts w:ascii="Times New Roman" w:hAnsi="Times New Roman" w:cs="Times New Roman"/>
          <w:szCs w:val="21"/>
        </w:rPr>
        <w:t xml:space="preserve">(www.kegg.jp/kegg/kegg1.html). © </w:t>
      </w:r>
      <w:proofErr w:type="spellStart"/>
      <w:r w:rsidR="00501ABB" w:rsidRPr="00501ABB">
        <w:rPr>
          <w:rFonts w:ascii="Times New Roman" w:hAnsi="Times New Roman" w:cs="Times New Roman"/>
          <w:szCs w:val="21"/>
        </w:rPr>
        <w:t>Kanehisa</w:t>
      </w:r>
      <w:proofErr w:type="spellEnd"/>
      <w:r w:rsidR="00501ABB" w:rsidRPr="00501ABB">
        <w:rPr>
          <w:rFonts w:ascii="Times New Roman" w:hAnsi="Times New Roman" w:cs="Times New Roman"/>
          <w:szCs w:val="21"/>
        </w:rPr>
        <w:t xml:space="preserve"> Laboratories.)</w:t>
      </w:r>
    </w:p>
    <w:p w:rsidR="001A142F" w:rsidRDefault="001A142F"/>
    <w:p w:rsidR="001A142F" w:rsidRDefault="0077751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114300" distR="114300">
            <wp:extent cx="3893820" cy="4944745"/>
            <wp:effectExtent l="0" t="0" r="11430" b="8255"/>
            <wp:docPr id="5" name="图片 5" descr="fig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94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Cs w:val="21"/>
        </w:rPr>
        <w:t>Supplementa</w:t>
      </w:r>
      <w:r>
        <w:rPr>
          <w:rFonts w:ascii="Times New Roman" w:hAnsi="Times New Roman" w:cs="Times New Roman"/>
          <w:b/>
          <w:bCs/>
          <w:szCs w:val="21"/>
        </w:rPr>
        <w:t xml:space="preserve">ry Figure </w:t>
      </w:r>
      <w:r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.</w:t>
      </w:r>
      <w:proofErr w:type="gramEnd"/>
      <w:r>
        <w:rPr>
          <w:rFonts w:ascii="Times New Roman" w:hAnsi="Times New Roman" w:cs="Times New Roman"/>
          <w:b/>
          <w:bCs/>
          <w:szCs w:val="21"/>
        </w:rPr>
        <w:t xml:space="preserve"> Integrated analysis identifies key genes related to </w:t>
      </w:r>
      <w:proofErr w:type="spellStart"/>
      <w:r>
        <w:rPr>
          <w:rFonts w:ascii="Times New Roman" w:hAnsi="Times New Roman" w:cs="Times New Roman"/>
          <w:b/>
          <w:bCs/>
          <w:szCs w:val="21"/>
        </w:rPr>
        <w:t>neuro</w:t>
      </w:r>
      <w:proofErr w:type="spellEnd"/>
      <w:r>
        <w:rPr>
          <w:rFonts w:ascii="Times New Roman" w:hAnsi="Times New Roman" w:cs="Times New Roman"/>
          <w:b/>
          <w:bCs/>
          <w:szCs w:val="21"/>
        </w:rPr>
        <w:t>-cancer crosstalk.</w:t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(A) Venn diagram showing overlaps between genes identified by different analysis methods. Key cell type marker genes and cellular communication differential genes (LR)</w:t>
      </w:r>
      <w:r>
        <w:rPr>
          <w:rFonts w:ascii="Times New Roman" w:hAnsi="Times New Roman" w:cs="Times New Roman"/>
          <w:szCs w:val="21"/>
        </w:rPr>
        <w:t xml:space="preserve">, differentially expressed genes (DEGs), WGCNA hub genes, and </w:t>
      </w:r>
      <w:proofErr w:type="spellStart"/>
      <w:r>
        <w:rPr>
          <w:rFonts w:ascii="Times New Roman" w:hAnsi="Times New Roman" w:cs="Times New Roman"/>
          <w:szCs w:val="21"/>
        </w:rPr>
        <w:t>neuro</w:t>
      </w:r>
      <w:proofErr w:type="spellEnd"/>
      <w:r>
        <w:rPr>
          <w:rFonts w:ascii="Times New Roman" w:hAnsi="Times New Roman" w:cs="Times New Roman"/>
          <w:szCs w:val="21"/>
        </w:rPr>
        <w:t xml:space="preserve">-cancer crosstalk related genes (NCC). (B) Expression </w:t>
      </w:r>
      <w:proofErr w:type="spellStart"/>
      <w:r>
        <w:rPr>
          <w:rFonts w:ascii="Times New Roman" w:hAnsi="Times New Roman" w:cs="Times New Roman"/>
          <w:szCs w:val="21"/>
        </w:rPr>
        <w:t>heatmap</w:t>
      </w:r>
      <w:proofErr w:type="spellEnd"/>
      <w:r>
        <w:rPr>
          <w:rFonts w:ascii="Times New Roman" w:hAnsi="Times New Roman" w:cs="Times New Roman"/>
          <w:szCs w:val="21"/>
        </w:rPr>
        <w:t xml:space="preserve"> of 7 candidate genes in GBM and control groups. (C) GO functional enrichment analysis bubble plot of candidate genes. X-axis sh</w:t>
      </w:r>
      <w:r>
        <w:rPr>
          <w:rFonts w:ascii="Times New Roman" w:hAnsi="Times New Roman" w:cs="Times New Roman"/>
          <w:szCs w:val="21"/>
        </w:rPr>
        <w:t>ows z-score representing enrichment degree, Y-axis shows -</w:t>
      </w:r>
      <w:proofErr w:type="gramStart"/>
      <w:r>
        <w:rPr>
          <w:rFonts w:ascii="Times New Roman" w:hAnsi="Times New Roman" w:cs="Times New Roman"/>
          <w:szCs w:val="21"/>
        </w:rPr>
        <w:t>log10(</w:t>
      </w:r>
      <w:proofErr w:type="gramEnd"/>
      <w:r>
        <w:rPr>
          <w:rFonts w:ascii="Times New Roman" w:hAnsi="Times New Roman" w:cs="Times New Roman"/>
          <w:szCs w:val="21"/>
        </w:rPr>
        <w:t>adjusted P value). Bubble size represents the number of genes in each GO term, color represents category type (green: biological process, pink: cellular component, blue: molecular function), h</w:t>
      </w:r>
      <w:r>
        <w:rPr>
          <w:rFonts w:ascii="Times New Roman" w:hAnsi="Times New Roman" w:cs="Times New Roman"/>
          <w:szCs w:val="21"/>
        </w:rPr>
        <w:t xml:space="preserve">orizontal orange line marks significance threshold. (D) KEGG pathway enrichment analysis of candidate genes. X-axis shows enrichment score representing enrichment degree, bubble size represents the number of genes enriched in each pathway, bubble color </w:t>
      </w:r>
      <w:r>
        <w:rPr>
          <w:rFonts w:ascii="Times New Roman" w:hAnsi="Times New Roman" w:cs="Times New Roman"/>
          <w:szCs w:val="21"/>
        </w:rPr>
        <w:lastRenderedPageBreak/>
        <w:t>rep</w:t>
      </w:r>
      <w:r>
        <w:rPr>
          <w:rFonts w:ascii="Times New Roman" w:hAnsi="Times New Roman" w:cs="Times New Roman"/>
          <w:szCs w:val="21"/>
        </w:rPr>
        <w:t>resents -</w:t>
      </w:r>
      <w:proofErr w:type="gramStart"/>
      <w:r>
        <w:rPr>
          <w:rFonts w:ascii="Times New Roman" w:hAnsi="Times New Roman" w:cs="Times New Roman"/>
          <w:szCs w:val="21"/>
        </w:rPr>
        <w:t>log10(</w:t>
      </w:r>
      <w:proofErr w:type="gramEnd"/>
      <w:r>
        <w:rPr>
          <w:rFonts w:ascii="Times New Roman" w:hAnsi="Times New Roman" w:cs="Times New Roman"/>
          <w:szCs w:val="21"/>
        </w:rPr>
        <w:t xml:space="preserve">adjusted P value). (E) </w:t>
      </w:r>
      <w:proofErr w:type="spellStart"/>
      <w:r>
        <w:rPr>
          <w:rFonts w:ascii="Times New Roman" w:hAnsi="Times New Roman" w:cs="Times New Roman"/>
          <w:szCs w:val="21"/>
        </w:rPr>
        <w:t>Sankey</w:t>
      </w:r>
      <w:proofErr w:type="spellEnd"/>
      <w:r>
        <w:rPr>
          <w:rFonts w:ascii="Times New Roman" w:hAnsi="Times New Roman" w:cs="Times New Roman"/>
          <w:szCs w:val="21"/>
        </w:rPr>
        <w:t xml:space="preserve"> diagram showing associations between 7 key genes and major signaling pathways from pathway enrichment analysis.</w:t>
      </w:r>
      <w:r w:rsidR="00501ABB" w:rsidRPr="00501ABB">
        <w:rPr>
          <w:rFonts w:ascii="Times New Roman" w:hAnsi="Times New Roman" w:cs="Times New Roman"/>
          <w:szCs w:val="21"/>
        </w:rPr>
        <w:t xml:space="preserve"> </w:t>
      </w:r>
      <w:r w:rsidR="00501ABB" w:rsidRPr="00501ABB">
        <w:rPr>
          <w:rFonts w:ascii="Times New Roman" w:hAnsi="Times New Roman" w:cs="Times New Roman"/>
          <w:szCs w:val="21"/>
        </w:rPr>
        <w:t xml:space="preserve">(www.kegg.jp/kegg/kegg1.html). © </w:t>
      </w:r>
      <w:proofErr w:type="spellStart"/>
      <w:r w:rsidR="00501ABB" w:rsidRPr="00501ABB">
        <w:rPr>
          <w:rFonts w:ascii="Times New Roman" w:hAnsi="Times New Roman" w:cs="Times New Roman"/>
          <w:szCs w:val="21"/>
        </w:rPr>
        <w:t>Kanehisa</w:t>
      </w:r>
      <w:proofErr w:type="spellEnd"/>
      <w:r w:rsidR="00501ABB" w:rsidRPr="00501ABB">
        <w:rPr>
          <w:rFonts w:ascii="Times New Roman" w:hAnsi="Times New Roman" w:cs="Times New Roman"/>
          <w:szCs w:val="21"/>
        </w:rPr>
        <w:t xml:space="preserve"> Laboratories.)</w:t>
      </w:r>
      <w:bookmarkStart w:id="0" w:name="_GoBack"/>
      <w:bookmarkEnd w:id="0"/>
    </w:p>
    <w:p w:rsidR="001A142F" w:rsidRDefault="001A142F"/>
    <w:p w:rsidR="001A142F" w:rsidRDefault="0077751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114300" distR="114300">
            <wp:extent cx="5259705" cy="2352040"/>
            <wp:effectExtent l="0" t="0" r="17145" b="10160"/>
            <wp:docPr id="11" name="图片 11" descr="figur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igure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Cs w:val="21"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>
        <w:rPr>
          <w:rFonts w:ascii="Times New Roman" w:hAnsi="Times New Roman" w:cs="Times New Roman"/>
          <w:b/>
          <w:bCs/>
          <w:szCs w:val="21"/>
        </w:rPr>
        <w:t>.</w:t>
      </w:r>
      <w:proofErr w:type="gramEnd"/>
      <w:r>
        <w:rPr>
          <w:rFonts w:ascii="Times New Roman" w:hAnsi="Times New Roman" w:cs="Times New Roman"/>
          <w:b/>
          <w:bCs/>
          <w:szCs w:val="21"/>
        </w:rPr>
        <w:t xml:space="preserve"> Comparison of IC</w:t>
      </w:r>
      <w:r>
        <w:rPr>
          <w:rFonts w:ascii="Times New Roman" w:hAnsi="Times New Roman" w:cs="Times New Roman"/>
          <w:b/>
          <w:bCs/>
          <w:szCs w:val="21"/>
          <w:vertAlign w:val="subscript"/>
        </w:rPr>
        <w:t>50</w:t>
      </w:r>
      <w:r>
        <w:rPr>
          <w:rFonts w:ascii="Times New Roman" w:hAnsi="Times New Roman" w:cs="Times New Roman"/>
          <w:b/>
          <w:bCs/>
          <w:szCs w:val="21"/>
        </w:rPr>
        <w:t xml:space="preserve"> values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>of different chemotherapy drugs in high-risk a</w:t>
      </w:r>
      <w:r>
        <w:rPr>
          <w:rFonts w:ascii="Times New Roman" w:hAnsi="Times New Roman" w:cs="Times New Roman"/>
          <w:b/>
          <w:bCs/>
          <w:szCs w:val="21"/>
        </w:rPr>
        <w:t>nd low-risk groups.</w:t>
      </w:r>
      <w:r>
        <w:rPr>
          <w:rFonts w:ascii="Times New Roman" w:hAnsi="Times New Roman" w:cs="Times New Roman"/>
          <w:szCs w:val="21"/>
        </w:rPr>
        <w:t xml:space="preserve"> </w:t>
      </w:r>
    </w:p>
    <w:p w:rsidR="001A142F" w:rsidRDefault="0077751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Statistical significance was determined by Wilcoxon rank sum test, *P &lt; 0.05, **P &lt; 0.01, ***P &lt; 0.001, ****P &lt; 0.0001.</w:t>
      </w:r>
    </w:p>
    <w:p w:rsidR="001A142F" w:rsidRDefault="001A142F"/>
    <w:p w:rsidR="001A142F" w:rsidRDefault="0077751F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proofErr w:type="gramStart"/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 w:hint="eastAsia"/>
          <w:b/>
          <w:bCs/>
          <w:szCs w:val="21"/>
        </w:rPr>
        <w:t>2</w:t>
      </w:r>
      <w:r>
        <w:rPr>
          <w:rFonts w:ascii="Times New Roman" w:hAnsi="Times New Roman" w:cs="Times New Roman"/>
          <w:b/>
          <w:bCs/>
          <w:szCs w:val="21"/>
        </w:rPr>
        <w:t>.</w:t>
      </w:r>
      <w:proofErr w:type="gramEnd"/>
      <w:r>
        <w:rPr>
          <w:rFonts w:ascii="Times New Roman" w:hAnsi="Times New Roman" w:cs="Times New Roman"/>
          <w:b/>
          <w:bCs/>
          <w:szCs w:val="21"/>
        </w:rPr>
        <w:t xml:space="preserve"> Connectivity Scores and Binding Free Energies of Small Molecule Candidate Drugs Correspondi</w:t>
      </w:r>
      <w:r>
        <w:rPr>
          <w:rFonts w:ascii="Times New Roman" w:hAnsi="Times New Roman" w:cs="Times New Roman"/>
          <w:b/>
          <w:bCs/>
          <w:szCs w:val="21"/>
        </w:rPr>
        <w:t>ng to Key Target Genes</w:t>
      </w:r>
    </w:p>
    <w:tbl>
      <w:tblPr>
        <w:tblW w:w="7082" w:type="dxa"/>
        <w:jc w:val="center"/>
        <w:tblLayout w:type="fixed"/>
        <w:tblLook w:val="04A0" w:firstRow="1" w:lastRow="0" w:firstColumn="1" w:lastColumn="0" w:noHBand="0" w:noVBand="1"/>
      </w:tblPr>
      <w:tblGrid>
        <w:gridCol w:w="2350"/>
        <w:gridCol w:w="1172"/>
        <w:gridCol w:w="1378"/>
        <w:gridCol w:w="2182"/>
      </w:tblGrid>
      <w:tr w:rsidR="001A142F">
        <w:trPr>
          <w:trHeight w:val="330"/>
          <w:jc w:val="center"/>
        </w:trPr>
        <w:tc>
          <w:tcPr>
            <w:tcW w:w="235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Compound</w:t>
            </w:r>
          </w:p>
        </w:tc>
        <w:tc>
          <w:tcPr>
            <w:tcW w:w="117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Target</w:t>
            </w:r>
          </w:p>
        </w:tc>
        <w:tc>
          <w:tcPr>
            <w:tcW w:w="137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Connectivity score</w:t>
            </w:r>
          </w:p>
        </w:tc>
        <w:tc>
          <w:tcPr>
            <w:tcW w:w="218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Binding free energies (-kcal/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mol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1A142F">
        <w:trPr>
          <w:trHeight w:val="300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betamethasone-acetate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L1CAM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-8</w:t>
            </w:r>
          </w:p>
        </w:tc>
      </w:tr>
      <w:tr w:rsidR="001A142F">
        <w:trPr>
          <w:trHeight w:val="300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TAK-733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L1CAM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-6.9</w:t>
            </w:r>
          </w:p>
        </w:tc>
      </w:tr>
      <w:tr w:rsidR="001A142F">
        <w:trPr>
          <w:trHeight w:val="300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U-54494A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L1CAM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-6.7</w:t>
            </w:r>
          </w:p>
        </w:tc>
      </w:tr>
      <w:tr w:rsidR="001A142F">
        <w:trPr>
          <w:trHeight w:val="300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betamethasone-acetate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-7.3</w:t>
            </w:r>
          </w:p>
        </w:tc>
      </w:tr>
      <w:tr w:rsidR="001A142F">
        <w:trPr>
          <w:trHeight w:val="300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TAK-733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NGFR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-6.1</w:t>
            </w:r>
          </w:p>
        </w:tc>
      </w:tr>
      <w:tr w:rsidR="001A142F">
        <w:trPr>
          <w:trHeight w:val="315"/>
          <w:jc w:val="center"/>
        </w:trPr>
        <w:tc>
          <w:tcPr>
            <w:tcW w:w="23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U-54494A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NGFR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-1.6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1A142F" w:rsidRDefault="0077751F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-5.7</w:t>
            </w:r>
          </w:p>
        </w:tc>
      </w:tr>
    </w:tbl>
    <w:p w:rsidR="001A142F" w:rsidRDefault="001A142F"/>
    <w:sectPr w:rsidR="001A1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1F" w:rsidRDefault="0077751F" w:rsidP="00501ABB">
      <w:r>
        <w:separator/>
      </w:r>
    </w:p>
  </w:endnote>
  <w:endnote w:type="continuationSeparator" w:id="0">
    <w:p w:rsidR="0077751F" w:rsidRDefault="0077751F" w:rsidP="0050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1F" w:rsidRDefault="0077751F" w:rsidP="00501ABB">
      <w:r>
        <w:separator/>
      </w:r>
    </w:p>
  </w:footnote>
  <w:footnote w:type="continuationSeparator" w:id="0">
    <w:p w:rsidR="0077751F" w:rsidRDefault="0077751F" w:rsidP="0050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816CD"/>
    <w:rsid w:val="001A142F"/>
    <w:rsid w:val="00501ABB"/>
    <w:rsid w:val="0077751F"/>
    <w:rsid w:val="511816CD"/>
    <w:rsid w:val="752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1ABB"/>
    <w:rPr>
      <w:sz w:val="18"/>
      <w:szCs w:val="18"/>
    </w:rPr>
  </w:style>
  <w:style w:type="character" w:customStyle="1" w:styleId="Char">
    <w:name w:val="批注框文本 Char"/>
    <w:basedOn w:val="a0"/>
    <w:link w:val="a3"/>
    <w:rsid w:val="00501ABB"/>
    <w:rPr>
      <w:kern w:val="2"/>
      <w:sz w:val="18"/>
      <w:szCs w:val="18"/>
    </w:rPr>
  </w:style>
  <w:style w:type="paragraph" w:styleId="a4">
    <w:name w:val="header"/>
    <w:basedOn w:val="a"/>
    <w:link w:val="Char0"/>
    <w:rsid w:val="0050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1ABB"/>
    <w:rPr>
      <w:kern w:val="2"/>
      <w:sz w:val="18"/>
      <w:szCs w:val="18"/>
    </w:rPr>
  </w:style>
  <w:style w:type="paragraph" w:styleId="a5">
    <w:name w:val="footer"/>
    <w:basedOn w:val="a"/>
    <w:link w:val="Char1"/>
    <w:rsid w:val="0050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01A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1ABB"/>
    <w:rPr>
      <w:sz w:val="18"/>
      <w:szCs w:val="18"/>
    </w:rPr>
  </w:style>
  <w:style w:type="character" w:customStyle="1" w:styleId="Char">
    <w:name w:val="批注框文本 Char"/>
    <w:basedOn w:val="a0"/>
    <w:link w:val="a3"/>
    <w:rsid w:val="00501ABB"/>
    <w:rPr>
      <w:kern w:val="2"/>
      <w:sz w:val="18"/>
      <w:szCs w:val="18"/>
    </w:rPr>
  </w:style>
  <w:style w:type="paragraph" w:styleId="a4">
    <w:name w:val="header"/>
    <w:basedOn w:val="a"/>
    <w:link w:val="Char0"/>
    <w:rsid w:val="0050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01ABB"/>
    <w:rPr>
      <w:kern w:val="2"/>
      <w:sz w:val="18"/>
      <w:szCs w:val="18"/>
    </w:rPr>
  </w:style>
  <w:style w:type="paragraph" w:styleId="a5">
    <w:name w:val="footer"/>
    <w:basedOn w:val="a"/>
    <w:link w:val="Char1"/>
    <w:rsid w:val="0050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01A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Company>HP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</dc:creator>
  <cp:lastModifiedBy>廖星雨</cp:lastModifiedBy>
  <cp:revision>2</cp:revision>
  <dcterms:created xsi:type="dcterms:W3CDTF">2025-10-28T06:46:00Z</dcterms:created>
  <dcterms:modified xsi:type="dcterms:W3CDTF">2025-11-27T14:48:00Z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68643CDD535D41DC9064E5DA2C5D6FE5_11</vt:lpwstr>
  </property>
  <property fmtid="{D5CDD505-2E9C-101B-9397-08002B2CF9AE}" pid="4" name="KSOTemplateDocerSaveRecord">
    <vt:lpwstr>eyJoZGlkIjoiMjllODEzZjg2NzlmODBlNzk2MjRhODRjNzdjZDlhZjciLCJ1c2VySWQiOiIzMDkxNjg4NjYifQ==</vt:lpwstr>
  </property>
</Properties>
</file>