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5CBC8" w14:textId="21830071" w:rsidR="001C0212" w:rsidRDefault="001D1CE0" w:rsidP="001D1CE0">
      <w:pPr>
        <w:pStyle w:val="Title"/>
        <w:spacing w:line="480" w:lineRule="auto"/>
        <w:rPr>
          <w:rFonts w:ascii="Times New Roman" w:hAnsi="Times New Roman" w:cs="Times New Roman"/>
        </w:rPr>
      </w:pPr>
      <w:r w:rsidRPr="001D1CE0">
        <w:rPr>
          <w:rFonts w:ascii="Times New Roman" w:hAnsi="Times New Roman" w:cs="Times New Roman"/>
        </w:rPr>
        <w:t xml:space="preserve">Residency time and other risk factors for large bovine tuberculosis breakdowns in Irish cattle herds </w:t>
      </w:r>
      <w:r w:rsidR="00354CBB" w:rsidRPr="001D1CE0">
        <w:rPr>
          <w:rFonts w:ascii="Times New Roman" w:hAnsi="Times New Roman" w:cs="Times New Roman"/>
        </w:rPr>
        <w:t xml:space="preserve">: </w:t>
      </w:r>
      <w:r w:rsidR="00DF0572" w:rsidRPr="001D1CE0">
        <w:rPr>
          <w:rFonts w:ascii="Times New Roman" w:hAnsi="Times New Roman" w:cs="Times New Roman"/>
        </w:rPr>
        <w:t>Supplementary results</w:t>
      </w:r>
      <w:r w:rsidR="0038597D" w:rsidRPr="001D1CE0">
        <w:rPr>
          <w:rFonts w:ascii="Times New Roman" w:hAnsi="Times New Roman" w:cs="Times New Roman"/>
        </w:rPr>
        <w:t xml:space="preserve"> part 2</w:t>
      </w:r>
    </w:p>
    <w:p w14:paraId="64328D95" w14:textId="77777777" w:rsidR="00BB4C03" w:rsidRPr="007D6C20" w:rsidRDefault="00BB4C03" w:rsidP="00BB4C03">
      <w:pPr>
        <w:rPr>
          <w:rFonts w:ascii="Times New Roman" w:hAnsi="Times New Roman" w:cs="Times New Roman"/>
        </w:rPr>
      </w:pPr>
      <w:r w:rsidRPr="007D6C20">
        <w:rPr>
          <w:rFonts w:ascii="Times New Roman" w:hAnsi="Times New Roman" w:cs="Times New Roman"/>
        </w:rPr>
        <w:t>Miriam Casey-Bryars</w:t>
      </w:r>
      <w:r>
        <w:rPr>
          <w:rFonts w:ascii="Times New Roman" w:hAnsi="Times New Roman" w:cs="Times New Roman"/>
        </w:rPr>
        <w:t xml:space="preserve"> </w:t>
      </w:r>
      <w:r w:rsidRPr="007D6C20">
        <w:rPr>
          <w:rFonts w:ascii="Times New Roman" w:hAnsi="Times New Roman" w:cs="Times New Roman"/>
          <w:vertAlign w:val="superscript"/>
        </w:rPr>
        <w:t>1</w:t>
      </w:r>
      <w:r w:rsidRPr="007D6C20">
        <w:rPr>
          <w:rFonts w:ascii="Times New Roman" w:hAnsi="Times New Roman" w:cs="Times New Roman"/>
        </w:rPr>
        <w:t>, Jamie A. Tratalos</w:t>
      </w:r>
      <w:r>
        <w:rPr>
          <w:rFonts w:ascii="Times New Roman" w:hAnsi="Times New Roman" w:cs="Times New Roman"/>
        </w:rPr>
        <w:t xml:space="preserve"> </w:t>
      </w:r>
      <w:r w:rsidRPr="007D6C20">
        <w:rPr>
          <w:rFonts w:ascii="Times New Roman" w:hAnsi="Times New Roman" w:cs="Times New Roman"/>
          <w:vertAlign w:val="superscript"/>
        </w:rPr>
        <w:t>2</w:t>
      </w:r>
      <w:r w:rsidRPr="007D6C20">
        <w:rPr>
          <w:rFonts w:ascii="Times New Roman" w:hAnsi="Times New Roman" w:cs="Times New Roman"/>
        </w:rPr>
        <w:t>, Andrew Byrne</w:t>
      </w:r>
      <w:r>
        <w:rPr>
          <w:rFonts w:ascii="Times New Roman" w:hAnsi="Times New Roman" w:cs="Times New Roman"/>
        </w:rPr>
        <w:t xml:space="preserve"> </w:t>
      </w:r>
      <w:r w:rsidRPr="007D6C20">
        <w:rPr>
          <w:rFonts w:ascii="Times New Roman" w:hAnsi="Times New Roman" w:cs="Times New Roman"/>
          <w:vertAlign w:val="superscript"/>
        </w:rPr>
        <w:t>3</w:t>
      </w:r>
      <w:r w:rsidRPr="007D6C20">
        <w:rPr>
          <w:rFonts w:ascii="Times New Roman" w:hAnsi="Times New Roman" w:cs="Times New Roman"/>
        </w:rPr>
        <w:t>, Simon More</w:t>
      </w:r>
      <w:r>
        <w:rPr>
          <w:rFonts w:ascii="Times New Roman" w:hAnsi="Times New Roman" w:cs="Times New Roman"/>
        </w:rPr>
        <w:t xml:space="preserve"> </w:t>
      </w:r>
      <w:r w:rsidRPr="007D6C20">
        <w:rPr>
          <w:rFonts w:ascii="Times New Roman" w:hAnsi="Times New Roman" w:cs="Times New Roman"/>
          <w:vertAlign w:val="superscript"/>
        </w:rPr>
        <w:t>2</w:t>
      </w:r>
      <w:r w:rsidRPr="007D6C20">
        <w:rPr>
          <w:rFonts w:ascii="Times New Roman" w:hAnsi="Times New Roman" w:cs="Times New Roman"/>
        </w:rPr>
        <w:t>, Damien Barrett</w:t>
      </w:r>
      <w:r>
        <w:rPr>
          <w:rFonts w:ascii="Times New Roman" w:hAnsi="Times New Roman" w:cs="Times New Roman"/>
        </w:rPr>
        <w:t xml:space="preserve"> </w:t>
      </w:r>
      <w:r w:rsidRPr="007D6C20">
        <w:rPr>
          <w:rFonts w:ascii="Times New Roman" w:hAnsi="Times New Roman" w:cs="Times New Roman"/>
          <w:vertAlign w:val="superscript"/>
        </w:rPr>
        <w:t>3</w:t>
      </w:r>
      <w:r w:rsidRPr="007D6C20">
        <w:rPr>
          <w:rFonts w:ascii="Times New Roman" w:hAnsi="Times New Roman" w:cs="Times New Roman"/>
        </w:rPr>
        <w:t>, Jamie M. Madden</w:t>
      </w:r>
      <w:r>
        <w:rPr>
          <w:rFonts w:ascii="Times New Roman" w:hAnsi="Times New Roman" w:cs="Times New Roman"/>
        </w:rPr>
        <w:t xml:space="preserve"> </w:t>
      </w:r>
      <w:r w:rsidRPr="007D6C20">
        <w:rPr>
          <w:rFonts w:ascii="Times New Roman" w:hAnsi="Times New Roman" w:cs="Times New Roman"/>
        </w:rPr>
        <w:t>*</w:t>
      </w:r>
      <w:r w:rsidRPr="007D6C20">
        <w:rPr>
          <w:rFonts w:ascii="Times New Roman" w:hAnsi="Times New Roman" w:cs="Times New Roman"/>
          <w:vertAlign w:val="superscript"/>
        </w:rPr>
        <w:t>2</w:t>
      </w:r>
      <w:r w:rsidRPr="007D6C20">
        <w:rPr>
          <w:rFonts w:ascii="Times New Roman" w:hAnsi="Times New Roman" w:cs="Times New Roman"/>
        </w:rPr>
        <w:t xml:space="preserve"> and Andrew Conlan</w:t>
      </w:r>
      <w:r>
        <w:rPr>
          <w:rFonts w:ascii="Times New Roman" w:hAnsi="Times New Roman" w:cs="Times New Roman"/>
        </w:rPr>
        <w:t xml:space="preserve"> </w:t>
      </w:r>
      <w:r w:rsidRPr="007D6C20">
        <w:rPr>
          <w:rFonts w:ascii="Times New Roman" w:hAnsi="Times New Roman" w:cs="Times New Roman"/>
        </w:rPr>
        <w:t>*</w:t>
      </w:r>
      <w:r w:rsidRPr="007D6C20">
        <w:rPr>
          <w:rFonts w:ascii="Times New Roman" w:hAnsi="Times New Roman" w:cs="Times New Roman"/>
          <w:vertAlign w:val="superscript"/>
        </w:rPr>
        <w:t>4</w:t>
      </w:r>
    </w:p>
    <w:p w14:paraId="026E7B0E" w14:textId="77777777" w:rsidR="00BB4C03" w:rsidRPr="007D6C20" w:rsidRDefault="00BB4C03" w:rsidP="00BB4C03">
      <w:pPr>
        <w:pStyle w:val="ListParagraph"/>
        <w:numPr>
          <w:ilvl w:val="0"/>
          <w:numId w:val="1"/>
        </w:numPr>
        <w:rPr>
          <w:rFonts w:ascii="Times New Roman" w:hAnsi="Times New Roman" w:cs="Times New Roman"/>
        </w:rPr>
      </w:pPr>
      <w:r w:rsidRPr="007D6C20">
        <w:rPr>
          <w:rFonts w:ascii="Times New Roman" w:hAnsi="Times New Roman" w:cs="Times New Roman"/>
        </w:rPr>
        <w:t>School of Veterinary Medicine, University College Dublin, Belfield, Dublin 4, Ireland</w:t>
      </w:r>
    </w:p>
    <w:p w14:paraId="6373671B" w14:textId="77777777" w:rsidR="00BB4C03" w:rsidRPr="007D6C20" w:rsidRDefault="00BB4C03" w:rsidP="00BB4C03">
      <w:pPr>
        <w:pStyle w:val="ListParagraph"/>
        <w:numPr>
          <w:ilvl w:val="0"/>
          <w:numId w:val="1"/>
        </w:numPr>
        <w:rPr>
          <w:rFonts w:ascii="Times New Roman" w:hAnsi="Times New Roman" w:cs="Times New Roman"/>
        </w:rPr>
      </w:pPr>
      <w:r w:rsidRPr="007D6C20">
        <w:rPr>
          <w:rFonts w:ascii="Times New Roman" w:hAnsi="Times New Roman" w:cs="Times New Roman"/>
        </w:rPr>
        <w:t>Centre for Veterinary Epidemiology and Risk Analysis, School of Veterinary Medicine, University College Dublin, Belfield, Dublin 4,</w:t>
      </w:r>
      <w:r>
        <w:rPr>
          <w:rFonts w:ascii="Times New Roman" w:hAnsi="Times New Roman" w:cs="Times New Roman"/>
        </w:rPr>
        <w:t xml:space="preserve"> Dublin</w:t>
      </w:r>
      <w:r w:rsidRPr="007D6C20">
        <w:rPr>
          <w:rFonts w:ascii="Times New Roman" w:hAnsi="Times New Roman" w:cs="Times New Roman"/>
        </w:rPr>
        <w:t xml:space="preserve"> Ireland.</w:t>
      </w:r>
    </w:p>
    <w:p w14:paraId="5D47584B" w14:textId="5424C821" w:rsidR="00BB4C03" w:rsidRPr="007D6C20" w:rsidRDefault="00BB4C03" w:rsidP="00BB4C03">
      <w:pPr>
        <w:pStyle w:val="ListParagraph"/>
        <w:numPr>
          <w:ilvl w:val="0"/>
          <w:numId w:val="1"/>
        </w:numPr>
        <w:rPr>
          <w:rFonts w:ascii="Times New Roman" w:hAnsi="Times New Roman" w:cs="Times New Roman"/>
        </w:rPr>
      </w:pPr>
      <w:r w:rsidRPr="007D6C20">
        <w:rPr>
          <w:rFonts w:ascii="Tahoma" w:hAnsi="Tahoma" w:cs="Tahoma"/>
        </w:rPr>
        <w:t>﻿</w:t>
      </w:r>
      <w:r w:rsidR="002740FA" w:rsidRPr="002740FA">
        <w:rPr>
          <w:rFonts w:ascii="Times New Roman" w:hAnsi="Times New Roman" w:cs="Times New Roman"/>
        </w:rPr>
        <w:t xml:space="preserve"> </w:t>
      </w:r>
      <w:r w:rsidR="002740FA" w:rsidRPr="007D6C20">
        <w:rPr>
          <w:rFonts w:ascii="Times New Roman" w:hAnsi="Times New Roman" w:cs="Times New Roman"/>
        </w:rPr>
        <w:t>Department of Agriculture, Food and the Marine,</w:t>
      </w:r>
      <w:r w:rsidR="002740FA">
        <w:rPr>
          <w:rFonts w:ascii="Times New Roman" w:hAnsi="Times New Roman" w:cs="Times New Roman"/>
        </w:rPr>
        <w:t xml:space="preserve"> Kildare Street</w:t>
      </w:r>
      <w:r w:rsidR="002740FA" w:rsidRPr="007D6C20">
        <w:rPr>
          <w:rFonts w:ascii="Times New Roman" w:hAnsi="Times New Roman" w:cs="Times New Roman"/>
        </w:rPr>
        <w:t>,</w:t>
      </w:r>
      <w:r w:rsidR="002740FA">
        <w:rPr>
          <w:rFonts w:ascii="Times New Roman" w:hAnsi="Times New Roman" w:cs="Times New Roman"/>
        </w:rPr>
        <w:t xml:space="preserve"> Dublin,</w:t>
      </w:r>
      <w:r w:rsidR="002740FA" w:rsidRPr="007D6C20">
        <w:rPr>
          <w:rFonts w:ascii="Times New Roman" w:hAnsi="Times New Roman" w:cs="Times New Roman"/>
        </w:rPr>
        <w:t xml:space="preserve"> Ireland</w:t>
      </w:r>
      <w:r w:rsidRPr="007D6C20">
        <w:rPr>
          <w:rFonts w:ascii="Times New Roman" w:hAnsi="Times New Roman" w:cs="Times New Roman"/>
        </w:rPr>
        <w:t>.</w:t>
      </w:r>
    </w:p>
    <w:p w14:paraId="15130BCB" w14:textId="77777777" w:rsidR="00BB4C03" w:rsidRPr="007D6C20" w:rsidRDefault="00BB4C03" w:rsidP="00BB4C03">
      <w:pPr>
        <w:pStyle w:val="ListParagraph"/>
        <w:numPr>
          <w:ilvl w:val="0"/>
          <w:numId w:val="1"/>
        </w:numPr>
        <w:rPr>
          <w:rFonts w:ascii="Times New Roman" w:hAnsi="Times New Roman" w:cs="Times New Roman"/>
        </w:rPr>
      </w:pPr>
      <w:r w:rsidRPr="007D6C20">
        <w:rPr>
          <w:rFonts w:ascii="Times New Roman" w:hAnsi="Times New Roman" w:cs="Times New Roman"/>
        </w:rPr>
        <w:t>Disease Dynamics Unit, Department of Veterinary Medicine, University of Cambridge,</w:t>
      </w:r>
      <w:r>
        <w:rPr>
          <w:rFonts w:ascii="Times New Roman" w:hAnsi="Times New Roman" w:cs="Times New Roman"/>
        </w:rPr>
        <w:t xml:space="preserve"> Cambridge,</w:t>
      </w:r>
      <w:r w:rsidRPr="007D6C20">
        <w:rPr>
          <w:rFonts w:ascii="Times New Roman" w:hAnsi="Times New Roman" w:cs="Times New Roman"/>
        </w:rPr>
        <w:t xml:space="preserve"> UK.</w:t>
      </w:r>
    </w:p>
    <w:p w14:paraId="16B8165B" w14:textId="77777777" w:rsidR="00BB4C03" w:rsidRPr="007D6C20" w:rsidRDefault="00BB4C03" w:rsidP="00BB4C03">
      <w:pPr>
        <w:ind w:left="360"/>
        <w:rPr>
          <w:rFonts w:ascii="Times New Roman" w:hAnsi="Times New Roman" w:cs="Times New Roman"/>
        </w:rPr>
      </w:pPr>
      <w:r w:rsidRPr="007D6C20">
        <w:rPr>
          <w:rFonts w:ascii="Times New Roman" w:hAnsi="Times New Roman" w:cs="Times New Roman"/>
        </w:rPr>
        <w:t>* These authors contributed equally.</w:t>
      </w:r>
    </w:p>
    <w:p w14:paraId="2F3E6FF6" w14:textId="77777777" w:rsidR="00BB4C03" w:rsidRDefault="00BB4C03" w:rsidP="00BB4C03">
      <w:pPr>
        <w:jc w:val="both"/>
        <w:rPr>
          <w:rFonts w:ascii="Times New Roman" w:hAnsi="Times New Roman" w:cs="Times New Roman"/>
        </w:rPr>
      </w:pPr>
      <w:r w:rsidRPr="007D6C20">
        <w:rPr>
          <w:rFonts w:ascii="Times New Roman" w:hAnsi="Times New Roman" w:cs="Times New Roman"/>
        </w:rPr>
        <w:t>Correspondence to: Miriam Casey</w:t>
      </w:r>
      <w:r>
        <w:rPr>
          <w:rFonts w:ascii="Times New Roman" w:hAnsi="Times New Roman" w:cs="Times New Roman"/>
        </w:rPr>
        <w:t>-Bryars</w:t>
      </w:r>
      <w:r w:rsidRPr="007D6C20">
        <w:rPr>
          <w:rFonts w:ascii="Times New Roman" w:hAnsi="Times New Roman" w:cs="Times New Roman"/>
        </w:rPr>
        <w:t xml:space="preserve">; </w:t>
      </w:r>
      <w:hyperlink r:id="rId8" w:history="1">
        <w:r w:rsidRPr="007D6C20">
          <w:rPr>
            <w:rStyle w:val="Hyperlink"/>
            <w:rFonts w:ascii="Times New Roman" w:hAnsi="Times New Roman" w:cs="Times New Roman"/>
          </w:rPr>
          <w:t>miriam.casey@ucd.ie</w:t>
        </w:r>
      </w:hyperlink>
      <w:r w:rsidRPr="007D6C20">
        <w:rPr>
          <w:rFonts w:ascii="Times New Roman" w:hAnsi="Times New Roman" w:cs="Times New Roman"/>
        </w:rPr>
        <w:t>, School of Veterinary Medicine, University College Dublin, Belfield, Dublin D04 W6F6, Ireland</w:t>
      </w:r>
    </w:p>
    <w:p w14:paraId="1B434EF1" w14:textId="6A01DAC4" w:rsidR="001B752E" w:rsidRPr="001B752E" w:rsidRDefault="001B752E" w:rsidP="007F14A9">
      <w:pPr>
        <w:rPr>
          <w:rFonts w:ascii="Times New Roman" w:hAnsi="Times New Roman" w:cs="Times New Roman"/>
        </w:rPr>
      </w:pPr>
      <w:r>
        <w:rPr>
          <w:rFonts w:ascii="Times New Roman" w:hAnsi="Times New Roman" w:cs="Times New Roman"/>
        </w:rPr>
        <w:br w:type="page"/>
      </w:r>
    </w:p>
    <w:sdt>
      <w:sdtPr>
        <w:rPr>
          <w:rFonts w:ascii="Times New Roman" w:eastAsiaTheme="minorHAnsi" w:hAnsi="Times New Roman" w:cs="Times New Roman"/>
          <w:color w:val="auto"/>
          <w:kern w:val="2"/>
          <w:sz w:val="22"/>
          <w:szCs w:val="22"/>
          <w:lang w:val="en-IE"/>
          <w14:ligatures w14:val="standardContextual"/>
        </w:rPr>
        <w:id w:val="-817890583"/>
        <w:docPartObj>
          <w:docPartGallery w:val="Table of Contents"/>
          <w:docPartUnique/>
        </w:docPartObj>
      </w:sdtPr>
      <w:sdtEndPr>
        <w:rPr>
          <w:b/>
          <w:bCs/>
          <w:noProof/>
        </w:rPr>
      </w:sdtEndPr>
      <w:sdtContent>
        <w:p w14:paraId="073A0D15" w14:textId="20BF5801" w:rsidR="0032040A" w:rsidRPr="001D1CE0" w:rsidRDefault="0032040A" w:rsidP="001D1CE0">
          <w:pPr>
            <w:pStyle w:val="TOCHeading"/>
            <w:spacing w:line="480" w:lineRule="auto"/>
            <w:rPr>
              <w:rFonts w:ascii="Times New Roman" w:hAnsi="Times New Roman" w:cs="Times New Roman"/>
            </w:rPr>
          </w:pPr>
          <w:r w:rsidRPr="001D1CE0">
            <w:rPr>
              <w:rFonts w:ascii="Times New Roman" w:hAnsi="Times New Roman" w:cs="Times New Roman"/>
            </w:rPr>
            <w:t>Contents</w:t>
          </w:r>
        </w:p>
        <w:p w14:paraId="1F9B1E95" w14:textId="07C4564B" w:rsidR="007F14A9" w:rsidRDefault="0032040A">
          <w:pPr>
            <w:pStyle w:val="TOC2"/>
            <w:tabs>
              <w:tab w:val="right" w:leader="dot" w:pos="9016"/>
            </w:tabs>
            <w:rPr>
              <w:rFonts w:eastAsiaTheme="minorEastAsia"/>
              <w:noProof/>
              <w:sz w:val="24"/>
              <w:szCs w:val="24"/>
              <w:lang w:eastAsia="en-IE"/>
            </w:rPr>
          </w:pPr>
          <w:r w:rsidRPr="001D1CE0">
            <w:rPr>
              <w:rFonts w:ascii="Times New Roman" w:hAnsi="Times New Roman" w:cs="Times New Roman"/>
            </w:rPr>
            <w:fldChar w:fldCharType="begin"/>
          </w:r>
          <w:r w:rsidRPr="001D1CE0">
            <w:rPr>
              <w:rFonts w:ascii="Times New Roman" w:hAnsi="Times New Roman" w:cs="Times New Roman"/>
            </w:rPr>
            <w:instrText xml:space="preserve"> TOC \o "1-3" \h \z \u </w:instrText>
          </w:r>
          <w:r w:rsidRPr="001D1CE0">
            <w:rPr>
              <w:rFonts w:ascii="Times New Roman" w:hAnsi="Times New Roman" w:cs="Times New Roman"/>
            </w:rPr>
            <w:fldChar w:fldCharType="separate"/>
          </w:r>
          <w:hyperlink w:anchor="_Toc214708686" w:history="1">
            <w:r w:rsidR="007F14A9" w:rsidRPr="00525BB0">
              <w:rPr>
                <w:rStyle w:val="Hyperlink"/>
                <w:rFonts w:ascii="Times New Roman" w:hAnsi="Times New Roman" w:cs="Times New Roman"/>
                <w:noProof/>
              </w:rPr>
              <w:t>Detailed results from model assessments</w:t>
            </w:r>
            <w:r w:rsidR="007F14A9">
              <w:rPr>
                <w:noProof/>
                <w:webHidden/>
              </w:rPr>
              <w:tab/>
            </w:r>
            <w:r w:rsidR="007F14A9">
              <w:rPr>
                <w:noProof/>
                <w:webHidden/>
              </w:rPr>
              <w:fldChar w:fldCharType="begin"/>
            </w:r>
            <w:r w:rsidR="007F14A9">
              <w:rPr>
                <w:noProof/>
                <w:webHidden/>
              </w:rPr>
              <w:instrText xml:space="preserve"> PAGEREF _Toc214708686 \h </w:instrText>
            </w:r>
            <w:r w:rsidR="007F14A9">
              <w:rPr>
                <w:noProof/>
                <w:webHidden/>
              </w:rPr>
            </w:r>
            <w:r w:rsidR="007F14A9">
              <w:rPr>
                <w:noProof/>
                <w:webHidden/>
              </w:rPr>
              <w:fldChar w:fldCharType="separate"/>
            </w:r>
            <w:r w:rsidR="007F14A9">
              <w:rPr>
                <w:noProof/>
                <w:webHidden/>
              </w:rPr>
              <w:t>2</w:t>
            </w:r>
            <w:r w:rsidR="007F14A9">
              <w:rPr>
                <w:noProof/>
                <w:webHidden/>
              </w:rPr>
              <w:fldChar w:fldCharType="end"/>
            </w:r>
          </w:hyperlink>
        </w:p>
        <w:p w14:paraId="1CF107D5" w14:textId="372BC05D" w:rsidR="007F14A9" w:rsidRDefault="007F14A9">
          <w:pPr>
            <w:pStyle w:val="TOC2"/>
            <w:tabs>
              <w:tab w:val="right" w:leader="dot" w:pos="9016"/>
            </w:tabs>
            <w:rPr>
              <w:rFonts w:eastAsiaTheme="minorEastAsia"/>
              <w:noProof/>
              <w:sz w:val="24"/>
              <w:szCs w:val="24"/>
              <w:lang w:eastAsia="en-IE"/>
            </w:rPr>
          </w:pPr>
          <w:hyperlink w:anchor="_Toc214708687" w:history="1">
            <w:r w:rsidRPr="00525BB0">
              <w:rPr>
                <w:rStyle w:val="Hyperlink"/>
                <w:rFonts w:ascii="Times New Roman" w:hAnsi="Times New Roman" w:cs="Times New Roman"/>
                <w:noProof/>
              </w:rPr>
              <w:t>Alternative multivariable regression results</w:t>
            </w:r>
            <w:r>
              <w:rPr>
                <w:noProof/>
                <w:webHidden/>
              </w:rPr>
              <w:tab/>
            </w:r>
            <w:r>
              <w:rPr>
                <w:noProof/>
                <w:webHidden/>
              </w:rPr>
              <w:fldChar w:fldCharType="begin"/>
            </w:r>
            <w:r>
              <w:rPr>
                <w:noProof/>
                <w:webHidden/>
              </w:rPr>
              <w:instrText xml:space="preserve"> PAGEREF _Toc214708687 \h </w:instrText>
            </w:r>
            <w:r>
              <w:rPr>
                <w:noProof/>
                <w:webHidden/>
              </w:rPr>
            </w:r>
            <w:r>
              <w:rPr>
                <w:noProof/>
                <w:webHidden/>
              </w:rPr>
              <w:fldChar w:fldCharType="separate"/>
            </w:r>
            <w:r>
              <w:rPr>
                <w:noProof/>
                <w:webHidden/>
              </w:rPr>
              <w:t>3</w:t>
            </w:r>
            <w:r>
              <w:rPr>
                <w:noProof/>
                <w:webHidden/>
              </w:rPr>
              <w:fldChar w:fldCharType="end"/>
            </w:r>
          </w:hyperlink>
        </w:p>
        <w:p w14:paraId="65C637B7" w14:textId="4945EE06" w:rsidR="007F14A9" w:rsidRDefault="007F14A9">
          <w:pPr>
            <w:pStyle w:val="TOC2"/>
            <w:tabs>
              <w:tab w:val="right" w:leader="dot" w:pos="9016"/>
            </w:tabs>
            <w:rPr>
              <w:rFonts w:eastAsiaTheme="minorEastAsia"/>
              <w:noProof/>
              <w:sz w:val="24"/>
              <w:szCs w:val="24"/>
              <w:lang w:eastAsia="en-IE"/>
            </w:rPr>
          </w:pPr>
          <w:hyperlink w:anchor="_Toc214708688" w:history="1">
            <w:r w:rsidRPr="00525BB0">
              <w:rPr>
                <w:rStyle w:val="Hyperlink"/>
                <w:rFonts w:ascii="Times New Roman" w:hAnsi="Times New Roman" w:cs="Times New Roman"/>
                <w:noProof/>
              </w:rPr>
              <w:t>Marginal effects plots from model reported in main text</w:t>
            </w:r>
            <w:r>
              <w:rPr>
                <w:noProof/>
                <w:webHidden/>
              </w:rPr>
              <w:tab/>
            </w:r>
            <w:r>
              <w:rPr>
                <w:noProof/>
                <w:webHidden/>
              </w:rPr>
              <w:fldChar w:fldCharType="begin"/>
            </w:r>
            <w:r>
              <w:rPr>
                <w:noProof/>
                <w:webHidden/>
              </w:rPr>
              <w:instrText xml:space="preserve"> PAGEREF _Toc214708688 \h </w:instrText>
            </w:r>
            <w:r>
              <w:rPr>
                <w:noProof/>
                <w:webHidden/>
              </w:rPr>
            </w:r>
            <w:r>
              <w:rPr>
                <w:noProof/>
                <w:webHidden/>
              </w:rPr>
              <w:fldChar w:fldCharType="separate"/>
            </w:r>
            <w:r>
              <w:rPr>
                <w:noProof/>
                <w:webHidden/>
              </w:rPr>
              <w:t>3</w:t>
            </w:r>
            <w:r>
              <w:rPr>
                <w:noProof/>
                <w:webHidden/>
              </w:rPr>
              <w:fldChar w:fldCharType="end"/>
            </w:r>
          </w:hyperlink>
        </w:p>
        <w:p w14:paraId="0054504F" w14:textId="35B11DE7" w:rsidR="007F14A9" w:rsidRDefault="007F14A9">
          <w:pPr>
            <w:pStyle w:val="TOC2"/>
            <w:tabs>
              <w:tab w:val="right" w:leader="dot" w:pos="9016"/>
            </w:tabs>
            <w:rPr>
              <w:rFonts w:eastAsiaTheme="minorEastAsia"/>
              <w:noProof/>
              <w:sz w:val="24"/>
              <w:szCs w:val="24"/>
              <w:lang w:eastAsia="en-IE"/>
            </w:rPr>
          </w:pPr>
          <w:hyperlink w:anchor="_Toc214708689" w:history="1">
            <w:r w:rsidRPr="00525BB0">
              <w:rPr>
                <w:rStyle w:val="Hyperlink"/>
                <w:rFonts w:ascii="Times New Roman" w:hAnsi="Times New Roman" w:cs="Times New Roman"/>
                <w:noProof/>
              </w:rPr>
              <w:t>Likelihood ratio testing results for models reported in the main text</w:t>
            </w:r>
            <w:r>
              <w:rPr>
                <w:noProof/>
                <w:webHidden/>
              </w:rPr>
              <w:tab/>
            </w:r>
            <w:r>
              <w:rPr>
                <w:noProof/>
                <w:webHidden/>
              </w:rPr>
              <w:fldChar w:fldCharType="begin"/>
            </w:r>
            <w:r>
              <w:rPr>
                <w:noProof/>
                <w:webHidden/>
              </w:rPr>
              <w:instrText xml:space="preserve"> PAGEREF _Toc214708689 \h </w:instrText>
            </w:r>
            <w:r>
              <w:rPr>
                <w:noProof/>
                <w:webHidden/>
              </w:rPr>
            </w:r>
            <w:r>
              <w:rPr>
                <w:noProof/>
                <w:webHidden/>
              </w:rPr>
              <w:fldChar w:fldCharType="separate"/>
            </w:r>
            <w:r>
              <w:rPr>
                <w:noProof/>
                <w:webHidden/>
              </w:rPr>
              <w:t>18</w:t>
            </w:r>
            <w:r>
              <w:rPr>
                <w:noProof/>
                <w:webHidden/>
              </w:rPr>
              <w:fldChar w:fldCharType="end"/>
            </w:r>
          </w:hyperlink>
        </w:p>
        <w:p w14:paraId="50129003" w14:textId="3D999E99" w:rsidR="0032040A" w:rsidRPr="001D1CE0" w:rsidRDefault="0032040A" w:rsidP="001D1CE0">
          <w:pPr>
            <w:rPr>
              <w:rFonts w:ascii="Times New Roman" w:hAnsi="Times New Roman" w:cs="Times New Roman"/>
            </w:rPr>
          </w:pPr>
          <w:r w:rsidRPr="001D1CE0">
            <w:rPr>
              <w:rFonts w:ascii="Times New Roman" w:hAnsi="Times New Roman" w:cs="Times New Roman"/>
              <w:b/>
              <w:bCs/>
              <w:noProof/>
            </w:rPr>
            <w:fldChar w:fldCharType="end"/>
          </w:r>
        </w:p>
      </w:sdtContent>
    </w:sdt>
    <w:p w14:paraId="5B690359" w14:textId="70ED2561" w:rsidR="003F149F" w:rsidRPr="001D1CE0" w:rsidRDefault="007E2549" w:rsidP="001D1CE0">
      <w:pPr>
        <w:pStyle w:val="Heading2"/>
        <w:rPr>
          <w:rFonts w:ascii="Times New Roman" w:hAnsi="Times New Roman" w:cs="Times New Roman"/>
        </w:rPr>
      </w:pPr>
      <w:bookmarkStart w:id="0" w:name="_Toc214708686"/>
      <w:r w:rsidRPr="001D1CE0">
        <w:rPr>
          <w:rFonts w:ascii="Times New Roman" w:hAnsi="Times New Roman" w:cs="Times New Roman"/>
        </w:rPr>
        <w:t>Detail</w:t>
      </w:r>
      <w:r w:rsidR="00594C2C" w:rsidRPr="001D1CE0">
        <w:rPr>
          <w:rFonts w:ascii="Times New Roman" w:hAnsi="Times New Roman" w:cs="Times New Roman"/>
        </w:rPr>
        <w:t>ed</w:t>
      </w:r>
      <w:r w:rsidRPr="001D1CE0">
        <w:rPr>
          <w:rFonts w:ascii="Times New Roman" w:hAnsi="Times New Roman" w:cs="Times New Roman"/>
        </w:rPr>
        <w:t xml:space="preserve"> results from model assessments</w:t>
      </w:r>
      <w:bookmarkEnd w:id="0"/>
    </w:p>
    <w:p w14:paraId="3241532E" w14:textId="1DFE1332" w:rsidR="0038597D" w:rsidRPr="001D1CE0" w:rsidRDefault="0038597D" w:rsidP="001D1CE0">
      <w:pPr>
        <w:rPr>
          <w:rFonts w:ascii="Times New Roman" w:hAnsi="Times New Roman" w:cs="Times New Roman"/>
        </w:rPr>
      </w:pPr>
      <w:r w:rsidRPr="001D1CE0">
        <w:rPr>
          <w:rFonts w:ascii="Times New Roman" w:hAnsi="Times New Roman" w:cs="Times New Roman"/>
        </w:rPr>
        <w:t xml:space="preserve">Initial candidate variables for multivariable models included those described in Table </w:t>
      </w:r>
      <w:r w:rsidR="001D1CE0">
        <w:rPr>
          <w:rFonts w:ascii="Times New Roman" w:hAnsi="Times New Roman" w:cs="Times New Roman"/>
        </w:rPr>
        <w:t>1</w:t>
      </w:r>
      <w:r w:rsidR="005D30D1" w:rsidRPr="001D1CE0">
        <w:rPr>
          <w:rFonts w:ascii="Times New Roman" w:hAnsi="Times New Roman" w:cs="Times New Roman"/>
        </w:rPr>
        <w:t xml:space="preserve"> in the main text</w:t>
      </w:r>
      <w:r w:rsidRPr="001D1CE0">
        <w:rPr>
          <w:rFonts w:ascii="Times New Roman" w:hAnsi="Times New Roman" w:cs="Times New Roman"/>
        </w:rPr>
        <w:t xml:space="preserve">, and year of breakdown end.  Herd breakdown history category had a variance inflation factor of between 4 and 6 depending on the model. Furthermore, it was not retained after likelihood ratio testing in initial model screening. Smaller herds were more likely to have a clear breakdown history (mean herd size with five or more years clear surveillance was 116 cattle compared to 170 cattle in herds with more recent breakdown history and 188 in herds with a breakdown within the previous year). Also, test type, for example, follow-up testing after a breakdown, is correlated with breakdown history. Based on these findings, we excluded breakdown history from our candidate models, relying instead on “follow-up test” initiating status as indicative of a previous breakdown ending within the last 18 months. </w:t>
      </w:r>
    </w:p>
    <w:p w14:paraId="0F20D00D" w14:textId="709C72C1" w:rsidR="0038597D" w:rsidRPr="001D1CE0" w:rsidRDefault="0038597D" w:rsidP="001D1CE0">
      <w:pPr>
        <w:jc w:val="both"/>
        <w:rPr>
          <w:rFonts w:ascii="Times New Roman" w:hAnsi="Times New Roman" w:cs="Times New Roman"/>
        </w:rPr>
      </w:pPr>
      <w:r w:rsidRPr="001D1CE0">
        <w:rPr>
          <w:rFonts w:ascii="Times New Roman" w:hAnsi="Times New Roman" w:cs="Times New Roman"/>
        </w:rPr>
        <w:t xml:space="preserve">Table </w:t>
      </w:r>
      <w:r w:rsidR="001D1CE0">
        <w:rPr>
          <w:rFonts w:ascii="Times New Roman" w:hAnsi="Times New Roman" w:cs="Times New Roman"/>
        </w:rPr>
        <w:t>1</w:t>
      </w:r>
      <w:r w:rsidRPr="001D1CE0">
        <w:rPr>
          <w:rFonts w:ascii="Times New Roman" w:hAnsi="Times New Roman" w:cs="Times New Roman"/>
        </w:rPr>
        <w:t xml:space="preserve"> </w:t>
      </w:r>
      <w:r w:rsidR="00564D78" w:rsidRPr="001D1CE0">
        <w:rPr>
          <w:rFonts w:ascii="Times New Roman" w:hAnsi="Times New Roman" w:cs="Times New Roman"/>
        </w:rPr>
        <w:t xml:space="preserve">in the main text </w:t>
      </w:r>
      <w:r w:rsidR="007F01A6">
        <w:rPr>
          <w:rFonts w:ascii="Times New Roman" w:hAnsi="Times New Roman" w:cs="Times New Roman"/>
        </w:rPr>
        <w:t xml:space="preserve">and Supplementary Figure 1.11 </w:t>
      </w:r>
      <w:r w:rsidRPr="001D1CE0">
        <w:rPr>
          <w:rFonts w:ascii="Times New Roman" w:hAnsi="Times New Roman" w:cs="Times New Roman"/>
        </w:rPr>
        <w:t xml:space="preserve">show that having at least one ante-mortem reactor subsequently confirmed by lesion detection at post-mortem examination at slaughter, is strongly associated with total case count. However, because lesioned skin reactors could arguably be a consequence of increased numbers of skin test reactors being examined at slaughter, rather than a cause, we opted not to include them in our main analyses. </w:t>
      </w:r>
      <w:r w:rsidR="0055116E">
        <w:rPr>
          <w:rFonts w:ascii="Times New Roman" w:hAnsi="Times New Roman" w:cs="Times New Roman"/>
        </w:rPr>
        <w:t>I</w:t>
      </w:r>
      <w:r w:rsidRPr="001D1CE0">
        <w:rPr>
          <w:rFonts w:ascii="Times New Roman" w:hAnsi="Times New Roman" w:cs="Times New Roman"/>
        </w:rPr>
        <w:t>nstead</w:t>
      </w:r>
      <w:r w:rsidR="0055116E">
        <w:rPr>
          <w:rFonts w:ascii="Times New Roman" w:hAnsi="Times New Roman" w:cs="Times New Roman"/>
        </w:rPr>
        <w:t>, we</w:t>
      </w:r>
      <w:r w:rsidRPr="001D1CE0">
        <w:rPr>
          <w:rFonts w:ascii="Times New Roman" w:hAnsi="Times New Roman" w:cs="Times New Roman"/>
        </w:rPr>
        <w:t xml:space="preserve"> report multivariable analysis including lesioned skin reactors in </w:t>
      </w:r>
      <w:r w:rsidR="00564D78" w:rsidRPr="001D1CE0">
        <w:rPr>
          <w:rFonts w:ascii="Times New Roman" w:hAnsi="Times New Roman" w:cs="Times New Roman"/>
        </w:rPr>
        <w:t>Supplementary Figure 2.</w:t>
      </w:r>
      <w:r w:rsidRPr="001D1CE0">
        <w:rPr>
          <w:rFonts w:ascii="Times New Roman" w:hAnsi="Times New Roman" w:cs="Times New Roman"/>
        </w:rPr>
        <w:t>1, which shows results for the other variables which are consistent with those presented in the main text.</w:t>
      </w:r>
    </w:p>
    <w:p w14:paraId="607DF35C" w14:textId="34844EE5" w:rsidR="003F149F" w:rsidRPr="001D1CE0" w:rsidRDefault="0038597D" w:rsidP="001D1CE0">
      <w:pPr>
        <w:jc w:val="both"/>
        <w:rPr>
          <w:rFonts w:ascii="Times New Roman" w:hAnsi="Times New Roman" w:cs="Times New Roman"/>
        </w:rPr>
      </w:pPr>
      <w:r w:rsidRPr="001D1CE0">
        <w:rPr>
          <w:rFonts w:ascii="Times New Roman" w:hAnsi="Times New Roman" w:cs="Times New Roman"/>
        </w:rPr>
        <w:lastRenderedPageBreak/>
        <w:t>Although in-degree and residency time were negatively correlated (Figure 1A</w:t>
      </w:r>
      <w:r w:rsidR="000D23EA">
        <w:rPr>
          <w:rFonts w:ascii="Times New Roman" w:hAnsi="Times New Roman" w:cs="Times New Roman"/>
        </w:rPr>
        <w:t xml:space="preserve"> main text</w:t>
      </w:r>
      <w:r w:rsidRPr="001D1CE0">
        <w:rPr>
          <w:rFonts w:ascii="Times New Roman" w:hAnsi="Times New Roman" w:cs="Times New Roman"/>
        </w:rPr>
        <w:t>)</w:t>
      </w:r>
      <w:r w:rsidRPr="001D1CE0">
        <w:rPr>
          <w:rStyle w:val="CommentReference"/>
          <w:rFonts w:ascii="Times New Roman" w:hAnsi="Times New Roman" w:cs="Times New Roman"/>
        </w:rPr>
        <w:t xml:space="preserve">, </w:t>
      </w:r>
      <w:r w:rsidRPr="001D1CE0">
        <w:rPr>
          <w:rFonts w:ascii="Times New Roman" w:hAnsi="Times New Roman" w:cs="Times New Roman"/>
        </w:rPr>
        <w:t>variance inflation factor analysis did not suggest any evidence for multicollinearity in the multivariable models. When in degree metrics were included in candidate models, increasing in degree had a weak non-linear effect on case counts (</w:t>
      </w:r>
      <w:r w:rsidR="00564D78" w:rsidRPr="001D1CE0">
        <w:rPr>
          <w:rFonts w:ascii="Times New Roman" w:hAnsi="Times New Roman" w:cs="Times New Roman"/>
        </w:rPr>
        <w:t>Supplementary Figures 2.</w:t>
      </w:r>
      <w:r w:rsidRPr="001D1CE0">
        <w:rPr>
          <w:rFonts w:ascii="Times New Roman" w:hAnsi="Times New Roman" w:cs="Times New Roman"/>
        </w:rPr>
        <w:t xml:space="preserve">2 and 3.3). The highest in-degree category had a negative effect </w:t>
      </w:r>
      <w:r w:rsidR="000D23EA">
        <w:rPr>
          <w:rFonts w:ascii="Times New Roman" w:hAnsi="Times New Roman" w:cs="Times New Roman"/>
        </w:rPr>
        <w:t xml:space="preserve">on case count </w:t>
      </w:r>
      <w:r w:rsidRPr="001D1CE0">
        <w:rPr>
          <w:rFonts w:ascii="Times New Roman" w:hAnsi="Times New Roman" w:cs="Times New Roman"/>
        </w:rPr>
        <w:t>which may be consistent with a negative correlation with residency time, which was positively associated with case count. Inclusion of in-degree did not substantially change results relating to residency time in the multivariable models (</w:t>
      </w:r>
      <w:r w:rsidR="00564D78" w:rsidRPr="001D1CE0">
        <w:rPr>
          <w:rFonts w:ascii="Times New Roman" w:hAnsi="Times New Roman" w:cs="Times New Roman"/>
        </w:rPr>
        <w:t>Supplementary Figure</w:t>
      </w:r>
      <w:r w:rsidR="000D23EA">
        <w:rPr>
          <w:rFonts w:ascii="Times New Roman" w:hAnsi="Times New Roman" w:cs="Times New Roman"/>
        </w:rPr>
        <w:t>s</w:t>
      </w:r>
      <w:r w:rsidR="00564D78" w:rsidRPr="001D1CE0">
        <w:rPr>
          <w:rFonts w:ascii="Times New Roman" w:hAnsi="Times New Roman" w:cs="Times New Roman"/>
        </w:rPr>
        <w:t xml:space="preserve"> 2.</w:t>
      </w:r>
      <w:r w:rsidRPr="001D1CE0">
        <w:rPr>
          <w:rFonts w:ascii="Times New Roman" w:hAnsi="Times New Roman" w:cs="Times New Roman"/>
        </w:rPr>
        <w:t>2</w:t>
      </w:r>
      <w:r w:rsidR="000D23EA">
        <w:rPr>
          <w:rFonts w:ascii="Times New Roman" w:hAnsi="Times New Roman" w:cs="Times New Roman"/>
        </w:rPr>
        <w:t xml:space="preserve"> and 2.3</w:t>
      </w:r>
      <w:r w:rsidRPr="001D1CE0">
        <w:rPr>
          <w:rFonts w:ascii="Times New Roman" w:hAnsi="Times New Roman" w:cs="Times New Roman"/>
        </w:rPr>
        <w:t xml:space="preserve">). Therefore, for the purposes of biological interpretation, we restrict reporting of “in-degree” containing multivariable models to our Supplementary </w:t>
      </w:r>
      <w:r w:rsidR="00564D78" w:rsidRPr="001D1CE0">
        <w:rPr>
          <w:rFonts w:ascii="Times New Roman" w:hAnsi="Times New Roman" w:cs="Times New Roman"/>
        </w:rPr>
        <w:t>Results</w:t>
      </w:r>
      <w:commentRangeStart w:id="1"/>
      <w:commentRangeStart w:id="2"/>
      <w:commentRangeStart w:id="3"/>
      <w:r w:rsidRPr="001D1CE0">
        <w:rPr>
          <w:rFonts w:ascii="Times New Roman" w:hAnsi="Times New Roman" w:cs="Times New Roman"/>
        </w:rPr>
        <w:t xml:space="preserve">. </w:t>
      </w:r>
      <w:commentRangeEnd w:id="1"/>
      <w:r w:rsidRPr="001D1CE0">
        <w:rPr>
          <w:rStyle w:val="CommentReference"/>
          <w:rFonts w:ascii="Times New Roman" w:hAnsi="Times New Roman" w:cs="Times New Roman"/>
        </w:rPr>
        <w:commentReference w:id="1"/>
      </w:r>
      <w:commentRangeEnd w:id="2"/>
      <w:r w:rsidRPr="001D1CE0">
        <w:rPr>
          <w:rStyle w:val="CommentReference"/>
          <w:rFonts w:ascii="Times New Roman" w:hAnsi="Times New Roman" w:cs="Times New Roman"/>
        </w:rPr>
        <w:commentReference w:id="2"/>
      </w:r>
      <w:commentRangeEnd w:id="3"/>
      <w:r w:rsidRPr="001D1CE0">
        <w:rPr>
          <w:rStyle w:val="CommentReference"/>
          <w:rFonts w:ascii="Times New Roman" w:hAnsi="Times New Roman" w:cs="Times New Roman"/>
        </w:rPr>
        <w:commentReference w:id="3"/>
      </w:r>
      <w:r w:rsidRPr="001D1CE0">
        <w:rPr>
          <w:rFonts w:ascii="Times New Roman" w:hAnsi="Times New Roman" w:cs="Times New Roman"/>
        </w:rPr>
        <w:t xml:space="preserve">Based on this rationale, our final set of candidate explanatory variables for multivariable regressions </w:t>
      </w:r>
      <w:r w:rsidR="00564D78" w:rsidRPr="001D1CE0">
        <w:rPr>
          <w:rFonts w:ascii="Times New Roman" w:hAnsi="Times New Roman" w:cs="Times New Roman"/>
        </w:rPr>
        <w:t xml:space="preserve">reported in the main text </w:t>
      </w:r>
      <w:r w:rsidRPr="001D1CE0">
        <w:rPr>
          <w:rFonts w:ascii="Times New Roman" w:hAnsi="Times New Roman" w:cs="Times New Roman"/>
        </w:rPr>
        <w:t>comprised herd size, herd type, test type which initiated the breakdown, residency time, neighbourhood burden metric and year the breakdown ended. We also considered interactions between herd size and neighbourhood burden, and herd size and residency time, but their retention was not justified by AIC comparison or likelihood ratio testing.</w:t>
      </w:r>
    </w:p>
    <w:p w14:paraId="3CB72EE7" w14:textId="1137C503" w:rsidR="0032040A" w:rsidRPr="001D1CE0" w:rsidRDefault="0032040A" w:rsidP="001D1CE0">
      <w:pPr>
        <w:pStyle w:val="Heading2"/>
        <w:rPr>
          <w:rFonts w:ascii="Times New Roman" w:hAnsi="Times New Roman" w:cs="Times New Roman"/>
        </w:rPr>
      </w:pPr>
      <w:bookmarkStart w:id="4" w:name="_Toc214708687"/>
      <w:r w:rsidRPr="001D1CE0">
        <w:rPr>
          <w:rFonts w:ascii="Times New Roman" w:hAnsi="Times New Roman" w:cs="Times New Roman"/>
        </w:rPr>
        <w:t>Alternative multivariable regression results</w:t>
      </w:r>
      <w:bookmarkEnd w:id="4"/>
    </w:p>
    <w:p w14:paraId="5328691C" w14:textId="77777777" w:rsidR="00DF0572" w:rsidRDefault="00564D78" w:rsidP="001D1CE0">
      <w:pPr>
        <w:rPr>
          <w:rFonts w:ascii="Times New Roman" w:hAnsi="Times New Roman" w:cs="Times New Roman"/>
        </w:rPr>
      </w:pPr>
      <w:r w:rsidRPr="001D1CE0">
        <w:rPr>
          <w:rFonts w:ascii="Times New Roman" w:hAnsi="Times New Roman" w:cs="Times New Roman"/>
        </w:rPr>
        <w:t xml:space="preserve">The </w:t>
      </w:r>
      <w:r w:rsidR="009F00A3" w:rsidRPr="001D1CE0">
        <w:rPr>
          <w:rFonts w:ascii="Times New Roman" w:hAnsi="Times New Roman" w:cs="Times New Roman"/>
        </w:rPr>
        <w:t>f</w:t>
      </w:r>
      <w:r w:rsidRPr="001D1CE0">
        <w:rPr>
          <w:rFonts w:ascii="Times New Roman" w:hAnsi="Times New Roman" w:cs="Times New Roman"/>
        </w:rPr>
        <w:t xml:space="preserve">igures below provide supplementary results on alternative models. Supplementary Figure 2.1  includes lesioned reactors as an explanatory variable  in </w:t>
      </w:r>
      <w:r w:rsidR="009F00A3" w:rsidRPr="001D1CE0">
        <w:rPr>
          <w:rFonts w:ascii="Times New Roman" w:hAnsi="Times New Roman" w:cs="Times New Roman"/>
        </w:rPr>
        <w:t>regressions to explain binned case counts</w:t>
      </w:r>
      <w:r w:rsidRPr="001D1CE0">
        <w:rPr>
          <w:rFonts w:ascii="Times New Roman" w:hAnsi="Times New Roman" w:cs="Times New Roman"/>
        </w:rPr>
        <w:t xml:space="preserve"> in </w:t>
      </w:r>
      <w:r w:rsidR="00672DC6">
        <w:rPr>
          <w:rFonts w:ascii="Times New Roman" w:hAnsi="Times New Roman" w:cs="Times New Roman"/>
        </w:rPr>
        <w:t>“F</w:t>
      </w:r>
      <w:r w:rsidR="00672DC6" w:rsidRPr="00672DC6">
        <w:rPr>
          <w:rFonts w:ascii="Times New Roman" w:hAnsi="Times New Roman" w:cs="Times New Roman"/>
        </w:rPr>
        <w:t>ull population A : total cases</w:t>
      </w:r>
      <w:r w:rsidR="00672DC6">
        <w:rPr>
          <w:rFonts w:ascii="Times New Roman" w:hAnsi="Times New Roman" w:cs="Times New Roman"/>
        </w:rPr>
        <w:t>”</w:t>
      </w:r>
      <w:r w:rsidRPr="001D1CE0">
        <w:rPr>
          <w:rFonts w:ascii="Times New Roman" w:hAnsi="Times New Roman" w:cs="Times New Roman"/>
        </w:rPr>
        <w:t xml:space="preserve">. </w:t>
      </w:r>
      <w:r w:rsidR="009F00A3" w:rsidRPr="001D1CE0">
        <w:rPr>
          <w:rFonts w:ascii="Times New Roman" w:hAnsi="Times New Roman" w:cs="Times New Roman"/>
        </w:rPr>
        <w:t xml:space="preserve">Supplementary Figures 2.2 and 2.3 include “In Degree” in explaining binned case counts in </w:t>
      </w:r>
      <w:r w:rsidR="00672DC6" w:rsidRPr="00672DC6">
        <w:rPr>
          <w:rFonts w:ascii="Times New Roman" w:hAnsi="Times New Roman" w:cs="Times New Roman"/>
        </w:rPr>
        <w:t>“Full population A : total cases”</w:t>
      </w:r>
      <w:r w:rsidR="009F00A3" w:rsidRPr="001D1CE0">
        <w:rPr>
          <w:rFonts w:ascii="Times New Roman" w:hAnsi="Times New Roman" w:cs="Times New Roman"/>
        </w:rPr>
        <w:t xml:space="preserve">, and case count in </w:t>
      </w:r>
      <w:r w:rsidR="00672DC6" w:rsidRPr="00672DC6">
        <w:rPr>
          <w:rFonts w:ascii="Times New Roman" w:hAnsi="Times New Roman" w:cs="Times New Roman"/>
        </w:rPr>
        <w:t>“Sub-population B : standard skin cases”</w:t>
      </w:r>
      <w:r w:rsidR="009F00A3" w:rsidRPr="001D1CE0">
        <w:rPr>
          <w:rFonts w:ascii="Times New Roman" w:hAnsi="Times New Roman" w:cs="Times New Roman"/>
        </w:rPr>
        <w:t xml:space="preserve">. Supplementary Figures 2.4 and 2.5 exclude initiating test type as an explanatory variable to highlight that the effects associated with neighbourhood do not change substantially even in absence of </w:t>
      </w:r>
      <w:r w:rsidR="00F9523D">
        <w:rPr>
          <w:rFonts w:ascii="Times New Roman" w:hAnsi="Times New Roman" w:cs="Times New Roman"/>
        </w:rPr>
        <w:t>c</w:t>
      </w:r>
      <w:r w:rsidR="009F00A3" w:rsidRPr="001D1CE0">
        <w:rPr>
          <w:rFonts w:ascii="Times New Roman" w:hAnsi="Times New Roman" w:cs="Times New Roman"/>
        </w:rPr>
        <w:t xml:space="preserve">ontiguous tests as explanatory variables. </w:t>
      </w:r>
    </w:p>
    <w:p w14:paraId="76C37B96" w14:textId="28DE8958" w:rsidR="00B81E8C" w:rsidRDefault="00B81E8C" w:rsidP="00B81E8C">
      <w:pPr>
        <w:pStyle w:val="Heading2"/>
        <w:rPr>
          <w:rFonts w:ascii="Times New Roman" w:hAnsi="Times New Roman" w:cs="Times New Roman"/>
        </w:rPr>
      </w:pPr>
      <w:bookmarkStart w:id="5" w:name="_Toc214708688"/>
      <w:r>
        <w:rPr>
          <w:rFonts w:ascii="Times New Roman" w:hAnsi="Times New Roman" w:cs="Times New Roman"/>
        </w:rPr>
        <w:t>Marginal effects plots from model reported in main text</w:t>
      </w:r>
      <w:bookmarkEnd w:id="5"/>
    </w:p>
    <w:p w14:paraId="2024C8B3" w14:textId="75E66706" w:rsidR="00D70BEA" w:rsidRPr="001D1CE0" w:rsidRDefault="00D70BEA" w:rsidP="001D1CE0">
      <w:pPr>
        <w:rPr>
          <w:rFonts w:ascii="Times New Roman" w:hAnsi="Times New Roman" w:cs="Times New Roman"/>
        </w:rPr>
        <w:sectPr w:rsidR="00D70BEA" w:rsidRPr="001D1CE0" w:rsidSect="00292729">
          <w:footerReference w:type="default" r:id="rId13"/>
          <w:pgSz w:w="11906" w:h="16838"/>
          <w:pgMar w:top="1440" w:right="1440" w:bottom="1440" w:left="1440" w:header="708" w:footer="708" w:gutter="0"/>
          <w:lnNumType w:countBy="1" w:restart="continuous"/>
          <w:cols w:space="708"/>
          <w:docGrid w:linePitch="360"/>
        </w:sectPr>
      </w:pPr>
      <w:r>
        <w:rPr>
          <w:rFonts w:ascii="Times New Roman" w:hAnsi="Times New Roman" w:cs="Times New Roman"/>
        </w:rPr>
        <w:t xml:space="preserve">Supplementary Figures 2.6 and 2.7 </w:t>
      </w:r>
      <w:r w:rsidR="00B81E8C">
        <w:rPr>
          <w:rFonts w:ascii="Times New Roman" w:hAnsi="Times New Roman" w:cs="Times New Roman"/>
        </w:rPr>
        <w:t xml:space="preserve"> </w:t>
      </w:r>
      <w:r w:rsidR="00783144">
        <w:rPr>
          <w:rFonts w:ascii="Times New Roman" w:hAnsi="Times New Roman" w:cs="Times New Roman"/>
        </w:rPr>
        <w:t xml:space="preserve">show the marginal effects of herd size and residency time, respectively, </w:t>
      </w:r>
      <w:r w:rsidR="00B81E8C">
        <w:rPr>
          <w:rFonts w:ascii="Times New Roman" w:hAnsi="Times New Roman" w:cs="Times New Roman"/>
        </w:rPr>
        <w:t xml:space="preserve"> based on the zero-truncated negative binomial regression analysis of  </w:t>
      </w:r>
      <w:r w:rsidR="00783144">
        <w:rPr>
          <w:rFonts w:ascii="Times New Roman" w:hAnsi="Times New Roman" w:cs="Times New Roman"/>
        </w:rPr>
        <w:t>“</w:t>
      </w:r>
      <w:r w:rsidR="00B81E8C" w:rsidRPr="00B81E8C">
        <w:rPr>
          <w:rFonts w:ascii="Times New Roman" w:hAnsi="Times New Roman" w:cs="Times New Roman"/>
        </w:rPr>
        <w:t>Sub-population B : standard skin cases”</w:t>
      </w:r>
      <w:r w:rsidR="00783144">
        <w:rPr>
          <w:rFonts w:ascii="Times New Roman" w:hAnsi="Times New Roman" w:cs="Times New Roman"/>
        </w:rPr>
        <w:t xml:space="preserve"> reported in the main text.</w:t>
      </w:r>
    </w:p>
    <w:p w14:paraId="6EF0C35F" w14:textId="536319E4" w:rsidR="00AB3CE1" w:rsidRPr="001D1CE0" w:rsidRDefault="00AB3CE1" w:rsidP="001D1CE0">
      <w:pPr>
        <w:rPr>
          <w:rFonts w:ascii="Times New Roman" w:hAnsi="Times New Roman" w:cs="Times New Roman"/>
        </w:rPr>
      </w:pPr>
      <w:r w:rsidRPr="001D1CE0">
        <w:rPr>
          <w:rFonts w:ascii="Times New Roman" w:hAnsi="Times New Roman" w:cs="Times New Roman"/>
          <w:noProof/>
        </w:rPr>
        <w:lastRenderedPageBreak/>
        <w:drawing>
          <wp:inline distT="0" distB="0" distL="0" distR="0" wp14:anchorId="1BE52549" wp14:editId="15E34F7D">
            <wp:extent cx="8863330" cy="5416550"/>
            <wp:effectExtent l="19050" t="19050" r="13970" b="12700"/>
            <wp:docPr id="77022068" name="Picture 9" descr="A graph showing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2068" name="Picture 9" descr="A graph showing a number of poi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5416550"/>
                    </a:xfrm>
                    <a:prstGeom prst="rect">
                      <a:avLst/>
                    </a:prstGeom>
                    <a:ln>
                      <a:solidFill>
                        <a:schemeClr val="accent1"/>
                      </a:solidFill>
                    </a:ln>
                  </pic:spPr>
                </pic:pic>
              </a:graphicData>
            </a:graphic>
          </wp:inline>
        </w:drawing>
      </w:r>
    </w:p>
    <w:p w14:paraId="4B4C71A8" w14:textId="6E0E79E2" w:rsidR="00380971" w:rsidRPr="00380971" w:rsidRDefault="00564D78" w:rsidP="00380971">
      <w:pPr>
        <w:rPr>
          <w:rFonts w:ascii="Times New Roman" w:hAnsi="Times New Roman" w:cs="Times New Roman"/>
          <w:b/>
          <w:bCs/>
        </w:rPr>
      </w:pPr>
      <w:r w:rsidRPr="001D1CE0">
        <w:rPr>
          <w:rFonts w:ascii="Times New Roman" w:hAnsi="Times New Roman" w:cs="Times New Roman"/>
          <w:b/>
          <w:bCs/>
        </w:rPr>
        <w:lastRenderedPageBreak/>
        <w:t>Supplementary Figure 2.</w:t>
      </w:r>
      <w:r w:rsidR="001C0212" w:rsidRPr="001D1CE0">
        <w:rPr>
          <w:rFonts w:ascii="Times New Roman" w:hAnsi="Times New Roman" w:cs="Times New Roman"/>
          <w:b/>
          <w:bCs/>
        </w:rPr>
        <w:t xml:space="preserve">1: </w:t>
      </w:r>
      <w:r w:rsidR="00380971" w:rsidRPr="00380971">
        <w:rPr>
          <w:rFonts w:ascii="Times New Roman" w:hAnsi="Times New Roman" w:cs="Times New Roman"/>
          <w:b/>
          <w:bCs/>
        </w:rPr>
        <w:t>Results from multivariable logistic regression, with a herd level random effect on the intercept, to explain (left) total case counts greater than one in all breakdowns (n = 37,176); (centre) amongst breakdowns with greater than one case (n = 20,029) , total case counts greater than four; (right) amongst breakdowns with greater than four cases (n= 9,104), total case counts greater than ten.  These outputs are based on Full population A : total cases, breakdowns ending between 2012 and 2023.</w:t>
      </w:r>
      <w:r w:rsidR="00380971">
        <w:rPr>
          <w:rFonts w:ascii="Times New Roman" w:hAnsi="Times New Roman" w:cs="Times New Roman"/>
          <w:b/>
          <w:bCs/>
        </w:rPr>
        <w:t xml:space="preserve"> In contrast to the main text, these logistic regressions include</w:t>
      </w:r>
      <w:r w:rsidR="00380971" w:rsidRPr="00380971">
        <w:rPr>
          <w:rFonts w:ascii="Times New Roman" w:hAnsi="Times New Roman" w:cs="Times New Roman"/>
          <w:b/>
          <w:bCs/>
        </w:rPr>
        <w:t xml:space="preserve"> the presence of at least one lesioned ante-mortem reactor </w:t>
      </w:r>
      <w:r w:rsidR="007F14A9">
        <w:rPr>
          <w:rFonts w:ascii="Times New Roman" w:hAnsi="Times New Roman" w:cs="Times New Roman"/>
          <w:b/>
          <w:bCs/>
        </w:rPr>
        <w:t xml:space="preserve">(“lesioned rxr” on y axis labels) </w:t>
      </w:r>
      <w:r w:rsidR="00380971" w:rsidRPr="00380971">
        <w:rPr>
          <w:rFonts w:ascii="Times New Roman" w:hAnsi="Times New Roman" w:cs="Times New Roman"/>
          <w:b/>
          <w:bCs/>
        </w:rPr>
        <w:t>as an explanatory variable.</w:t>
      </w:r>
    </w:p>
    <w:p w14:paraId="3CFF1BEA" w14:textId="77777777" w:rsidR="00380971" w:rsidRPr="001D1CE0" w:rsidRDefault="00380971" w:rsidP="001D1CE0">
      <w:pPr>
        <w:rPr>
          <w:rFonts w:ascii="Times New Roman" w:hAnsi="Times New Roman" w:cs="Times New Roman"/>
        </w:rPr>
      </w:pPr>
    </w:p>
    <w:p w14:paraId="65B82C4F" w14:textId="0865CDD2" w:rsidR="00B10A4D" w:rsidRPr="001D1CE0" w:rsidRDefault="00B10A4D" w:rsidP="001D1CE0">
      <w:pPr>
        <w:rPr>
          <w:rFonts w:ascii="Times New Roman" w:hAnsi="Times New Roman" w:cs="Times New Roman"/>
        </w:rPr>
      </w:pPr>
      <w:r w:rsidRPr="001D1CE0">
        <w:rPr>
          <w:rFonts w:ascii="Times New Roman" w:hAnsi="Times New Roman" w:cs="Times New Roman"/>
          <w:noProof/>
        </w:rPr>
        <w:lastRenderedPageBreak/>
        <w:drawing>
          <wp:inline distT="0" distB="0" distL="0" distR="0" wp14:anchorId="4495940E" wp14:editId="1BE406BD">
            <wp:extent cx="8863330" cy="5416550"/>
            <wp:effectExtent l="19050" t="19050" r="13970" b="12700"/>
            <wp:docPr id="1035141725" name="Picture 7" descr="A graph with black dots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41725" name="Picture 7" descr="A graph with black dots and purple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5416550"/>
                    </a:xfrm>
                    <a:prstGeom prst="rect">
                      <a:avLst/>
                    </a:prstGeom>
                    <a:ln>
                      <a:solidFill>
                        <a:schemeClr val="accent1"/>
                      </a:solidFill>
                    </a:ln>
                  </pic:spPr>
                </pic:pic>
              </a:graphicData>
            </a:graphic>
          </wp:inline>
        </w:drawing>
      </w:r>
    </w:p>
    <w:p w14:paraId="5155F367" w14:textId="3B3CB9C1" w:rsidR="00097D20" w:rsidRPr="001D1CE0" w:rsidRDefault="00EC73E3" w:rsidP="001D1CE0">
      <w:pPr>
        <w:rPr>
          <w:rFonts w:ascii="Times New Roman" w:hAnsi="Times New Roman" w:cs="Times New Roman"/>
        </w:rPr>
      </w:pPr>
      <w:r w:rsidRPr="00EC73E3">
        <w:rPr>
          <w:rFonts w:ascii="Times New Roman" w:hAnsi="Times New Roman" w:cs="Times New Roman"/>
          <w:b/>
          <w:bCs/>
        </w:rPr>
        <w:lastRenderedPageBreak/>
        <w:t>Supplementary Figure 2.</w:t>
      </w:r>
      <w:r>
        <w:rPr>
          <w:rFonts w:ascii="Times New Roman" w:hAnsi="Times New Roman" w:cs="Times New Roman"/>
          <w:b/>
          <w:bCs/>
        </w:rPr>
        <w:t>2</w:t>
      </w:r>
      <w:r w:rsidRPr="00EC73E3">
        <w:rPr>
          <w:rFonts w:ascii="Times New Roman" w:hAnsi="Times New Roman" w:cs="Times New Roman"/>
          <w:b/>
          <w:bCs/>
        </w:rPr>
        <w:t xml:space="preserve">: </w:t>
      </w:r>
      <w:r w:rsidR="001D0D3D" w:rsidRPr="00380971">
        <w:rPr>
          <w:rFonts w:ascii="Times New Roman" w:hAnsi="Times New Roman" w:cs="Times New Roman"/>
          <w:b/>
          <w:bCs/>
        </w:rPr>
        <w:t>Results from multivariable logistic regression</w:t>
      </w:r>
      <w:r w:rsidR="00907C57">
        <w:rPr>
          <w:rFonts w:ascii="Times New Roman" w:hAnsi="Times New Roman" w:cs="Times New Roman"/>
          <w:b/>
          <w:bCs/>
        </w:rPr>
        <w:t xml:space="preserve"> </w:t>
      </w:r>
      <w:r w:rsidR="001D0D3D" w:rsidRPr="00380971">
        <w:rPr>
          <w:rFonts w:ascii="Times New Roman" w:hAnsi="Times New Roman" w:cs="Times New Roman"/>
          <w:b/>
          <w:bCs/>
        </w:rPr>
        <w:t>to explain (left) total case counts greater than one in all breakdowns (n = 37,176); (centre) amongst breakdowns with greater than one case (n = 20,029) , total case counts greater than four; (right) amongst breakdowns with greater than four cases (n= 9,104), total case counts greater than ten.  These outputs are based on Full population A : total cases, breakdowns ending between 2012 and 2023.</w:t>
      </w:r>
      <w:r w:rsidR="001D0D3D" w:rsidRPr="001D0D3D">
        <w:rPr>
          <w:rFonts w:ascii="Times New Roman" w:hAnsi="Times New Roman" w:cs="Times New Roman"/>
          <w:b/>
          <w:bCs/>
        </w:rPr>
        <w:t xml:space="preserve"> In contrast to the main text, these logistic regressions include </w:t>
      </w:r>
      <w:r w:rsidR="001D0D3D">
        <w:rPr>
          <w:rFonts w:ascii="Times New Roman" w:hAnsi="Times New Roman" w:cs="Times New Roman"/>
          <w:b/>
          <w:bCs/>
        </w:rPr>
        <w:t>“in degree” (average count of unique source herds for inward moving cattle for the year of breakdown start and the two preceding years)</w:t>
      </w:r>
      <w:r w:rsidR="001D0D3D" w:rsidRPr="001D0D3D">
        <w:rPr>
          <w:rFonts w:ascii="Times New Roman" w:hAnsi="Times New Roman" w:cs="Times New Roman"/>
          <w:b/>
          <w:bCs/>
        </w:rPr>
        <w:t xml:space="preserve"> as an explanatory variable.</w:t>
      </w:r>
    </w:p>
    <w:p w14:paraId="663FF7F4" w14:textId="213F595C" w:rsidR="0019756B" w:rsidRPr="001D1CE0" w:rsidRDefault="0019756B" w:rsidP="001D1CE0">
      <w:pPr>
        <w:rPr>
          <w:rFonts w:ascii="Times New Roman" w:hAnsi="Times New Roman" w:cs="Times New Roman"/>
        </w:rPr>
      </w:pPr>
      <w:r w:rsidRPr="001D1CE0">
        <w:rPr>
          <w:rFonts w:ascii="Times New Roman" w:hAnsi="Times New Roman" w:cs="Times New Roman"/>
          <w:noProof/>
        </w:rPr>
        <w:lastRenderedPageBreak/>
        <w:drawing>
          <wp:inline distT="0" distB="0" distL="0" distR="0" wp14:anchorId="1653E41C" wp14:editId="5F9CC2A4">
            <wp:extent cx="6877685" cy="5731510"/>
            <wp:effectExtent l="19050" t="19050" r="18415" b="21590"/>
            <wp:docPr id="1708672480" name="Picture 8"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72480" name="Picture 8" descr="A graph of data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77685" cy="5731510"/>
                    </a:xfrm>
                    <a:prstGeom prst="rect">
                      <a:avLst/>
                    </a:prstGeom>
                    <a:ln>
                      <a:solidFill>
                        <a:schemeClr val="accent1"/>
                      </a:solidFill>
                    </a:ln>
                  </pic:spPr>
                </pic:pic>
              </a:graphicData>
            </a:graphic>
          </wp:inline>
        </w:drawing>
      </w:r>
    </w:p>
    <w:p w14:paraId="4C74BBA1" w14:textId="7F7BB703" w:rsidR="00097D20" w:rsidRPr="001D1CE0" w:rsidRDefault="00564D78" w:rsidP="001D1CE0">
      <w:pPr>
        <w:rPr>
          <w:rFonts w:ascii="Times New Roman" w:hAnsi="Times New Roman" w:cs="Times New Roman"/>
          <w:b/>
          <w:bCs/>
        </w:rPr>
      </w:pPr>
      <w:r w:rsidRPr="001D1CE0">
        <w:rPr>
          <w:rFonts w:ascii="Times New Roman" w:hAnsi="Times New Roman" w:cs="Times New Roman"/>
          <w:b/>
          <w:bCs/>
        </w:rPr>
        <w:lastRenderedPageBreak/>
        <w:t>Supplementary Figure 2.</w:t>
      </w:r>
      <w:r w:rsidR="00097D20" w:rsidRPr="001D1CE0">
        <w:rPr>
          <w:rFonts w:ascii="Times New Roman" w:hAnsi="Times New Roman" w:cs="Times New Roman"/>
          <w:b/>
          <w:bCs/>
        </w:rPr>
        <w:t>3: Negative binomial regression results including in degree categories in the sub-population (Skin test initiated breakdowns with at last one lesioned ante-mortem reactor). The response variable is count of standard interpretation skin test reactors.</w:t>
      </w:r>
      <w:r w:rsidRPr="001D1CE0">
        <w:rPr>
          <w:rFonts w:ascii="Times New Roman" w:hAnsi="Times New Roman" w:cs="Times New Roman"/>
          <w:b/>
          <w:bCs/>
        </w:rPr>
        <w:t xml:space="preserve"> This is based on </w:t>
      </w:r>
      <w:r w:rsidR="00BB529A">
        <w:rPr>
          <w:rFonts w:ascii="Times New Roman" w:hAnsi="Times New Roman" w:cs="Times New Roman"/>
          <w:b/>
          <w:bCs/>
        </w:rPr>
        <w:t>“Sub-population B : standard skin cases”</w:t>
      </w:r>
      <w:r w:rsidRPr="001D1CE0">
        <w:rPr>
          <w:rFonts w:ascii="Times New Roman" w:hAnsi="Times New Roman" w:cs="Times New Roman"/>
          <w:b/>
          <w:bCs/>
        </w:rPr>
        <w:t>.</w:t>
      </w:r>
      <w:r w:rsidR="000354DA">
        <w:rPr>
          <w:rFonts w:ascii="Times New Roman" w:hAnsi="Times New Roman" w:cs="Times New Roman"/>
          <w:b/>
          <w:bCs/>
        </w:rPr>
        <w:t xml:space="preserve"> </w:t>
      </w:r>
      <w:r w:rsidR="000354DA" w:rsidRPr="000354DA">
        <w:rPr>
          <w:rFonts w:ascii="Times New Roman" w:hAnsi="Times New Roman" w:cs="Times New Roman"/>
          <w:b/>
          <w:bCs/>
        </w:rPr>
        <w:t xml:space="preserve">In contrast to the main text, </w:t>
      </w:r>
      <w:r w:rsidR="000354DA">
        <w:rPr>
          <w:rFonts w:ascii="Times New Roman" w:hAnsi="Times New Roman" w:cs="Times New Roman"/>
          <w:b/>
          <w:bCs/>
        </w:rPr>
        <w:t>this regression</w:t>
      </w:r>
      <w:r w:rsidR="000354DA" w:rsidRPr="000354DA">
        <w:rPr>
          <w:rFonts w:ascii="Times New Roman" w:hAnsi="Times New Roman" w:cs="Times New Roman"/>
          <w:b/>
          <w:bCs/>
        </w:rPr>
        <w:t xml:space="preserve"> include</w:t>
      </w:r>
      <w:r w:rsidR="000354DA">
        <w:rPr>
          <w:rFonts w:ascii="Times New Roman" w:hAnsi="Times New Roman" w:cs="Times New Roman"/>
          <w:b/>
          <w:bCs/>
        </w:rPr>
        <w:t>s</w:t>
      </w:r>
      <w:r w:rsidR="000354DA" w:rsidRPr="000354DA">
        <w:rPr>
          <w:rFonts w:ascii="Times New Roman" w:hAnsi="Times New Roman" w:cs="Times New Roman"/>
          <w:b/>
          <w:bCs/>
        </w:rPr>
        <w:t xml:space="preserve"> “in degree” (average count of unique source herds for inward moving cattle for the year of breakdown start and the two preceding years) as an explanatory variable</w:t>
      </w:r>
    </w:p>
    <w:p w14:paraId="528A3C56" w14:textId="30386A34" w:rsidR="00097D20" w:rsidRPr="000354DA" w:rsidRDefault="00097D20" w:rsidP="001D1CE0">
      <w:pPr>
        <w:rPr>
          <w:rFonts w:ascii="Times New Roman" w:hAnsi="Times New Roman" w:cs="Times New Roman"/>
          <w:b/>
          <w:bCs/>
        </w:rPr>
      </w:pPr>
      <w:r w:rsidRPr="001D1CE0">
        <w:rPr>
          <w:rFonts w:ascii="Times New Roman" w:hAnsi="Times New Roman" w:cs="Times New Roman"/>
          <w:b/>
          <w:bCs/>
        </w:rPr>
        <w:t>.</w:t>
      </w:r>
    </w:p>
    <w:p w14:paraId="6BC0FF2C" w14:textId="589C38FF" w:rsidR="00F01672" w:rsidRPr="001D1CE0" w:rsidRDefault="00F01672" w:rsidP="001D1CE0">
      <w:pPr>
        <w:rPr>
          <w:rFonts w:ascii="Times New Roman" w:hAnsi="Times New Roman" w:cs="Times New Roman"/>
        </w:rPr>
      </w:pPr>
      <w:r w:rsidRPr="001D1CE0">
        <w:rPr>
          <w:rFonts w:ascii="Times New Roman" w:hAnsi="Times New Roman" w:cs="Times New Roman"/>
          <w:noProof/>
        </w:rPr>
        <w:lastRenderedPageBreak/>
        <w:drawing>
          <wp:inline distT="0" distB="0" distL="0" distR="0" wp14:anchorId="7C436B9F" wp14:editId="5036C127">
            <wp:extent cx="8863330" cy="5416550"/>
            <wp:effectExtent l="19050" t="19050" r="13970" b="12700"/>
            <wp:docPr id="1005689245" name="Picture 6"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9245" name="Picture 6" descr="A graph showing a number of numb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3330" cy="5416550"/>
                    </a:xfrm>
                    <a:prstGeom prst="rect">
                      <a:avLst/>
                    </a:prstGeom>
                    <a:ln>
                      <a:solidFill>
                        <a:schemeClr val="accent1"/>
                      </a:solidFill>
                    </a:ln>
                  </pic:spPr>
                </pic:pic>
              </a:graphicData>
            </a:graphic>
          </wp:inline>
        </w:drawing>
      </w:r>
    </w:p>
    <w:p w14:paraId="2D127361" w14:textId="10DB2F2C" w:rsidR="00BC328C" w:rsidRPr="00907C57" w:rsidRDefault="00564D78" w:rsidP="001D1CE0">
      <w:pPr>
        <w:rPr>
          <w:rFonts w:ascii="Times New Roman" w:hAnsi="Times New Roman" w:cs="Times New Roman"/>
          <w:b/>
          <w:bCs/>
        </w:rPr>
      </w:pPr>
      <w:r w:rsidRPr="001D1CE0">
        <w:rPr>
          <w:rFonts w:ascii="Times New Roman" w:hAnsi="Times New Roman" w:cs="Times New Roman"/>
          <w:b/>
          <w:bCs/>
        </w:rPr>
        <w:lastRenderedPageBreak/>
        <w:t>Supplementary Figure 2.</w:t>
      </w:r>
      <w:r w:rsidR="00BC328C" w:rsidRPr="001D1CE0">
        <w:rPr>
          <w:rFonts w:ascii="Times New Roman" w:hAnsi="Times New Roman" w:cs="Times New Roman"/>
          <w:b/>
          <w:bCs/>
        </w:rPr>
        <w:t xml:space="preserve">4: </w:t>
      </w:r>
      <w:r w:rsidR="00907C57" w:rsidRPr="00380971">
        <w:rPr>
          <w:rFonts w:ascii="Times New Roman" w:hAnsi="Times New Roman" w:cs="Times New Roman"/>
          <w:b/>
          <w:bCs/>
        </w:rPr>
        <w:t>Results from multivariable logistic regression</w:t>
      </w:r>
      <w:r w:rsidR="00907C57" w:rsidRPr="00907C57">
        <w:rPr>
          <w:rFonts w:ascii="Times New Roman" w:hAnsi="Times New Roman" w:cs="Times New Roman"/>
          <w:b/>
          <w:bCs/>
        </w:rPr>
        <w:t xml:space="preserve"> </w:t>
      </w:r>
      <w:r w:rsidR="00907C57" w:rsidRPr="00380971">
        <w:rPr>
          <w:rFonts w:ascii="Times New Roman" w:hAnsi="Times New Roman" w:cs="Times New Roman"/>
          <w:b/>
          <w:bCs/>
        </w:rPr>
        <w:t>to explain (left) total case counts greater than one in all breakdowns (n = 37,176); (centre) amongst breakdowns with greater than one case (n = 20,029) , total case counts greater than four; (right) amongst breakdowns with greater than four cases (n= 9,104), total case counts greater than ten.  These outputs are based on Full population A : total cases, breakdowns ending between 2012 and 2023.</w:t>
      </w:r>
      <w:r w:rsidR="00907C57" w:rsidRPr="00907C57">
        <w:rPr>
          <w:rFonts w:ascii="Times New Roman" w:hAnsi="Times New Roman" w:cs="Times New Roman"/>
          <w:b/>
          <w:bCs/>
        </w:rPr>
        <w:t xml:space="preserve"> In contrast to the main text, this regression excludes “initiating test type” as an explanatory variable to investigate whether this makes a difference to the effect of “neighbourhood burden.”</w:t>
      </w:r>
    </w:p>
    <w:p w14:paraId="50637D9D" w14:textId="3A232F6E" w:rsidR="00BC328C" w:rsidRPr="001D1CE0" w:rsidRDefault="00FA3D6C" w:rsidP="001D1CE0">
      <w:pPr>
        <w:rPr>
          <w:rFonts w:ascii="Times New Roman" w:hAnsi="Times New Roman" w:cs="Times New Roman"/>
        </w:rPr>
      </w:pPr>
      <w:r w:rsidRPr="001D1CE0">
        <w:rPr>
          <w:rFonts w:ascii="Times New Roman" w:hAnsi="Times New Roman" w:cs="Times New Roman"/>
          <w:noProof/>
        </w:rPr>
        <w:lastRenderedPageBreak/>
        <w:drawing>
          <wp:inline distT="0" distB="0" distL="0" distR="0" wp14:anchorId="08BE0390" wp14:editId="19EDBB4A">
            <wp:extent cx="6877685" cy="5731510"/>
            <wp:effectExtent l="19050" t="19050" r="18415" b="21590"/>
            <wp:docPr id="127095669" name="Picture 4"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5669" name="Picture 4" descr="A graph of a number of numbe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7685" cy="5731510"/>
                    </a:xfrm>
                    <a:prstGeom prst="rect">
                      <a:avLst/>
                    </a:prstGeom>
                    <a:ln>
                      <a:solidFill>
                        <a:schemeClr val="accent1"/>
                      </a:solidFill>
                    </a:ln>
                  </pic:spPr>
                </pic:pic>
              </a:graphicData>
            </a:graphic>
          </wp:inline>
        </w:drawing>
      </w:r>
    </w:p>
    <w:p w14:paraId="1249E91B" w14:textId="628D248C" w:rsidR="001D1CE0" w:rsidRDefault="00564D78" w:rsidP="00B66DC3">
      <w:pPr>
        <w:rPr>
          <w:rFonts w:ascii="Times New Roman" w:hAnsi="Times New Roman" w:cs="Times New Roman"/>
          <w:b/>
          <w:bCs/>
        </w:rPr>
      </w:pPr>
      <w:r w:rsidRPr="001D1CE0">
        <w:rPr>
          <w:rFonts w:ascii="Times New Roman" w:hAnsi="Times New Roman" w:cs="Times New Roman"/>
          <w:b/>
          <w:bCs/>
        </w:rPr>
        <w:lastRenderedPageBreak/>
        <w:t>Supplementary Figure 2.</w:t>
      </w:r>
      <w:r w:rsidR="00BC328C" w:rsidRPr="001D1CE0">
        <w:rPr>
          <w:rFonts w:ascii="Times New Roman" w:hAnsi="Times New Roman" w:cs="Times New Roman"/>
          <w:b/>
          <w:bCs/>
        </w:rPr>
        <w:t xml:space="preserve">5: </w:t>
      </w:r>
      <w:r w:rsidR="00B66DC3" w:rsidRPr="001D1CE0">
        <w:rPr>
          <w:rFonts w:ascii="Times New Roman" w:hAnsi="Times New Roman" w:cs="Times New Roman"/>
          <w:b/>
          <w:bCs/>
        </w:rPr>
        <w:t xml:space="preserve">Negative binomial regression results including in degree categories in the sub-population (Skin test initiated breakdowns with at last one lesioned ante-mortem reactor). The response variable is count of standard interpretation skin test reactors. This is based on </w:t>
      </w:r>
      <w:r w:rsidR="00BB529A">
        <w:rPr>
          <w:rFonts w:ascii="Times New Roman" w:hAnsi="Times New Roman" w:cs="Times New Roman"/>
          <w:b/>
          <w:bCs/>
        </w:rPr>
        <w:t>“Sub-population B : standard skin cases”</w:t>
      </w:r>
      <w:r w:rsidR="00B66DC3" w:rsidRPr="001D1CE0">
        <w:rPr>
          <w:rFonts w:ascii="Times New Roman" w:hAnsi="Times New Roman" w:cs="Times New Roman"/>
          <w:b/>
          <w:bCs/>
        </w:rPr>
        <w:t>.</w:t>
      </w:r>
      <w:r w:rsidR="00B66DC3">
        <w:rPr>
          <w:rFonts w:ascii="Times New Roman" w:hAnsi="Times New Roman" w:cs="Times New Roman"/>
          <w:b/>
          <w:bCs/>
        </w:rPr>
        <w:t xml:space="preserve"> </w:t>
      </w:r>
      <w:r w:rsidR="00B66DC3" w:rsidRPr="000354DA">
        <w:rPr>
          <w:rFonts w:ascii="Times New Roman" w:hAnsi="Times New Roman" w:cs="Times New Roman"/>
          <w:b/>
          <w:bCs/>
        </w:rPr>
        <w:t xml:space="preserve">In contrast to the main text, </w:t>
      </w:r>
      <w:r w:rsidR="00B66DC3">
        <w:rPr>
          <w:rFonts w:ascii="Times New Roman" w:hAnsi="Times New Roman" w:cs="Times New Roman"/>
          <w:b/>
          <w:bCs/>
        </w:rPr>
        <w:t>this regression</w:t>
      </w:r>
      <w:r w:rsidR="00B66DC3" w:rsidRPr="000354DA">
        <w:rPr>
          <w:rFonts w:ascii="Times New Roman" w:hAnsi="Times New Roman" w:cs="Times New Roman"/>
          <w:b/>
          <w:bCs/>
        </w:rPr>
        <w:t xml:space="preserve"> </w:t>
      </w:r>
      <w:r w:rsidR="00B66DC3">
        <w:rPr>
          <w:rFonts w:ascii="Times New Roman" w:hAnsi="Times New Roman" w:cs="Times New Roman"/>
          <w:b/>
          <w:bCs/>
        </w:rPr>
        <w:t xml:space="preserve">excludes “initiating test type” </w:t>
      </w:r>
      <w:r w:rsidR="00B66DC3" w:rsidRPr="000354DA">
        <w:rPr>
          <w:rFonts w:ascii="Times New Roman" w:hAnsi="Times New Roman" w:cs="Times New Roman"/>
          <w:b/>
          <w:bCs/>
        </w:rPr>
        <w:t>as an explanatory variable</w:t>
      </w:r>
      <w:r w:rsidR="00B66DC3">
        <w:rPr>
          <w:rFonts w:ascii="Times New Roman" w:hAnsi="Times New Roman" w:cs="Times New Roman"/>
          <w:b/>
          <w:bCs/>
        </w:rPr>
        <w:t xml:space="preserve"> to investigate whether this makes a difference to the effect of “neighbourhood burden.”</w:t>
      </w:r>
      <w:r w:rsidR="001D1CE0">
        <w:rPr>
          <w:rFonts w:ascii="Times New Roman" w:hAnsi="Times New Roman" w:cs="Times New Roman"/>
          <w:b/>
          <w:bCs/>
        </w:rPr>
        <w:br w:type="page"/>
      </w:r>
    </w:p>
    <w:p w14:paraId="21573BF6" w14:textId="0AAAB08C" w:rsidR="00C97AA1" w:rsidRPr="001D1CE0" w:rsidRDefault="00BB529A" w:rsidP="001D1CE0">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14394D2" wp14:editId="25DCE3D4">
            <wp:extent cx="5715000" cy="5715000"/>
            <wp:effectExtent l="19050" t="19050" r="19050" b="19050"/>
            <wp:docPr id="630266088" name="Picture 10" descr="A graph of a graph showing a normal skin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66088" name="Picture 10" descr="A graph of a graph showing a normal skin reactio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15000" cy="5715000"/>
                    </a:xfrm>
                    <a:prstGeom prst="rect">
                      <a:avLst/>
                    </a:prstGeom>
                    <a:ln>
                      <a:solidFill>
                        <a:schemeClr val="accent1"/>
                      </a:solidFill>
                    </a:ln>
                  </pic:spPr>
                </pic:pic>
              </a:graphicData>
            </a:graphic>
          </wp:inline>
        </w:drawing>
      </w:r>
    </w:p>
    <w:p w14:paraId="2BFC3A16" w14:textId="6F4CB927" w:rsidR="006C5B79" w:rsidRPr="001D1CE0" w:rsidRDefault="006C5B79" w:rsidP="001D1CE0">
      <w:pPr>
        <w:rPr>
          <w:rFonts w:ascii="Times New Roman" w:hAnsi="Times New Roman" w:cs="Times New Roman"/>
          <w:b/>
          <w:bCs/>
        </w:rPr>
      </w:pPr>
      <w:r w:rsidRPr="001D1CE0">
        <w:rPr>
          <w:rFonts w:ascii="Times New Roman" w:hAnsi="Times New Roman" w:cs="Times New Roman"/>
          <w:b/>
          <w:bCs/>
        </w:rPr>
        <w:lastRenderedPageBreak/>
        <w:t xml:space="preserve">Supplementary Figure 2.6: </w:t>
      </w:r>
      <w:r w:rsidR="00A066E6" w:rsidRPr="001D1CE0">
        <w:rPr>
          <w:rFonts w:ascii="Times New Roman" w:hAnsi="Times New Roman" w:cs="Times New Roman"/>
          <w:b/>
          <w:bCs/>
        </w:rPr>
        <w:t xml:space="preserve">Marginal </w:t>
      </w:r>
      <w:r w:rsidR="00757683" w:rsidRPr="001D1CE0">
        <w:rPr>
          <w:rFonts w:ascii="Times New Roman" w:hAnsi="Times New Roman" w:cs="Times New Roman"/>
          <w:b/>
          <w:bCs/>
        </w:rPr>
        <w:t xml:space="preserve">effects </w:t>
      </w:r>
      <w:r w:rsidRPr="001D1CE0">
        <w:rPr>
          <w:rFonts w:ascii="Times New Roman" w:hAnsi="Times New Roman" w:cs="Times New Roman"/>
          <w:b/>
          <w:bCs/>
        </w:rPr>
        <w:t>plot</w:t>
      </w:r>
      <w:r w:rsidR="00A066E6" w:rsidRPr="001D1CE0">
        <w:rPr>
          <w:rFonts w:ascii="Times New Roman" w:hAnsi="Times New Roman" w:cs="Times New Roman"/>
          <w:b/>
          <w:bCs/>
        </w:rPr>
        <w:t>s</w:t>
      </w:r>
      <w:r w:rsidRPr="001D1CE0">
        <w:rPr>
          <w:rFonts w:ascii="Times New Roman" w:hAnsi="Times New Roman" w:cs="Times New Roman"/>
          <w:b/>
          <w:bCs/>
        </w:rPr>
        <w:t xml:space="preserve"> showing the effect of </w:t>
      </w:r>
      <w:r w:rsidR="00D357B8">
        <w:rPr>
          <w:rFonts w:ascii="Times New Roman" w:hAnsi="Times New Roman" w:cs="Times New Roman"/>
          <w:b/>
          <w:bCs/>
        </w:rPr>
        <w:t xml:space="preserve">log </w:t>
      </w:r>
      <w:r w:rsidRPr="001D1CE0">
        <w:rPr>
          <w:rFonts w:ascii="Times New Roman" w:hAnsi="Times New Roman" w:cs="Times New Roman"/>
          <w:b/>
          <w:bCs/>
        </w:rPr>
        <w:t>herd size (not categorised) on the mean count of standard skin</w:t>
      </w:r>
      <w:r w:rsidR="00D16E90">
        <w:rPr>
          <w:rFonts w:ascii="Times New Roman" w:hAnsi="Times New Roman" w:cs="Times New Roman"/>
          <w:b/>
          <w:bCs/>
        </w:rPr>
        <w:t xml:space="preserve"> reactors</w:t>
      </w:r>
      <w:r w:rsidR="00A066E6" w:rsidRPr="001D1CE0">
        <w:rPr>
          <w:rFonts w:ascii="Times New Roman" w:hAnsi="Times New Roman" w:cs="Times New Roman"/>
          <w:b/>
          <w:bCs/>
        </w:rPr>
        <w:t>,</w:t>
      </w:r>
      <w:r w:rsidR="00F50B79" w:rsidRPr="001D1CE0">
        <w:rPr>
          <w:rFonts w:ascii="Times New Roman" w:hAnsi="Times New Roman" w:cs="Times New Roman"/>
          <w:b/>
          <w:bCs/>
        </w:rPr>
        <w:t xml:space="preserve"> as modelled by the zero-truncated negative binomial regression (which uses a log-transform on the mean count </w:t>
      </w:r>
      <w:r w:rsidR="00601013" w:rsidRPr="001D1CE0">
        <w:rPr>
          <w:rFonts w:ascii="Times New Roman" w:hAnsi="Times New Roman" w:cs="Times New Roman"/>
          <w:b/>
          <w:bCs/>
        </w:rPr>
        <w:t>outcome</w:t>
      </w:r>
      <w:r w:rsidR="00F50B79" w:rsidRPr="001D1CE0">
        <w:rPr>
          <w:rFonts w:ascii="Times New Roman" w:hAnsi="Times New Roman" w:cs="Times New Roman"/>
          <w:b/>
          <w:bCs/>
        </w:rPr>
        <w:t xml:space="preserve"> variable). </w:t>
      </w:r>
      <w:r w:rsidRPr="001D1CE0">
        <w:rPr>
          <w:rFonts w:ascii="Times New Roman" w:hAnsi="Times New Roman" w:cs="Times New Roman"/>
          <w:b/>
          <w:bCs/>
        </w:rPr>
        <w:t xml:space="preserve">This is based on </w:t>
      </w:r>
      <w:r w:rsidR="00BB529A">
        <w:rPr>
          <w:rFonts w:ascii="Times New Roman" w:hAnsi="Times New Roman" w:cs="Times New Roman"/>
          <w:b/>
          <w:bCs/>
        </w:rPr>
        <w:t>“Sub-population B : standard skin cases”</w:t>
      </w:r>
      <w:r w:rsidRPr="001D1CE0">
        <w:rPr>
          <w:rFonts w:ascii="Times New Roman" w:hAnsi="Times New Roman" w:cs="Times New Roman"/>
          <w:b/>
          <w:bCs/>
        </w:rPr>
        <w:t>.</w:t>
      </w:r>
    </w:p>
    <w:p w14:paraId="5F2061AE" w14:textId="77777777" w:rsidR="002A1E45" w:rsidRPr="001D1CE0" w:rsidRDefault="002A1E45" w:rsidP="001D1CE0">
      <w:pPr>
        <w:rPr>
          <w:rFonts w:ascii="Times New Roman" w:hAnsi="Times New Roman" w:cs="Times New Roman"/>
          <w:b/>
          <w:bCs/>
        </w:rPr>
      </w:pPr>
    </w:p>
    <w:p w14:paraId="58D774DB" w14:textId="4954E309" w:rsidR="002A1E45" w:rsidRDefault="002A1E45" w:rsidP="001D1CE0">
      <w:pPr>
        <w:rPr>
          <w:rFonts w:ascii="Times New Roman" w:hAnsi="Times New Roman" w:cs="Times New Roman"/>
          <w:b/>
          <w:bCs/>
        </w:rPr>
      </w:pPr>
    </w:p>
    <w:p w14:paraId="37D0FC16" w14:textId="2C1F0560" w:rsidR="005871CE" w:rsidRPr="001D1CE0" w:rsidRDefault="005871CE" w:rsidP="001D1CE0">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3D1DEEFE" wp14:editId="51B5C11B">
            <wp:extent cx="5731510" cy="5731510"/>
            <wp:effectExtent l="19050" t="19050" r="21590" b="21590"/>
            <wp:docPr id="1960915729" name="Picture 13" descr="A graph showing the normal skin rea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5729" name="Picture 13" descr="A graph showing the normal skin reacto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a:ln>
                      <a:solidFill>
                        <a:schemeClr val="accent1"/>
                      </a:solidFill>
                    </a:ln>
                  </pic:spPr>
                </pic:pic>
              </a:graphicData>
            </a:graphic>
          </wp:inline>
        </w:drawing>
      </w:r>
    </w:p>
    <w:p w14:paraId="2BE8777F" w14:textId="260C1FB0" w:rsidR="009564AC" w:rsidRPr="002A1E45" w:rsidRDefault="002A1E45" w:rsidP="001D1CE0">
      <w:pPr>
        <w:rPr>
          <w:rFonts w:ascii="Times New Roman" w:hAnsi="Times New Roman" w:cs="Times New Roman"/>
          <w:b/>
          <w:bCs/>
        </w:rPr>
      </w:pPr>
      <w:r w:rsidRPr="002A1E45">
        <w:rPr>
          <w:rFonts w:ascii="Times New Roman" w:hAnsi="Times New Roman" w:cs="Times New Roman"/>
          <w:b/>
          <w:bCs/>
        </w:rPr>
        <w:lastRenderedPageBreak/>
        <w:t>Supplementary Figure 2.7</w:t>
      </w:r>
      <w:r w:rsidR="00D16E90" w:rsidRPr="00D16E90">
        <w:rPr>
          <w:rFonts w:ascii="Times New Roman" w:hAnsi="Times New Roman" w:cs="Times New Roman"/>
          <w:b/>
          <w:bCs/>
        </w:rPr>
        <w:t xml:space="preserve"> </w:t>
      </w:r>
      <w:r w:rsidR="00D16E90" w:rsidRPr="001D1CE0">
        <w:rPr>
          <w:rFonts w:ascii="Times New Roman" w:hAnsi="Times New Roman" w:cs="Times New Roman"/>
          <w:b/>
          <w:bCs/>
        </w:rPr>
        <w:t xml:space="preserve">Marginal effects plots showing the effect of </w:t>
      </w:r>
      <w:r w:rsidR="00D16E90">
        <w:rPr>
          <w:rFonts w:ascii="Times New Roman" w:hAnsi="Times New Roman" w:cs="Times New Roman"/>
          <w:b/>
          <w:bCs/>
        </w:rPr>
        <w:t>log of mean residency time</w:t>
      </w:r>
      <w:r w:rsidR="00D16E90" w:rsidRPr="001D1CE0">
        <w:rPr>
          <w:rFonts w:ascii="Times New Roman" w:hAnsi="Times New Roman" w:cs="Times New Roman"/>
          <w:b/>
          <w:bCs/>
        </w:rPr>
        <w:t xml:space="preserve"> (not categorised) on the mean count of standard skin</w:t>
      </w:r>
      <w:r w:rsidR="00D16E90">
        <w:rPr>
          <w:rFonts w:ascii="Times New Roman" w:hAnsi="Times New Roman" w:cs="Times New Roman"/>
          <w:b/>
          <w:bCs/>
        </w:rPr>
        <w:t xml:space="preserve"> reactors</w:t>
      </w:r>
      <w:r w:rsidR="00D16E90" w:rsidRPr="001D1CE0">
        <w:rPr>
          <w:rFonts w:ascii="Times New Roman" w:hAnsi="Times New Roman" w:cs="Times New Roman"/>
          <w:b/>
          <w:bCs/>
        </w:rPr>
        <w:t xml:space="preserve">, as modelled by the zero-truncated negative binomial regression (which uses a log-transform on the mean count outcome variable). This is based on </w:t>
      </w:r>
      <w:r w:rsidR="00D16E90">
        <w:rPr>
          <w:rFonts w:ascii="Times New Roman" w:hAnsi="Times New Roman" w:cs="Times New Roman"/>
          <w:b/>
          <w:bCs/>
        </w:rPr>
        <w:t>“Sub-population B : standard skin cases”</w:t>
      </w:r>
      <w:r w:rsidR="00D16E90" w:rsidRPr="001D1CE0">
        <w:rPr>
          <w:rFonts w:ascii="Times New Roman" w:hAnsi="Times New Roman" w:cs="Times New Roman"/>
          <w:b/>
          <w:bCs/>
        </w:rPr>
        <w:t>.</w:t>
      </w:r>
    </w:p>
    <w:p w14:paraId="2D7D6833" w14:textId="3B215014" w:rsidR="002A1E45" w:rsidRPr="001D1CE0" w:rsidRDefault="002A1E45" w:rsidP="001D1CE0">
      <w:pPr>
        <w:rPr>
          <w:rFonts w:ascii="Times New Roman" w:hAnsi="Times New Roman" w:cs="Times New Roman"/>
          <w:b/>
          <w:bCs/>
        </w:rPr>
        <w:sectPr w:rsidR="002A1E45" w:rsidRPr="001D1CE0" w:rsidSect="001D1CE0">
          <w:pgSz w:w="16838" w:h="11906" w:orient="landscape"/>
          <w:pgMar w:top="1440" w:right="1440" w:bottom="1440" w:left="1440" w:header="709" w:footer="709" w:gutter="0"/>
          <w:lnNumType w:countBy="1" w:restart="continuous"/>
          <w:cols w:space="708"/>
          <w:docGrid w:linePitch="360"/>
        </w:sectPr>
      </w:pPr>
    </w:p>
    <w:p w14:paraId="5C3FBF93" w14:textId="1B11A646" w:rsidR="00564D78" w:rsidRPr="001D1CE0" w:rsidRDefault="0032040A" w:rsidP="001D1CE0">
      <w:pPr>
        <w:pStyle w:val="Heading2"/>
        <w:rPr>
          <w:rFonts w:ascii="Times New Roman" w:hAnsi="Times New Roman" w:cs="Times New Roman"/>
        </w:rPr>
      </w:pPr>
      <w:bookmarkStart w:id="6" w:name="_Toc214708689"/>
      <w:r w:rsidRPr="001D1CE0">
        <w:rPr>
          <w:rFonts w:ascii="Times New Roman" w:hAnsi="Times New Roman" w:cs="Times New Roman"/>
        </w:rPr>
        <w:lastRenderedPageBreak/>
        <w:t>Likelihood ratio testing results for models reported in the main text</w:t>
      </w:r>
      <w:bookmarkEnd w:id="6"/>
    </w:p>
    <w:p w14:paraId="7A915BAA" w14:textId="63B43A92" w:rsidR="0032040A" w:rsidRPr="001D1CE0" w:rsidRDefault="0032040A" w:rsidP="001D1CE0">
      <w:pPr>
        <w:jc w:val="both"/>
        <w:rPr>
          <w:rFonts w:ascii="Times New Roman" w:hAnsi="Times New Roman" w:cs="Times New Roman"/>
        </w:rPr>
      </w:pPr>
      <w:r w:rsidRPr="001D1CE0">
        <w:rPr>
          <w:rFonts w:ascii="Times New Roman" w:hAnsi="Times New Roman" w:cs="Times New Roman"/>
        </w:rPr>
        <w:t xml:space="preserve">Supplementary tables </w:t>
      </w:r>
      <w:r w:rsidR="00447B25" w:rsidRPr="001D1CE0">
        <w:rPr>
          <w:rFonts w:ascii="Times New Roman" w:hAnsi="Times New Roman" w:cs="Times New Roman"/>
        </w:rPr>
        <w:t>2.1 to 2.4</w:t>
      </w:r>
      <w:r w:rsidRPr="001D1CE0">
        <w:rPr>
          <w:rFonts w:ascii="Times New Roman" w:hAnsi="Times New Roman" w:cs="Times New Roman"/>
        </w:rPr>
        <w:t xml:space="preserve"> below summarise likelihood ratio testing (LRT) results for the multivariable regression models in the main text. For each of the fixed effects, and also for the herd level random effect on the intercept, the likelihood of the data</w:t>
      </w:r>
      <w:r w:rsidR="00447B25" w:rsidRPr="001D1CE0">
        <w:rPr>
          <w:rFonts w:ascii="Times New Roman" w:hAnsi="Times New Roman" w:cs="Times New Roman"/>
        </w:rPr>
        <w:t>,</w:t>
      </w:r>
      <w:r w:rsidRPr="001D1CE0">
        <w:rPr>
          <w:rFonts w:ascii="Times New Roman" w:hAnsi="Times New Roman" w:cs="Times New Roman"/>
        </w:rPr>
        <w:t xml:space="preserve"> </w:t>
      </w:r>
      <w:r w:rsidR="004E474D" w:rsidRPr="001D1CE0">
        <w:rPr>
          <w:rFonts w:ascii="Times New Roman" w:hAnsi="Times New Roman" w:cs="Times New Roman"/>
        </w:rPr>
        <w:t xml:space="preserve">given models </w:t>
      </w:r>
      <w:r w:rsidRPr="001D1CE0">
        <w:rPr>
          <w:rFonts w:ascii="Times New Roman" w:hAnsi="Times New Roman" w:cs="Times New Roman"/>
        </w:rPr>
        <w:t>with and without the explanatory variable / random effect</w:t>
      </w:r>
      <w:r w:rsidR="00447B25" w:rsidRPr="001D1CE0">
        <w:rPr>
          <w:rFonts w:ascii="Times New Roman" w:hAnsi="Times New Roman" w:cs="Times New Roman"/>
        </w:rPr>
        <w:t>,</w:t>
      </w:r>
      <w:r w:rsidRPr="001D1CE0">
        <w:rPr>
          <w:rFonts w:ascii="Times New Roman" w:hAnsi="Times New Roman" w:cs="Times New Roman"/>
        </w:rPr>
        <w:t xml:space="preserve"> are compared with the LRT. </w:t>
      </w:r>
      <w:r w:rsidR="00447B25" w:rsidRPr="001D1CE0">
        <w:rPr>
          <w:rFonts w:ascii="Times New Roman" w:hAnsi="Times New Roman" w:cs="Times New Roman"/>
        </w:rPr>
        <w:t xml:space="preserve">I the table legends, we also report the variance and standard deviation of the random effects, and for the zero-truncated negative binomial regression (Supplementary Table 2.4), the dispersion parameter. </w:t>
      </w:r>
    </w:p>
    <w:p w14:paraId="5D72AD6E" w14:textId="4EB875FA" w:rsidR="003E13DA" w:rsidRPr="001D1CE0" w:rsidRDefault="003E13DA" w:rsidP="001D1CE0">
      <w:pPr>
        <w:jc w:val="both"/>
        <w:rPr>
          <w:rFonts w:ascii="Times New Roman" w:hAnsi="Times New Roman" w:cs="Times New Roman"/>
        </w:rPr>
        <w:sectPr w:rsidR="003E13DA" w:rsidRPr="001D1CE0" w:rsidSect="001D1CE0">
          <w:footerReference w:type="default" r:id="rId21"/>
          <w:pgSz w:w="11906" w:h="16838"/>
          <w:pgMar w:top="1440" w:right="1440" w:bottom="1440" w:left="1440" w:header="708" w:footer="708" w:gutter="0"/>
          <w:lnNumType w:countBy="1" w:restart="continuous"/>
          <w:cols w:space="708"/>
          <w:docGrid w:linePitch="360"/>
        </w:sectPr>
      </w:pPr>
      <w:r w:rsidRPr="001D1CE0">
        <w:rPr>
          <w:rFonts w:ascii="Times New Roman" w:hAnsi="Times New Roman" w:cs="Times New Roman"/>
        </w:rPr>
        <w:t>The inclusion of the herd level random effect on the intercept significantly improved model fits, based on likelihood ratio testing, for explaining case counts &gt; 1 and &gt; 4 but did not assist explaining &gt; 10 cases (even though 19.7% of herds in the dataset informing the &gt; 10 case model contributed greater than one breakdown). The explanatory capacity of the logistic regression set was modest, with total variance explained and fixed effects only variance explained, measured through Nakagawa's R2 for mixed models (respectively) being 22% and 18.3% for the &gt; 1 case model; 13.3% and 8.5% for the &gt; 4 case model and 10.4% and 10.1% for the &gt;10 case model. “Area Under Curve” (AUC) estimates were 72% for “cases &gt; 1”, 73% for “cases &gt; 4” and 66% for “cases &gt; 10”.</w:t>
      </w:r>
    </w:p>
    <w:p w14:paraId="7048CDEB" w14:textId="32F4E1AC" w:rsidR="004A49E2" w:rsidRPr="001D1CE0" w:rsidRDefault="004A49E2" w:rsidP="001D1CE0">
      <w:pPr>
        <w:rPr>
          <w:rFonts w:ascii="Times New Roman" w:hAnsi="Times New Roman" w:cs="Times New Roman"/>
          <w:b/>
          <w:bCs/>
        </w:rPr>
      </w:pPr>
      <w:r w:rsidRPr="001D1CE0">
        <w:rPr>
          <w:rFonts w:ascii="Times New Roman" w:hAnsi="Times New Roman" w:cs="Times New Roman"/>
          <w:b/>
          <w:bCs/>
        </w:rPr>
        <w:lastRenderedPageBreak/>
        <w:t>Supplementary Results Table 2.1: Logistic regression for &gt; 1 case (Population A, N = 37,176 breakdowns; 24,730 herds).</w:t>
      </w:r>
      <w:r w:rsidR="00781D99" w:rsidRPr="001D1CE0">
        <w:rPr>
          <w:rFonts w:ascii="Times New Roman" w:hAnsi="Times New Roman" w:cs="Times New Roman"/>
          <w:b/>
          <w:bCs/>
        </w:rPr>
        <w:t xml:space="preserve"> </w:t>
      </w:r>
      <w:r w:rsidRPr="001D1CE0">
        <w:rPr>
          <w:rFonts w:ascii="Times New Roman" w:hAnsi="Times New Roman" w:cs="Times New Roman"/>
          <w:b/>
          <w:bCs/>
        </w:rPr>
        <w:t>Herd level random effect on intercept variance was 0.16 and standard deviation was  0.40.</w:t>
      </w:r>
      <w:r w:rsidR="001F7242" w:rsidRPr="001D1CE0">
        <w:rPr>
          <w:rFonts w:ascii="Times New Roman" w:hAnsi="Times New Roman" w:cs="Times New Roman"/>
          <w:b/>
          <w:bCs/>
        </w:rPr>
        <w:t xml:space="preserve"> APT DED = positive cattle per 1000 tested in the district electoral division. </w:t>
      </w:r>
    </w:p>
    <w:tbl>
      <w:tblPr>
        <w:tblW w:w="0" w:type="auto"/>
        <w:jc w:val="center"/>
        <w:tblLayout w:type="fixed"/>
        <w:tblLook w:val="0420" w:firstRow="1" w:lastRow="0" w:firstColumn="0" w:lastColumn="0" w:noHBand="0" w:noVBand="1"/>
      </w:tblPr>
      <w:tblGrid>
        <w:gridCol w:w="3822"/>
        <w:gridCol w:w="1792"/>
        <w:gridCol w:w="1266"/>
        <w:gridCol w:w="1866"/>
        <w:gridCol w:w="1389"/>
        <w:gridCol w:w="1389"/>
        <w:gridCol w:w="1095"/>
        <w:gridCol w:w="1530"/>
      </w:tblGrid>
      <w:tr w:rsidR="004A49E2" w:rsidRPr="001D1CE0" w14:paraId="28D3C639" w14:textId="77777777" w:rsidTr="00B955A0">
        <w:trPr>
          <w:tblHeader/>
          <w:jc w:val="center"/>
        </w:trPr>
        <w:tc>
          <w:tcPr>
            <w:tcW w:w="3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10B34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Term</w:t>
            </w:r>
          </w:p>
        </w:tc>
        <w:tc>
          <w:tcPr>
            <w:tcW w:w="17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BA447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(Reduced)</w:t>
            </w:r>
          </w:p>
        </w:tc>
        <w:tc>
          <w:tcPr>
            <w:tcW w:w="12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E27B3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(Full)</w:t>
            </w:r>
          </w:p>
        </w:tc>
        <w:tc>
          <w:tcPr>
            <w:tcW w:w="1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9E37D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(Reduced)</w:t>
            </w:r>
          </w:p>
        </w:tc>
        <w:tc>
          <w:tcPr>
            <w:tcW w:w="13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CFF4E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(Full)</w:t>
            </w:r>
          </w:p>
        </w:tc>
        <w:tc>
          <w:tcPr>
            <w:tcW w:w="13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F474E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Chi-Sq</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349F8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 DF</w:t>
            </w:r>
          </w:p>
        </w:tc>
        <w:tc>
          <w:tcPr>
            <w:tcW w:w="153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D9A67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p-value</w:t>
            </w:r>
          </w:p>
        </w:tc>
      </w:tr>
      <w:tr w:rsidR="004A49E2" w:rsidRPr="001D1CE0" w14:paraId="22ACEA77" w14:textId="77777777" w:rsidTr="00B955A0">
        <w:trPr>
          <w:jc w:val="center"/>
        </w:trPr>
        <w:tc>
          <w:tcPr>
            <w:tcW w:w="382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684BE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Year breakdown end</w:t>
            </w:r>
          </w:p>
        </w:tc>
        <w:tc>
          <w:tcPr>
            <w:tcW w:w="17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33C20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22</w:t>
            </w:r>
          </w:p>
        </w:tc>
        <w:tc>
          <w:tcPr>
            <w:tcW w:w="12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A7E88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90564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45,841.89</w:t>
            </w:r>
          </w:p>
        </w:tc>
        <w:tc>
          <w:tcPr>
            <w:tcW w:w="13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4B272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9EDF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120.338</w:t>
            </w:r>
          </w:p>
        </w:tc>
        <w:tc>
          <w:tcPr>
            <w:tcW w:w="109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9A0A2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w:t>
            </w:r>
          </w:p>
        </w:tc>
        <w:tc>
          <w:tcPr>
            <w:tcW w:w="153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8508B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1.55e-20</w:t>
            </w:r>
          </w:p>
        </w:tc>
      </w:tr>
      <w:tr w:rsidR="004A49E2" w:rsidRPr="001D1CE0" w14:paraId="06C24EFA"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ABACD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management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13D87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28</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3B42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235A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45,928.20</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D1DF9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7BE1C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194.652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23A8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w:t>
            </w:r>
          </w:p>
        </w:tc>
        <w:tc>
          <w:tcPr>
            <w:tcW w:w="15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D458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3.96e-40</w:t>
            </w:r>
          </w:p>
        </w:tc>
      </w:tr>
      <w:tr w:rsidR="004A49E2" w:rsidRPr="001D1CE0" w14:paraId="44FCD0D0"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C7FF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Initiating test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A735C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C7BCF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9DC4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48,240.08</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4434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457FB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2,504.524</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24F3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5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533B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p &lt; 2.2e-16</w:t>
            </w:r>
          </w:p>
        </w:tc>
      </w:tr>
      <w:tr w:rsidR="004A49E2" w:rsidRPr="001D1CE0" w14:paraId="2AE05A67"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E3884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Mean residency time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F058B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8882E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11CB2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46,379.74</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AA8AB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868D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644.188</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B02B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5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A3A43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4.22e-138</w:t>
            </w:r>
          </w:p>
        </w:tc>
      </w:tr>
      <w:tr w:rsidR="004A49E2" w:rsidRPr="001D1CE0" w14:paraId="467A95F2"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F8FB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Neighbourhood burden (APT DED)</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DA440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30</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F9F3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3C24C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45,801.35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5B9C5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8A7D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63.794</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BC9D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w:t>
            </w:r>
          </w:p>
        </w:tc>
        <w:tc>
          <w:tcPr>
            <w:tcW w:w="15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ACB6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9.08e-14</w:t>
            </w:r>
          </w:p>
        </w:tc>
      </w:tr>
      <w:tr w:rsidR="004A49E2" w:rsidRPr="001D1CE0" w14:paraId="2B88F40E"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7491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size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BF1F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1D645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E795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46,132.61</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A24A2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4DAC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397.059</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98E6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53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E919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1.20e-84</w:t>
            </w:r>
          </w:p>
        </w:tc>
      </w:tr>
      <w:tr w:rsidR="004A49E2" w:rsidRPr="001D1CE0" w14:paraId="3039F3A5" w14:textId="77777777" w:rsidTr="00B955A0">
        <w:trPr>
          <w:jc w:val="center"/>
        </w:trPr>
        <w:tc>
          <w:tcPr>
            <w:tcW w:w="382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078A4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level random effect</w:t>
            </w:r>
          </w:p>
        </w:tc>
        <w:tc>
          <w:tcPr>
            <w:tcW w:w="17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C50099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32</w:t>
            </w:r>
          </w:p>
        </w:tc>
        <w:tc>
          <w:tcPr>
            <w:tcW w:w="12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8E1E7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3263F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45,771.49</w:t>
            </w:r>
          </w:p>
        </w:tc>
        <w:tc>
          <w:tcPr>
            <w:tcW w:w="13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31B3D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45,743.55</w:t>
            </w:r>
          </w:p>
        </w:tc>
        <w:tc>
          <w:tcPr>
            <w:tcW w:w="13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CC8F3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29.934</w:t>
            </w:r>
          </w:p>
        </w:tc>
        <w:tc>
          <w:tcPr>
            <w:tcW w:w="10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9F7B4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w:t>
            </w:r>
          </w:p>
        </w:tc>
        <w:tc>
          <w:tcPr>
            <w:tcW w:w="153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4989D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4.47e-08</w:t>
            </w:r>
          </w:p>
        </w:tc>
      </w:tr>
    </w:tbl>
    <w:p w14:paraId="3A44C20E" w14:textId="34829655" w:rsidR="004A49E2" w:rsidRPr="001D1CE0" w:rsidRDefault="004A49E2" w:rsidP="001D1CE0">
      <w:pPr>
        <w:rPr>
          <w:rFonts w:ascii="Times New Roman" w:hAnsi="Times New Roman" w:cs="Times New Roman"/>
        </w:rPr>
      </w:pPr>
    </w:p>
    <w:p w14:paraId="10CE04C3" w14:textId="77777777" w:rsidR="004A49E2" w:rsidRPr="001D1CE0" w:rsidRDefault="004A49E2" w:rsidP="001D1CE0">
      <w:pPr>
        <w:rPr>
          <w:rFonts w:ascii="Times New Roman" w:hAnsi="Times New Roman" w:cs="Times New Roman"/>
        </w:rPr>
      </w:pPr>
      <w:r w:rsidRPr="001D1CE0">
        <w:rPr>
          <w:rFonts w:ascii="Times New Roman" w:hAnsi="Times New Roman" w:cs="Times New Roman"/>
        </w:rPr>
        <w:br w:type="page"/>
      </w:r>
    </w:p>
    <w:p w14:paraId="3D1A4980" w14:textId="77777777" w:rsidR="004A49E2" w:rsidRPr="001D1CE0" w:rsidRDefault="004A49E2" w:rsidP="001D1CE0">
      <w:pPr>
        <w:rPr>
          <w:rFonts w:ascii="Times New Roman" w:hAnsi="Times New Roman" w:cs="Times New Roman"/>
        </w:rPr>
      </w:pPr>
    </w:p>
    <w:p w14:paraId="7AD56701" w14:textId="3AF7EA6A" w:rsidR="004A49E2" w:rsidRPr="001D1CE0" w:rsidRDefault="004A49E2" w:rsidP="001D1CE0">
      <w:pPr>
        <w:rPr>
          <w:rFonts w:ascii="Times New Roman" w:hAnsi="Times New Roman" w:cs="Times New Roman"/>
          <w:b/>
          <w:bCs/>
        </w:rPr>
      </w:pPr>
      <w:r w:rsidRPr="001D1CE0">
        <w:rPr>
          <w:rFonts w:ascii="Times New Roman" w:hAnsi="Times New Roman" w:cs="Times New Roman"/>
          <w:b/>
          <w:bCs/>
        </w:rPr>
        <w:t>Supplementary Results Table 2.2: Logistic regression for &gt; 4 cases (Population A: Breakdowns with &gt; 1 case, N = 20,029 breakdowns; 14,776 herds). Herd level random effect on intercept variance was 0.18 and standard deviation was  0.43</w:t>
      </w:r>
      <w:r w:rsidR="001F7242" w:rsidRPr="001D1CE0">
        <w:rPr>
          <w:rFonts w:ascii="Times New Roman" w:hAnsi="Times New Roman" w:cs="Times New Roman"/>
          <w:b/>
          <w:bCs/>
        </w:rPr>
        <w:t xml:space="preserve">. APT DED = positive cattle per 1000 tested in the district electoral division. </w:t>
      </w:r>
    </w:p>
    <w:tbl>
      <w:tblPr>
        <w:tblW w:w="0" w:type="auto"/>
        <w:jc w:val="center"/>
        <w:tblLayout w:type="fixed"/>
        <w:tblLook w:val="0420" w:firstRow="1" w:lastRow="0" w:firstColumn="0" w:lastColumn="0" w:noHBand="0" w:noVBand="1"/>
      </w:tblPr>
      <w:tblGrid>
        <w:gridCol w:w="3822"/>
        <w:gridCol w:w="1792"/>
        <w:gridCol w:w="1266"/>
        <w:gridCol w:w="1866"/>
        <w:gridCol w:w="1389"/>
        <w:gridCol w:w="1206"/>
        <w:gridCol w:w="1095"/>
        <w:gridCol w:w="1279"/>
      </w:tblGrid>
      <w:tr w:rsidR="004A49E2" w:rsidRPr="001D1CE0" w14:paraId="402BCFC4" w14:textId="77777777" w:rsidTr="00B955A0">
        <w:trPr>
          <w:tblHeader/>
          <w:jc w:val="center"/>
        </w:trPr>
        <w:tc>
          <w:tcPr>
            <w:tcW w:w="3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DD7BF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Term</w:t>
            </w:r>
          </w:p>
        </w:tc>
        <w:tc>
          <w:tcPr>
            <w:tcW w:w="17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6EA5EA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(Reduced)</w:t>
            </w:r>
          </w:p>
        </w:tc>
        <w:tc>
          <w:tcPr>
            <w:tcW w:w="12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3EA41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(Full)</w:t>
            </w:r>
          </w:p>
        </w:tc>
        <w:tc>
          <w:tcPr>
            <w:tcW w:w="1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298AE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(Reduced)</w:t>
            </w:r>
          </w:p>
        </w:tc>
        <w:tc>
          <w:tcPr>
            <w:tcW w:w="13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C3830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(Full)</w:t>
            </w:r>
          </w:p>
        </w:tc>
        <w:tc>
          <w:tcPr>
            <w:tcW w:w="12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85C68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Chi-Sq</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1F25D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 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FB139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p-value</w:t>
            </w:r>
          </w:p>
        </w:tc>
      </w:tr>
      <w:tr w:rsidR="004A49E2" w:rsidRPr="001D1CE0" w14:paraId="19E28F48" w14:textId="77777777" w:rsidTr="00B955A0">
        <w:trPr>
          <w:jc w:val="center"/>
        </w:trPr>
        <w:tc>
          <w:tcPr>
            <w:tcW w:w="382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CE5D5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Year breakdown end</w:t>
            </w:r>
          </w:p>
        </w:tc>
        <w:tc>
          <w:tcPr>
            <w:tcW w:w="17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04D0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22</w:t>
            </w:r>
          </w:p>
        </w:tc>
        <w:tc>
          <w:tcPr>
            <w:tcW w:w="12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F76E1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4747D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26,326.45</w:t>
            </w:r>
          </w:p>
        </w:tc>
        <w:tc>
          <w:tcPr>
            <w:tcW w:w="13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9AE02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9575E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51.413</w:t>
            </w:r>
          </w:p>
        </w:tc>
        <w:tc>
          <w:tcPr>
            <w:tcW w:w="109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A15C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2903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3.48e-07</w:t>
            </w:r>
          </w:p>
        </w:tc>
      </w:tr>
      <w:tr w:rsidR="004A49E2" w:rsidRPr="001D1CE0" w14:paraId="0615A98E"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F6AB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management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CDB2B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28</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4EE8B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23EC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26,374.59</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6DFAC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3B8D6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87.562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B675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A7D7F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2.18e-17</w:t>
            </w:r>
          </w:p>
        </w:tc>
      </w:tr>
      <w:tr w:rsidR="004A49E2" w:rsidRPr="001D1CE0" w14:paraId="1855D668"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16593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Initiating test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A834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A256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B9197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26,407.06</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129D4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7BB3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118.032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4585A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4D6E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1.41e-24</w:t>
            </w:r>
          </w:p>
        </w:tc>
      </w:tr>
      <w:tr w:rsidR="004A49E2" w:rsidRPr="001D1CE0" w14:paraId="4B4B3FAF"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0F0FE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Mean residency time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0D1C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DC8B1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1F73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26,741.47</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5890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66335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452.440</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CCAF7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73D1F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1.29e-96</w:t>
            </w:r>
          </w:p>
        </w:tc>
      </w:tr>
      <w:tr w:rsidR="004A49E2" w:rsidRPr="001D1CE0" w14:paraId="3BA83C58"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6EA9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Neighbourhood burden (APT DED)</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1E69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30</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8ED6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275BB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26,302.73</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614C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890BF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11.697</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9CB02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1E0B6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8.50e-03</w:t>
            </w:r>
          </w:p>
        </w:tc>
      </w:tr>
      <w:tr w:rsidR="004A49E2" w:rsidRPr="001D1CE0" w14:paraId="7302CD4F"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FD23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size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D03E1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EA64A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2416E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26,501.61</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FC3F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5E5E2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212.579</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4E120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72C1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7.41e-45</w:t>
            </w:r>
          </w:p>
        </w:tc>
      </w:tr>
      <w:tr w:rsidR="004A49E2" w:rsidRPr="001D1CE0" w14:paraId="675F71F3" w14:textId="77777777" w:rsidTr="00B955A0">
        <w:trPr>
          <w:jc w:val="center"/>
        </w:trPr>
        <w:tc>
          <w:tcPr>
            <w:tcW w:w="382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8B4C0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level random effect</w:t>
            </w:r>
          </w:p>
        </w:tc>
        <w:tc>
          <w:tcPr>
            <w:tcW w:w="17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3EFA96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32</w:t>
            </w:r>
          </w:p>
        </w:tc>
        <w:tc>
          <w:tcPr>
            <w:tcW w:w="12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4231C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7D629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26,319.64</w:t>
            </w:r>
          </w:p>
        </w:tc>
        <w:tc>
          <w:tcPr>
            <w:tcW w:w="13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3CCC0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26,297.03</w:t>
            </w:r>
          </w:p>
        </w:tc>
        <w:tc>
          <w:tcPr>
            <w:tcW w:w="12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6CA5E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24.604</w:t>
            </w:r>
          </w:p>
        </w:tc>
        <w:tc>
          <w:tcPr>
            <w:tcW w:w="10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24611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w:t>
            </w:r>
          </w:p>
        </w:tc>
        <w:tc>
          <w:tcPr>
            <w:tcW w:w="12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AD533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7.04e-07</w:t>
            </w:r>
          </w:p>
        </w:tc>
      </w:tr>
    </w:tbl>
    <w:p w14:paraId="53A35E01" w14:textId="5B3C68AC" w:rsidR="00781D99" w:rsidRPr="001D1CE0" w:rsidRDefault="00781D99" w:rsidP="001D1CE0">
      <w:pPr>
        <w:rPr>
          <w:rFonts w:ascii="Times New Roman" w:hAnsi="Times New Roman" w:cs="Times New Roman"/>
        </w:rPr>
      </w:pPr>
    </w:p>
    <w:p w14:paraId="37887F41" w14:textId="77777777" w:rsidR="00781D99" w:rsidRPr="001D1CE0" w:rsidRDefault="00781D99" w:rsidP="001D1CE0">
      <w:pPr>
        <w:rPr>
          <w:rFonts w:ascii="Times New Roman" w:hAnsi="Times New Roman" w:cs="Times New Roman"/>
        </w:rPr>
      </w:pPr>
      <w:r w:rsidRPr="001D1CE0">
        <w:rPr>
          <w:rFonts w:ascii="Times New Roman" w:hAnsi="Times New Roman" w:cs="Times New Roman"/>
        </w:rPr>
        <w:lastRenderedPageBreak/>
        <w:br w:type="page"/>
      </w:r>
    </w:p>
    <w:p w14:paraId="3D5A2754" w14:textId="1A780430" w:rsidR="004A49E2" w:rsidRPr="001D1CE0" w:rsidRDefault="004A49E2" w:rsidP="001D1CE0">
      <w:pPr>
        <w:rPr>
          <w:rFonts w:ascii="Times New Roman" w:hAnsi="Times New Roman" w:cs="Times New Roman"/>
          <w:b/>
          <w:bCs/>
        </w:rPr>
      </w:pPr>
      <w:r w:rsidRPr="001D1CE0">
        <w:rPr>
          <w:rFonts w:ascii="Times New Roman" w:hAnsi="Times New Roman" w:cs="Times New Roman"/>
          <w:b/>
          <w:bCs/>
        </w:rPr>
        <w:lastRenderedPageBreak/>
        <w:t>Supplementary Results Table 2.3: Logistic regression for &gt; 10 cases (Population A: Breakdowns with &gt; 4 cases, N = 9,104 breakdowns; 7,347 herds). Herd level random effect on intercept variance was 0.009 and standard deviation was 0.095</w:t>
      </w:r>
      <w:r w:rsidR="001F7242" w:rsidRPr="001D1CE0">
        <w:rPr>
          <w:rFonts w:ascii="Times New Roman" w:hAnsi="Times New Roman" w:cs="Times New Roman"/>
          <w:b/>
          <w:bCs/>
        </w:rPr>
        <w:t xml:space="preserve">. APT DED = positive cattle per 1000 tested in the district electoral division. </w:t>
      </w:r>
    </w:p>
    <w:tbl>
      <w:tblPr>
        <w:tblW w:w="0" w:type="auto"/>
        <w:jc w:val="center"/>
        <w:tblLayout w:type="fixed"/>
        <w:tblLook w:val="0420" w:firstRow="1" w:lastRow="0" w:firstColumn="0" w:lastColumn="0" w:noHBand="0" w:noVBand="1"/>
      </w:tblPr>
      <w:tblGrid>
        <w:gridCol w:w="3822"/>
        <w:gridCol w:w="1792"/>
        <w:gridCol w:w="1266"/>
        <w:gridCol w:w="1866"/>
        <w:gridCol w:w="1389"/>
        <w:gridCol w:w="1206"/>
        <w:gridCol w:w="1095"/>
        <w:gridCol w:w="1279"/>
      </w:tblGrid>
      <w:tr w:rsidR="004A49E2" w:rsidRPr="001D1CE0" w14:paraId="22EED733" w14:textId="77777777" w:rsidTr="00B955A0">
        <w:trPr>
          <w:tblHeader/>
          <w:jc w:val="center"/>
        </w:trPr>
        <w:tc>
          <w:tcPr>
            <w:tcW w:w="3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A3889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Term</w:t>
            </w:r>
          </w:p>
        </w:tc>
        <w:tc>
          <w:tcPr>
            <w:tcW w:w="17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BD241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(Reduced)</w:t>
            </w:r>
          </w:p>
        </w:tc>
        <w:tc>
          <w:tcPr>
            <w:tcW w:w="12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1D4DA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(Full)</w:t>
            </w:r>
          </w:p>
        </w:tc>
        <w:tc>
          <w:tcPr>
            <w:tcW w:w="1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3909B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(Reduced)</w:t>
            </w:r>
          </w:p>
        </w:tc>
        <w:tc>
          <w:tcPr>
            <w:tcW w:w="13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356EB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(Full)</w:t>
            </w:r>
          </w:p>
        </w:tc>
        <w:tc>
          <w:tcPr>
            <w:tcW w:w="12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E645A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Chi-Sq</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0A7D8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 DF</w:t>
            </w:r>
          </w:p>
        </w:tc>
        <w:tc>
          <w:tcPr>
            <w:tcW w:w="127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7E221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p-value</w:t>
            </w:r>
          </w:p>
        </w:tc>
      </w:tr>
      <w:tr w:rsidR="004A49E2" w:rsidRPr="001D1CE0" w14:paraId="767D8A01" w14:textId="77777777" w:rsidTr="00B955A0">
        <w:trPr>
          <w:jc w:val="center"/>
        </w:trPr>
        <w:tc>
          <w:tcPr>
            <w:tcW w:w="382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C2894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Year breakdown end</w:t>
            </w:r>
          </w:p>
        </w:tc>
        <w:tc>
          <w:tcPr>
            <w:tcW w:w="17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1878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22</w:t>
            </w:r>
          </w:p>
        </w:tc>
        <w:tc>
          <w:tcPr>
            <w:tcW w:w="12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D86F3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E4ED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12,057.16</w:t>
            </w:r>
          </w:p>
        </w:tc>
        <w:tc>
          <w:tcPr>
            <w:tcW w:w="13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93761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26C82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138.287</w:t>
            </w:r>
          </w:p>
        </w:tc>
        <w:tc>
          <w:tcPr>
            <w:tcW w:w="109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D9013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w:t>
            </w:r>
          </w:p>
        </w:tc>
        <w:tc>
          <w:tcPr>
            <w:tcW w:w="127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1089A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3.63e-24</w:t>
            </w:r>
          </w:p>
        </w:tc>
      </w:tr>
      <w:tr w:rsidR="004A49E2" w:rsidRPr="001D1CE0" w14:paraId="36CE9F58"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244D5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management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8AC2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28</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B0EC9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1654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11,970.10</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80BE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FD309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39.232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F3B3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CEDBA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2.13e-07</w:t>
            </w:r>
          </w:p>
        </w:tc>
      </w:tr>
      <w:tr w:rsidR="004A49E2" w:rsidRPr="001D1CE0" w14:paraId="3A2F1939"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3B37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Initiating test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95E9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3E5F5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DD0F1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11,979.13</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9988F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8B69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46.264</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080B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85B9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2.17e-09</w:t>
            </w:r>
          </w:p>
        </w:tc>
      </w:tr>
      <w:tr w:rsidR="004A49E2" w:rsidRPr="001D1CE0" w14:paraId="76286A89"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E7815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Mean residency time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9B41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E5C6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0C906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12,133.09</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D5C5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D79F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200.222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5C96E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6E3A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3.37e-42</w:t>
            </w:r>
          </w:p>
        </w:tc>
      </w:tr>
      <w:tr w:rsidR="004A49E2" w:rsidRPr="001D1CE0" w14:paraId="3DF11FE8"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8C070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Neighbourhood burden (APT DED)</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74C2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30</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3214A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EBD8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11,936.76</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AD29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DDB2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1.890</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E0B8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9D7DD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5.96e-01</w:t>
            </w:r>
          </w:p>
        </w:tc>
      </w:tr>
      <w:tr w:rsidR="004A49E2" w:rsidRPr="001D1CE0" w14:paraId="6F533141"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61E4B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size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02DB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370BF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D2E2F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12,125.81</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58F3B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8AAE4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192.945</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4D1B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27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29EC1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1.23e-40</w:t>
            </w:r>
          </w:p>
        </w:tc>
      </w:tr>
      <w:tr w:rsidR="004A49E2" w:rsidRPr="001D1CE0" w14:paraId="24BC23B5" w14:textId="77777777" w:rsidTr="00B955A0">
        <w:trPr>
          <w:jc w:val="center"/>
        </w:trPr>
        <w:tc>
          <w:tcPr>
            <w:tcW w:w="382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595710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level random effect</w:t>
            </w:r>
          </w:p>
        </w:tc>
        <w:tc>
          <w:tcPr>
            <w:tcW w:w="17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1E722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32</w:t>
            </w:r>
          </w:p>
        </w:tc>
        <w:tc>
          <w:tcPr>
            <w:tcW w:w="12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0E6D7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89DDD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11,938.90</w:t>
            </w:r>
          </w:p>
        </w:tc>
        <w:tc>
          <w:tcPr>
            <w:tcW w:w="13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00FA3A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11,940.87</w:t>
            </w:r>
          </w:p>
        </w:tc>
        <w:tc>
          <w:tcPr>
            <w:tcW w:w="12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06C3E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0.027</w:t>
            </w:r>
          </w:p>
        </w:tc>
        <w:tc>
          <w:tcPr>
            <w:tcW w:w="10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96DE5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w:t>
            </w:r>
          </w:p>
        </w:tc>
        <w:tc>
          <w:tcPr>
            <w:tcW w:w="127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7DBC25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8.70e-01</w:t>
            </w:r>
          </w:p>
        </w:tc>
      </w:tr>
    </w:tbl>
    <w:p w14:paraId="60B299E3" w14:textId="1E117492" w:rsidR="004A49E2" w:rsidRPr="001D1CE0" w:rsidRDefault="004A49E2" w:rsidP="001D1CE0">
      <w:pPr>
        <w:rPr>
          <w:rFonts w:ascii="Times New Roman" w:hAnsi="Times New Roman" w:cs="Times New Roman"/>
        </w:rPr>
      </w:pPr>
    </w:p>
    <w:p w14:paraId="1EB1D2E4" w14:textId="77777777" w:rsidR="004A49E2" w:rsidRPr="001D1CE0" w:rsidRDefault="004A49E2" w:rsidP="001D1CE0">
      <w:pPr>
        <w:rPr>
          <w:rFonts w:ascii="Times New Roman" w:hAnsi="Times New Roman" w:cs="Times New Roman"/>
        </w:rPr>
      </w:pPr>
      <w:r w:rsidRPr="001D1CE0">
        <w:rPr>
          <w:rFonts w:ascii="Times New Roman" w:hAnsi="Times New Roman" w:cs="Times New Roman"/>
        </w:rPr>
        <w:br w:type="page"/>
      </w:r>
    </w:p>
    <w:p w14:paraId="7AFB845A" w14:textId="77777777" w:rsidR="004A49E2" w:rsidRPr="001D1CE0" w:rsidRDefault="004A49E2" w:rsidP="001D1CE0">
      <w:pPr>
        <w:rPr>
          <w:rFonts w:ascii="Times New Roman" w:hAnsi="Times New Roman" w:cs="Times New Roman"/>
        </w:rPr>
      </w:pPr>
    </w:p>
    <w:p w14:paraId="3EC69014" w14:textId="682549CB" w:rsidR="004A49E2" w:rsidRPr="001D1CE0" w:rsidRDefault="004A49E2" w:rsidP="001D1CE0">
      <w:pPr>
        <w:rPr>
          <w:rFonts w:ascii="Times New Roman" w:hAnsi="Times New Roman" w:cs="Times New Roman"/>
          <w:b/>
          <w:bCs/>
        </w:rPr>
      </w:pPr>
      <w:r w:rsidRPr="001D1CE0">
        <w:rPr>
          <w:rFonts w:ascii="Times New Roman" w:hAnsi="Times New Roman" w:cs="Times New Roman"/>
          <w:b/>
          <w:bCs/>
        </w:rPr>
        <w:t>Supplementary Results Table 2.4: Zero truncated negative binomial regression (Population B, N = 15,834 cases; 12,705 herds). Herd level random effect on intercept variance was 0.37 and standard deviation was 0.60. The dispersion parameter for the truncated negative binomial distribution was 0.494 based on the truncated_”nbinom2” family in the “GlmmTMB” R package.</w:t>
      </w:r>
      <w:r w:rsidR="001F7242" w:rsidRPr="001D1CE0">
        <w:rPr>
          <w:rFonts w:ascii="Times New Roman" w:hAnsi="Times New Roman" w:cs="Times New Roman"/>
          <w:b/>
          <w:bCs/>
        </w:rPr>
        <w:t xml:space="preserve"> APT DED = positive cattle per 1000 tested in the district electoral division. </w:t>
      </w:r>
    </w:p>
    <w:tbl>
      <w:tblPr>
        <w:tblW w:w="0" w:type="auto"/>
        <w:jc w:val="center"/>
        <w:tblLayout w:type="fixed"/>
        <w:tblLook w:val="0420" w:firstRow="1" w:lastRow="0" w:firstColumn="0" w:lastColumn="0" w:noHBand="0" w:noVBand="1"/>
      </w:tblPr>
      <w:tblGrid>
        <w:gridCol w:w="3822"/>
        <w:gridCol w:w="1792"/>
        <w:gridCol w:w="1266"/>
        <w:gridCol w:w="1866"/>
        <w:gridCol w:w="1389"/>
        <w:gridCol w:w="1206"/>
        <w:gridCol w:w="1095"/>
        <w:gridCol w:w="1402"/>
      </w:tblGrid>
      <w:tr w:rsidR="004A49E2" w:rsidRPr="001D1CE0" w14:paraId="2E4E1236" w14:textId="77777777" w:rsidTr="00B955A0">
        <w:trPr>
          <w:tblHeader/>
          <w:jc w:val="center"/>
        </w:trPr>
        <w:tc>
          <w:tcPr>
            <w:tcW w:w="382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92175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Term</w:t>
            </w:r>
          </w:p>
        </w:tc>
        <w:tc>
          <w:tcPr>
            <w:tcW w:w="17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96812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(Reduced)</w:t>
            </w:r>
          </w:p>
        </w:tc>
        <w:tc>
          <w:tcPr>
            <w:tcW w:w="12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DE4B9F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DF (Full)</w:t>
            </w:r>
          </w:p>
        </w:tc>
        <w:tc>
          <w:tcPr>
            <w:tcW w:w="186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BFE11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(Reduced)</w:t>
            </w:r>
          </w:p>
        </w:tc>
        <w:tc>
          <w:tcPr>
            <w:tcW w:w="138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E2A584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AIC (Full)</w:t>
            </w:r>
          </w:p>
        </w:tc>
        <w:tc>
          <w:tcPr>
            <w:tcW w:w="12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989E62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Chi-Sq</w:t>
            </w:r>
          </w:p>
        </w:tc>
        <w:tc>
          <w:tcPr>
            <w:tcW w:w="109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50175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Chi DF</w:t>
            </w:r>
          </w:p>
        </w:tc>
        <w:tc>
          <w:tcPr>
            <w:tcW w:w="14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9CAAB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p-value</w:t>
            </w:r>
          </w:p>
        </w:tc>
      </w:tr>
      <w:tr w:rsidR="004A49E2" w:rsidRPr="001D1CE0" w14:paraId="584D6BEA" w14:textId="77777777" w:rsidTr="00B955A0">
        <w:trPr>
          <w:jc w:val="center"/>
        </w:trPr>
        <w:tc>
          <w:tcPr>
            <w:tcW w:w="382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1D727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Year breakdown end</w:t>
            </w:r>
          </w:p>
        </w:tc>
        <w:tc>
          <w:tcPr>
            <w:tcW w:w="179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D18B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22</w:t>
            </w:r>
          </w:p>
        </w:tc>
        <w:tc>
          <w:tcPr>
            <w:tcW w:w="12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939D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DD74A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71,496.91</w:t>
            </w:r>
          </w:p>
        </w:tc>
        <w:tc>
          <w:tcPr>
            <w:tcW w:w="138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D017C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2E397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19.828</w:t>
            </w:r>
          </w:p>
        </w:tc>
        <w:tc>
          <w:tcPr>
            <w:tcW w:w="109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5E645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w:t>
            </w:r>
          </w:p>
        </w:tc>
        <w:tc>
          <w:tcPr>
            <w:tcW w:w="140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3C31C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4.78e-02</w:t>
            </w:r>
          </w:p>
        </w:tc>
      </w:tr>
      <w:tr w:rsidR="004A49E2" w:rsidRPr="001D1CE0" w14:paraId="79534348"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31CFB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management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F9916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28</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4C80B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F324B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71,601.54</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4E68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9C128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112.457</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E62F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w:t>
            </w:r>
          </w:p>
        </w:tc>
        <w:tc>
          <w:tcPr>
            <w:tcW w:w="1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A8370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1.24e-22</w:t>
            </w:r>
          </w:p>
        </w:tc>
      </w:tr>
      <w:tr w:rsidR="004A49E2" w:rsidRPr="001D1CE0" w14:paraId="36FC3E6A"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490F2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Initiating test</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D7178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30</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E26A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EA12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71,579.80</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8202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05E4E9"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86.723</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BA4B2"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w:t>
            </w:r>
          </w:p>
        </w:tc>
        <w:tc>
          <w:tcPr>
            <w:tcW w:w="1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A29A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1.11e-18</w:t>
            </w:r>
          </w:p>
        </w:tc>
      </w:tr>
      <w:tr w:rsidR="004A49E2" w:rsidRPr="001D1CE0" w14:paraId="1FDCD7FD"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F3271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Mean residency time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2ED11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17C98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9C058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72,210.10</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8D0E0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09B74"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719.022</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389AB7"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435B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2.65e-154</w:t>
            </w:r>
          </w:p>
        </w:tc>
      </w:tr>
      <w:tr w:rsidR="004A49E2" w:rsidRPr="001D1CE0" w14:paraId="5631F97C"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6D51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Neighbourhood burden (APT DED)</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96E1A"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30</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41D5C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40B2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71,497.53</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C2C9D"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E82FE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4.450</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831CA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w:t>
            </w:r>
          </w:p>
        </w:tc>
        <w:tc>
          <w:tcPr>
            <w:tcW w:w="1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EEB8BC"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2.17e-01</w:t>
            </w:r>
          </w:p>
        </w:tc>
      </w:tr>
      <w:tr w:rsidR="004A49E2" w:rsidRPr="001D1CE0" w14:paraId="39E66033" w14:textId="77777777" w:rsidTr="00B955A0">
        <w:trPr>
          <w:jc w:val="center"/>
        </w:trPr>
        <w:tc>
          <w:tcPr>
            <w:tcW w:w="382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CE72F"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size</w:t>
            </w:r>
          </w:p>
        </w:tc>
        <w:tc>
          <w:tcPr>
            <w:tcW w:w="17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7DC771"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29</w:t>
            </w:r>
          </w:p>
        </w:tc>
        <w:tc>
          <w:tcPr>
            <w:tcW w:w="12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59444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86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9DD008"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72,010.75</w:t>
            </w:r>
          </w:p>
        </w:tc>
        <w:tc>
          <w:tcPr>
            <w:tcW w:w="138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429420"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71,499.08</w:t>
            </w:r>
          </w:p>
        </w:tc>
        <w:tc>
          <w:tcPr>
            <w:tcW w:w="1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398BEE"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519.666</w:t>
            </w:r>
          </w:p>
        </w:tc>
        <w:tc>
          <w:tcPr>
            <w:tcW w:w="109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A106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4</w:t>
            </w:r>
          </w:p>
        </w:tc>
        <w:tc>
          <w:tcPr>
            <w:tcW w:w="14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147C0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3.74e-111</w:t>
            </w:r>
          </w:p>
        </w:tc>
      </w:tr>
      <w:tr w:rsidR="004A49E2" w:rsidRPr="001D1CE0" w14:paraId="42FD24F7" w14:textId="77777777" w:rsidTr="00B955A0">
        <w:trPr>
          <w:jc w:val="center"/>
        </w:trPr>
        <w:tc>
          <w:tcPr>
            <w:tcW w:w="382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6054796"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Herd level random effect</w:t>
            </w:r>
          </w:p>
        </w:tc>
        <w:tc>
          <w:tcPr>
            <w:tcW w:w="179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98352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33</w:t>
            </w:r>
          </w:p>
        </w:tc>
        <w:tc>
          <w:tcPr>
            <w:tcW w:w="12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3B4BE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34</w:t>
            </w:r>
          </w:p>
        </w:tc>
        <w:tc>
          <w:tcPr>
            <w:tcW w:w="186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DC45C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71,749.70</w:t>
            </w:r>
          </w:p>
        </w:tc>
        <w:tc>
          <w:tcPr>
            <w:tcW w:w="1389"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F6E6B43"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71,502.45</w:t>
            </w:r>
          </w:p>
        </w:tc>
        <w:tc>
          <w:tcPr>
            <w:tcW w:w="120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15E68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249.246</w:t>
            </w:r>
          </w:p>
        </w:tc>
        <w:tc>
          <w:tcPr>
            <w:tcW w:w="109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53A506B"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hAnsi="Times New Roman" w:cs="Times New Roman"/>
              </w:rPr>
            </w:pPr>
            <w:r w:rsidRPr="001D1CE0">
              <w:rPr>
                <w:rFonts w:ascii="Times New Roman" w:eastAsia="Arial" w:hAnsi="Times New Roman" w:cs="Times New Roman"/>
                <w:color w:val="000000"/>
              </w:rPr>
              <w:t>1</w:t>
            </w:r>
          </w:p>
        </w:tc>
        <w:tc>
          <w:tcPr>
            <w:tcW w:w="140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2BDE55" w14:textId="77777777" w:rsidR="004A49E2" w:rsidRPr="001D1CE0" w:rsidRDefault="004A49E2" w:rsidP="001D1CE0">
            <w:pPr>
              <w:pBdr>
                <w:top w:val="none" w:sz="0" w:space="0" w:color="000000"/>
                <w:left w:val="none" w:sz="0" w:space="0" w:color="000000"/>
                <w:bottom w:val="none" w:sz="0" w:space="0" w:color="000000"/>
                <w:right w:val="none" w:sz="0" w:space="0" w:color="000000"/>
              </w:pBdr>
              <w:spacing w:before="100" w:after="100"/>
              <w:ind w:left="100" w:right="100"/>
              <w:rPr>
                <w:rFonts w:ascii="Times New Roman" w:hAnsi="Times New Roman" w:cs="Times New Roman"/>
              </w:rPr>
            </w:pPr>
            <w:r w:rsidRPr="001D1CE0">
              <w:rPr>
                <w:rFonts w:ascii="Times New Roman" w:eastAsia="Arial" w:hAnsi="Times New Roman" w:cs="Times New Roman"/>
                <w:color w:val="000000"/>
              </w:rPr>
              <w:t>3.79e-56</w:t>
            </w:r>
          </w:p>
        </w:tc>
      </w:tr>
    </w:tbl>
    <w:p w14:paraId="0A9EA67A" w14:textId="77777777" w:rsidR="004A49E2" w:rsidRPr="001D1CE0" w:rsidRDefault="004A49E2" w:rsidP="001D1CE0">
      <w:pPr>
        <w:rPr>
          <w:rFonts w:ascii="Times New Roman" w:hAnsi="Times New Roman" w:cs="Times New Roman"/>
        </w:rPr>
      </w:pPr>
    </w:p>
    <w:sectPr w:rsidR="004A49E2" w:rsidRPr="001D1CE0" w:rsidSect="001D1CE0">
      <w:pgSz w:w="16838" w:h="11906" w:orient="landscape"/>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amie Tratalos" w:date="2025-06-04T15:07:00Z" w:initials="JT">
    <w:p w14:paraId="785FBEA6" w14:textId="77777777" w:rsidR="0038597D" w:rsidRDefault="0038597D" w:rsidP="0038597D">
      <w:pPr>
        <w:pStyle w:val="CommentText"/>
      </w:pPr>
      <w:r>
        <w:rPr>
          <w:rStyle w:val="CommentReference"/>
        </w:rPr>
        <w:annotationRef/>
      </w:r>
      <w:r>
        <w:t>Need to comment more fully on how the inclusion of in degree changed the results for residency time (effect of odds ratio, log-likelihood etc.)</w:t>
      </w:r>
    </w:p>
  </w:comment>
  <w:comment w:id="2" w:author="Miriam Casey" w:date="2025-07-24T05:53:00Z" w:initials="MC">
    <w:p w14:paraId="0C21D653" w14:textId="77777777" w:rsidR="0038597D" w:rsidRDefault="0038597D" w:rsidP="0038597D">
      <w:pPr>
        <w:pStyle w:val="CommentText"/>
      </w:pPr>
      <w:r>
        <w:rPr>
          <w:rStyle w:val="CommentReference"/>
        </w:rPr>
        <w:annotationRef/>
      </w:r>
      <w:r>
        <w:t>I will follow up on this - they do not change the message.</w:t>
      </w:r>
    </w:p>
  </w:comment>
  <w:comment w:id="3" w:author="Miriam Casey" w:date="2025-08-07T17:21:00Z" w:initials="MC">
    <w:p w14:paraId="0927F6E9" w14:textId="77777777" w:rsidR="0038597D" w:rsidRDefault="0038597D" w:rsidP="0038597D">
      <w:pPr>
        <w:pStyle w:val="CommentText"/>
      </w:pPr>
      <w:r>
        <w:rPr>
          <w:rStyle w:val="CommentReference"/>
        </w:rPr>
        <w:annotationRef/>
      </w:r>
      <w:r>
        <w:t>Is this enough description of in degree 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5FBEA6" w15:done="1"/>
  <w15:commentEx w15:paraId="0C21D653" w15:paraIdParent="785FBEA6" w15:done="1"/>
  <w15:commentEx w15:paraId="0927F6E9" w15:paraIdParent="785FBEA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09060C" w16cex:dateUtc="2025-06-04T14:07:00Z"/>
  <w16cex:commentExtensible w16cex:durableId="725618F2" w16cex:dateUtc="2025-07-24T04:53:00Z"/>
  <w16cex:commentExtensible w16cex:durableId="4FACDB16" w16cex:dateUtc="2025-08-07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5FBEA6" w16cid:durableId="7109060C"/>
  <w16cid:commentId w16cid:paraId="0C21D653" w16cid:durableId="725618F2"/>
  <w16cid:commentId w16cid:paraId="0927F6E9" w16cid:durableId="4FACDB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A0998" w14:textId="77777777" w:rsidR="00296ECF" w:rsidRDefault="00296ECF" w:rsidP="000C3463">
      <w:pPr>
        <w:spacing w:after="0" w:line="240" w:lineRule="auto"/>
      </w:pPr>
      <w:r>
        <w:separator/>
      </w:r>
    </w:p>
  </w:endnote>
  <w:endnote w:type="continuationSeparator" w:id="0">
    <w:p w14:paraId="1F946716" w14:textId="77777777" w:rsidR="00296ECF" w:rsidRDefault="00296ECF" w:rsidP="000C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85A01" w14:textId="20AD2ECB" w:rsidR="00026A92" w:rsidRDefault="00026A92">
    <w:pPr>
      <w:pStyle w:val="Footer"/>
      <w:jc w:val="center"/>
    </w:pPr>
    <w:r>
      <w:t>Supplementary results 2: Alternative models</w:t>
    </w:r>
    <w:r w:rsidR="007F14A9">
      <w:t xml:space="preserve"> and extra results</w:t>
    </w:r>
    <w:r>
      <w:t xml:space="preserve">: </w:t>
    </w:r>
    <w:sdt>
      <w:sdtPr>
        <w:id w:val="438336999"/>
        <w:docPartObj>
          <w:docPartGallery w:val="Page Numbers (Bottom of Page)"/>
          <w:docPartUnique/>
        </w:docPartObj>
      </w:sdtPr>
      <w:sdtContent>
        <w:sdt>
          <w:sdtPr>
            <w:id w:val="1728636285"/>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sdtContent>
        </w:sdt>
      </w:sdtContent>
    </w:sdt>
  </w:p>
  <w:p w14:paraId="401286DE" w14:textId="77777777" w:rsidR="00026A92" w:rsidRDefault="00026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24524"/>
      <w:docPartObj>
        <w:docPartGallery w:val="Page Numbers (Bottom of Page)"/>
        <w:docPartUnique/>
      </w:docPartObj>
    </w:sdtPr>
    <w:sdtContent>
      <w:sdt>
        <w:sdtPr>
          <w:id w:val="-2070643089"/>
          <w:docPartObj>
            <w:docPartGallery w:val="Page Numbers (Top of Page)"/>
            <w:docPartUnique/>
          </w:docPartObj>
        </w:sdtPr>
        <w:sdtContent>
          <w:p w14:paraId="694C1040" w14:textId="77777777" w:rsidR="003E13DA" w:rsidRDefault="003E13DA">
            <w:pPr>
              <w:pStyle w:val="Footer"/>
              <w:jc w:val="center"/>
            </w:pPr>
            <w:r>
              <w:t>Fifth draft case count paper 21st October 2025</w:t>
            </w:r>
          </w:p>
          <w:p w14:paraId="26184B6E" w14:textId="77777777" w:rsidR="003E13DA" w:rsidRDefault="003E13DA">
            <w:pPr>
              <w:pStyle w:val="Footer"/>
              <w:jc w:val="center"/>
            </w:pPr>
            <w:r>
              <w:t xml:space="preserve"> 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D128F2F" w14:textId="77777777" w:rsidR="003E13DA" w:rsidRDefault="003E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D4C49" w14:textId="77777777" w:rsidR="00296ECF" w:rsidRDefault="00296ECF" w:rsidP="000C3463">
      <w:pPr>
        <w:spacing w:after="0" w:line="240" w:lineRule="auto"/>
      </w:pPr>
      <w:r>
        <w:separator/>
      </w:r>
    </w:p>
  </w:footnote>
  <w:footnote w:type="continuationSeparator" w:id="0">
    <w:p w14:paraId="7E8488E8" w14:textId="77777777" w:rsidR="00296ECF" w:rsidRDefault="00296ECF" w:rsidP="000C3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502EF"/>
    <w:multiLevelType w:val="hybridMultilevel"/>
    <w:tmpl w:val="D1F64A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644181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ie Tratalos">
    <w15:presenceInfo w15:providerId="Windows Live" w15:userId="a070af166477da51"/>
  </w15:person>
  <w15:person w15:author="Miriam Casey">
    <w15:presenceInfo w15:providerId="AD" w15:userId="S::miriam.casey@ucd.ie::04c47f69-e2a5-4b5d-821e-f1fe5da295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684"/>
    <w:rsid w:val="00000CD7"/>
    <w:rsid w:val="000200ED"/>
    <w:rsid w:val="00024632"/>
    <w:rsid w:val="00026A92"/>
    <w:rsid w:val="000354DA"/>
    <w:rsid w:val="00062975"/>
    <w:rsid w:val="000674EA"/>
    <w:rsid w:val="00067802"/>
    <w:rsid w:val="0008106A"/>
    <w:rsid w:val="00097D20"/>
    <w:rsid w:val="000A0955"/>
    <w:rsid w:val="000C3463"/>
    <w:rsid w:val="000D23EA"/>
    <w:rsid w:val="000E23DD"/>
    <w:rsid w:val="000E4E25"/>
    <w:rsid w:val="001454AC"/>
    <w:rsid w:val="00153BAF"/>
    <w:rsid w:val="0016076A"/>
    <w:rsid w:val="0019009E"/>
    <w:rsid w:val="001971EC"/>
    <w:rsid w:val="0019756B"/>
    <w:rsid w:val="001A5FC8"/>
    <w:rsid w:val="001B752E"/>
    <w:rsid w:val="001C0212"/>
    <w:rsid w:val="001D0D3D"/>
    <w:rsid w:val="001D1CE0"/>
    <w:rsid w:val="001F7242"/>
    <w:rsid w:val="00205572"/>
    <w:rsid w:val="002414DE"/>
    <w:rsid w:val="00263D18"/>
    <w:rsid w:val="002740FA"/>
    <w:rsid w:val="002756FF"/>
    <w:rsid w:val="00292729"/>
    <w:rsid w:val="00296ECF"/>
    <w:rsid w:val="002A1E45"/>
    <w:rsid w:val="002D2CE5"/>
    <w:rsid w:val="0032040A"/>
    <w:rsid w:val="0032270F"/>
    <w:rsid w:val="00322BDE"/>
    <w:rsid w:val="00354CBB"/>
    <w:rsid w:val="00360EBA"/>
    <w:rsid w:val="00380971"/>
    <w:rsid w:val="0038597D"/>
    <w:rsid w:val="003B23E5"/>
    <w:rsid w:val="003E13DA"/>
    <w:rsid w:val="003E30F7"/>
    <w:rsid w:val="003F0E21"/>
    <w:rsid w:val="003F149F"/>
    <w:rsid w:val="00447B25"/>
    <w:rsid w:val="004805F9"/>
    <w:rsid w:val="004A49E2"/>
    <w:rsid w:val="004E474D"/>
    <w:rsid w:val="004F0832"/>
    <w:rsid w:val="004F0893"/>
    <w:rsid w:val="0055116E"/>
    <w:rsid w:val="00564D78"/>
    <w:rsid w:val="005871CE"/>
    <w:rsid w:val="00594C2C"/>
    <w:rsid w:val="005D30D1"/>
    <w:rsid w:val="005E615D"/>
    <w:rsid w:val="00601013"/>
    <w:rsid w:val="00641992"/>
    <w:rsid w:val="006542FA"/>
    <w:rsid w:val="00672DC6"/>
    <w:rsid w:val="006A13D2"/>
    <w:rsid w:val="006C5B79"/>
    <w:rsid w:val="006F4B43"/>
    <w:rsid w:val="006F52F4"/>
    <w:rsid w:val="00707A1A"/>
    <w:rsid w:val="00714B88"/>
    <w:rsid w:val="007244DA"/>
    <w:rsid w:val="0072675D"/>
    <w:rsid w:val="00734A9D"/>
    <w:rsid w:val="00757683"/>
    <w:rsid w:val="00780D72"/>
    <w:rsid w:val="00781D99"/>
    <w:rsid w:val="00783144"/>
    <w:rsid w:val="007E2549"/>
    <w:rsid w:val="007F01A6"/>
    <w:rsid w:val="007F14A9"/>
    <w:rsid w:val="007F481C"/>
    <w:rsid w:val="00802118"/>
    <w:rsid w:val="0080221A"/>
    <w:rsid w:val="00805F51"/>
    <w:rsid w:val="00823684"/>
    <w:rsid w:val="00826959"/>
    <w:rsid w:val="00827A8F"/>
    <w:rsid w:val="00845378"/>
    <w:rsid w:val="00871EBC"/>
    <w:rsid w:val="0087516E"/>
    <w:rsid w:val="00877F70"/>
    <w:rsid w:val="008A0D53"/>
    <w:rsid w:val="008B5236"/>
    <w:rsid w:val="00907C57"/>
    <w:rsid w:val="00924124"/>
    <w:rsid w:val="009564AC"/>
    <w:rsid w:val="00994573"/>
    <w:rsid w:val="009B37DB"/>
    <w:rsid w:val="009B3C6C"/>
    <w:rsid w:val="009B49D3"/>
    <w:rsid w:val="009B7030"/>
    <w:rsid w:val="009C1292"/>
    <w:rsid w:val="009F00A3"/>
    <w:rsid w:val="009F3A39"/>
    <w:rsid w:val="00A066E6"/>
    <w:rsid w:val="00A37F4E"/>
    <w:rsid w:val="00A8699F"/>
    <w:rsid w:val="00A9766A"/>
    <w:rsid w:val="00AB3CE1"/>
    <w:rsid w:val="00AE494C"/>
    <w:rsid w:val="00B10A4D"/>
    <w:rsid w:val="00B248C1"/>
    <w:rsid w:val="00B66DC3"/>
    <w:rsid w:val="00B81E8C"/>
    <w:rsid w:val="00BB4C03"/>
    <w:rsid w:val="00BB529A"/>
    <w:rsid w:val="00BB59A3"/>
    <w:rsid w:val="00BC328C"/>
    <w:rsid w:val="00BC6158"/>
    <w:rsid w:val="00C17690"/>
    <w:rsid w:val="00C9670B"/>
    <w:rsid w:val="00C97AA1"/>
    <w:rsid w:val="00CD3277"/>
    <w:rsid w:val="00CE3282"/>
    <w:rsid w:val="00CE7D41"/>
    <w:rsid w:val="00CF2CE6"/>
    <w:rsid w:val="00D133D0"/>
    <w:rsid w:val="00D16E90"/>
    <w:rsid w:val="00D1732C"/>
    <w:rsid w:val="00D357B8"/>
    <w:rsid w:val="00D50323"/>
    <w:rsid w:val="00D61DAC"/>
    <w:rsid w:val="00D70BEA"/>
    <w:rsid w:val="00D71294"/>
    <w:rsid w:val="00D8104B"/>
    <w:rsid w:val="00D9473B"/>
    <w:rsid w:val="00DE2412"/>
    <w:rsid w:val="00DE7A7E"/>
    <w:rsid w:val="00DF0572"/>
    <w:rsid w:val="00E02040"/>
    <w:rsid w:val="00E14776"/>
    <w:rsid w:val="00E21EB9"/>
    <w:rsid w:val="00E52311"/>
    <w:rsid w:val="00E63F25"/>
    <w:rsid w:val="00E836CF"/>
    <w:rsid w:val="00EC73E3"/>
    <w:rsid w:val="00F00029"/>
    <w:rsid w:val="00F01672"/>
    <w:rsid w:val="00F04D36"/>
    <w:rsid w:val="00F37A3D"/>
    <w:rsid w:val="00F50B79"/>
    <w:rsid w:val="00F5223D"/>
    <w:rsid w:val="00F9523D"/>
    <w:rsid w:val="00FA3C11"/>
    <w:rsid w:val="00FA3D6C"/>
    <w:rsid w:val="00FE282C"/>
    <w:rsid w:val="00FF00A4"/>
    <w:rsid w:val="00FF4E4F"/>
    <w:rsid w:val="00FF58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1529B"/>
  <w15:chartTrackingRefBased/>
  <w15:docId w15:val="{09332891-C0AC-41A9-A9CE-032E0D35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92"/>
    <w:pPr>
      <w:spacing w:line="480" w:lineRule="auto"/>
    </w:pPr>
  </w:style>
  <w:style w:type="paragraph" w:styleId="Heading1">
    <w:name w:val="heading 1"/>
    <w:basedOn w:val="Normal"/>
    <w:next w:val="Normal"/>
    <w:link w:val="Heading1Char"/>
    <w:uiPriority w:val="9"/>
    <w:qFormat/>
    <w:rsid w:val="008236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36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36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36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36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36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6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6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6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6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36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36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36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36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36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6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6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684"/>
    <w:rPr>
      <w:rFonts w:eastAsiaTheme="majorEastAsia" w:cstheme="majorBidi"/>
      <w:color w:val="272727" w:themeColor="text1" w:themeTint="D8"/>
    </w:rPr>
  </w:style>
  <w:style w:type="paragraph" w:styleId="Title">
    <w:name w:val="Title"/>
    <w:basedOn w:val="Normal"/>
    <w:next w:val="Normal"/>
    <w:link w:val="TitleChar"/>
    <w:uiPriority w:val="10"/>
    <w:qFormat/>
    <w:rsid w:val="00823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6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6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6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684"/>
    <w:pPr>
      <w:spacing w:before="160"/>
      <w:jc w:val="center"/>
    </w:pPr>
    <w:rPr>
      <w:i/>
      <w:iCs/>
      <w:color w:val="404040" w:themeColor="text1" w:themeTint="BF"/>
    </w:rPr>
  </w:style>
  <w:style w:type="character" w:customStyle="1" w:styleId="QuoteChar">
    <w:name w:val="Quote Char"/>
    <w:basedOn w:val="DefaultParagraphFont"/>
    <w:link w:val="Quote"/>
    <w:uiPriority w:val="29"/>
    <w:rsid w:val="00823684"/>
    <w:rPr>
      <w:i/>
      <w:iCs/>
      <w:color w:val="404040" w:themeColor="text1" w:themeTint="BF"/>
    </w:rPr>
  </w:style>
  <w:style w:type="paragraph" w:styleId="ListParagraph">
    <w:name w:val="List Paragraph"/>
    <w:basedOn w:val="Normal"/>
    <w:uiPriority w:val="34"/>
    <w:qFormat/>
    <w:rsid w:val="00823684"/>
    <w:pPr>
      <w:ind w:left="720"/>
      <w:contextualSpacing/>
    </w:pPr>
  </w:style>
  <w:style w:type="character" w:styleId="IntenseEmphasis">
    <w:name w:val="Intense Emphasis"/>
    <w:basedOn w:val="DefaultParagraphFont"/>
    <w:uiPriority w:val="21"/>
    <w:qFormat/>
    <w:rsid w:val="00823684"/>
    <w:rPr>
      <w:i/>
      <w:iCs/>
      <w:color w:val="0F4761" w:themeColor="accent1" w:themeShade="BF"/>
    </w:rPr>
  </w:style>
  <w:style w:type="paragraph" w:styleId="IntenseQuote">
    <w:name w:val="Intense Quote"/>
    <w:basedOn w:val="Normal"/>
    <w:next w:val="Normal"/>
    <w:link w:val="IntenseQuoteChar"/>
    <w:uiPriority w:val="30"/>
    <w:qFormat/>
    <w:rsid w:val="008236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3684"/>
    <w:rPr>
      <w:i/>
      <w:iCs/>
      <w:color w:val="0F4761" w:themeColor="accent1" w:themeShade="BF"/>
    </w:rPr>
  </w:style>
  <w:style w:type="character" w:styleId="IntenseReference">
    <w:name w:val="Intense Reference"/>
    <w:basedOn w:val="DefaultParagraphFont"/>
    <w:uiPriority w:val="32"/>
    <w:qFormat/>
    <w:rsid w:val="00823684"/>
    <w:rPr>
      <w:b/>
      <w:bCs/>
      <w:smallCaps/>
      <w:color w:val="0F4761" w:themeColor="accent1" w:themeShade="BF"/>
      <w:spacing w:val="5"/>
    </w:rPr>
  </w:style>
  <w:style w:type="table" w:styleId="TableGrid">
    <w:name w:val="Table Grid"/>
    <w:basedOn w:val="TableNormal"/>
    <w:uiPriority w:val="39"/>
    <w:rsid w:val="009C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463"/>
  </w:style>
  <w:style w:type="paragraph" w:styleId="Footer">
    <w:name w:val="footer"/>
    <w:basedOn w:val="Normal"/>
    <w:link w:val="FooterChar"/>
    <w:uiPriority w:val="99"/>
    <w:unhideWhenUsed/>
    <w:rsid w:val="000C3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463"/>
  </w:style>
  <w:style w:type="character" w:styleId="CommentReference">
    <w:name w:val="annotation reference"/>
    <w:basedOn w:val="DefaultParagraphFont"/>
    <w:uiPriority w:val="99"/>
    <w:semiHidden/>
    <w:unhideWhenUsed/>
    <w:rsid w:val="009B37DB"/>
    <w:rPr>
      <w:sz w:val="16"/>
      <w:szCs w:val="16"/>
    </w:rPr>
  </w:style>
  <w:style w:type="paragraph" w:styleId="CommentText">
    <w:name w:val="annotation text"/>
    <w:basedOn w:val="Normal"/>
    <w:link w:val="CommentTextChar"/>
    <w:uiPriority w:val="99"/>
    <w:unhideWhenUsed/>
    <w:rsid w:val="009B37DB"/>
    <w:pPr>
      <w:spacing w:line="240" w:lineRule="auto"/>
    </w:pPr>
    <w:rPr>
      <w:sz w:val="20"/>
      <w:szCs w:val="20"/>
    </w:rPr>
  </w:style>
  <w:style w:type="character" w:customStyle="1" w:styleId="CommentTextChar">
    <w:name w:val="Comment Text Char"/>
    <w:basedOn w:val="DefaultParagraphFont"/>
    <w:link w:val="CommentText"/>
    <w:uiPriority w:val="99"/>
    <w:rsid w:val="009B37DB"/>
    <w:rPr>
      <w:sz w:val="20"/>
      <w:szCs w:val="20"/>
    </w:rPr>
  </w:style>
  <w:style w:type="paragraph" w:styleId="CommentSubject">
    <w:name w:val="annotation subject"/>
    <w:basedOn w:val="CommentText"/>
    <w:next w:val="CommentText"/>
    <w:link w:val="CommentSubjectChar"/>
    <w:uiPriority w:val="99"/>
    <w:semiHidden/>
    <w:unhideWhenUsed/>
    <w:rsid w:val="009B37DB"/>
    <w:rPr>
      <w:b/>
      <w:bCs/>
    </w:rPr>
  </w:style>
  <w:style w:type="character" w:customStyle="1" w:styleId="CommentSubjectChar">
    <w:name w:val="Comment Subject Char"/>
    <w:basedOn w:val="CommentTextChar"/>
    <w:link w:val="CommentSubject"/>
    <w:uiPriority w:val="99"/>
    <w:semiHidden/>
    <w:rsid w:val="009B37DB"/>
    <w:rPr>
      <w:b/>
      <w:bCs/>
      <w:sz w:val="20"/>
      <w:szCs w:val="20"/>
    </w:rPr>
  </w:style>
  <w:style w:type="character" w:styleId="LineNumber">
    <w:name w:val="line number"/>
    <w:basedOn w:val="DefaultParagraphFont"/>
    <w:uiPriority w:val="99"/>
    <w:semiHidden/>
    <w:unhideWhenUsed/>
    <w:rsid w:val="007E2549"/>
  </w:style>
  <w:style w:type="paragraph" w:styleId="TOCHeading">
    <w:name w:val="TOC Heading"/>
    <w:basedOn w:val="Heading1"/>
    <w:next w:val="Normal"/>
    <w:uiPriority w:val="39"/>
    <w:unhideWhenUsed/>
    <w:qFormat/>
    <w:rsid w:val="0032040A"/>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2040A"/>
    <w:pPr>
      <w:spacing w:after="100"/>
    </w:pPr>
  </w:style>
  <w:style w:type="paragraph" w:styleId="TOC2">
    <w:name w:val="toc 2"/>
    <w:basedOn w:val="Normal"/>
    <w:next w:val="Normal"/>
    <w:autoRedefine/>
    <w:uiPriority w:val="39"/>
    <w:unhideWhenUsed/>
    <w:rsid w:val="0032040A"/>
    <w:pPr>
      <w:spacing w:after="100"/>
      <w:ind w:left="220"/>
    </w:pPr>
  </w:style>
  <w:style w:type="character" w:styleId="Hyperlink">
    <w:name w:val="Hyperlink"/>
    <w:basedOn w:val="DefaultParagraphFont"/>
    <w:uiPriority w:val="99"/>
    <w:unhideWhenUsed/>
    <w:rsid w:val="0032040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9871">
      <w:bodyDiv w:val="1"/>
      <w:marLeft w:val="0"/>
      <w:marRight w:val="0"/>
      <w:marTop w:val="0"/>
      <w:marBottom w:val="0"/>
      <w:divBdr>
        <w:top w:val="none" w:sz="0" w:space="0" w:color="auto"/>
        <w:left w:val="none" w:sz="0" w:space="0" w:color="auto"/>
        <w:bottom w:val="none" w:sz="0" w:space="0" w:color="auto"/>
        <w:right w:val="none" w:sz="0" w:space="0" w:color="auto"/>
      </w:divBdr>
    </w:div>
    <w:div w:id="176406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iam.casey@ucd.ie"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C066-23D7-428B-9BCD-E4792D66F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Casey</dc:creator>
  <cp:keywords/>
  <dc:description/>
  <cp:lastModifiedBy>Miriam Casey</cp:lastModifiedBy>
  <cp:revision>6</cp:revision>
  <dcterms:created xsi:type="dcterms:W3CDTF">2025-11-22T13:03:00Z</dcterms:created>
  <dcterms:modified xsi:type="dcterms:W3CDTF">2025-11-27T09:36:00Z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http://www.zotero.org/styles/journal-of-general-virology</vt:lpwstr>
  </property>
  <property fmtid="{D5CDD505-2E9C-101B-9397-08002B2CF9AE}" pid="11" name="Mendeley Recent Style Name 4_1">
    <vt:lpwstr>Journal of General Virology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http://www.zotero.org/styles/preventive-veterinary-medicine</vt:lpwstr>
  </property>
  <property fmtid="{D5CDD505-2E9C-101B-9397-08002B2CF9AE}" pid="19" name="Mendeley Recent Style Name 8_1">
    <vt:lpwstr>Preventive Veterinary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