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 xml:space="preserve">Table </w:t>
      </w:r>
      <w:r>
        <w:rPr>
          <w:rFonts w:ascii="Arial" w:hAnsi="Arial" w:cs="Arial"/>
          <w:kern w:val="0"/>
          <w:sz w:val="24"/>
        </w:rPr>
        <w:t>S</w:t>
      </w:r>
      <w:r>
        <w:rPr>
          <w:rFonts w:ascii="Arial" w:hAnsi="Arial" w:cs="Arial"/>
          <w:kern w:val="0"/>
          <w:sz w:val="24"/>
        </w:rPr>
        <w:t xml:space="preserve">1. </w:t>
      </w:r>
      <w:r>
        <w:rPr>
          <w:rFonts w:hint="eastAsia" w:ascii="Arial" w:hAnsi="Arial" w:cs="Arial"/>
          <w:kern w:val="0"/>
          <w:sz w:val="24"/>
        </w:rPr>
        <w:t>32 paired sample</w:t>
      </w:r>
      <w:r>
        <w:rPr>
          <w:rFonts w:hint="default" w:ascii="Arial" w:hAnsi="Arial" w:cs="Arial"/>
          <w:kern w:val="0"/>
          <w:sz w:val="24"/>
        </w:rPr>
        <w:t xml:space="preserve">s </w:t>
      </w:r>
      <w:r>
        <w:rPr>
          <w:rFonts w:hint="eastAsia" w:ascii="Arial" w:hAnsi="Arial" w:cs="Arial"/>
          <w:kern w:val="0"/>
          <w:sz w:val="24"/>
        </w:rPr>
        <w:t xml:space="preserve">with </w:t>
      </w:r>
      <w:r>
        <w:rPr>
          <w:rFonts w:hint="default" w:ascii="Arial" w:hAnsi="Arial" w:cs="Arial"/>
          <w:kern w:val="0"/>
          <w:sz w:val="24"/>
        </w:rPr>
        <w:t>RNA-</w:t>
      </w:r>
      <w:r>
        <w:rPr>
          <w:rFonts w:hint="eastAsia" w:ascii="Arial" w:hAnsi="Arial" w:cs="Arial"/>
          <w:kern w:val="0"/>
          <w:sz w:val="24"/>
        </w:rPr>
        <w:t>seq V2 data and pathological information</w:t>
      </w:r>
      <w:r>
        <w:rPr>
          <w:rFonts w:hint="default" w:ascii="Arial" w:hAnsi="Arial" w:cs="Arial"/>
          <w:kern w:val="0"/>
          <w:sz w:val="24"/>
        </w:rPr>
        <w:t xml:space="preserve"> in TCGA database.</w:t>
      </w:r>
    </w:p>
    <w:tbl>
      <w:tblPr>
        <w:tblStyle w:val="3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865"/>
        <w:gridCol w:w="2410"/>
        <w:gridCol w:w="992"/>
        <w:gridCol w:w="851"/>
        <w:gridCol w:w="850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sz w:val="21"/>
                <w:szCs w:val="21"/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sz w:val="21"/>
                <w:szCs w:val="21"/>
              </w:rPr>
              <w:t>NO.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sz w:val="21"/>
                <w:szCs w:val="21"/>
              </w:rPr>
            </w:pPr>
          </w:p>
        </w:tc>
        <w:tc>
          <w:tcPr>
            <w:tcW w:w="1865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bcr_patient_barcode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histological_type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pathologic_T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pathologic_N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pathologic_M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1"/>
                <w:szCs w:val="21"/>
              </w:rPr>
              <w:t>pathologic_stage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TCGA-BR-6453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TCGA-BR-6454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3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TCGA-BR-6457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4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TCGA-BR-6458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5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TCGA-BR-6564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Diffuse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6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TCGA-BR-6802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7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TCGA-BR-6852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8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TCGA-BR-7704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9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TCGA-BR-7715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10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TCGA-BR-7716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11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TCGA-BR-7717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12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TCGA-BR-7851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T4a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13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TCGA-CG-5720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14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TCGA-CG-5721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15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TCGA-CG-5722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16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TCGA-CG-5734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17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TCGA-FP-7735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MX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18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TCGA-FP-7829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Mucinous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19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TCGA-HU-8238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Tubular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[Discrepancy]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20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TCGA-HU-A4G3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Tubular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21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TCGA-HU-A4GC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Diffuse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T4a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22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TCGA-HU-A4GH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Tubular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T1b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23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TCGA-HU-A4GN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Intestinal Adenocarcinoma, Tubular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24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TCGA-HU-A4GP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Diffuse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25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TCGA-HU-A4GY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Diffuse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26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TCGA-HU-A4HB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Diffuse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27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TCGA-IN-7806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Diffuse Type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28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TCGA-IN-8462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N1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29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TCGA-IN-8663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30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TCGA-IN-AB1V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T1b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31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TCGA-IN-AB1X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FEMALE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N0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</w:trPr>
        <w:tc>
          <w:tcPr>
            <w:tcW w:w="5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32</w:t>
            </w:r>
          </w:p>
        </w:tc>
        <w:tc>
          <w:tcPr>
            <w:tcW w:w="18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TCGA-IP-7968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Stomach, Adenocarcinoma, Not Otherwise Specified (NOS)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MALE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T3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N2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MX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1"/>
                <w:szCs w:val="21"/>
              </w:rPr>
              <w:t>Stage IIIB</w:t>
            </w:r>
          </w:p>
        </w:tc>
      </w:tr>
    </w:tbl>
    <w:p>
      <w:pPr>
        <w:autoSpaceDE w:val="0"/>
        <w:autoSpaceDN w:val="0"/>
        <w:adjustRightInd w:val="0"/>
        <w:rPr>
          <w:rFonts w:hint="eastAsia" w:ascii="Arial" w:hAnsi="Arial" w:cs="Arial"/>
          <w:b/>
          <w:kern w:val="0"/>
          <w:sz w:val="24"/>
        </w:rPr>
      </w:pPr>
      <w:r>
        <w:rPr>
          <w:rFonts w:hint="eastAsia" w:ascii="Arial" w:hAnsi="Arial" w:cs="Arial"/>
          <w:b/>
          <w:kern w:val="0"/>
          <w:sz w:val="24"/>
        </w:rPr>
        <w:br w:type="page"/>
      </w:r>
      <w:r>
        <w:rPr>
          <w:rFonts w:hint="default" w:ascii="Arial" w:hAnsi="Arial" w:cs="Arial"/>
          <w:b/>
          <w:kern w:val="0"/>
          <w:sz w:val="24"/>
        </w:rPr>
        <w:t xml:space="preserve">Table </w:t>
      </w:r>
      <w:r>
        <w:rPr>
          <w:rFonts w:hint="default" w:ascii="Arial" w:hAnsi="Arial" w:cs="Arial"/>
          <w:b/>
          <w:kern w:val="0"/>
          <w:sz w:val="24"/>
        </w:rPr>
        <w:t>S</w:t>
      </w:r>
      <w:r>
        <w:rPr>
          <w:rFonts w:hint="default" w:ascii="Arial" w:hAnsi="Arial" w:cs="Arial"/>
          <w:b/>
          <w:kern w:val="0"/>
          <w:sz w:val="24"/>
        </w:rPr>
        <w:t xml:space="preserve">2 The expression </w:t>
      </w:r>
      <w:r>
        <w:rPr>
          <w:rFonts w:hint="eastAsia" w:ascii="Arial" w:hAnsi="Arial" w:cs="Arial"/>
          <w:b/>
          <w:kern w:val="0"/>
          <w:sz w:val="24"/>
        </w:rPr>
        <w:t xml:space="preserve">difference </w:t>
      </w:r>
      <w:r>
        <w:rPr>
          <w:rFonts w:hint="default" w:ascii="Arial" w:hAnsi="Arial" w:cs="Arial"/>
          <w:b/>
          <w:kern w:val="0"/>
          <w:sz w:val="24"/>
        </w:rPr>
        <w:t xml:space="preserve">of ASRGL1 between paired </w:t>
      </w:r>
      <w:r>
        <w:rPr>
          <w:rFonts w:hint="eastAsia" w:ascii="Arial" w:hAnsi="Arial" w:cs="Arial"/>
          <w:b/>
          <w:kern w:val="0"/>
          <w:sz w:val="24"/>
        </w:rPr>
        <w:t xml:space="preserve">gastric </w:t>
      </w:r>
      <w:r>
        <w:rPr>
          <w:rFonts w:hint="default" w:ascii="Arial" w:hAnsi="Arial" w:cs="Arial"/>
          <w:b/>
          <w:kern w:val="0"/>
          <w:sz w:val="24"/>
        </w:rPr>
        <w:t xml:space="preserve">cancer and </w:t>
      </w:r>
      <w:r>
        <w:rPr>
          <w:rFonts w:hint="eastAsia" w:ascii="Arial" w:hAnsi="Arial" w:cs="Arial"/>
          <w:b/>
          <w:kern w:val="0"/>
          <w:sz w:val="24"/>
        </w:rPr>
        <w:t>adjacent</w:t>
      </w:r>
      <w:r>
        <w:rPr>
          <w:rFonts w:hint="default" w:ascii="Arial" w:hAnsi="Arial" w:cs="Arial"/>
          <w:b/>
          <w:kern w:val="0"/>
          <w:sz w:val="24"/>
        </w:rPr>
        <w:t xml:space="preserve"> gastric tissue samples in TCGA database</w:t>
      </w:r>
    </w:p>
    <w:tbl>
      <w:tblPr>
        <w:tblStyle w:val="3"/>
        <w:tblW w:w="987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10"/>
        <w:gridCol w:w="993"/>
        <w:gridCol w:w="1417"/>
        <w:gridCol w:w="1559"/>
        <w:gridCol w:w="1418"/>
        <w:gridCol w:w="1134"/>
        <w:gridCol w:w="9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8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ID</w:t>
            </w:r>
          </w:p>
        </w:tc>
        <w:tc>
          <w:tcPr>
            <w:tcW w:w="15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Gene symbol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FC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P-value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Total Sample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Sample unchanged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Sample up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kern w:val="0"/>
                <w:sz w:val="21"/>
                <w:szCs w:val="21"/>
              </w:rPr>
              <w:t>Sample down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86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80150</w:t>
            </w:r>
          </w:p>
        </w:tc>
        <w:tc>
          <w:tcPr>
            <w:tcW w:w="151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bookmarkStart w:id="0" w:name="OLE_LINK2"/>
            <w:bookmarkStart w:id="1" w:name="OLE_LINK1"/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ASRGL1</w:t>
            </w:r>
            <w:bookmarkEnd w:id="0"/>
            <w:bookmarkEnd w:id="1"/>
          </w:p>
        </w:tc>
        <w:tc>
          <w:tcPr>
            <w:tcW w:w="99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2.136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2.40E-03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32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16</w:t>
            </w:r>
          </w:p>
        </w:tc>
        <w:tc>
          <w:tcPr>
            <w:tcW w:w="97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sz w:val="21"/>
                <w:szCs w:val="21"/>
              </w:rPr>
              <w:t>4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A9375"/>
    <w:rsid w:val="4F7A9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2021-08-11T16:10:00Z</dcterms:created>
  <dc:creator>yhlion</dc:creator>
  <cp:lastModifiedBy>yhlion</cp:lastModifiedBy>
  <dcterms:modified xsi:type="dcterms:W3CDTF">2021-08-11T16:15:13Z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