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E" w:rsidRPr="00513F23" w:rsidRDefault="008016EE" w:rsidP="008016EE">
      <w:pPr>
        <w:pStyle w:val="Caption"/>
      </w:pPr>
      <w:bookmarkStart w:id="0" w:name="_Toc490764423"/>
      <w:bookmarkStart w:id="1" w:name="_Toc444490059"/>
      <w:r w:rsidRPr="00513F23">
        <w:t>Table 3</w:t>
      </w:r>
      <w:r w:rsidRPr="00513F23">
        <w:fldChar w:fldCharType="begin"/>
      </w:r>
      <w:r w:rsidRPr="00513F23">
        <w:instrText xml:space="preserve"> SEQ Table \* ARABIC </w:instrText>
      </w:r>
      <w:r w:rsidRPr="00513F23">
        <w:fldChar w:fldCharType="end"/>
      </w:r>
      <w:r w:rsidRPr="00513F23">
        <w:t>: Groundnut landraces and released varieties cultivated in East Hararghe (EH) and East Wellega (EW) zones, their distinguishing features</w:t>
      </w:r>
      <w:bookmarkEnd w:id="0"/>
      <w:bookmarkEnd w:id="1"/>
      <w:r w:rsidRPr="00513F23">
        <w:t xml:space="preserve"> according to local producers interviewed in 2016.</w:t>
      </w:r>
      <w:bookmarkStart w:id="2" w:name="_GoBack"/>
      <w:bookmarkEnd w:id="2"/>
    </w:p>
    <w:p w:rsidR="008016EE" w:rsidRDefault="008016EE" w:rsidP="008016EE"/>
    <w:tbl>
      <w:tblPr>
        <w:tblStyle w:val="TableGrid"/>
        <w:tblW w:w="13207" w:type="dxa"/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2551"/>
        <w:gridCol w:w="5184"/>
        <w:gridCol w:w="2304"/>
      </w:tblGrid>
      <w:tr w:rsidR="008016EE" w:rsidRPr="00513F23" w:rsidTr="00FE5AC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</w:pPr>
            <w:r w:rsidRPr="00513F23">
              <w:t>Image of seed</w:t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Local name (in Oromiffa)</w:t>
            </w:r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Meaning of the name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Habit and agronomic features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Culinary and economic features</w:t>
            </w:r>
          </w:p>
        </w:tc>
      </w:tr>
      <w:tr w:rsidR="008016EE" w:rsidRPr="00513F23" w:rsidTr="00FE5AC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</w:pPr>
            <w:r w:rsidRPr="00513F23">
              <w:rPr>
                <w:noProof/>
              </w:rPr>
              <w:drawing>
                <wp:inline distT="0" distB="0" distL="0" distR="0" wp14:anchorId="57AC95B9" wp14:editId="12F8BCAA">
                  <wp:extent cx="914400" cy="9144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ldha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rPr>
                <w:smallCaps/>
              </w:rPr>
              <w:t>oldhal</w:t>
            </w:r>
            <w:r w:rsidRPr="00513F23">
              <w:t xml:space="preserve">e or </w:t>
            </w:r>
            <w:proofErr w:type="spellStart"/>
            <w:r w:rsidRPr="00513F23">
              <w:rPr>
                <w:smallCaps/>
              </w:rPr>
              <w:t>ejja</w:t>
            </w:r>
            <w:proofErr w:type="spellEnd"/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 xml:space="preserve">Prefix </w:t>
            </w:r>
            <w:proofErr w:type="spellStart"/>
            <w:r w:rsidRPr="0024356D">
              <w:rPr>
                <w:smallCaps/>
              </w:rPr>
              <w:t>ol</w:t>
            </w:r>
            <w:proofErr w:type="spellEnd"/>
            <w:r w:rsidRPr="00513F23">
              <w:t xml:space="preserve"> means ‘up’ and </w:t>
            </w:r>
            <w:proofErr w:type="spellStart"/>
            <w:r w:rsidRPr="0024356D">
              <w:rPr>
                <w:smallCaps/>
              </w:rPr>
              <w:t>dhale</w:t>
            </w:r>
            <w:proofErr w:type="spellEnd"/>
            <w:r w:rsidRPr="00513F23">
              <w:t xml:space="preserve"> means giving birth; oldhale means pods on the upper surface of the soil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Relatively high yield under optimal and drought conditions because pod does not remain in the soil and is confined to the base of the plant.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 xml:space="preserve">Less tasty, not preferred for food. Low nutrient content. Less weight resulting </w:t>
            </w:r>
            <w:proofErr w:type="gramStart"/>
            <w:r w:rsidRPr="00513F23">
              <w:t>in  low</w:t>
            </w:r>
            <w:proofErr w:type="gramEnd"/>
            <w:r w:rsidRPr="00513F23">
              <w:t xml:space="preserve"> market value.</w:t>
            </w:r>
          </w:p>
        </w:tc>
      </w:tr>
      <w:tr w:rsidR="008016EE" w:rsidRPr="00513F23" w:rsidTr="00FE5AC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</w:pPr>
            <w:r w:rsidRPr="00513F23">
              <w:rPr>
                <w:noProof/>
              </w:rPr>
              <w:drawing>
                <wp:inline distT="0" distB="0" distL="0" distR="0" wp14:anchorId="6B6A9328" wp14:editId="729C57B8">
                  <wp:extent cx="914400" cy="9144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art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Default="008016EE" w:rsidP="00FE5AC2">
            <w:pPr>
              <w:pStyle w:val="Tabletext"/>
              <w:spacing w:beforeAutospacing="0" w:afterAutospacing="0"/>
              <w:ind w:left="0" w:right="0"/>
              <w:jc w:val="left"/>
              <w:rPr>
                <w:smallCaps/>
              </w:rPr>
            </w:pPr>
            <w:r w:rsidRPr="00513F23">
              <w:rPr>
                <w:smallCaps/>
              </w:rPr>
              <w:t>sartu</w:t>
            </w:r>
            <w:r w:rsidRPr="00513F23">
              <w:t xml:space="preserve"> or </w:t>
            </w:r>
            <w:proofErr w:type="spellStart"/>
            <w:r w:rsidRPr="00513F23">
              <w:rPr>
                <w:smallCaps/>
              </w:rPr>
              <w:t>sara</w:t>
            </w:r>
            <w:proofErr w:type="spellEnd"/>
          </w:p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24356D">
              <w:rPr>
                <w:smallCaps/>
              </w:rPr>
              <w:t>sartu</w:t>
            </w:r>
            <w:r w:rsidRPr="00513F23">
              <w:t xml:space="preserve"> and </w:t>
            </w:r>
            <w:proofErr w:type="spellStart"/>
            <w:r w:rsidRPr="0024356D">
              <w:rPr>
                <w:smallCaps/>
              </w:rPr>
              <w:t>sara</w:t>
            </w:r>
            <w:proofErr w:type="spellEnd"/>
            <w:r w:rsidRPr="00513F23">
              <w:t xml:space="preserve"> both refer to having more </w:t>
            </w:r>
            <w:r>
              <w:t>vegetative branches.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Traditional, spreading landrace collected from EH zone. Difficult to harvest since it produces pods along all branches and requires more digging. Relatively low yields; some pods lost in soil at harvest, especially under drought condition. Does not tolerate excessive rain (flooding).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Tasty and preferred for food.</w:t>
            </w:r>
            <w:r>
              <w:t xml:space="preserve"> </w:t>
            </w:r>
            <w:r w:rsidRPr="00513F23">
              <w:t>High nutrient content.</w:t>
            </w:r>
          </w:p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High market value.</w:t>
            </w:r>
            <w:r>
              <w:t xml:space="preserve"> </w:t>
            </w:r>
            <w:r w:rsidRPr="00513F23">
              <w:t>Highly vegetative and preferred for fodder.</w:t>
            </w:r>
          </w:p>
        </w:tc>
      </w:tr>
      <w:tr w:rsidR="008016EE" w:rsidRPr="00513F23" w:rsidTr="00FE5AC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</w:pPr>
            <w:r w:rsidRPr="00513F23">
              <w:rPr>
                <w:noProof/>
              </w:rPr>
              <w:drawing>
                <wp:inline distT="0" distB="0" distL="0" distR="0" wp14:anchorId="72DE2726" wp14:editId="4F90E001">
                  <wp:extent cx="914400" cy="9144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ob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  <w:rPr>
                <w:smallCaps/>
              </w:rPr>
            </w:pPr>
            <w:proofErr w:type="spellStart"/>
            <w:r w:rsidRPr="00513F23">
              <w:rPr>
                <w:smallCaps/>
              </w:rPr>
              <w:t>roba</w:t>
            </w:r>
            <w:proofErr w:type="spellEnd"/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 xml:space="preserve">Named by </w:t>
            </w:r>
            <w:proofErr w:type="spellStart"/>
            <w:r w:rsidRPr="00513F23">
              <w:t>Haramaya</w:t>
            </w:r>
            <w:proofErr w:type="spellEnd"/>
            <w:r w:rsidRPr="00513F23">
              <w:t xml:space="preserve"> University </w:t>
            </w:r>
            <w:proofErr w:type="gramStart"/>
            <w:r w:rsidRPr="00513F23">
              <w:t>Research  Center</w:t>
            </w:r>
            <w:proofErr w:type="gramEnd"/>
            <w:r>
              <w:t>.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Early maturing and erect released variety collected from EH Zone. Tolerates drought and is easy to harvest, but sometimes germinates before harvesting, resulting in yield losses.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Less tasty, not preferred for food.</w:t>
            </w:r>
          </w:p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Low market demand and low prices.</w:t>
            </w:r>
          </w:p>
        </w:tc>
      </w:tr>
      <w:tr w:rsidR="008016EE" w:rsidRPr="00513F23" w:rsidTr="00FE5AC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rPr>
                <w:smallCaps/>
              </w:rPr>
            </w:pPr>
            <w:r w:rsidRPr="00513F23">
              <w:rPr>
                <w:smallCaps/>
                <w:noProof/>
              </w:rPr>
              <w:drawing>
                <wp:inline distT="0" distB="0" distL="0" distR="0" wp14:anchorId="03EE624E" wp14:editId="6B3DF8F0">
                  <wp:extent cx="914400" cy="9144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mb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  <w:rPr>
                <w:smallCaps/>
              </w:rPr>
            </w:pPr>
            <w:proofErr w:type="spellStart"/>
            <w:r w:rsidRPr="00513F23">
              <w:rPr>
                <w:smallCaps/>
              </w:rPr>
              <w:t>jambo</w:t>
            </w:r>
            <w:proofErr w:type="spellEnd"/>
            <w:r w:rsidRPr="00513F23">
              <w:rPr>
                <w:smallCaps/>
              </w:rPr>
              <w:t xml:space="preserve"> </w:t>
            </w:r>
            <w:r w:rsidRPr="00513F23">
              <w:t>or</w:t>
            </w:r>
            <w:r w:rsidRPr="00513F23">
              <w:rPr>
                <w:smallCaps/>
              </w:rPr>
              <w:t xml:space="preserve"> </w:t>
            </w:r>
            <w:proofErr w:type="spellStart"/>
            <w:r w:rsidRPr="00513F23">
              <w:rPr>
                <w:smallCaps/>
              </w:rPr>
              <w:t>yambo</w:t>
            </w:r>
            <w:proofErr w:type="spellEnd"/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proofErr w:type="spellStart"/>
            <w:r w:rsidRPr="00513F23">
              <w:t>jambo</w:t>
            </w:r>
            <w:proofErr w:type="spellEnd"/>
            <w:r w:rsidRPr="00513F23">
              <w:t xml:space="preserve"> refers to the relatively large size of the pod and seed 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Traditional, neglected erect landrace collected from EH zone. Low yield, producing a large number of vegetative branches and few pods. Does not tolerate drought but is easy to harvest.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Less tasty, not preferred for food.</w:t>
            </w:r>
            <w:r>
              <w:t xml:space="preserve"> </w:t>
            </w:r>
            <w:r w:rsidRPr="00513F23">
              <w:t>No market demand and low prices.</w:t>
            </w:r>
          </w:p>
        </w:tc>
      </w:tr>
      <w:tr w:rsidR="008016EE" w:rsidRPr="00513F23" w:rsidTr="00FE5AC2">
        <w:trPr>
          <w:trHeight w:val="79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rPr>
                <w:smallCaps/>
              </w:rPr>
            </w:pPr>
            <w:r w:rsidRPr="00513F23">
              <w:rPr>
                <w:smallCaps/>
                <w:noProof/>
              </w:rPr>
              <w:lastRenderedPageBreak/>
              <w:drawing>
                <wp:inline distT="0" distB="0" distL="0" distR="0" wp14:anchorId="43840EA4" wp14:editId="3C32825E">
                  <wp:extent cx="931653" cy="875379"/>
                  <wp:effectExtent l="0" t="0" r="1905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ur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335" cy="88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  <w:rPr>
                <w:smallCaps/>
              </w:rPr>
            </w:pPr>
            <w:r w:rsidRPr="00513F23">
              <w:rPr>
                <w:smallCaps/>
              </w:rPr>
              <w:t>bure</w:t>
            </w:r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proofErr w:type="gramStart"/>
            <w:r w:rsidRPr="00513F23">
              <w:t>bure</w:t>
            </w:r>
            <w:proofErr w:type="gramEnd"/>
            <w:r w:rsidRPr="00513F23">
              <w:t xml:space="preserve"> means having multiple of colors, referring to the variegated color of the seed.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Traditional, erect landrace collected from EW zone.</w:t>
            </w:r>
            <w:r>
              <w:t xml:space="preserve"> </w:t>
            </w:r>
            <w:r w:rsidRPr="00513F23">
              <w:t xml:space="preserve">Easy to harvest. Sharing many features with oldhale landrace (see above). 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 xml:space="preserve">Less tasty than </w:t>
            </w:r>
            <w:proofErr w:type="spellStart"/>
            <w:r w:rsidRPr="00513F23">
              <w:t>dima</w:t>
            </w:r>
            <w:proofErr w:type="spellEnd"/>
            <w:r w:rsidRPr="00513F23">
              <w:t xml:space="preserve"> but used as food.</w:t>
            </w:r>
          </w:p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Low market demand and low prices.</w:t>
            </w:r>
          </w:p>
        </w:tc>
      </w:tr>
      <w:tr w:rsidR="008016EE" w:rsidRPr="00513F23" w:rsidTr="00FE5AC2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</w:pPr>
            <w:r w:rsidRPr="00513F23">
              <w:rPr>
                <w:noProof/>
              </w:rPr>
              <w:drawing>
                <wp:inline distT="0" distB="0" distL="0" distR="0" wp14:anchorId="78C0335A" wp14:editId="007EF06C">
                  <wp:extent cx="931545" cy="915202"/>
                  <wp:effectExtent l="0" t="0" r="190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im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80" cy="94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  <w:rPr>
                <w:smallCaps/>
              </w:rPr>
            </w:pPr>
            <w:proofErr w:type="spellStart"/>
            <w:r w:rsidRPr="00513F23">
              <w:rPr>
                <w:smallCaps/>
              </w:rPr>
              <w:t>Dima</w:t>
            </w:r>
            <w:proofErr w:type="spellEnd"/>
          </w:p>
        </w:tc>
        <w:tc>
          <w:tcPr>
            <w:tcW w:w="2551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‘</w:t>
            </w:r>
            <w:proofErr w:type="spellStart"/>
            <w:r w:rsidRPr="00513F23">
              <w:t>Dima</w:t>
            </w:r>
            <w:proofErr w:type="spellEnd"/>
            <w:r w:rsidRPr="00513F23">
              <w:t xml:space="preserve">’ means a state of having red colors </w:t>
            </w:r>
          </w:p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So groundnut variety with red colored seed</w:t>
            </w:r>
          </w:p>
        </w:tc>
        <w:tc>
          <w:tcPr>
            <w:tcW w:w="518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 xml:space="preserve">Traditional, spreading landrace collected from EW zone. Does not tolerate </w:t>
            </w:r>
            <w:proofErr w:type="spellStart"/>
            <w:r w:rsidRPr="00513F23">
              <w:t>drougt</w:t>
            </w:r>
            <w:proofErr w:type="spellEnd"/>
            <w:r w:rsidRPr="00513F23">
              <w:t xml:space="preserve">. Late (long) maturing. </w:t>
            </w:r>
          </w:p>
        </w:tc>
        <w:tc>
          <w:tcPr>
            <w:tcW w:w="2304" w:type="dxa"/>
          </w:tcPr>
          <w:p w:rsidR="008016EE" w:rsidRPr="00513F23" w:rsidRDefault="008016EE" w:rsidP="00FE5AC2">
            <w:pPr>
              <w:pStyle w:val="Tabletext"/>
              <w:spacing w:beforeAutospacing="0" w:afterAutospacing="0"/>
              <w:ind w:left="0" w:right="0"/>
              <w:jc w:val="left"/>
            </w:pPr>
            <w:r w:rsidRPr="00513F23">
              <w:t>Tasty and preferred for food. High market demand and high prices.</w:t>
            </w:r>
          </w:p>
        </w:tc>
      </w:tr>
    </w:tbl>
    <w:p w:rsidR="008016EE" w:rsidRDefault="008016EE" w:rsidP="008016EE"/>
    <w:p w:rsidR="008016EE" w:rsidRDefault="008016EE" w:rsidP="008016EE"/>
    <w:p w:rsidR="008016EE" w:rsidRDefault="008016EE" w:rsidP="008016EE"/>
    <w:p w:rsidR="008016EE" w:rsidRDefault="008016EE" w:rsidP="008016EE"/>
    <w:p w:rsidR="008016EE" w:rsidRDefault="008016EE" w:rsidP="008016EE"/>
    <w:p w:rsidR="008016EE" w:rsidRDefault="008016EE" w:rsidP="008016EE"/>
    <w:p w:rsidR="00423284" w:rsidRDefault="00423284"/>
    <w:sectPr w:rsidR="00423284" w:rsidSect="008016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EE"/>
    <w:rsid w:val="000A6C01"/>
    <w:rsid w:val="00423284"/>
    <w:rsid w:val="008016EE"/>
    <w:rsid w:val="0082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E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13141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016EE"/>
    <w:pPr>
      <w:spacing w:before="100" w:beforeAutospacing="1"/>
    </w:pPr>
    <w:rPr>
      <w:rFonts w:eastAsia="Calibri"/>
      <w:bCs/>
      <w:sz w:val="22"/>
      <w:szCs w:val="18"/>
    </w:rPr>
  </w:style>
  <w:style w:type="paragraph" w:customStyle="1" w:styleId="Tabletext">
    <w:name w:val="Table text"/>
    <w:link w:val="TabletextChar"/>
    <w:qFormat/>
    <w:rsid w:val="008016EE"/>
    <w:pPr>
      <w:spacing w:after="0" w:line="240" w:lineRule="auto"/>
    </w:pPr>
    <w:rPr>
      <w:rFonts w:ascii="Times New Roman" w:eastAsia="Times New Roman" w:hAnsi="Times New Roman" w:cs="Times New Roman"/>
      <w:color w:val="131413"/>
      <w:sz w:val="24"/>
      <w:szCs w:val="24"/>
    </w:rPr>
  </w:style>
  <w:style w:type="character" w:customStyle="1" w:styleId="TabletextChar">
    <w:name w:val="Table text Char"/>
    <w:link w:val="Tabletext"/>
    <w:rsid w:val="008016EE"/>
    <w:rPr>
      <w:rFonts w:ascii="Times New Roman" w:eastAsia="Times New Roman" w:hAnsi="Times New Roman" w:cs="Times New Roman"/>
      <w:color w:val="131413"/>
      <w:sz w:val="24"/>
      <w:szCs w:val="24"/>
    </w:rPr>
  </w:style>
  <w:style w:type="table" w:styleId="TableGrid">
    <w:name w:val="Table Grid"/>
    <w:basedOn w:val="TableNormal"/>
    <w:uiPriority w:val="59"/>
    <w:rsid w:val="008016EE"/>
    <w:pPr>
      <w:spacing w:beforeAutospacing="1" w:after="0" w:afterAutospacing="1" w:line="240" w:lineRule="auto"/>
      <w:ind w:left="432" w:right="288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EE"/>
    <w:rPr>
      <w:rFonts w:ascii="Tahoma" w:eastAsia="Times New Roman" w:hAnsi="Tahoma" w:cs="Tahoma"/>
      <w:color w:val="13141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E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13141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016EE"/>
    <w:pPr>
      <w:spacing w:before="100" w:beforeAutospacing="1"/>
    </w:pPr>
    <w:rPr>
      <w:rFonts w:eastAsia="Calibri"/>
      <w:bCs/>
      <w:sz w:val="22"/>
      <w:szCs w:val="18"/>
    </w:rPr>
  </w:style>
  <w:style w:type="paragraph" w:customStyle="1" w:styleId="Tabletext">
    <w:name w:val="Table text"/>
    <w:link w:val="TabletextChar"/>
    <w:qFormat/>
    <w:rsid w:val="008016EE"/>
    <w:pPr>
      <w:spacing w:after="0" w:line="240" w:lineRule="auto"/>
    </w:pPr>
    <w:rPr>
      <w:rFonts w:ascii="Times New Roman" w:eastAsia="Times New Roman" w:hAnsi="Times New Roman" w:cs="Times New Roman"/>
      <w:color w:val="131413"/>
      <w:sz w:val="24"/>
      <w:szCs w:val="24"/>
    </w:rPr>
  </w:style>
  <w:style w:type="character" w:customStyle="1" w:styleId="TabletextChar">
    <w:name w:val="Table text Char"/>
    <w:link w:val="Tabletext"/>
    <w:rsid w:val="008016EE"/>
    <w:rPr>
      <w:rFonts w:ascii="Times New Roman" w:eastAsia="Times New Roman" w:hAnsi="Times New Roman" w:cs="Times New Roman"/>
      <w:color w:val="131413"/>
      <w:sz w:val="24"/>
      <w:szCs w:val="24"/>
    </w:rPr>
  </w:style>
  <w:style w:type="table" w:styleId="TableGrid">
    <w:name w:val="Table Grid"/>
    <w:basedOn w:val="TableNormal"/>
    <w:uiPriority w:val="59"/>
    <w:rsid w:val="008016EE"/>
    <w:pPr>
      <w:spacing w:beforeAutospacing="1" w:after="0" w:afterAutospacing="1" w:line="240" w:lineRule="auto"/>
      <w:ind w:left="432" w:right="288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EE"/>
    <w:rPr>
      <w:rFonts w:ascii="Tahoma" w:eastAsia="Times New Roman" w:hAnsi="Tahoma" w:cs="Tahoma"/>
      <w:color w:val="13141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</dc:creator>
  <cp:lastModifiedBy>Dere</cp:lastModifiedBy>
  <cp:revision>2</cp:revision>
  <dcterms:created xsi:type="dcterms:W3CDTF">2021-08-30T06:46:00Z</dcterms:created>
  <dcterms:modified xsi:type="dcterms:W3CDTF">2021-08-30T06:46:00Z</dcterms:modified>
</cp:coreProperties>
</file>