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EF955" w14:textId="77777777" w:rsidR="00CA5716" w:rsidRPr="002E65F6" w:rsidRDefault="00CA5716" w:rsidP="00CA571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Supplementary Materials</w:t>
      </w:r>
    </w:p>
    <w:p w14:paraId="15EFDCF7" w14:textId="77777777" w:rsidR="00CA5716" w:rsidRPr="002E65F6" w:rsidRDefault="00CA5716" w:rsidP="00CA571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Tables</w:t>
      </w:r>
    </w:p>
    <w:p w14:paraId="2DFCB437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 S1: Trends in global oil prices and their impact on Ghana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81"/>
        <w:gridCol w:w="2071"/>
        <w:gridCol w:w="2118"/>
        <w:gridCol w:w="2261"/>
        <w:gridCol w:w="2219"/>
      </w:tblGrid>
      <w:tr w:rsidR="002E65F6" w:rsidRPr="002E65F6" w14:paraId="18096B7C" w14:textId="77777777" w:rsidTr="00ED5773">
        <w:trPr>
          <w:jc w:val="center"/>
        </w:trPr>
        <w:tc>
          <w:tcPr>
            <w:tcW w:w="0" w:type="auto"/>
            <w:vAlign w:val="center"/>
          </w:tcPr>
          <w:p w14:paraId="529A7C91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Year</w:t>
            </w:r>
          </w:p>
        </w:tc>
        <w:tc>
          <w:tcPr>
            <w:tcW w:w="0" w:type="auto"/>
            <w:vAlign w:val="center"/>
          </w:tcPr>
          <w:p w14:paraId="0BA9B7A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Global Oil Price (USD/Barrel)</w:t>
            </w:r>
          </w:p>
        </w:tc>
        <w:tc>
          <w:tcPr>
            <w:tcW w:w="0" w:type="auto"/>
            <w:vAlign w:val="center"/>
          </w:tcPr>
          <w:p w14:paraId="08F7F1A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Local Gasoline Price (GHS/Liter)</w:t>
            </w:r>
          </w:p>
        </w:tc>
        <w:tc>
          <w:tcPr>
            <w:tcW w:w="0" w:type="auto"/>
            <w:vAlign w:val="center"/>
          </w:tcPr>
          <w:p w14:paraId="2AFED8B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Percentage Change in Global Price (%)</w:t>
            </w:r>
          </w:p>
        </w:tc>
        <w:tc>
          <w:tcPr>
            <w:tcW w:w="0" w:type="auto"/>
            <w:vAlign w:val="center"/>
          </w:tcPr>
          <w:p w14:paraId="0DCD4CD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Percentage Change in Local Price (%)</w:t>
            </w:r>
          </w:p>
        </w:tc>
      </w:tr>
      <w:tr w:rsidR="002E65F6" w:rsidRPr="002E65F6" w14:paraId="23EDDBE1" w14:textId="77777777" w:rsidTr="00ED5773">
        <w:trPr>
          <w:jc w:val="center"/>
        </w:trPr>
        <w:tc>
          <w:tcPr>
            <w:tcW w:w="0" w:type="auto"/>
            <w:vAlign w:val="center"/>
          </w:tcPr>
          <w:p w14:paraId="3C6D414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0" w:type="auto"/>
            <w:vAlign w:val="center"/>
          </w:tcPr>
          <w:p w14:paraId="466EE4D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60.0</w:t>
            </w:r>
          </w:p>
        </w:tc>
        <w:tc>
          <w:tcPr>
            <w:tcW w:w="0" w:type="auto"/>
            <w:vAlign w:val="center"/>
          </w:tcPr>
          <w:p w14:paraId="274ECD7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4.5</w:t>
            </w:r>
          </w:p>
        </w:tc>
        <w:tc>
          <w:tcPr>
            <w:tcW w:w="0" w:type="auto"/>
            <w:vAlign w:val="center"/>
          </w:tcPr>
          <w:p w14:paraId="152D76F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</w:tcPr>
          <w:p w14:paraId="0C39E40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</w:t>
            </w:r>
          </w:p>
        </w:tc>
      </w:tr>
      <w:tr w:rsidR="002E65F6" w:rsidRPr="002E65F6" w14:paraId="2B9F60DC" w14:textId="77777777" w:rsidTr="00ED5773">
        <w:trPr>
          <w:jc w:val="center"/>
        </w:trPr>
        <w:tc>
          <w:tcPr>
            <w:tcW w:w="0" w:type="auto"/>
            <w:vAlign w:val="center"/>
          </w:tcPr>
          <w:p w14:paraId="7718F97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0" w:type="auto"/>
            <w:vAlign w:val="center"/>
          </w:tcPr>
          <w:p w14:paraId="142722F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41.0</w:t>
            </w:r>
          </w:p>
        </w:tc>
        <w:tc>
          <w:tcPr>
            <w:tcW w:w="0" w:type="auto"/>
            <w:vAlign w:val="center"/>
          </w:tcPr>
          <w:p w14:paraId="3C747A2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4.2</w:t>
            </w:r>
          </w:p>
        </w:tc>
        <w:tc>
          <w:tcPr>
            <w:tcW w:w="0" w:type="auto"/>
            <w:vAlign w:val="center"/>
          </w:tcPr>
          <w:p w14:paraId="5B7EF4A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-31.7</w:t>
            </w:r>
          </w:p>
        </w:tc>
        <w:tc>
          <w:tcPr>
            <w:tcW w:w="0" w:type="auto"/>
            <w:vAlign w:val="center"/>
          </w:tcPr>
          <w:p w14:paraId="307C4CE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-6.7</w:t>
            </w:r>
          </w:p>
        </w:tc>
      </w:tr>
      <w:tr w:rsidR="002E65F6" w:rsidRPr="002E65F6" w14:paraId="449BF534" w14:textId="77777777" w:rsidTr="00ED5773">
        <w:trPr>
          <w:jc w:val="center"/>
        </w:trPr>
        <w:tc>
          <w:tcPr>
            <w:tcW w:w="0" w:type="auto"/>
            <w:vAlign w:val="center"/>
          </w:tcPr>
          <w:p w14:paraId="1C53A61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2021</w:t>
            </w:r>
          </w:p>
        </w:tc>
        <w:tc>
          <w:tcPr>
            <w:tcW w:w="0" w:type="auto"/>
            <w:vAlign w:val="center"/>
          </w:tcPr>
          <w:p w14:paraId="5016EBB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70.0</w:t>
            </w:r>
          </w:p>
        </w:tc>
        <w:tc>
          <w:tcPr>
            <w:tcW w:w="0" w:type="auto"/>
            <w:vAlign w:val="center"/>
          </w:tcPr>
          <w:p w14:paraId="1A5C8F0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6.0</w:t>
            </w:r>
          </w:p>
        </w:tc>
        <w:tc>
          <w:tcPr>
            <w:tcW w:w="0" w:type="auto"/>
            <w:vAlign w:val="center"/>
          </w:tcPr>
          <w:p w14:paraId="6BE82CC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+70.7</w:t>
            </w:r>
          </w:p>
        </w:tc>
        <w:tc>
          <w:tcPr>
            <w:tcW w:w="0" w:type="auto"/>
            <w:vAlign w:val="center"/>
          </w:tcPr>
          <w:p w14:paraId="450AA65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+42.9</w:t>
            </w:r>
          </w:p>
        </w:tc>
      </w:tr>
      <w:tr w:rsidR="002E65F6" w:rsidRPr="002E65F6" w14:paraId="4251E011" w14:textId="77777777" w:rsidTr="00ED5773">
        <w:trPr>
          <w:jc w:val="center"/>
        </w:trPr>
        <w:tc>
          <w:tcPr>
            <w:tcW w:w="0" w:type="auto"/>
            <w:vAlign w:val="center"/>
          </w:tcPr>
          <w:p w14:paraId="2E1A9C11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2022</w:t>
            </w:r>
          </w:p>
        </w:tc>
        <w:tc>
          <w:tcPr>
            <w:tcW w:w="0" w:type="auto"/>
            <w:vAlign w:val="center"/>
          </w:tcPr>
          <w:p w14:paraId="4DE1F94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100.0</w:t>
            </w:r>
          </w:p>
        </w:tc>
        <w:tc>
          <w:tcPr>
            <w:tcW w:w="0" w:type="auto"/>
            <w:vAlign w:val="center"/>
          </w:tcPr>
          <w:p w14:paraId="71255FC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10.5</w:t>
            </w:r>
          </w:p>
        </w:tc>
        <w:tc>
          <w:tcPr>
            <w:tcW w:w="0" w:type="auto"/>
            <w:vAlign w:val="center"/>
          </w:tcPr>
          <w:p w14:paraId="41D9261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+42.9</w:t>
            </w:r>
          </w:p>
        </w:tc>
        <w:tc>
          <w:tcPr>
            <w:tcW w:w="0" w:type="auto"/>
            <w:vAlign w:val="center"/>
          </w:tcPr>
          <w:p w14:paraId="429752D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+75.0</w:t>
            </w:r>
          </w:p>
        </w:tc>
      </w:tr>
      <w:tr w:rsidR="002E65F6" w:rsidRPr="002E65F6" w14:paraId="36BB2B1E" w14:textId="77777777" w:rsidTr="00ED5773">
        <w:trPr>
          <w:jc w:val="center"/>
        </w:trPr>
        <w:tc>
          <w:tcPr>
            <w:tcW w:w="0" w:type="auto"/>
            <w:vAlign w:val="center"/>
          </w:tcPr>
          <w:p w14:paraId="5A0DBD7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</w:tcPr>
          <w:p w14:paraId="5C2AA7D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85.0</w:t>
            </w:r>
          </w:p>
        </w:tc>
        <w:tc>
          <w:tcPr>
            <w:tcW w:w="0" w:type="auto"/>
            <w:vAlign w:val="center"/>
          </w:tcPr>
          <w:p w14:paraId="6B76D27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12.0</w:t>
            </w:r>
          </w:p>
        </w:tc>
        <w:tc>
          <w:tcPr>
            <w:tcW w:w="0" w:type="auto"/>
            <w:vAlign w:val="center"/>
          </w:tcPr>
          <w:p w14:paraId="4875829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-15.0</w:t>
            </w:r>
          </w:p>
        </w:tc>
        <w:tc>
          <w:tcPr>
            <w:tcW w:w="0" w:type="auto"/>
            <w:vAlign w:val="center"/>
          </w:tcPr>
          <w:p w14:paraId="5F1EAC0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+14.3</w:t>
            </w:r>
          </w:p>
        </w:tc>
      </w:tr>
    </w:tbl>
    <w:p w14:paraId="4571E0CF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Source: </w:t>
      </w:r>
      <w:bookmarkStart w:id="0" w:name="_Hlk209954155"/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Chamber of Bulk Oil Distributors CBOD) Ghana Petroleum Industry Report, 2023</w:t>
      </w:r>
      <w:r w:rsidRPr="002E65F6">
        <w:rPr>
          <w:rFonts w:ascii="Times New Roman" w:eastAsia="Aptos" w:hAnsi="Times New Roman" w:cs="Times New Roman"/>
        </w:rPr>
        <w:t xml:space="preserve"> </w:t>
      </w:r>
    </w:p>
    <w:bookmarkEnd w:id="0"/>
    <w:p w14:paraId="3CCA46E8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70F06BA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 S2: Local factors influencing petroleum prices: taxes, subsidies, distribution costs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81"/>
        <w:gridCol w:w="3061"/>
        <w:gridCol w:w="1394"/>
        <w:gridCol w:w="1394"/>
        <w:gridCol w:w="1920"/>
      </w:tblGrid>
      <w:tr w:rsidR="002E65F6" w:rsidRPr="002E65F6" w14:paraId="28695C27" w14:textId="77777777" w:rsidTr="00ED5773">
        <w:trPr>
          <w:jc w:val="center"/>
        </w:trPr>
        <w:tc>
          <w:tcPr>
            <w:tcW w:w="0" w:type="auto"/>
            <w:vAlign w:val="center"/>
          </w:tcPr>
          <w:p w14:paraId="5681DC3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Local Factor</w:t>
            </w:r>
          </w:p>
        </w:tc>
        <w:tc>
          <w:tcPr>
            <w:tcW w:w="0" w:type="auto"/>
            <w:vAlign w:val="center"/>
          </w:tcPr>
          <w:p w14:paraId="4EEB2C1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Indicator</w:t>
            </w:r>
          </w:p>
        </w:tc>
        <w:tc>
          <w:tcPr>
            <w:tcW w:w="0" w:type="auto"/>
            <w:vAlign w:val="center"/>
          </w:tcPr>
          <w:p w14:paraId="2F07219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Data Point (2019)</w:t>
            </w:r>
          </w:p>
        </w:tc>
        <w:tc>
          <w:tcPr>
            <w:tcW w:w="0" w:type="auto"/>
            <w:vAlign w:val="center"/>
          </w:tcPr>
          <w:p w14:paraId="3FA11A7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Data Point (2023)</w:t>
            </w:r>
          </w:p>
        </w:tc>
        <w:tc>
          <w:tcPr>
            <w:tcW w:w="0" w:type="auto"/>
            <w:vAlign w:val="center"/>
          </w:tcPr>
          <w:p w14:paraId="22802071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Percentage Change (%)</w:t>
            </w:r>
          </w:p>
        </w:tc>
      </w:tr>
      <w:tr w:rsidR="002E65F6" w:rsidRPr="002E65F6" w14:paraId="3955FC33" w14:textId="77777777" w:rsidTr="00ED5773">
        <w:trPr>
          <w:jc w:val="center"/>
        </w:trPr>
        <w:tc>
          <w:tcPr>
            <w:tcW w:w="0" w:type="auto"/>
            <w:vAlign w:val="center"/>
          </w:tcPr>
          <w:p w14:paraId="6D011A7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Taxes</w:t>
            </w:r>
          </w:p>
        </w:tc>
        <w:tc>
          <w:tcPr>
            <w:tcW w:w="0" w:type="auto"/>
            <w:vAlign w:val="center"/>
          </w:tcPr>
          <w:p w14:paraId="5E61EA7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Fuel Tax as % of Total Price</w:t>
            </w:r>
          </w:p>
        </w:tc>
        <w:tc>
          <w:tcPr>
            <w:tcW w:w="0" w:type="auto"/>
            <w:vAlign w:val="center"/>
          </w:tcPr>
          <w:p w14:paraId="6D6D25A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38.0</w:t>
            </w:r>
          </w:p>
        </w:tc>
        <w:tc>
          <w:tcPr>
            <w:tcW w:w="0" w:type="auto"/>
            <w:vAlign w:val="center"/>
          </w:tcPr>
          <w:p w14:paraId="0F4A87F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45.0</w:t>
            </w:r>
          </w:p>
        </w:tc>
        <w:tc>
          <w:tcPr>
            <w:tcW w:w="0" w:type="auto"/>
            <w:vAlign w:val="center"/>
          </w:tcPr>
          <w:p w14:paraId="394F7C0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+18.4</w:t>
            </w:r>
          </w:p>
        </w:tc>
      </w:tr>
      <w:tr w:rsidR="002E65F6" w:rsidRPr="002E65F6" w14:paraId="08F611F2" w14:textId="77777777" w:rsidTr="00ED5773">
        <w:trPr>
          <w:jc w:val="center"/>
        </w:trPr>
        <w:tc>
          <w:tcPr>
            <w:tcW w:w="0" w:type="auto"/>
            <w:vAlign w:val="center"/>
          </w:tcPr>
          <w:p w14:paraId="32B8FA5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Subsidies</w:t>
            </w:r>
          </w:p>
        </w:tc>
        <w:tc>
          <w:tcPr>
            <w:tcW w:w="0" w:type="auto"/>
            <w:vAlign w:val="center"/>
          </w:tcPr>
          <w:p w14:paraId="7D68657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Subsidies </w:t>
            </w:r>
            <w:proofErr w:type="gramStart"/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on</w:t>
            </w:r>
            <w:proofErr w:type="gramEnd"/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Petroleum Products (Million GHS)</w:t>
            </w:r>
          </w:p>
        </w:tc>
        <w:tc>
          <w:tcPr>
            <w:tcW w:w="0" w:type="auto"/>
            <w:vAlign w:val="center"/>
          </w:tcPr>
          <w:p w14:paraId="290A921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150</w:t>
            </w:r>
          </w:p>
        </w:tc>
        <w:tc>
          <w:tcPr>
            <w:tcW w:w="0" w:type="auto"/>
            <w:vAlign w:val="center"/>
          </w:tcPr>
          <w:p w14:paraId="1592D41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0" w:type="auto"/>
            <w:vAlign w:val="center"/>
          </w:tcPr>
          <w:p w14:paraId="3CE06E5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-100.0</w:t>
            </w:r>
          </w:p>
        </w:tc>
      </w:tr>
      <w:tr w:rsidR="002E65F6" w:rsidRPr="002E65F6" w14:paraId="1FD9D8D7" w14:textId="77777777" w:rsidTr="00ED5773">
        <w:trPr>
          <w:jc w:val="center"/>
        </w:trPr>
        <w:tc>
          <w:tcPr>
            <w:tcW w:w="0" w:type="auto"/>
            <w:vAlign w:val="center"/>
          </w:tcPr>
          <w:p w14:paraId="631B1A9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Distribution Costs</w:t>
            </w:r>
          </w:p>
        </w:tc>
        <w:tc>
          <w:tcPr>
            <w:tcW w:w="0" w:type="auto"/>
            <w:vAlign w:val="center"/>
          </w:tcPr>
          <w:p w14:paraId="21D752F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Distribution and Marketing Costs (GHS/Liter)</w:t>
            </w:r>
          </w:p>
        </w:tc>
        <w:tc>
          <w:tcPr>
            <w:tcW w:w="0" w:type="auto"/>
            <w:vAlign w:val="center"/>
          </w:tcPr>
          <w:p w14:paraId="5C95C3B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1.0</w:t>
            </w:r>
          </w:p>
        </w:tc>
        <w:tc>
          <w:tcPr>
            <w:tcW w:w="0" w:type="auto"/>
            <w:vAlign w:val="center"/>
          </w:tcPr>
          <w:p w14:paraId="788206F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2.5</w:t>
            </w:r>
          </w:p>
        </w:tc>
        <w:tc>
          <w:tcPr>
            <w:tcW w:w="0" w:type="auto"/>
            <w:vAlign w:val="center"/>
          </w:tcPr>
          <w:p w14:paraId="2F530B0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+150.0</w:t>
            </w:r>
          </w:p>
        </w:tc>
      </w:tr>
    </w:tbl>
    <w:p w14:paraId="036081C8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Source: National Petroleum Authority, 2023a, 2023b; Ghana Revenue Authority, 2023</w:t>
      </w:r>
    </w:p>
    <w:p w14:paraId="285F88AF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40B6FCC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 S3: Government policies on fuel pricing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16"/>
        <w:gridCol w:w="3630"/>
        <w:gridCol w:w="1783"/>
        <w:gridCol w:w="1721"/>
      </w:tblGrid>
      <w:tr w:rsidR="002E65F6" w:rsidRPr="002E65F6" w14:paraId="225345BC" w14:textId="77777777" w:rsidTr="00ED5773">
        <w:trPr>
          <w:jc w:val="center"/>
        </w:trPr>
        <w:tc>
          <w:tcPr>
            <w:tcW w:w="0" w:type="auto"/>
            <w:vAlign w:val="center"/>
          </w:tcPr>
          <w:p w14:paraId="75CCD73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Policy Measure</w:t>
            </w:r>
          </w:p>
        </w:tc>
        <w:tc>
          <w:tcPr>
            <w:tcW w:w="0" w:type="auto"/>
            <w:vAlign w:val="center"/>
          </w:tcPr>
          <w:p w14:paraId="4E69981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Description</w:t>
            </w:r>
          </w:p>
        </w:tc>
        <w:tc>
          <w:tcPr>
            <w:tcW w:w="0" w:type="auto"/>
            <w:vAlign w:val="center"/>
          </w:tcPr>
          <w:p w14:paraId="43FDC53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Before Policy (Point)</w:t>
            </w:r>
          </w:p>
        </w:tc>
        <w:tc>
          <w:tcPr>
            <w:tcW w:w="0" w:type="auto"/>
            <w:vAlign w:val="center"/>
          </w:tcPr>
          <w:p w14:paraId="798299C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After Policy (Point)</w:t>
            </w:r>
          </w:p>
        </w:tc>
      </w:tr>
      <w:tr w:rsidR="002E65F6" w:rsidRPr="002E65F6" w14:paraId="1667ED53" w14:textId="77777777" w:rsidTr="00ED5773">
        <w:trPr>
          <w:jc w:val="center"/>
        </w:trPr>
        <w:tc>
          <w:tcPr>
            <w:tcW w:w="0" w:type="auto"/>
            <w:vAlign w:val="center"/>
          </w:tcPr>
          <w:p w14:paraId="6FA7054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Automatic Adjustment Formula</w:t>
            </w:r>
          </w:p>
        </w:tc>
        <w:tc>
          <w:tcPr>
            <w:tcW w:w="0" w:type="auto"/>
            <w:vAlign w:val="center"/>
          </w:tcPr>
          <w:p w14:paraId="75834A2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Quarterly Adjustments Based on Market Forces</w:t>
            </w:r>
          </w:p>
        </w:tc>
        <w:tc>
          <w:tcPr>
            <w:tcW w:w="0" w:type="auto"/>
            <w:vAlign w:val="center"/>
          </w:tcPr>
          <w:p w14:paraId="48C11C6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Not Implemented</w:t>
            </w:r>
          </w:p>
        </w:tc>
        <w:tc>
          <w:tcPr>
            <w:tcW w:w="0" w:type="auto"/>
            <w:vAlign w:val="center"/>
          </w:tcPr>
          <w:p w14:paraId="336A771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Implemented (2020)</w:t>
            </w:r>
          </w:p>
        </w:tc>
      </w:tr>
      <w:tr w:rsidR="002E65F6" w:rsidRPr="002E65F6" w14:paraId="30EF0FEC" w14:textId="77777777" w:rsidTr="00ED5773">
        <w:trPr>
          <w:jc w:val="center"/>
        </w:trPr>
        <w:tc>
          <w:tcPr>
            <w:tcW w:w="0" w:type="auto"/>
            <w:vAlign w:val="center"/>
          </w:tcPr>
          <w:p w14:paraId="2C084A91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Special Petroleum Tax</w:t>
            </w:r>
          </w:p>
        </w:tc>
        <w:tc>
          <w:tcPr>
            <w:tcW w:w="0" w:type="auto"/>
            <w:vAlign w:val="center"/>
          </w:tcPr>
          <w:p w14:paraId="5521661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Fixed Tax Introduced</w:t>
            </w:r>
          </w:p>
        </w:tc>
        <w:tc>
          <w:tcPr>
            <w:tcW w:w="0" w:type="auto"/>
            <w:vAlign w:val="center"/>
          </w:tcPr>
          <w:p w14:paraId="7D56F3F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0" w:type="auto"/>
            <w:vAlign w:val="center"/>
          </w:tcPr>
          <w:p w14:paraId="0BD9787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0.46 GHS/Liter</w:t>
            </w:r>
          </w:p>
        </w:tc>
      </w:tr>
      <w:tr w:rsidR="002E65F6" w:rsidRPr="002E65F6" w14:paraId="1D4D9D88" w14:textId="77777777" w:rsidTr="00ED5773">
        <w:trPr>
          <w:jc w:val="center"/>
        </w:trPr>
        <w:tc>
          <w:tcPr>
            <w:tcW w:w="0" w:type="auto"/>
            <w:vAlign w:val="center"/>
          </w:tcPr>
          <w:p w14:paraId="5E42AE6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Deregulation Policy</w:t>
            </w:r>
          </w:p>
        </w:tc>
        <w:tc>
          <w:tcPr>
            <w:tcW w:w="0" w:type="auto"/>
            <w:vAlign w:val="center"/>
          </w:tcPr>
          <w:p w14:paraId="3F29347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Liberalization of Price Determination</w:t>
            </w:r>
          </w:p>
        </w:tc>
        <w:tc>
          <w:tcPr>
            <w:tcW w:w="0" w:type="auto"/>
            <w:vAlign w:val="center"/>
          </w:tcPr>
          <w:p w14:paraId="2ACF19B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Regulated</w:t>
            </w:r>
          </w:p>
        </w:tc>
        <w:tc>
          <w:tcPr>
            <w:tcW w:w="0" w:type="auto"/>
            <w:vAlign w:val="center"/>
          </w:tcPr>
          <w:p w14:paraId="661A62C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Deregulated (2015)</w:t>
            </w:r>
          </w:p>
        </w:tc>
      </w:tr>
      <w:tr w:rsidR="002E65F6" w:rsidRPr="002E65F6" w14:paraId="6C4DA2D9" w14:textId="77777777" w:rsidTr="00ED5773">
        <w:trPr>
          <w:jc w:val="center"/>
        </w:trPr>
        <w:tc>
          <w:tcPr>
            <w:tcW w:w="0" w:type="auto"/>
            <w:vAlign w:val="center"/>
          </w:tcPr>
          <w:p w14:paraId="45A1275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Strategic Stock Policy</w:t>
            </w:r>
          </w:p>
        </w:tc>
        <w:tc>
          <w:tcPr>
            <w:tcW w:w="0" w:type="auto"/>
            <w:vAlign w:val="center"/>
          </w:tcPr>
          <w:p w14:paraId="526E687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Maintenance of Strategic Stocks to Control Price Fluctuations</w:t>
            </w:r>
          </w:p>
        </w:tc>
        <w:tc>
          <w:tcPr>
            <w:tcW w:w="0" w:type="auto"/>
            <w:vAlign w:val="center"/>
          </w:tcPr>
          <w:p w14:paraId="70AAFB8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Not Effective</w:t>
            </w:r>
          </w:p>
        </w:tc>
        <w:tc>
          <w:tcPr>
            <w:tcW w:w="0" w:type="auto"/>
            <w:vAlign w:val="center"/>
          </w:tcPr>
          <w:p w14:paraId="6A80DA8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Partially Effective</w:t>
            </w:r>
          </w:p>
        </w:tc>
      </w:tr>
    </w:tbl>
    <w:p w14:paraId="796D452E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Source: Energy Commission of Ghana, 2023; National Petroleum Authority, 2023a, 2023b</w:t>
      </w:r>
    </w:p>
    <w:p w14:paraId="7003FAB5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63B5DB7A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 S4: Effects on household welfare and poverty levels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396"/>
        <w:gridCol w:w="2003"/>
        <w:gridCol w:w="1924"/>
        <w:gridCol w:w="2027"/>
      </w:tblGrid>
      <w:tr w:rsidR="002E65F6" w:rsidRPr="002E65F6" w14:paraId="22CD5043" w14:textId="77777777" w:rsidTr="00ED5773">
        <w:trPr>
          <w:jc w:val="center"/>
        </w:trPr>
        <w:tc>
          <w:tcPr>
            <w:tcW w:w="0" w:type="auto"/>
            <w:vAlign w:val="center"/>
          </w:tcPr>
          <w:p w14:paraId="52B1BC8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lastRenderedPageBreak/>
              <w:t>Indicator</w:t>
            </w:r>
          </w:p>
        </w:tc>
        <w:tc>
          <w:tcPr>
            <w:tcW w:w="0" w:type="auto"/>
            <w:vAlign w:val="center"/>
          </w:tcPr>
          <w:p w14:paraId="079B2FE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Before Price Hike (Point)</w:t>
            </w:r>
          </w:p>
        </w:tc>
        <w:tc>
          <w:tcPr>
            <w:tcW w:w="0" w:type="auto"/>
            <w:vAlign w:val="center"/>
          </w:tcPr>
          <w:p w14:paraId="6789CA7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After Price Hike (Point)</w:t>
            </w:r>
          </w:p>
        </w:tc>
        <w:tc>
          <w:tcPr>
            <w:tcW w:w="0" w:type="auto"/>
            <w:vAlign w:val="center"/>
          </w:tcPr>
          <w:p w14:paraId="2C28583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Percentage Change (%)</w:t>
            </w:r>
          </w:p>
        </w:tc>
      </w:tr>
      <w:tr w:rsidR="002E65F6" w:rsidRPr="002E65F6" w14:paraId="771695F4" w14:textId="77777777" w:rsidTr="00ED5773">
        <w:trPr>
          <w:jc w:val="center"/>
        </w:trPr>
        <w:tc>
          <w:tcPr>
            <w:tcW w:w="0" w:type="auto"/>
            <w:vAlign w:val="center"/>
          </w:tcPr>
          <w:p w14:paraId="398CCDB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Poverty Rate (%)</w:t>
            </w:r>
          </w:p>
        </w:tc>
        <w:tc>
          <w:tcPr>
            <w:tcW w:w="0" w:type="auto"/>
            <w:vAlign w:val="center"/>
          </w:tcPr>
          <w:p w14:paraId="69BDBCB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23.0</w:t>
            </w:r>
          </w:p>
        </w:tc>
        <w:tc>
          <w:tcPr>
            <w:tcW w:w="0" w:type="auto"/>
            <w:vAlign w:val="center"/>
          </w:tcPr>
          <w:p w14:paraId="2EFE091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29.0</w:t>
            </w:r>
          </w:p>
        </w:tc>
        <w:tc>
          <w:tcPr>
            <w:tcW w:w="0" w:type="auto"/>
            <w:vAlign w:val="center"/>
          </w:tcPr>
          <w:p w14:paraId="62AF387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+26.09</w:t>
            </w:r>
          </w:p>
        </w:tc>
      </w:tr>
      <w:tr w:rsidR="002E65F6" w:rsidRPr="002E65F6" w14:paraId="7F3E6F73" w14:textId="77777777" w:rsidTr="00ED5773">
        <w:trPr>
          <w:jc w:val="center"/>
        </w:trPr>
        <w:tc>
          <w:tcPr>
            <w:tcW w:w="0" w:type="auto"/>
            <w:vAlign w:val="center"/>
          </w:tcPr>
          <w:p w14:paraId="3883B89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Household Disposable Income (GHS)</w:t>
            </w:r>
          </w:p>
        </w:tc>
        <w:tc>
          <w:tcPr>
            <w:tcW w:w="0" w:type="auto"/>
            <w:vAlign w:val="center"/>
          </w:tcPr>
          <w:p w14:paraId="304D319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1,500</w:t>
            </w:r>
          </w:p>
        </w:tc>
        <w:tc>
          <w:tcPr>
            <w:tcW w:w="0" w:type="auto"/>
            <w:vAlign w:val="center"/>
          </w:tcPr>
          <w:p w14:paraId="1C73C18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1,200</w:t>
            </w:r>
          </w:p>
        </w:tc>
        <w:tc>
          <w:tcPr>
            <w:tcW w:w="0" w:type="auto"/>
            <w:vAlign w:val="center"/>
          </w:tcPr>
          <w:p w14:paraId="1FD310F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-20.00</w:t>
            </w:r>
          </w:p>
        </w:tc>
      </w:tr>
      <w:tr w:rsidR="002E65F6" w:rsidRPr="002E65F6" w14:paraId="4D3B83EF" w14:textId="77777777" w:rsidTr="00ED5773">
        <w:trPr>
          <w:jc w:val="center"/>
        </w:trPr>
        <w:tc>
          <w:tcPr>
            <w:tcW w:w="0" w:type="auto"/>
            <w:vAlign w:val="center"/>
          </w:tcPr>
          <w:p w14:paraId="194696E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Average Monthly Household Expenditure (GHS)</w:t>
            </w:r>
          </w:p>
        </w:tc>
        <w:tc>
          <w:tcPr>
            <w:tcW w:w="0" w:type="auto"/>
            <w:vAlign w:val="center"/>
          </w:tcPr>
          <w:p w14:paraId="4418B73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1,200</w:t>
            </w:r>
          </w:p>
        </w:tc>
        <w:tc>
          <w:tcPr>
            <w:tcW w:w="0" w:type="auto"/>
            <w:vAlign w:val="center"/>
          </w:tcPr>
          <w:p w14:paraId="0339D73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1,500</w:t>
            </w:r>
          </w:p>
        </w:tc>
        <w:tc>
          <w:tcPr>
            <w:tcW w:w="0" w:type="auto"/>
            <w:vAlign w:val="center"/>
          </w:tcPr>
          <w:p w14:paraId="5D02BDE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+25.00</w:t>
            </w:r>
          </w:p>
        </w:tc>
      </w:tr>
      <w:tr w:rsidR="002E65F6" w:rsidRPr="002E65F6" w14:paraId="01086D9A" w14:textId="77777777" w:rsidTr="00ED5773">
        <w:trPr>
          <w:jc w:val="center"/>
        </w:trPr>
        <w:tc>
          <w:tcPr>
            <w:tcW w:w="0" w:type="auto"/>
            <w:vAlign w:val="center"/>
          </w:tcPr>
          <w:p w14:paraId="7F4149D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Number of Households Below Poverty Line</w:t>
            </w:r>
          </w:p>
        </w:tc>
        <w:tc>
          <w:tcPr>
            <w:tcW w:w="0" w:type="auto"/>
            <w:vAlign w:val="center"/>
          </w:tcPr>
          <w:p w14:paraId="06BA3A5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500,000</w:t>
            </w:r>
          </w:p>
        </w:tc>
        <w:tc>
          <w:tcPr>
            <w:tcW w:w="0" w:type="auto"/>
            <w:vAlign w:val="center"/>
          </w:tcPr>
          <w:p w14:paraId="315CB38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650,000</w:t>
            </w:r>
          </w:p>
        </w:tc>
        <w:tc>
          <w:tcPr>
            <w:tcW w:w="0" w:type="auto"/>
            <w:vAlign w:val="center"/>
          </w:tcPr>
          <w:p w14:paraId="4C5F59E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+30.00</w:t>
            </w:r>
          </w:p>
        </w:tc>
      </w:tr>
    </w:tbl>
    <w:p w14:paraId="3B616465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Source: Ghana Statistical Service, 2020</w:t>
      </w:r>
    </w:p>
    <w:p w14:paraId="22553A0E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AA0F557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 S5: Implications for businesses, especially SMEs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8"/>
        <w:gridCol w:w="2317"/>
        <w:gridCol w:w="2238"/>
        <w:gridCol w:w="2027"/>
      </w:tblGrid>
      <w:tr w:rsidR="002E65F6" w:rsidRPr="002E65F6" w14:paraId="170B33E1" w14:textId="77777777" w:rsidTr="00ED5773">
        <w:tc>
          <w:tcPr>
            <w:tcW w:w="0" w:type="auto"/>
            <w:vAlign w:val="center"/>
          </w:tcPr>
          <w:p w14:paraId="4BF0E4A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Indicator</w:t>
            </w:r>
          </w:p>
        </w:tc>
        <w:tc>
          <w:tcPr>
            <w:tcW w:w="0" w:type="auto"/>
            <w:vAlign w:val="center"/>
          </w:tcPr>
          <w:p w14:paraId="73815AB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Before Depreciation (Point)</w:t>
            </w:r>
          </w:p>
        </w:tc>
        <w:tc>
          <w:tcPr>
            <w:tcW w:w="0" w:type="auto"/>
            <w:vAlign w:val="center"/>
          </w:tcPr>
          <w:p w14:paraId="4481520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After Depreciation (Point)</w:t>
            </w:r>
          </w:p>
        </w:tc>
        <w:tc>
          <w:tcPr>
            <w:tcW w:w="0" w:type="auto"/>
            <w:vAlign w:val="center"/>
          </w:tcPr>
          <w:p w14:paraId="3035B27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Percentage Change (%)</w:t>
            </w:r>
          </w:p>
        </w:tc>
      </w:tr>
      <w:tr w:rsidR="002E65F6" w:rsidRPr="002E65F6" w14:paraId="3E5AF5C4" w14:textId="77777777" w:rsidTr="00ED5773">
        <w:tc>
          <w:tcPr>
            <w:tcW w:w="0" w:type="auto"/>
            <w:vAlign w:val="center"/>
          </w:tcPr>
          <w:p w14:paraId="23D1F34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SME Profit Margins (%)</w:t>
            </w:r>
          </w:p>
        </w:tc>
        <w:tc>
          <w:tcPr>
            <w:tcW w:w="0" w:type="auto"/>
            <w:vAlign w:val="center"/>
          </w:tcPr>
          <w:p w14:paraId="486E37D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12.0</w:t>
            </w:r>
          </w:p>
        </w:tc>
        <w:tc>
          <w:tcPr>
            <w:tcW w:w="0" w:type="auto"/>
            <w:vAlign w:val="center"/>
          </w:tcPr>
          <w:p w14:paraId="47611F8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7.5</w:t>
            </w:r>
          </w:p>
        </w:tc>
        <w:tc>
          <w:tcPr>
            <w:tcW w:w="0" w:type="auto"/>
            <w:vAlign w:val="center"/>
          </w:tcPr>
          <w:p w14:paraId="7403518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-37.50</w:t>
            </w:r>
          </w:p>
        </w:tc>
      </w:tr>
      <w:tr w:rsidR="002E65F6" w:rsidRPr="002E65F6" w14:paraId="20B5478F" w14:textId="77777777" w:rsidTr="00ED5773">
        <w:tc>
          <w:tcPr>
            <w:tcW w:w="0" w:type="auto"/>
            <w:vAlign w:val="center"/>
          </w:tcPr>
          <w:p w14:paraId="42933EB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Cost of Raw Materials (GHS)</w:t>
            </w:r>
          </w:p>
        </w:tc>
        <w:tc>
          <w:tcPr>
            <w:tcW w:w="0" w:type="auto"/>
            <w:vAlign w:val="center"/>
          </w:tcPr>
          <w:p w14:paraId="25D8C1A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800</w:t>
            </w:r>
          </w:p>
        </w:tc>
        <w:tc>
          <w:tcPr>
            <w:tcW w:w="0" w:type="auto"/>
            <w:vAlign w:val="center"/>
          </w:tcPr>
          <w:p w14:paraId="0789E3B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1,200</w:t>
            </w:r>
          </w:p>
        </w:tc>
        <w:tc>
          <w:tcPr>
            <w:tcW w:w="0" w:type="auto"/>
            <w:vAlign w:val="center"/>
          </w:tcPr>
          <w:p w14:paraId="4FF2626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+50.00</w:t>
            </w:r>
          </w:p>
        </w:tc>
      </w:tr>
      <w:tr w:rsidR="002E65F6" w:rsidRPr="002E65F6" w14:paraId="436CB986" w14:textId="77777777" w:rsidTr="00ED5773">
        <w:tc>
          <w:tcPr>
            <w:tcW w:w="0" w:type="auto"/>
            <w:vAlign w:val="center"/>
          </w:tcPr>
          <w:p w14:paraId="6586F96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Access to Credit (% of SMEs)</w:t>
            </w:r>
          </w:p>
        </w:tc>
        <w:tc>
          <w:tcPr>
            <w:tcW w:w="0" w:type="auto"/>
            <w:vAlign w:val="center"/>
          </w:tcPr>
          <w:p w14:paraId="061A2CE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60.0</w:t>
            </w:r>
          </w:p>
        </w:tc>
        <w:tc>
          <w:tcPr>
            <w:tcW w:w="0" w:type="auto"/>
            <w:vAlign w:val="center"/>
          </w:tcPr>
          <w:p w14:paraId="3539368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45.0</w:t>
            </w:r>
          </w:p>
        </w:tc>
        <w:tc>
          <w:tcPr>
            <w:tcW w:w="0" w:type="auto"/>
            <w:vAlign w:val="center"/>
          </w:tcPr>
          <w:p w14:paraId="6EEE34C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-25.00</w:t>
            </w:r>
          </w:p>
        </w:tc>
      </w:tr>
      <w:tr w:rsidR="002E65F6" w:rsidRPr="002E65F6" w14:paraId="5858AC25" w14:textId="77777777" w:rsidTr="00ED5773">
        <w:tc>
          <w:tcPr>
            <w:tcW w:w="0" w:type="auto"/>
            <w:vAlign w:val="center"/>
          </w:tcPr>
          <w:p w14:paraId="3D1618B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SME Business Closures (No. of SMEs)</w:t>
            </w:r>
          </w:p>
        </w:tc>
        <w:tc>
          <w:tcPr>
            <w:tcW w:w="0" w:type="auto"/>
            <w:vAlign w:val="center"/>
          </w:tcPr>
          <w:p w14:paraId="13BF899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200</w:t>
            </w:r>
          </w:p>
        </w:tc>
        <w:tc>
          <w:tcPr>
            <w:tcW w:w="0" w:type="auto"/>
            <w:vAlign w:val="center"/>
          </w:tcPr>
          <w:p w14:paraId="360F110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320</w:t>
            </w:r>
          </w:p>
        </w:tc>
        <w:tc>
          <w:tcPr>
            <w:tcW w:w="0" w:type="auto"/>
            <w:vAlign w:val="center"/>
          </w:tcPr>
          <w:p w14:paraId="7B0DB7F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+60.00</w:t>
            </w:r>
          </w:p>
        </w:tc>
      </w:tr>
    </w:tbl>
    <w:p w14:paraId="5CD0E0AE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Source: Ghanaian Chamber of Commerce, 2023</w:t>
      </w:r>
    </w:p>
    <w:p w14:paraId="544859DD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6AC4747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 S6: Broader macroeconomic effects: GDP growth, unemployment, trade balance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1"/>
        <w:gridCol w:w="2406"/>
        <w:gridCol w:w="2319"/>
        <w:gridCol w:w="2104"/>
      </w:tblGrid>
      <w:tr w:rsidR="002E65F6" w:rsidRPr="002E65F6" w14:paraId="401A78ED" w14:textId="77777777" w:rsidTr="00ED5773">
        <w:tc>
          <w:tcPr>
            <w:tcW w:w="0" w:type="auto"/>
            <w:vAlign w:val="center"/>
          </w:tcPr>
          <w:p w14:paraId="4A37606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Indicator</w:t>
            </w:r>
          </w:p>
        </w:tc>
        <w:tc>
          <w:tcPr>
            <w:tcW w:w="0" w:type="auto"/>
            <w:vAlign w:val="center"/>
          </w:tcPr>
          <w:p w14:paraId="4979778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Before Depreciation (Point)</w:t>
            </w:r>
          </w:p>
        </w:tc>
        <w:tc>
          <w:tcPr>
            <w:tcW w:w="0" w:type="auto"/>
            <w:vAlign w:val="center"/>
          </w:tcPr>
          <w:p w14:paraId="53EB4D6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After Depreciation (Point)</w:t>
            </w:r>
          </w:p>
        </w:tc>
        <w:tc>
          <w:tcPr>
            <w:tcW w:w="0" w:type="auto"/>
            <w:vAlign w:val="center"/>
          </w:tcPr>
          <w:p w14:paraId="0505870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Percentage Change (%)</w:t>
            </w:r>
          </w:p>
        </w:tc>
      </w:tr>
      <w:tr w:rsidR="002E65F6" w:rsidRPr="002E65F6" w14:paraId="4FDF2E7B" w14:textId="77777777" w:rsidTr="00ED5773">
        <w:tc>
          <w:tcPr>
            <w:tcW w:w="0" w:type="auto"/>
            <w:vAlign w:val="center"/>
          </w:tcPr>
          <w:p w14:paraId="529E045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GDP Growth Rate (%)</w:t>
            </w:r>
          </w:p>
        </w:tc>
        <w:tc>
          <w:tcPr>
            <w:tcW w:w="0" w:type="auto"/>
            <w:vAlign w:val="center"/>
          </w:tcPr>
          <w:p w14:paraId="1318B10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5.5</w:t>
            </w:r>
          </w:p>
        </w:tc>
        <w:tc>
          <w:tcPr>
            <w:tcW w:w="0" w:type="auto"/>
            <w:vAlign w:val="center"/>
          </w:tcPr>
          <w:p w14:paraId="354C415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3.0</w:t>
            </w:r>
          </w:p>
        </w:tc>
        <w:tc>
          <w:tcPr>
            <w:tcW w:w="0" w:type="auto"/>
            <w:vAlign w:val="center"/>
          </w:tcPr>
          <w:p w14:paraId="4972B03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-45.45</w:t>
            </w:r>
          </w:p>
        </w:tc>
      </w:tr>
      <w:tr w:rsidR="002E65F6" w:rsidRPr="002E65F6" w14:paraId="296F4625" w14:textId="77777777" w:rsidTr="00ED5773">
        <w:tc>
          <w:tcPr>
            <w:tcW w:w="0" w:type="auto"/>
            <w:vAlign w:val="center"/>
          </w:tcPr>
          <w:p w14:paraId="4007123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Unemployment Rate (%)</w:t>
            </w:r>
          </w:p>
        </w:tc>
        <w:tc>
          <w:tcPr>
            <w:tcW w:w="0" w:type="auto"/>
            <w:vAlign w:val="center"/>
          </w:tcPr>
          <w:p w14:paraId="6A532A5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8.0</w:t>
            </w:r>
          </w:p>
        </w:tc>
        <w:tc>
          <w:tcPr>
            <w:tcW w:w="0" w:type="auto"/>
            <w:vAlign w:val="center"/>
          </w:tcPr>
          <w:p w14:paraId="138C1B5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10.5</w:t>
            </w:r>
          </w:p>
        </w:tc>
        <w:tc>
          <w:tcPr>
            <w:tcW w:w="0" w:type="auto"/>
            <w:vAlign w:val="center"/>
          </w:tcPr>
          <w:p w14:paraId="0101498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+31.25</w:t>
            </w:r>
          </w:p>
        </w:tc>
      </w:tr>
      <w:tr w:rsidR="002E65F6" w:rsidRPr="002E65F6" w14:paraId="53FB5443" w14:textId="77777777" w:rsidTr="00ED5773">
        <w:tc>
          <w:tcPr>
            <w:tcW w:w="0" w:type="auto"/>
            <w:vAlign w:val="center"/>
          </w:tcPr>
          <w:p w14:paraId="2CE2BB7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Trade Balance (Million USD)</w:t>
            </w:r>
          </w:p>
        </w:tc>
        <w:tc>
          <w:tcPr>
            <w:tcW w:w="0" w:type="auto"/>
            <w:vAlign w:val="center"/>
          </w:tcPr>
          <w:p w14:paraId="113E377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-500</w:t>
            </w:r>
          </w:p>
        </w:tc>
        <w:tc>
          <w:tcPr>
            <w:tcW w:w="0" w:type="auto"/>
            <w:vAlign w:val="center"/>
          </w:tcPr>
          <w:p w14:paraId="1AE24B5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-1,200</w:t>
            </w:r>
          </w:p>
        </w:tc>
        <w:tc>
          <w:tcPr>
            <w:tcW w:w="0" w:type="auto"/>
            <w:vAlign w:val="center"/>
          </w:tcPr>
          <w:p w14:paraId="767079B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+140.00</w:t>
            </w:r>
          </w:p>
        </w:tc>
      </w:tr>
      <w:tr w:rsidR="002E65F6" w:rsidRPr="002E65F6" w14:paraId="4F942074" w14:textId="77777777" w:rsidTr="00ED5773">
        <w:tc>
          <w:tcPr>
            <w:tcW w:w="0" w:type="auto"/>
            <w:vAlign w:val="center"/>
          </w:tcPr>
          <w:p w14:paraId="6BDC75A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Exchange Rate (USD to GHS)</w:t>
            </w:r>
          </w:p>
        </w:tc>
        <w:tc>
          <w:tcPr>
            <w:tcW w:w="0" w:type="auto"/>
            <w:vAlign w:val="center"/>
          </w:tcPr>
          <w:p w14:paraId="039AE71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6.0</w:t>
            </w:r>
          </w:p>
        </w:tc>
        <w:tc>
          <w:tcPr>
            <w:tcW w:w="0" w:type="auto"/>
            <w:vAlign w:val="center"/>
          </w:tcPr>
          <w:p w14:paraId="68A0C37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12.0</w:t>
            </w:r>
          </w:p>
        </w:tc>
        <w:tc>
          <w:tcPr>
            <w:tcW w:w="0" w:type="auto"/>
            <w:vAlign w:val="center"/>
          </w:tcPr>
          <w:p w14:paraId="7A7758B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+100.00</w:t>
            </w:r>
          </w:p>
        </w:tc>
      </w:tr>
    </w:tbl>
    <w:p w14:paraId="00ADDB3C" w14:textId="500B48C3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Source: Bank of Ghana, 2023</w:t>
      </w:r>
      <w:r w:rsidR="0076690D"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a, 2023b</w:t>
      </w:r>
    </w:p>
    <w:p w14:paraId="28C03F27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243710A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 S7: Case studies of countries that have managed currency depreciation and petroleum price stability</w:t>
      </w:r>
    </w:p>
    <w:tbl>
      <w:tblPr>
        <w:tblStyle w:val="TableGrid1"/>
        <w:tblW w:w="9348" w:type="dxa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8"/>
        <w:gridCol w:w="1558"/>
      </w:tblGrid>
      <w:tr w:rsidR="002E65F6" w:rsidRPr="002E65F6" w14:paraId="1B3CE263" w14:textId="77777777" w:rsidTr="00ED5773">
        <w:tc>
          <w:tcPr>
            <w:tcW w:w="1558" w:type="dxa"/>
            <w:vAlign w:val="center"/>
          </w:tcPr>
          <w:p w14:paraId="205488F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  <w:lastRenderedPageBreak/>
              <w:t>Country</w:t>
            </w:r>
          </w:p>
        </w:tc>
        <w:tc>
          <w:tcPr>
            <w:tcW w:w="1558" w:type="dxa"/>
            <w:vAlign w:val="center"/>
          </w:tcPr>
          <w:p w14:paraId="6617B61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  <w:t>Policy Measure</w:t>
            </w:r>
          </w:p>
        </w:tc>
        <w:tc>
          <w:tcPr>
            <w:tcW w:w="1558" w:type="dxa"/>
            <w:vAlign w:val="center"/>
          </w:tcPr>
          <w:p w14:paraId="36B2417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  <w:t>Before Policy (Point)</w:t>
            </w:r>
          </w:p>
        </w:tc>
        <w:tc>
          <w:tcPr>
            <w:tcW w:w="1558" w:type="dxa"/>
            <w:vAlign w:val="center"/>
          </w:tcPr>
          <w:p w14:paraId="6F863E4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  <w:t>After Policy (Point)</w:t>
            </w:r>
          </w:p>
        </w:tc>
        <w:tc>
          <w:tcPr>
            <w:tcW w:w="1558" w:type="dxa"/>
            <w:vAlign w:val="center"/>
          </w:tcPr>
          <w:p w14:paraId="0C10380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  <w:t>Percentage Change (%)</w:t>
            </w:r>
          </w:p>
        </w:tc>
        <w:tc>
          <w:tcPr>
            <w:tcW w:w="1558" w:type="dxa"/>
            <w:vAlign w:val="center"/>
          </w:tcPr>
          <w:p w14:paraId="6541754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  <w:t>Reference</w:t>
            </w:r>
          </w:p>
        </w:tc>
      </w:tr>
      <w:tr w:rsidR="002E65F6" w:rsidRPr="002E65F6" w14:paraId="24C176B5" w14:textId="77777777" w:rsidTr="00ED5773">
        <w:tc>
          <w:tcPr>
            <w:tcW w:w="1558" w:type="dxa"/>
            <w:vMerge w:val="restart"/>
            <w:vAlign w:val="center"/>
          </w:tcPr>
          <w:p w14:paraId="09C5AF4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Nigeria</w:t>
            </w:r>
          </w:p>
        </w:tc>
        <w:tc>
          <w:tcPr>
            <w:tcW w:w="1558" w:type="dxa"/>
            <w:vAlign w:val="center"/>
          </w:tcPr>
          <w:p w14:paraId="7FE2234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Exchange Rate Stabilization via Dual Exchange System</w:t>
            </w:r>
          </w:p>
        </w:tc>
        <w:tc>
          <w:tcPr>
            <w:tcW w:w="1558" w:type="dxa"/>
            <w:vAlign w:val="center"/>
          </w:tcPr>
          <w:p w14:paraId="2170A85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Exchange Rate (USD/NGN): 380</w:t>
            </w:r>
          </w:p>
        </w:tc>
        <w:tc>
          <w:tcPr>
            <w:tcW w:w="1558" w:type="dxa"/>
            <w:vAlign w:val="center"/>
          </w:tcPr>
          <w:p w14:paraId="79F634E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420</w:t>
            </w:r>
          </w:p>
        </w:tc>
        <w:tc>
          <w:tcPr>
            <w:tcW w:w="1558" w:type="dxa"/>
            <w:vAlign w:val="center"/>
          </w:tcPr>
          <w:p w14:paraId="7559011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+10.53</w:t>
            </w:r>
          </w:p>
        </w:tc>
        <w:tc>
          <w:tcPr>
            <w:tcW w:w="1558" w:type="dxa"/>
            <w:vAlign w:val="center"/>
          </w:tcPr>
          <w:p w14:paraId="728CF5E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(IMF, 2022b)</w:t>
            </w:r>
          </w:p>
        </w:tc>
      </w:tr>
      <w:tr w:rsidR="002E65F6" w:rsidRPr="002E65F6" w14:paraId="005A5850" w14:textId="77777777" w:rsidTr="00ED5773">
        <w:tc>
          <w:tcPr>
            <w:tcW w:w="1558" w:type="dxa"/>
            <w:vMerge/>
            <w:vAlign w:val="center"/>
          </w:tcPr>
          <w:p w14:paraId="2CF3B9A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</w:p>
        </w:tc>
        <w:tc>
          <w:tcPr>
            <w:tcW w:w="1558" w:type="dxa"/>
            <w:vAlign w:val="center"/>
          </w:tcPr>
          <w:p w14:paraId="1D24E7A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Fuel Subsidy Reduction</w:t>
            </w:r>
          </w:p>
        </w:tc>
        <w:tc>
          <w:tcPr>
            <w:tcW w:w="1558" w:type="dxa"/>
            <w:vAlign w:val="center"/>
          </w:tcPr>
          <w:p w14:paraId="2BD696F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Fuel Subsidy (Billion NGN): 1,000</w:t>
            </w:r>
          </w:p>
        </w:tc>
        <w:tc>
          <w:tcPr>
            <w:tcW w:w="1558" w:type="dxa"/>
            <w:vAlign w:val="center"/>
          </w:tcPr>
          <w:p w14:paraId="6269E07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600</w:t>
            </w:r>
          </w:p>
        </w:tc>
        <w:tc>
          <w:tcPr>
            <w:tcW w:w="1558" w:type="dxa"/>
            <w:vAlign w:val="center"/>
          </w:tcPr>
          <w:p w14:paraId="12D4F63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-40.00</w:t>
            </w:r>
          </w:p>
        </w:tc>
        <w:tc>
          <w:tcPr>
            <w:tcW w:w="1558" w:type="dxa"/>
            <w:vAlign w:val="center"/>
          </w:tcPr>
          <w:p w14:paraId="0EF5A22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(World Bank, 2021)</w:t>
            </w:r>
          </w:p>
        </w:tc>
      </w:tr>
      <w:tr w:rsidR="002E65F6" w:rsidRPr="002E65F6" w14:paraId="4DF3B98D" w14:textId="77777777" w:rsidTr="00ED5773">
        <w:tc>
          <w:tcPr>
            <w:tcW w:w="1558" w:type="dxa"/>
            <w:vMerge/>
            <w:vAlign w:val="center"/>
          </w:tcPr>
          <w:p w14:paraId="24FA93A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</w:p>
        </w:tc>
        <w:tc>
          <w:tcPr>
            <w:tcW w:w="1558" w:type="dxa"/>
            <w:vAlign w:val="center"/>
          </w:tcPr>
          <w:p w14:paraId="3BFE8BE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Increased Foreign Reserves</w:t>
            </w:r>
          </w:p>
        </w:tc>
        <w:tc>
          <w:tcPr>
            <w:tcW w:w="1558" w:type="dxa"/>
            <w:vAlign w:val="center"/>
          </w:tcPr>
          <w:p w14:paraId="2F496A1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Reserves (Billion USD): 33</w:t>
            </w:r>
          </w:p>
        </w:tc>
        <w:tc>
          <w:tcPr>
            <w:tcW w:w="1558" w:type="dxa"/>
            <w:vAlign w:val="center"/>
          </w:tcPr>
          <w:p w14:paraId="2E78D4E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40</w:t>
            </w:r>
          </w:p>
        </w:tc>
        <w:tc>
          <w:tcPr>
            <w:tcW w:w="1558" w:type="dxa"/>
            <w:vAlign w:val="center"/>
          </w:tcPr>
          <w:p w14:paraId="6C8C206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+21.21</w:t>
            </w:r>
          </w:p>
        </w:tc>
        <w:tc>
          <w:tcPr>
            <w:tcW w:w="1558" w:type="dxa"/>
            <w:vAlign w:val="center"/>
          </w:tcPr>
          <w:p w14:paraId="56C490C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(African Development Bank, 2024)</w:t>
            </w:r>
          </w:p>
        </w:tc>
      </w:tr>
      <w:tr w:rsidR="002E65F6" w:rsidRPr="002E65F6" w14:paraId="7878F7DF" w14:textId="77777777" w:rsidTr="00ED5773">
        <w:tc>
          <w:tcPr>
            <w:tcW w:w="1558" w:type="dxa"/>
            <w:vMerge w:val="restart"/>
            <w:vAlign w:val="center"/>
          </w:tcPr>
          <w:p w14:paraId="1A222F1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Kenya</w:t>
            </w:r>
          </w:p>
        </w:tc>
        <w:tc>
          <w:tcPr>
            <w:tcW w:w="1558" w:type="dxa"/>
            <w:vAlign w:val="center"/>
          </w:tcPr>
          <w:p w14:paraId="2C75492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Tight Monetary Policy to Control Inflation</w:t>
            </w:r>
          </w:p>
        </w:tc>
        <w:tc>
          <w:tcPr>
            <w:tcW w:w="1558" w:type="dxa"/>
            <w:vAlign w:val="center"/>
          </w:tcPr>
          <w:p w14:paraId="2A84B8D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Inflation Rate (%): 10.0</w:t>
            </w:r>
          </w:p>
        </w:tc>
        <w:tc>
          <w:tcPr>
            <w:tcW w:w="1558" w:type="dxa"/>
            <w:vAlign w:val="center"/>
          </w:tcPr>
          <w:p w14:paraId="40B4994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6.5</w:t>
            </w:r>
          </w:p>
        </w:tc>
        <w:tc>
          <w:tcPr>
            <w:tcW w:w="1558" w:type="dxa"/>
            <w:vAlign w:val="center"/>
          </w:tcPr>
          <w:p w14:paraId="6B690BF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-35.00</w:t>
            </w:r>
          </w:p>
        </w:tc>
        <w:tc>
          <w:tcPr>
            <w:tcW w:w="1558" w:type="dxa"/>
            <w:vAlign w:val="center"/>
          </w:tcPr>
          <w:p w14:paraId="37FCCE0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(Central Bank of Kenya, 2022)</w:t>
            </w:r>
          </w:p>
        </w:tc>
      </w:tr>
      <w:tr w:rsidR="002E65F6" w:rsidRPr="002E65F6" w14:paraId="2F983464" w14:textId="77777777" w:rsidTr="00ED5773">
        <w:tc>
          <w:tcPr>
            <w:tcW w:w="1558" w:type="dxa"/>
            <w:vMerge/>
            <w:vAlign w:val="center"/>
          </w:tcPr>
          <w:p w14:paraId="53CA2696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</w:p>
        </w:tc>
        <w:tc>
          <w:tcPr>
            <w:tcW w:w="1558" w:type="dxa"/>
            <w:vAlign w:val="center"/>
          </w:tcPr>
          <w:p w14:paraId="0D373D02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Strategic Petroleum Reserves</w:t>
            </w:r>
          </w:p>
        </w:tc>
        <w:tc>
          <w:tcPr>
            <w:tcW w:w="1558" w:type="dxa"/>
            <w:vAlign w:val="center"/>
          </w:tcPr>
          <w:p w14:paraId="1B2C3A83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Fuel Prices (KES/Liter): 130</w:t>
            </w:r>
          </w:p>
        </w:tc>
        <w:tc>
          <w:tcPr>
            <w:tcW w:w="1558" w:type="dxa"/>
            <w:vAlign w:val="center"/>
          </w:tcPr>
          <w:p w14:paraId="0ACD83B1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115</w:t>
            </w:r>
          </w:p>
        </w:tc>
        <w:tc>
          <w:tcPr>
            <w:tcW w:w="1558" w:type="dxa"/>
            <w:vAlign w:val="center"/>
          </w:tcPr>
          <w:p w14:paraId="0941D773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-11.54</w:t>
            </w:r>
          </w:p>
        </w:tc>
        <w:tc>
          <w:tcPr>
            <w:tcW w:w="1558" w:type="dxa"/>
            <w:vMerge w:val="restart"/>
            <w:vAlign w:val="center"/>
          </w:tcPr>
          <w:p w14:paraId="3DF30875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(Kenya National Bureau of Statistics, 2023)</w:t>
            </w:r>
          </w:p>
        </w:tc>
      </w:tr>
      <w:tr w:rsidR="002E65F6" w:rsidRPr="002E65F6" w14:paraId="1B6E8428" w14:textId="77777777" w:rsidTr="00ED5773">
        <w:tc>
          <w:tcPr>
            <w:tcW w:w="1558" w:type="dxa"/>
            <w:vMerge/>
            <w:vAlign w:val="center"/>
          </w:tcPr>
          <w:p w14:paraId="7D1EA988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</w:p>
        </w:tc>
        <w:tc>
          <w:tcPr>
            <w:tcW w:w="1558" w:type="dxa"/>
            <w:vAlign w:val="center"/>
          </w:tcPr>
          <w:p w14:paraId="1C5AB201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Promoting Renewable Energy Investments</w:t>
            </w:r>
          </w:p>
        </w:tc>
        <w:tc>
          <w:tcPr>
            <w:tcW w:w="1558" w:type="dxa"/>
            <w:vAlign w:val="center"/>
          </w:tcPr>
          <w:p w14:paraId="5E6BA3E8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Renewable Energy (% of Energy Mix): 18.0</w:t>
            </w:r>
          </w:p>
        </w:tc>
        <w:tc>
          <w:tcPr>
            <w:tcW w:w="1558" w:type="dxa"/>
            <w:vAlign w:val="center"/>
          </w:tcPr>
          <w:p w14:paraId="627BE96D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30.0</w:t>
            </w:r>
          </w:p>
        </w:tc>
        <w:tc>
          <w:tcPr>
            <w:tcW w:w="1558" w:type="dxa"/>
            <w:vAlign w:val="center"/>
          </w:tcPr>
          <w:p w14:paraId="46B6D4E3" w14:textId="77777777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+66.67</w:t>
            </w:r>
          </w:p>
        </w:tc>
        <w:tc>
          <w:tcPr>
            <w:tcW w:w="1558" w:type="dxa"/>
            <w:vMerge/>
            <w:vAlign w:val="center"/>
          </w:tcPr>
          <w:p w14:paraId="6F11DD95" w14:textId="74F14BD5" w:rsidR="00BA6C15" w:rsidRPr="002E65F6" w:rsidRDefault="00BA6C15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</w:p>
        </w:tc>
      </w:tr>
      <w:tr w:rsidR="002E65F6" w:rsidRPr="002E65F6" w14:paraId="07D3C91D" w14:textId="77777777" w:rsidTr="00ED5773">
        <w:tc>
          <w:tcPr>
            <w:tcW w:w="1558" w:type="dxa"/>
            <w:vMerge w:val="restart"/>
            <w:vAlign w:val="center"/>
          </w:tcPr>
          <w:p w14:paraId="79D0C31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Brazil</w:t>
            </w:r>
          </w:p>
        </w:tc>
        <w:tc>
          <w:tcPr>
            <w:tcW w:w="1558" w:type="dxa"/>
            <w:vAlign w:val="center"/>
          </w:tcPr>
          <w:p w14:paraId="58D8BA3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Flexible Exchange Rate Regime</w:t>
            </w:r>
          </w:p>
        </w:tc>
        <w:tc>
          <w:tcPr>
            <w:tcW w:w="1558" w:type="dxa"/>
            <w:vAlign w:val="center"/>
          </w:tcPr>
          <w:p w14:paraId="0D6CDC2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Exchange Rate (USD/BRL): 5.5</w:t>
            </w:r>
          </w:p>
        </w:tc>
        <w:tc>
          <w:tcPr>
            <w:tcW w:w="1558" w:type="dxa"/>
            <w:vAlign w:val="center"/>
          </w:tcPr>
          <w:p w14:paraId="2447580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4.8</w:t>
            </w:r>
          </w:p>
        </w:tc>
        <w:tc>
          <w:tcPr>
            <w:tcW w:w="1558" w:type="dxa"/>
            <w:vAlign w:val="center"/>
          </w:tcPr>
          <w:p w14:paraId="6009E34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-12.73</w:t>
            </w:r>
          </w:p>
        </w:tc>
        <w:tc>
          <w:tcPr>
            <w:tcW w:w="1558" w:type="dxa"/>
            <w:vAlign w:val="center"/>
          </w:tcPr>
          <w:p w14:paraId="766124F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(World Bank, 2021)</w:t>
            </w:r>
          </w:p>
        </w:tc>
      </w:tr>
      <w:tr w:rsidR="002E65F6" w:rsidRPr="002E65F6" w14:paraId="2878A407" w14:textId="77777777" w:rsidTr="00ED5773">
        <w:tc>
          <w:tcPr>
            <w:tcW w:w="1558" w:type="dxa"/>
            <w:vMerge/>
            <w:vAlign w:val="center"/>
          </w:tcPr>
          <w:p w14:paraId="62D7059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</w:p>
        </w:tc>
        <w:tc>
          <w:tcPr>
            <w:tcW w:w="1558" w:type="dxa"/>
            <w:vAlign w:val="center"/>
          </w:tcPr>
          <w:p w14:paraId="6DFF856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Fuel Price Stabilization Fund</w:t>
            </w:r>
          </w:p>
        </w:tc>
        <w:tc>
          <w:tcPr>
            <w:tcW w:w="1558" w:type="dxa"/>
            <w:vAlign w:val="center"/>
          </w:tcPr>
          <w:p w14:paraId="7EAE3FD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Fuel Prices (BRL/Liter): 5.0</w:t>
            </w:r>
          </w:p>
        </w:tc>
        <w:tc>
          <w:tcPr>
            <w:tcW w:w="1558" w:type="dxa"/>
            <w:vAlign w:val="center"/>
          </w:tcPr>
          <w:p w14:paraId="7DD449E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4.2</w:t>
            </w:r>
          </w:p>
        </w:tc>
        <w:tc>
          <w:tcPr>
            <w:tcW w:w="1558" w:type="dxa"/>
            <w:vAlign w:val="center"/>
          </w:tcPr>
          <w:p w14:paraId="54246701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-16.00</w:t>
            </w:r>
          </w:p>
        </w:tc>
        <w:tc>
          <w:tcPr>
            <w:tcW w:w="1558" w:type="dxa"/>
            <w:vAlign w:val="center"/>
          </w:tcPr>
          <w:p w14:paraId="139078D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(IMF, 2022c)</w:t>
            </w:r>
          </w:p>
        </w:tc>
      </w:tr>
      <w:tr w:rsidR="002E65F6" w:rsidRPr="002E65F6" w14:paraId="79716F54" w14:textId="77777777" w:rsidTr="00ED5773">
        <w:tc>
          <w:tcPr>
            <w:tcW w:w="1558" w:type="dxa"/>
            <w:vMerge/>
            <w:vAlign w:val="center"/>
          </w:tcPr>
          <w:p w14:paraId="373964C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14:ligatures w14:val="none"/>
              </w:rPr>
            </w:pPr>
          </w:p>
        </w:tc>
        <w:tc>
          <w:tcPr>
            <w:tcW w:w="1558" w:type="dxa"/>
            <w:vAlign w:val="center"/>
          </w:tcPr>
          <w:p w14:paraId="2FDCF88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Investment in Ethanol Production</w:t>
            </w:r>
          </w:p>
        </w:tc>
        <w:tc>
          <w:tcPr>
            <w:tcW w:w="1558" w:type="dxa"/>
            <w:vAlign w:val="center"/>
          </w:tcPr>
          <w:p w14:paraId="4B36DD4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Ethanol Production (Billion Liters): 25</w:t>
            </w:r>
          </w:p>
        </w:tc>
        <w:tc>
          <w:tcPr>
            <w:tcW w:w="1558" w:type="dxa"/>
            <w:vAlign w:val="center"/>
          </w:tcPr>
          <w:p w14:paraId="12D4F51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35</w:t>
            </w:r>
          </w:p>
        </w:tc>
        <w:tc>
          <w:tcPr>
            <w:tcW w:w="1558" w:type="dxa"/>
            <w:vAlign w:val="center"/>
          </w:tcPr>
          <w:p w14:paraId="0ECC5C7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+40.00</w:t>
            </w:r>
          </w:p>
        </w:tc>
        <w:tc>
          <w:tcPr>
            <w:tcW w:w="1558" w:type="dxa"/>
            <w:vAlign w:val="center"/>
          </w:tcPr>
          <w:p w14:paraId="5102F4A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14:ligatures w14:val="none"/>
              </w:rPr>
              <w:t>(IEA, 2023)</w:t>
            </w:r>
          </w:p>
        </w:tc>
      </w:tr>
    </w:tbl>
    <w:p w14:paraId="0FC8EB98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Source: Various Country Reports, 2023</w:t>
      </w:r>
    </w:p>
    <w:p w14:paraId="2A02E649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4C493D9C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 S8: Monetary, fiscal, and structural policy responses in Ghana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1"/>
        <w:gridCol w:w="3331"/>
        <w:gridCol w:w="1362"/>
        <w:gridCol w:w="1272"/>
        <w:gridCol w:w="2134"/>
      </w:tblGrid>
      <w:tr w:rsidR="002E65F6" w:rsidRPr="002E65F6" w14:paraId="4AA37217" w14:textId="77777777" w:rsidTr="00ED5773">
        <w:tc>
          <w:tcPr>
            <w:tcW w:w="0" w:type="auto"/>
            <w:vAlign w:val="center"/>
          </w:tcPr>
          <w:p w14:paraId="30CD614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Policy Area</w:t>
            </w:r>
          </w:p>
        </w:tc>
        <w:tc>
          <w:tcPr>
            <w:tcW w:w="0" w:type="auto"/>
            <w:vAlign w:val="center"/>
          </w:tcPr>
          <w:p w14:paraId="52192E2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Indicator</w:t>
            </w:r>
          </w:p>
        </w:tc>
        <w:tc>
          <w:tcPr>
            <w:tcW w:w="0" w:type="auto"/>
            <w:vAlign w:val="center"/>
          </w:tcPr>
          <w:p w14:paraId="2B0BFD0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Before (Point)</w:t>
            </w:r>
          </w:p>
        </w:tc>
        <w:tc>
          <w:tcPr>
            <w:tcW w:w="0" w:type="auto"/>
            <w:vAlign w:val="center"/>
          </w:tcPr>
          <w:p w14:paraId="05F61F1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After (Point)</w:t>
            </w:r>
          </w:p>
        </w:tc>
        <w:tc>
          <w:tcPr>
            <w:tcW w:w="0" w:type="auto"/>
            <w:vAlign w:val="center"/>
          </w:tcPr>
          <w:p w14:paraId="4E13049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Percentage Change (%)</w:t>
            </w:r>
          </w:p>
        </w:tc>
      </w:tr>
      <w:tr w:rsidR="002E65F6" w:rsidRPr="002E65F6" w14:paraId="7D0C572B" w14:textId="77777777" w:rsidTr="00ED5773">
        <w:tc>
          <w:tcPr>
            <w:tcW w:w="0" w:type="auto"/>
            <w:vMerge w:val="restart"/>
            <w:vAlign w:val="center"/>
          </w:tcPr>
          <w:p w14:paraId="7B5CAB6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Monetary</w:t>
            </w:r>
          </w:p>
        </w:tc>
        <w:tc>
          <w:tcPr>
            <w:tcW w:w="0" w:type="auto"/>
            <w:vAlign w:val="center"/>
          </w:tcPr>
          <w:p w14:paraId="2D288076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Interest Rate (%)</w:t>
            </w:r>
          </w:p>
        </w:tc>
        <w:tc>
          <w:tcPr>
            <w:tcW w:w="0" w:type="auto"/>
            <w:vAlign w:val="center"/>
          </w:tcPr>
          <w:p w14:paraId="05D4F408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15.0</w:t>
            </w:r>
          </w:p>
        </w:tc>
        <w:tc>
          <w:tcPr>
            <w:tcW w:w="0" w:type="auto"/>
            <w:vAlign w:val="center"/>
          </w:tcPr>
          <w:p w14:paraId="55A27D1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18.5</w:t>
            </w:r>
          </w:p>
        </w:tc>
        <w:tc>
          <w:tcPr>
            <w:tcW w:w="0" w:type="auto"/>
            <w:vAlign w:val="center"/>
          </w:tcPr>
          <w:p w14:paraId="55A6DA2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+23.33</w:t>
            </w:r>
          </w:p>
        </w:tc>
      </w:tr>
      <w:tr w:rsidR="002E65F6" w:rsidRPr="002E65F6" w14:paraId="167E7137" w14:textId="77777777" w:rsidTr="00ED5773">
        <w:tc>
          <w:tcPr>
            <w:tcW w:w="0" w:type="auto"/>
            <w:vMerge/>
            <w:vAlign w:val="center"/>
          </w:tcPr>
          <w:p w14:paraId="5D790BA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7BFCE7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Foreign Exchange Reserves (Billion USD)</w:t>
            </w:r>
          </w:p>
        </w:tc>
        <w:tc>
          <w:tcPr>
            <w:tcW w:w="0" w:type="auto"/>
            <w:vAlign w:val="center"/>
          </w:tcPr>
          <w:p w14:paraId="6460A72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1.5</w:t>
            </w:r>
          </w:p>
        </w:tc>
        <w:tc>
          <w:tcPr>
            <w:tcW w:w="0" w:type="auto"/>
            <w:vAlign w:val="center"/>
          </w:tcPr>
          <w:p w14:paraId="6AF9BA5E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2.0</w:t>
            </w:r>
          </w:p>
        </w:tc>
        <w:tc>
          <w:tcPr>
            <w:tcW w:w="0" w:type="auto"/>
            <w:vAlign w:val="center"/>
          </w:tcPr>
          <w:p w14:paraId="096F8643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+33.33</w:t>
            </w:r>
          </w:p>
        </w:tc>
      </w:tr>
      <w:tr w:rsidR="002E65F6" w:rsidRPr="002E65F6" w14:paraId="43306AC7" w14:textId="77777777" w:rsidTr="00ED5773">
        <w:tc>
          <w:tcPr>
            <w:tcW w:w="0" w:type="auto"/>
            <w:vMerge w:val="restart"/>
            <w:vAlign w:val="center"/>
          </w:tcPr>
          <w:p w14:paraId="0BC9F94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Fiscal</w:t>
            </w:r>
          </w:p>
        </w:tc>
        <w:tc>
          <w:tcPr>
            <w:tcW w:w="0" w:type="auto"/>
            <w:vAlign w:val="center"/>
          </w:tcPr>
          <w:p w14:paraId="5E6D491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Fuel Subsidies (Million USD)</w:t>
            </w:r>
          </w:p>
        </w:tc>
        <w:tc>
          <w:tcPr>
            <w:tcW w:w="0" w:type="auto"/>
            <w:vAlign w:val="center"/>
          </w:tcPr>
          <w:p w14:paraId="219A2D49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800</w:t>
            </w:r>
          </w:p>
        </w:tc>
        <w:tc>
          <w:tcPr>
            <w:tcW w:w="0" w:type="auto"/>
            <w:vAlign w:val="center"/>
          </w:tcPr>
          <w:p w14:paraId="32C7FDE5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500</w:t>
            </w:r>
          </w:p>
        </w:tc>
        <w:tc>
          <w:tcPr>
            <w:tcW w:w="0" w:type="auto"/>
            <w:vAlign w:val="center"/>
          </w:tcPr>
          <w:p w14:paraId="3D6412C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-37.50</w:t>
            </w:r>
          </w:p>
        </w:tc>
      </w:tr>
      <w:tr w:rsidR="002E65F6" w:rsidRPr="002E65F6" w14:paraId="1549CE5F" w14:textId="77777777" w:rsidTr="00ED5773">
        <w:tc>
          <w:tcPr>
            <w:tcW w:w="0" w:type="auto"/>
            <w:vMerge/>
            <w:vAlign w:val="center"/>
          </w:tcPr>
          <w:p w14:paraId="337D270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34E8C4F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Tax Revenue (% of GDP)</w:t>
            </w:r>
          </w:p>
        </w:tc>
        <w:tc>
          <w:tcPr>
            <w:tcW w:w="0" w:type="auto"/>
            <w:vAlign w:val="center"/>
          </w:tcPr>
          <w:p w14:paraId="576993F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18.0</w:t>
            </w:r>
          </w:p>
        </w:tc>
        <w:tc>
          <w:tcPr>
            <w:tcW w:w="0" w:type="auto"/>
            <w:vAlign w:val="center"/>
          </w:tcPr>
          <w:p w14:paraId="085DEF01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20.5</w:t>
            </w:r>
          </w:p>
        </w:tc>
        <w:tc>
          <w:tcPr>
            <w:tcW w:w="0" w:type="auto"/>
            <w:vAlign w:val="center"/>
          </w:tcPr>
          <w:p w14:paraId="16A6BA67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+13.89</w:t>
            </w:r>
          </w:p>
        </w:tc>
      </w:tr>
      <w:tr w:rsidR="002E65F6" w:rsidRPr="002E65F6" w14:paraId="1187F747" w14:textId="77777777" w:rsidTr="00ED5773">
        <w:tc>
          <w:tcPr>
            <w:tcW w:w="0" w:type="auto"/>
            <w:vMerge w:val="restart"/>
            <w:vAlign w:val="center"/>
          </w:tcPr>
          <w:p w14:paraId="4B7EDAE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Structural</w:t>
            </w:r>
          </w:p>
        </w:tc>
        <w:tc>
          <w:tcPr>
            <w:tcW w:w="0" w:type="auto"/>
            <w:vAlign w:val="center"/>
          </w:tcPr>
          <w:p w14:paraId="5CA0488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Export Diversification Index</w:t>
            </w:r>
          </w:p>
        </w:tc>
        <w:tc>
          <w:tcPr>
            <w:tcW w:w="0" w:type="auto"/>
            <w:vAlign w:val="center"/>
          </w:tcPr>
          <w:p w14:paraId="0C0A3104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0.4</w:t>
            </w:r>
          </w:p>
        </w:tc>
        <w:tc>
          <w:tcPr>
            <w:tcW w:w="0" w:type="auto"/>
            <w:vAlign w:val="center"/>
          </w:tcPr>
          <w:p w14:paraId="7E072A1C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0.6</w:t>
            </w:r>
          </w:p>
        </w:tc>
        <w:tc>
          <w:tcPr>
            <w:tcW w:w="0" w:type="auto"/>
            <w:vAlign w:val="center"/>
          </w:tcPr>
          <w:p w14:paraId="73E77532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+50.00</w:t>
            </w:r>
          </w:p>
        </w:tc>
      </w:tr>
      <w:tr w:rsidR="002E65F6" w:rsidRPr="002E65F6" w14:paraId="51128AA6" w14:textId="77777777" w:rsidTr="00ED5773">
        <w:tc>
          <w:tcPr>
            <w:tcW w:w="0" w:type="auto"/>
            <w:vMerge/>
            <w:vAlign w:val="center"/>
          </w:tcPr>
          <w:p w14:paraId="282618D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894A75B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Energy Import Dependency (%)</w:t>
            </w:r>
          </w:p>
        </w:tc>
        <w:tc>
          <w:tcPr>
            <w:tcW w:w="0" w:type="auto"/>
            <w:vAlign w:val="center"/>
          </w:tcPr>
          <w:p w14:paraId="59E53C6D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60.0</w:t>
            </w:r>
          </w:p>
        </w:tc>
        <w:tc>
          <w:tcPr>
            <w:tcW w:w="0" w:type="auto"/>
            <w:vAlign w:val="center"/>
          </w:tcPr>
          <w:p w14:paraId="4A4C10CA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45.0</w:t>
            </w:r>
          </w:p>
        </w:tc>
        <w:tc>
          <w:tcPr>
            <w:tcW w:w="0" w:type="auto"/>
            <w:vAlign w:val="center"/>
          </w:tcPr>
          <w:p w14:paraId="632D0480" w14:textId="77777777" w:rsidR="00CA5716" w:rsidRPr="002E65F6" w:rsidRDefault="00CA5716" w:rsidP="00CA571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E65F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-25.00</w:t>
            </w:r>
          </w:p>
        </w:tc>
      </w:tr>
    </w:tbl>
    <w:p w14:paraId="4F5DEE93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Source: Bank of Ghana, 2023b, 2025; Ministry of Finance, 2023</w:t>
      </w:r>
    </w:p>
    <w:p w14:paraId="6196694C" w14:textId="77777777" w:rsidR="00CA5716" w:rsidRPr="002E65F6" w:rsidRDefault="00CA5716" w:rsidP="00CA57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2527807" w14:textId="77777777" w:rsidR="00CA5716" w:rsidRPr="002E65F6" w:rsidRDefault="00CA5716" w:rsidP="00CA5716">
      <w:pPr>
        <w:keepNext/>
        <w:keepLines/>
        <w:spacing w:before="360" w:after="80" w:line="278" w:lineRule="auto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</w:rPr>
      </w:pPr>
      <w:r w:rsidRPr="002E65F6">
        <w:rPr>
          <w:rFonts w:ascii="Times New Roman" w:eastAsia="Times New Roman" w:hAnsi="Times New Roman" w:cs="Times New Roman"/>
          <w:b/>
          <w:bCs/>
        </w:rPr>
        <w:t xml:space="preserve">Python Code Snippets. </w:t>
      </w:r>
      <w:r w:rsidRPr="002E65F6">
        <w:rPr>
          <w:rFonts w:ascii="Times New Roman" w:eastAsia="Times New Roman" w:hAnsi="Times New Roman" w:cs="Times New Roman"/>
          <w:b/>
          <w:bCs/>
          <w:i/>
          <w:iCs/>
        </w:rPr>
        <w:t>Note: some code parts are dependent on the terminal used in this study and should be adapted for use on other terminals.</w:t>
      </w:r>
    </w:p>
    <w:p w14:paraId="10D38235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1D36E0AE" w14:textId="262018CA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Code for Figure </w:t>
      </w:r>
      <w:r w:rsidR="0076690D"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</w:t>
      </w: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 Balance of Payment Deficit vs Cedi Depreciation Rate (2015-2024)</w:t>
      </w:r>
    </w:p>
    <w:p w14:paraId="5D563A3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import 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matplotlib.pyplot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as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</w:t>
      </w:r>
      <w:proofErr w:type="spellEnd"/>
    </w:p>
    <w:p w14:paraId="50053DDB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422D286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Apply a clean style</w:t>
      </w:r>
    </w:p>
    <w:p w14:paraId="76F341F5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plt.style.use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('seaborn-v0_8')</w:t>
      </w:r>
    </w:p>
    <w:p w14:paraId="6D3647C4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6C1C78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Data</w:t>
      </w:r>
    </w:p>
    <w:p w14:paraId="0C8D0196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years = [2015, 2016, 2017, 2018, 2019, 2020, 2021, 2022, 2023, 2024]</w:t>
      </w:r>
    </w:p>
    <w:p w14:paraId="188290BD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bop_deficit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= [2.2, 2.4, 2.6, 2.3, 2.8, 2.5, 2.7, 2.9, 3.0, 2.6]</w:t>
      </w:r>
    </w:p>
    <w:p w14:paraId="63F773C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cedi_depreciation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= [15.5, 18.7, 13.2, 14.5, 17.9, 18.1, 19.4, 21.5, 22.8, 20.3]</w:t>
      </w:r>
    </w:p>
    <w:p w14:paraId="27229B2D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A7D20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Create figure and axis</w:t>
      </w:r>
    </w:p>
    <w:p w14:paraId="42325294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fig, ax1 = 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plt.subplots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figsize</w:t>
      </w:r>
      <w:proofErr w:type="spellEnd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10, 6))</w:t>
      </w:r>
    </w:p>
    <w:p w14:paraId="1F96DC66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91E65B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Plot BOP Deficit</w:t>
      </w:r>
    </w:p>
    <w:p w14:paraId="6D3F1ED3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color1 = '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tab:blue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</w:t>
      </w:r>
    </w:p>
    <w:p w14:paraId="298E88E7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ax1.set_xlabel('Year')</w:t>
      </w:r>
    </w:p>
    <w:p w14:paraId="5C26D052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ax1.set_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ylabel(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'BOP Deficit (USD Billion)', color=color1)</w:t>
      </w:r>
    </w:p>
    <w:p w14:paraId="5812C1CA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ax1.plot(years,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bop_deficit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, color=color1, marker='o', label='BOP Deficit')</w:t>
      </w:r>
    </w:p>
    <w:p w14:paraId="62A140B7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ax1.tick_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params(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axis='y',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labelcolor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=color1)</w:t>
      </w:r>
    </w:p>
    <w:p w14:paraId="5F3CA09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3EABC12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Create second y-axis</w:t>
      </w:r>
    </w:p>
    <w:p w14:paraId="4F3DBCE1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 = ax1.twinx()</w:t>
      </w:r>
    </w:p>
    <w:p w14:paraId="0E83E260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color2 = '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tab:red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</w:t>
      </w:r>
    </w:p>
    <w:p w14:paraId="74904028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ax2.set_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ylabel(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'Cedi Depreciation Rate (%)', color=color2)</w:t>
      </w:r>
    </w:p>
    <w:p w14:paraId="5CFA4314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ax2.plot(years,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cedi_depreciation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, color=color2, marker='s', label='Cedi Depreciation Rate')</w:t>
      </w:r>
    </w:p>
    <w:p w14:paraId="07EC3C8C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ax2.tick_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params(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axis='y',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labelcolor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=color2)</w:t>
      </w:r>
    </w:p>
    <w:p w14:paraId="0CDB7804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A97EAEC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Title and layout</w:t>
      </w:r>
    </w:p>
    <w:p w14:paraId="111C45CA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plt.title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('Balance of Payment Deficit vs Cedi Depreciation Rate (2015–2024)')</w:t>
      </w:r>
    </w:p>
    <w:p w14:paraId="04AE18FF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fig.tight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layout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2601B479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A754486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Show plot</w:t>
      </w:r>
    </w:p>
    <w:p w14:paraId="6FD295DA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plt.show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()</w:t>
      </w:r>
    </w:p>
    <w:p w14:paraId="7CCBCFD7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 </w:t>
      </w:r>
    </w:p>
    <w:p w14:paraId="31F170DB" w14:textId="5BB5F60B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Code for Figure </w:t>
      </w:r>
      <w:r w:rsidR="0076690D"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</w:t>
      </w: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 Import Demand vs Export Earnings (2015-2024)</w:t>
      </w:r>
    </w:p>
    <w:p w14:paraId="16833DE1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3E99CA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import 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matplotlib.pyplot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as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</w:t>
      </w:r>
      <w:proofErr w:type="spellEnd"/>
    </w:p>
    <w:p w14:paraId="742CA509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FC444B3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Apply a clean style</w:t>
      </w:r>
    </w:p>
    <w:p w14:paraId="578C7FBC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plt.style.use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('seaborn-v0_8')</w:t>
      </w:r>
    </w:p>
    <w:p w14:paraId="440D411D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B87CC01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Data</w:t>
      </w:r>
    </w:p>
    <w:p w14:paraId="33AA0D5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years = [2015, 2016, 2017, 2018, 2019, 2020, 2021, 2022, 2023, 2024]</w:t>
      </w:r>
    </w:p>
    <w:p w14:paraId="1DCFA22C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import_demand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= [12.1, 13.5, 14.0, 15.0, 16.0, 15.5, 16.8, 17.5, 18.0, 18.5]</w:t>
      </w:r>
    </w:p>
    <w:p w14:paraId="418D2F5A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export_earnings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= [10.0, 10.5, 11.0, 12.0, 12.5, 11.8, 12.2, 13.0, 12.7, 13.2]</w:t>
      </w:r>
    </w:p>
    <w:p w14:paraId="605E6077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FA7AE18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Create figure and axis</w:t>
      </w:r>
    </w:p>
    <w:p w14:paraId="7ECE81AB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fig, ax1 = 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plt.subplots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figsize</w:t>
      </w:r>
      <w:proofErr w:type="spellEnd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10, 6))</w:t>
      </w:r>
    </w:p>
    <w:p w14:paraId="53516AB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78CAF8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Plot Import Demand</w:t>
      </w:r>
    </w:p>
    <w:p w14:paraId="360F8507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color1 = '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tab:green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</w:t>
      </w:r>
    </w:p>
    <w:p w14:paraId="0C6F3DFB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ax1.set_xlabel('Year')</w:t>
      </w:r>
    </w:p>
    <w:p w14:paraId="22A970E5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ax1.set_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ylabel(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'Import Demand (USD Billion)', color=color1)</w:t>
      </w:r>
    </w:p>
    <w:p w14:paraId="595CC932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ax1.plot(years,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import_demand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, color=color1, marker='o', label='Import Demand')</w:t>
      </w:r>
    </w:p>
    <w:p w14:paraId="579F725B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ax1.tick_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params(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axis='y',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labelcolor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=color1)</w:t>
      </w:r>
    </w:p>
    <w:p w14:paraId="1AF2FC2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C1327F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Create second y-axis</w:t>
      </w:r>
    </w:p>
    <w:p w14:paraId="6CBB1E68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 = ax1.twinx()</w:t>
      </w:r>
    </w:p>
    <w:p w14:paraId="618A67C0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color2 = '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tab:orange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</w:t>
      </w:r>
    </w:p>
    <w:p w14:paraId="15BB2737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ax2.set_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ylabel(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'Export Earnings (USD Billion)', color=color2)</w:t>
      </w:r>
    </w:p>
    <w:p w14:paraId="47DC2320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ax2.plot(years,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export_earnings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, color=color2, marker='s', label='Export Earnings')</w:t>
      </w:r>
    </w:p>
    <w:p w14:paraId="633C5AAA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ax2.tick_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params(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axis='y',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labelcolor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=color2)</w:t>
      </w:r>
    </w:p>
    <w:p w14:paraId="1D6F1602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AC13E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Title and layout</w:t>
      </w:r>
    </w:p>
    <w:p w14:paraId="69857D0E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plt.title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('Import Demand vs Export Earnings (2015–2024)')</w:t>
      </w:r>
    </w:p>
    <w:p w14:paraId="411B7BFF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fig.tight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layout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5670AD6B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BB9BC29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Show plot</w:t>
      </w:r>
    </w:p>
    <w:p w14:paraId="5F744603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plt.show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()</w:t>
      </w:r>
    </w:p>
    <w:p w14:paraId="0AAEC81F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 </w:t>
      </w:r>
    </w:p>
    <w:p w14:paraId="6E3FF75E" w14:textId="192DBE42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Code for Figure </w:t>
      </w:r>
      <w:r w:rsidR="0076690D"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4</w:t>
      </w:r>
      <w:r w:rsidRPr="002E6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 Speculative Trading Volume vs Cedi Depreciation Rate (2015-2024)</w:t>
      </w:r>
    </w:p>
    <w:p w14:paraId="2701D480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41F604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import 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matplotlib.pyplot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as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</w:t>
      </w:r>
      <w:proofErr w:type="spellEnd"/>
    </w:p>
    <w:p w14:paraId="59879DD1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2BE34C4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Apply a clean style</w:t>
      </w:r>
    </w:p>
    <w:p w14:paraId="15FB14E1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plt.style.use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('seaborn-v0_8')</w:t>
      </w:r>
    </w:p>
    <w:p w14:paraId="5C5CAEC3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AA9636D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Data</w:t>
      </w:r>
    </w:p>
    <w:p w14:paraId="7F583EB6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years = [2015, 2016, 2017, 2018, 2019, 2020, 2021, 2022, 2023, 2024]</w:t>
      </w:r>
    </w:p>
    <w:p w14:paraId="776ABE74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speculative_volume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= [0.8, 1.2, 1.5, 1.3, 1.8, 2.0, 2.2, 2.5, 2.8, 3.0]</w:t>
      </w:r>
    </w:p>
    <w:p w14:paraId="55196F89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cedi_depreciation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= [15.5, 18.7, 13.2, 14.5, 17.9, 18.1, 19.4, 21.5, 22.8, 20.3]</w:t>
      </w:r>
    </w:p>
    <w:p w14:paraId="4BD8BD4D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4E30757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Create figure and axis</w:t>
      </w:r>
    </w:p>
    <w:p w14:paraId="249D82AD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fig, ax1 = 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plt.subplots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figsize</w:t>
      </w:r>
      <w:proofErr w:type="spellEnd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10, 6))</w:t>
      </w:r>
    </w:p>
    <w:p w14:paraId="49AAFA2B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4C1CDC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# Plot Speculative Trading Volume</w:t>
      </w:r>
    </w:p>
    <w:p w14:paraId="65FC0A92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color1 = '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tab:purple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</w:t>
      </w:r>
    </w:p>
    <w:p w14:paraId="112E7D66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ax1.set_xlabel('Year')</w:t>
      </w:r>
    </w:p>
    <w:p w14:paraId="3F8D7D48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ax1.set_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ylabel(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'Speculative Trading Volume (USD Billion)', color=color1)</w:t>
      </w:r>
    </w:p>
    <w:p w14:paraId="320C1B15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ax1.plot(years,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speculative_volume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, color=color1, marker='o', label='Speculative Trading\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nVolume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')</w:t>
      </w:r>
    </w:p>
    <w:p w14:paraId="1577CC00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ax1.tick_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params(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axis='y',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labelcolor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=color1)</w:t>
      </w:r>
    </w:p>
    <w:p w14:paraId="2FD9C789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0C89AB3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Create second y-axis</w:t>
      </w:r>
    </w:p>
    <w:p w14:paraId="3AE3AD41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 = ax1.twinx()</w:t>
      </w:r>
    </w:p>
    <w:p w14:paraId="4B7A637D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color2 = '</w:t>
      </w: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tab:red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</w:t>
      </w:r>
    </w:p>
    <w:p w14:paraId="31479A30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ax2.set_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ylabel(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'Cedi Depreciation Rate (%)', color=color2)</w:t>
      </w:r>
    </w:p>
    <w:p w14:paraId="22F2ECDF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ax2.plot(years,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cedi_depreciation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, color=color2, marker='s', label='Cedi Depreciation Rate')</w:t>
      </w:r>
    </w:p>
    <w:p w14:paraId="5C75DAC9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ax2.tick_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params(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axis='y', </w:t>
      </w:r>
      <w:proofErr w:type="spell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labelcolor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=color2)</w:t>
      </w:r>
    </w:p>
    <w:p w14:paraId="30573E91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E080995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Title and layout</w:t>
      </w:r>
    </w:p>
    <w:p w14:paraId="356468DB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plt.title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('Speculative Trading Volume vs Cedi Depreciation Rate (2015–2024)')</w:t>
      </w:r>
    </w:p>
    <w:p w14:paraId="68175739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fig.tight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_</w:t>
      </w:r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layout</w:t>
      </w:r>
      <w:proofErr w:type="spell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</w:t>
      </w:r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627A125A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01EEF13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># Show plot</w:t>
      </w:r>
    </w:p>
    <w:p w14:paraId="3DC6605A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plt.show</w:t>
      </w:r>
      <w:proofErr w:type="spellEnd"/>
      <w:proofErr w:type="gramEnd"/>
      <w:r w:rsidRPr="002E65F6">
        <w:rPr>
          <w:rFonts w:ascii="Times New Roman" w:eastAsia="Times New Roman" w:hAnsi="Times New Roman" w:cs="Times New Roman"/>
          <w:kern w:val="0"/>
          <w14:ligatures w14:val="none"/>
        </w:rPr>
        <w:t>()</w:t>
      </w:r>
    </w:p>
    <w:p w14:paraId="7E6B3C3A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</w:p>
    <w:p w14:paraId="72F27BFF" w14:textId="77777777" w:rsidR="00CA5716" w:rsidRPr="002E65F6" w:rsidRDefault="00CA5716" w:rsidP="00CA5716">
      <w:pPr>
        <w:shd w:val="clear" w:color="auto" w:fill="F5F5F5"/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C97F17A" w14:textId="77777777" w:rsidR="00CA5C93" w:rsidRPr="002E65F6" w:rsidRDefault="00CA5C93">
      <w:pPr>
        <w:rPr>
          <w:rFonts w:ascii="Times New Roman" w:hAnsi="Times New Roman" w:cs="Times New Roman"/>
        </w:rPr>
      </w:pPr>
    </w:p>
    <w:p w14:paraId="62ED7C27" w14:textId="407BA660" w:rsidR="00254D25" w:rsidRPr="002E65F6" w:rsidRDefault="002E65F6" w:rsidP="00D2411C">
      <w:pPr>
        <w:spacing w:before="100" w:beforeAutospacing="1" w:after="100" w:afterAutospacing="1" w:line="240" w:lineRule="auto"/>
        <w:ind w:left="1440" w:hanging="720"/>
        <w:mirrorIndents/>
        <w:jc w:val="both"/>
        <w:rPr>
          <w:rFonts w:ascii="Times New Roman" w:hAnsi="Times New Roman" w:cs="Times New Roman"/>
          <w:b/>
          <w:bCs/>
        </w:rPr>
      </w:pPr>
      <w:r w:rsidRPr="002E65F6">
        <w:rPr>
          <w:rFonts w:ascii="Times New Roman" w:hAnsi="Times New Roman" w:cs="Times New Roman"/>
          <w:b/>
          <w:bCs/>
        </w:rPr>
        <w:t>References</w:t>
      </w:r>
    </w:p>
    <w:p w14:paraId="36DE2C58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African Development Bank (2024) "Country Focus Report: Nigeria – Annual Economic Prognosis and Currency Management". </w:t>
      </w: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African Development Bank Group</w:t>
      </w: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. [online] Available at: </w:t>
      </w:r>
      <w:hyperlink r:id="rId7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https://vcda.afdb.org/en/system/files/report/Nigeria%20Final%202024.pdf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4 August 2025).</w:t>
      </w:r>
    </w:p>
    <w:p w14:paraId="0457FEEB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Bank of Ghana (2023a) "Monetary Policy Report – September 2023". </w:t>
      </w: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Research Department, Bank of Ghana</w:t>
      </w: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. [online] Available at: </w:t>
      </w:r>
      <w:hyperlink r:id="rId8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https://www.bog.gov.gh/wp-content/uploads/2023/10/Monetary-Policy-Report-September-2023.pdf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14 August 2025).</w:t>
      </w:r>
    </w:p>
    <w:p w14:paraId="3EDB33C5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Bank of Ghana (2023b) "Annual Report and Financial Statements 2023". Accra: Bank of Ghana. [online] Available at: </w:t>
      </w:r>
      <w:hyperlink r:id="rId9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https://www.bog.gov.gh/wp-content/uploads/2024/05/Bank-of-Ghana-2023-Annual-Report-and-Financial-Statements.pdf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A5DE175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Bank of Ghana (2025) "Exchange Rate Data". [online] Available at: </w:t>
      </w:r>
      <w:hyperlink r:id="rId10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https://www.bog.gov.gh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26 August 2025).</w:t>
      </w:r>
    </w:p>
    <w:p w14:paraId="7E9F3DFC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Central Bank of Kenya (2022) "Monetary Policy Committee Report – October 2022". </w:t>
      </w: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Central Bank of Kenya</w:t>
      </w: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. [online] Available at: </w:t>
      </w:r>
      <w:hyperlink r:id="rId11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https://www.centralbank.go.ke/uploads/monetary_policy_reports/628277515_29th%20Monetary%20Policy%20Committee%20Report.pdf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18 September 2025).</w:t>
      </w:r>
    </w:p>
    <w:p w14:paraId="3E19EFBF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Chamber of Bulk Oil Distributors (CBOD) (2023) "CBOD Ghana Petroleum Industry Report". [online] Available at: </w:t>
      </w:r>
      <w:hyperlink r:id="rId12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https://cbodghana.com/download/cbod-ghana-petroleum-industry-report-2023/?tmstv=1758902876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13 September 2025).</w:t>
      </w:r>
    </w:p>
    <w:p w14:paraId="040F4E54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Energy Commission of Ghana (2023) "Energy Statistics and Balance. National Energy Statistics Bulletin 2023". Accra: Energy Commission. [online] Available at: </w:t>
      </w:r>
      <w:hyperlink r:id="rId13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https://www.energycom.gov.gh/newsite/files/2023-energy-Statistics.pdf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5 August 2025).</w:t>
      </w:r>
    </w:p>
    <w:p w14:paraId="5A3C9B1F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Ghana Revenue Authority (2023) "Annual Tax Revenue Performance Report 2023". Accra: Ministry of Finance. [online] Available at: </w:t>
      </w:r>
      <w:hyperlink r:id="rId14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https://www.mofep.gov.gh/sites/default/files/reports/revenue/2023-Annual-Tax-Revenue-Performance-Report.pdf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8 September 2025).</w:t>
      </w:r>
    </w:p>
    <w:p w14:paraId="6217CD5A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Ghana Statistical Service (2020) "Ghana National Household Survey: Effects on Household Welfare and Poverty Levels". Accra: Ghana Statistical Service. [online] Available at: </w:t>
      </w:r>
      <w:hyperlink r:id="rId15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https://statsghana.gov.gh/gssmain/fileUpload/pressrelease/AHIES%20executive%20summary%201%20%283_24PM%29.pdf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3 August 2025).</w:t>
      </w:r>
    </w:p>
    <w:p w14:paraId="462DCE69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Ghanaian Chamber of Commerce (2023) "SME Profitability Trends in Response to Currency Depreciation". </w:t>
      </w: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Ghanaian Chamber of Commerce</w:t>
      </w: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. [online] Available at: </w:t>
      </w:r>
      <w:hyperlink r:id="rId16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https://citinewsroom.com/2024/05/free-fall-of-the-ghana-cedi-and-small-medium-enterprises-dr-andrews-ayiku-writes/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3 September 2025).</w:t>
      </w:r>
    </w:p>
    <w:p w14:paraId="66546E61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International Energy Agency (2023) "World Energy Outlook: Brazil's Ethanol Strategy". </w:t>
      </w: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IEA</w:t>
      </w: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. [online] Available at: </w:t>
      </w:r>
      <w:hyperlink r:id="rId17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https://iea-amf.org/app/webroot/files/file/Country_Task_Reports_2023_pdf/3b_Brazil_2023_final.pdf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3 August 2025).</w:t>
      </w:r>
    </w:p>
    <w:p w14:paraId="501B7014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International Monetary Fund (2022b) "Nigeria: Selected Issues – An Assessment of Policies in Managing Currency and Fuel Subsidies". </w:t>
      </w: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IMF Country Report No. 22/34</w:t>
      </w: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. [online] Available at: </w:t>
      </w:r>
      <w:hyperlink r:id="rId18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https://www.elibrary.imf.org/view/journals/002/2022/034/article-A001-en.xml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12 September 2025).</w:t>
      </w:r>
    </w:p>
    <w:p w14:paraId="47A79E3C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International Monetary Fund (2022c) "Brazil: Selected Issues – Fuel Price Stabilization and Fiscal Implications". </w:t>
      </w: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IMF Country Report No. 22/34</w:t>
      </w: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. [online] Available at: </w:t>
      </w:r>
      <w:hyperlink r:id="rId19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https://www.imf.org/-/media/AMSM/Files/AM2022/IMFC/Brazil.ashx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25 September 2025).</w:t>
      </w:r>
    </w:p>
    <w:p w14:paraId="046E3E04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Kenya National Bureau of Statistics (2023) "2023 Statistical Abstract". Nairobi: Kenya National Bureau of Statistics. [online] Available at: </w:t>
      </w:r>
      <w:hyperlink r:id="rId20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https://www.knbs.or.ke/reports/2023-statistical-abstract/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16 September 2025).</w:t>
      </w:r>
    </w:p>
    <w:p w14:paraId="144DC73E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Ministry of Finance – Republic of Ghana (2023) "Annual Financial Reports". [online] Available at: </w:t>
      </w:r>
      <w:hyperlink r:id="rId21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https://www.mofep.gov.gh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27 July 2025).</w:t>
      </w:r>
    </w:p>
    <w:p w14:paraId="06E15A50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National Petroleum Authority (2023a) "Petroleum downstream statistical bulletin". [online] Available at: </w:t>
      </w:r>
      <w:hyperlink r:id="rId22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https://npa.gov.gh/downstream-bulletin/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23 August 2025).</w:t>
      </w:r>
    </w:p>
    <w:p w14:paraId="0E5258CD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National Petroleum Authority (2023b) "Downstream Petroleum Industry Report for Third Quarter 2023". Accra: National Petroleum Authority. [online] Available at: </w:t>
      </w:r>
      <w:hyperlink r:id="rId23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https://npa.gov.gh/wp-</w:t>
        </w:r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lastRenderedPageBreak/>
          <w:t>content/uploads/2023/12/Petroleum-Downstream-Industry-Report-for-Q3-2023.pdf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6 August 2025).</w:t>
      </w:r>
    </w:p>
    <w:p w14:paraId="08256A9F" w14:textId="77777777" w:rsidR="002E65F6" w:rsidRPr="002E65F6" w:rsidRDefault="002E65F6" w:rsidP="002E65F6">
      <w:pPr>
        <w:spacing w:before="100" w:beforeAutospacing="1" w:after="100" w:afterAutospacing="1" w:line="240" w:lineRule="auto"/>
        <w:ind w:left="1440" w:hanging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World Bank (2021) "Nigeria Development Update: Resilience through Reforms". </w:t>
      </w:r>
      <w:r w:rsidRPr="002E65F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World Bank Group</w:t>
      </w:r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. [online] Available at: </w:t>
      </w:r>
      <w:hyperlink r:id="rId24" w:tgtFrame="_blank" w:history="1">
        <w:r w:rsidRPr="002E65F6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t>https://www.worldbank.org/en/country/nigeria/publication/nigeria-economic-update-resilience-through-reforms</w:t>
        </w:r>
      </w:hyperlink>
      <w:r w:rsidRPr="002E65F6">
        <w:rPr>
          <w:rFonts w:ascii="Times New Roman" w:eastAsia="Times New Roman" w:hAnsi="Times New Roman" w:cs="Times New Roman"/>
          <w:kern w:val="0"/>
          <w14:ligatures w14:val="none"/>
        </w:rPr>
        <w:t xml:space="preserve"> (Accessed on 17 September 2025).</w:t>
      </w:r>
    </w:p>
    <w:p w14:paraId="1E780771" w14:textId="77777777" w:rsidR="002E65F6" w:rsidRPr="002E65F6" w:rsidRDefault="002E65F6" w:rsidP="002E65F6">
      <w:pPr>
        <w:spacing w:line="240" w:lineRule="auto"/>
        <w:ind w:left="1440" w:hanging="720"/>
        <w:jc w:val="both"/>
        <w:rPr>
          <w:rFonts w:ascii="Times New Roman" w:eastAsia="Aptos" w:hAnsi="Times New Roman" w:cs="Times New Roman"/>
        </w:rPr>
      </w:pPr>
    </w:p>
    <w:p w14:paraId="1822BBD5" w14:textId="77777777" w:rsidR="002E65F6" w:rsidRPr="002E65F6" w:rsidRDefault="002E65F6" w:rsidP="00D2411C">
      <w:pPr>
        <w:spacing w:before="100" w:beforeAutospacing="1" w:after="100" w:afterAutospacing="1" w:line="240" w:lineRule="auto"/>
        <w:ind w:left="1440" w:hanging="720"/>
        <w:mirrorIndents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2E65F6" w:rsidRPr="002E65F6" w:rsidSect="00CA5716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716"/>
    <w:rsid w:val="00024E60"/>
    <w:rsid w:val="00032C89"/>
    <w:rsid w:val="000A1E56"/>
    <w:rsid w:val="0013138A"/>
    <w:rsid w:val="00136FEA"/>
    <w:rsid w:val="00175823"/>
    <w:rsid w:val="00254D25"/>
    <w:rsid w:val="0026621F"/>
    <w:rsid w:val="00277E5C"/>
    <w:rsid w:val="0029224F"/>
    <w:rsid w:val="002E3B14"/>
    <w:rsid w:val="002E65F6"/>
    <w:rsid w:val="0036087F"/>
    <w:rsid w:val="003672EE"/>
    <w:rsid w:val="003E0A46"/>
    <w:rsid w:val="00505855"/>
    <w:rsid w:val="00564930"/>
    <w:rsid w:val="005A4775"/>
    <w:rsid w:val="005D53B2"/>
    <w:rsid w:val="005D6395"/>
    <w:rsid w:val="006B0AC7"/>
    <w:rsid w:val="0076690D"/>
    <w:rsid w:val="00780419"/>
    <w:rsid w:val="0087701D"/>
    <w:rsid w:val="00882A9B"/>
    <w:rsid w:val="008D5CD4"/>
    <w:rsid w:val="00983516"/>
    <w:rsid w:val="009A6605"/>
    <w:rsid w:val="00A03F0A"/>
    <w:rsid w:val="00BA6C15"/>
    <w:rsid w:val="00BC1922"/>
    <w:rsid w:val="00CA5716"/>
    <w:rsid w:val="00CA5C93"/>
    <w:rsid w:val="00CB5042"/>
    <w:rsid w:val="00CC3E69"/>
    <w:rsid w:val="00D0569F"/>
    <w:rsid w:val="00D2411C"/>
    <w:rsid w:val="00D44C70"/>
    <w:rsid w:val="00D579A5"/>
    <w:rsid w:val="00D64A7B"/>
    <w:rsid w:val="00E26E5A"/>
    <w:rsid w:val="00E711B7"/>
    <w:rsid w:val="00E722BA"/>
    <w:rsid w:val="00F5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33F82"/>
  <w15:chartTrackingRefBased/>
  <w15:docId w15:val="{9D52355E-752E-4428-951A-92A340CA1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5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7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7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7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7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7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7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7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7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7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7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7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5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7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7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7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7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A571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CA571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A57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sa=E&amp;q=https%3A%2F%2Fwww.bog.gov.gh%2Fwp-content%2Fuploads%2F2023%2F10%2FMonetary-Policy-Report-September-2023.pdf" TargetMode="External"/><Relationship Id="rId13" Type="http://schemas.openxmlformats.org/officeDocument/2006/relationships/hyperlink" Target="https://www.google.com/url?sa=E&amp;q=https%3A%2F%2Fwww.energycom.gov.gh%2Fnewsite%2Ffiles%2F2023-energy-Statistics.pdf" TargetMode="External"/><Relationship Id="rId18" Type="http://schemas.openxmlformats.org/officeDocument/2006/relationships/hyperlink" Target="https://www.google.com/url?sa=E&amp;q=https%3A%2F%2Fwww.elibrary.imf.org%2Fview%2Fjournals%2F002%2F2022%2F034%2Farticle-A001-en.xml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google.com/url?sa=E&amp;q=https%3A%2F%2Fwww.mofep.gov.gh" TargetMode="External"/><Relationship Id="rId7" Type="http://schemas.openxmlformats.org/officeDocument/2006/relationships/hyperlink" Target="https://www.google.com/url?sa=E&amp;q=https%3A%2F%2Fvcda.afdb.org%2Fen%2Fsystem%2Ffiles%2Freport%2FNigeria%2520Final%25202024.pdf" TargetMode="External"/><Relationship Id="rId12" Type="http://schemas.openxmlformats.org/officeDocument/2006/relationships/hyperlink" Target="https://www.google.com/url?sa=E&amp;q=https%3A%2F%2Fcbodghana.com%2Fdownload%2Fcbod-ghana-petroleum-industry-report-2023%2F%3Ftmstv%3D1758902876" TargetMode="External"/><Relationship Id="rId17" Type="http://schemas.openxmlformats.org/officeDocument/2006/relationships/hyperlink" Target="https://www.google.com/url?sa=E&amp;q=https%3A%2F%2Fiea-amf.org%2Fapp%2Fwebroot%2Ffiles%2Ffile%2FCountry_Task_Reports_2023_pdf%2F3b_Brazil_2023_final.pdf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oogle.com/url?sa=E&amp;q=https%3A%2F%2Fcitinewsroom.com%2F2024%2F05%2Ffree-fall-of-the-ghana-cedi-and-small-medium-enterprises-dr-andrews-ayiku-writes%2F" TargetMode="External"/><Relationship Id="rId20" Type="http://schemas.openxmlformats.org/officeDocument/2006/relationships/hyperlink" Target="https://www.google.com/url?sa=E&amp;q=https%3A%2F%2Fwww.knbs.or.ke%2Freports%2F2023-statistical-abstract%2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oogle.com/url?sa=E&amp;q=https%3A%2F%2Fwww.centralbank.go.ke%2Fuploads%2Fmonetary_policy_reports%2F628277515_29th%2520Monetary%2520Policy%2520Committee%2520Report.pdf" TargetMode="External"/><Relationship Id="rId24" Type="http://schemas.openxmlformats.org/officeDocument/2006/relationships/hyperlink" Target="https://www.google.com/url?sa=E&amp;q=https%3A%2F%2Fwww.worldbank.org%2Fen%2Fcountry%2Fnigeria%2Fpublication%2Fnigeria-economic-update-resilience-through-reforms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google.com/url?sa=E&amp;q=https%3A%2F%2Fstatsghana.gov.gh%2Fgssmain%2FfileUpload%2Fpressrelease%2FAHIES%2520executive%2520summary%25201%2520%25283_24PM%2529.pdf" TargetMode="External"/><Relationship Id="rId23" Type="http://schemas.openxmlformats.org/officeDocument/2006/relationships/hyperlink" Target="https://www.google.com/url?sa=E&amp;q=https%3A%2F%2Fnpa.gov.gh%2Fwp-content%2Fuploads%2F2023%2F12%2FPetroleum-Downstream-Industry-Report-for-Q3-2023.pdf" TargetMode="External"/><Relationship Id="rId10" Type="http://schemas.openxmlformats.org/officeDocument/2006/relationships/hyperlink" Target="https://www.google.com/url?sa=E&amp;q=https%3A%2F%2Fwww.bog.gov.gh" TargetMode="External"/><Relationship Id="rId19" Type="http://schemas.openxmlformats.org/officeDocument/2006/relationships/hyperlink" Target="https://www.google.com/url?sa=E&amp;q=https%3A%2F%2Fwww.imf.org%2F-%2Fmedia%2FAMSM%2FFiles%2FAM2022%2FIMFC%2FBrazil.ashx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google.com/url?sa=E&amp;q=https%3A%2F%2Fwww.bog.gov.gh%2Fwp-content%2Fuploads%2F2024%2F05%2FBank-of-Ghana-2023-Annual-Report-and-Financial-Statements.pdf" TargetMode="External"/><Relationship Id="rId14" Type="http://schemas.openxmlformats.org/officeDocument/2006/relationships/hyperlink" Target="https://www.google.com/url?sa=E&amp;q=https%3A%2F%2Fwww.mofep.gov.gh%2Fsites%2Fdefault%2Ffiles%2Freports%2Frevenue%2F2023-Annual-Tax-Revenue-Performance-Report.pdf" TargetMode="External"/><Relationship Id="rId22" Type="http://schemas.openxmlformats.org/officeDocument/2006/relationships/hyperlink" Target="https://www.google.com/url?sa=E&amp;q=https%3A%2F%2Fnpa.gov.gh%2Fdownstream-bulletin%2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97112d1-affc-4140-9a39-6e7214d3ed9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2B74C48252545BB433368101C339C" ma:contentTypeVersion="10" ma:contentTypeDescription="Create a new document." ma:contentTypeScope="" ma:versionID="fec0f223bff7ed965dacca3e2f63adb0">
  <xsd:schema xmlns:xsd="http://www.w3.org/2001/XMLSchema" xmlns:xs="http://www.w3.org/2001/XMLSchema" xmlns:p="http://schemas.microsoft.com/office/2006/metadata/properties" xmlns:ns3="597112d1-affc-4140-9a39-6e7214d3ed95" targetNamespace="http://schemas.microsoft.com/office/2006/metadata/properties" ma:root="true" ma:fieldsID="5a7594dfeb8408cd47fdd60623bebfa0" ns3:_="">
    <xsd:import namespace="597112d1-affc-4140-9a39-6e7214d3ed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7112d1-affc-4140-9a39-6e7214d3ed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AF7F44-B547-4654-9F2F-10F9C5AF18A2}">
  <ds:schemaRefs>
    <ds:schemaRef ds:uri="http://schemas.microsoft.com/office/2006/metadata/properties"/>
    <ds:schemaRef ds:uri="http://schemas.microsoft.com/office/infopath/2007/PartnerControls"/>
    <ds:schemaRef ds:uri="597112d1-affc-4140-9a39-6e7214d3ed95"/>
  </ds:schemaRefs>
</ds:datastoreItem>
</file>

<file path=customXml/itemProps2.xml><?xml version="1.0" encoding="utf-8"?>
<ds:datastoreItem xmlns:ds="http://schemas.openxmlformats.org/officeDocument/2006/customXml" ds:itemID="{0E586CF4-DE4D-43B2-8E67-C547FE3AEF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7112d1-affc-4140-9a39-6e7214d3ed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B8BD52F-7A02-4471-BC96-E9C92DF312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2249</Words>
  <Characters>12820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Forkuo Gabriel Osei</dc:creator>
  <cp:keywords/>
  <dc:description/>
  <cp:lastModifiedBy>Forkuo Gabriel Osei</cp:lastModifiedBy>
  <cp:revision>2</cp:revision>
  <cp:lastPrinted>2025-10-29T08:34:00Z</cp:lastPrinted>
  <dcterms:created xsi:type="dcterms:W3CDTF">2025-11-22T09:49:00Z</dcterms:created>
  <dcterms:modified xsi:type="dcterms:W3CDTF">2025-11-22T09:49:00Z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0x010100A252B74C48252545BB433368101C339C</vt:lpwstr>
  </property>
</Properties>
</file>