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7AE" w:rsidRPr="00CD29AD" w:rsidRDefault="00A617AE" w:rsidP="00A617AE">
      <w:pPr>
        <w:spacing w:line="360" w:lineRule="auto"/>
        <w:rPr>
          <w:rFonts w:ascii="Times New Roman" w:hAnsi="Times New Roman"/>
          <w:sz w:val="20"/>
          <w:szCs w:val="20"/>
        </w:rPr>
      </w:pPr>
      <w:bookmarkStart w:id="0" w:name="_Hlk49425835"/>
      <w:r w:rsidRPr="00CD29AD">
        <w:rPr>
          <w:rFonts w:ascii="Times New Roman" w:hAnsi="Times New Roman"/>
          <w:sz w:val="20"/>
          <w:szCs w:val="20"/>
        </w:rPr>
        <w:t>Table1:</w:t>
      </w:r>
      <w:r w:rsidRPr="00CD29AD">
        <w:rPr>
          <w:rFonts w:ascii="Times New Roman" w:hAnsi="Times New Roman"/>
          <w:b/>
          <w:bCs/>
          <w:sz w:val="20"/>
          <w:szCs w:val="20"/>
        </w:rPr>
        <w:t xml:space="preserve"> Sample characteristics of healthy control and chronic schizophrenia patients.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CellMar>
          <w:left w:w="28" w:type="dxa"/>
          <w:right w:w="0" w:type="dxa"/>
        </w:tblCellMar>
        <w:tblLook w:val="0600" w:firstRow="0" w:lastRow="0" w:firstColumn="0" w:lastColumn="0" w:noHBand="1" w:noVBand="1"/>
      </w:tblPr>
      <w:tblGrid>
        <w:gridCol w:w="1729"/>
        <w:gridCol w:w="1077"/>
        <w:gridCol w:w="1050"/>
        <w:gridCol w:w="1106"/>
        <w:gridCol w:w="48"/>
        <w:gridCol w:w="1125"/>
        <w:gridCol w:w="1118"/>
        <w:gridCol w:w="8"/>
        <w:gridCol w:w="1126"/>
        <w:gridCol w:w="1280"/>
        <w:tblGridChange w:id="1">
          <w:tblGrid>
            <w:gridCol w:w="1729"/>
            <w:gridCol w:w="1077"/>
            <w:gridCol w:w="1050"/>
            <w:gridCol w:w="1106"/>
            <w:gridCol w:w="48"/>
            <w:gridCol w:w="1125"/>
            <w:gridCol w:w="1118"/>
            <w:gridCol w:w="8"/>
            <w:gridCol w:w="1126"/>
            <w:gridCol w:w="1280"/>
          </w:tblGrid>
        </w:tblGridChange>
      </w:tblGrid>
      <w:tr w:rsidR="00A617AE" w:rsidRPr="00237721" w:rsidTr="009C69CD">
        <w:trPr>
          <w:trHeight w:val="397"/>
        </w:trPr>
        <w:tc>
          <w:tcPr>
            <w:tcW w:w="1729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23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Healthy control</w:t>
            </w:r>
          </w:p>
        </w:tc>
        <w:tc>
          <w:tcPr>
            <w:tcW w:w="4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7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Schizophrenia patients</w:t>
            </w:r>
          </w:p>
        </w:tc>
        <w:tc>
          <w:tcPr>
            <w:tcW w:w="128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</w:rPr>
              <w:t>c</w:t>
            </w: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Statistic, p</w:t>
            </w:r>
          </w:p>
        </w:tc>
      </w:tr>
      <w:tr w:rsidR="00A617AE" w:rsidRPr="00237721" w:rsidTr="009C69CD">
        <w:trPr>
          <w:trHeight w:val="397"/>
        </w:trPr>
        <w:tc>
          <w:tcPr>
            <w:tcW w:w="1729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Male</w:t>
            </w:r>
          </w:p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(n=172)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Female</w:t>
            </w:r>
          </w:p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(n=247)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</w:rPr>
              <w:t>a</w:t>
            </w: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Statistic, p</w:t>
            </w:r>
          </w:p>
        </w:tc>
        <w:tc>
          <w:tcPr>
            <w:tcW w:w="48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Male</w:t>
            </w:r>
          </w:p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(n=246)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Female</w:t>
            </w:r>
          </w:p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(n=121)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</w:rPr>
              <w:t>b</w:t>
            </w: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Statistic, p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617AE" w:rsidRPr="00237721" w:rsidTr="009C69CD">
        <w:trPr>
          <w:trHeight w:val="227"/>
        </w:trPr>
        <w:tc>
          <w:tcPr>
            <w:tcW w:w="1729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Age</w:t>
            </w:r>
            <w:r w:rsidRPr="00237721">
              <w:rPr>
                <w:rFonts w:ascii="Times New Roman" w:hAnsi="Times New Roman"/>
                <w:sz w:val="18"/>
                <w:szCs w:val="18"/>
              </w:rPr>
              <w:t>(year)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44.24±14.87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47.58±11.70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 xml:space="preserve">6.59, </w:t>
            </w: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0.01*</w:t>
            </w:r>
          </w:p>
        </w:tc>
        <w:tc>
          <w:tcPr>
            <w:tcW w:w="4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50.13±9.30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50.22±10.76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0.01, 0.93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 xml:space="preserve">32.83, </w:t>
            </w: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0.00**</w:t>
            </w:r>
          </w:p>
        </w:tc>
      </w:tr>
      <w:tr w:rsidR="00A617AE" w:rsidRPr="00237721" w:rsidTr="009C69CD">
        <w:trPr>
          <w:trHeight w:val="227"/>
        </w:trPr>
        <w:tc>
          <w:tcPr>
            <w:tcW w:w="1729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Educations</w:t>
            </w:r>
            <w:r w:rsidRPr="00237721">
              <w:rPr>
                <w:rFonts w:ascii="Times New Roman" w:hAnsi="Times New Roman"/>
                <w:sz w:val="18"/>
                <w:szCs w:val="18"/>
              </w:rPr>
              <w:t>(year)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9.60±3.18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8.92±3.40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 xml:space="preserve">4.17, </w:t>
            </w: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0.04*</w:t>
            </w:r>
          </w:p>
        </w:tc>
        <w:tc>
          <w:tcPr>
            <w:tcW w:w="48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9.50±2.38</w:t>
            </w:r>
          </w:p>
        </w:tc>
        <w:tc>
          <w:tcPr>
            <w:tcW w:w="1126" w:type="dxa"/>
            <w:gridSpan w:val="2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10.84±2.77</w:t>
            </w:r>
          </w:p>
        </w:tc>
        <w:tc>
          <w:tcPr>
            <w:tcW w:w="1126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 xml:space="preserve">5.35, </w:t>
            </w: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0.02*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1.76, 0.18</w:t>
            </w:r>
          </w:p>
        </w:tc>
      </w:tr>
      <w:tr w:rsidR="00A617AE" w:rsidRPr="00237721" w:rsidTr="009C69CD">
        <w:trPr>
          <w:trHeight w:val="227"/>
        </w:trPr>
        <w:tc>
          <w:tcPr>
            <w:tcW w:w="4962" w:type="dxa"/>
            <w:gridSpan w:val="4"/>
            <w:shd w:val="clear" w:color="auto" w:fill="auto"/>
            <w:vAlign w:val="center"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Age of onset</w:t>
            </w:r>
            <w:r w:rsidRPr="00237721">
              <w:rPr>
                <w:rFonts w:ascii="Times New Roman" w:hAnsi="Times New Roman"/>
                <w:sz w:val="18"/>
                <w:szCs w:val="18"/>
              </w:rPr>
              <w:t>(year)</w:t>
            </w:r>
          </w:p>
        </w:tc>
        <w:tc>
          <w:tcPr>
            <w:tcW w:w="48" w:type="dxa"/>
            <w:shd w:val="clear" w:color="auto" w:fill="auto"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auto"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23.98±6.11</w:t>
            </w:r>
          </w:p>
        </w:tc>
        <w:tc>
          <w:tcPr>
            <w:tcW w:w="1126" w:type="dxa"/>
            <w:gridSpan w:val="2"/>
            <w:shd w:val="clear" w:color="auto" w:fill="auto"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25.32±6.51</w:t>
            </w:r>
          </w:p>
        </w:tc>
        <w:tc>
          <w:tcPr>
            <w:tcW w:w="1126" w:type="dxa"/>
            <w:shd w:val="clear" w:color="auto" w:fill="auto"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1.41, 0.24</w:t>
            </w:r>
          </w:p>
        </w:tc>
        <w:tc>
          <w:tcPr>
            <w:tcW w:w="1280" w:type="dxa"/>
            <w:shd w:val="clear" w:color="auto" w:fill="auto"/>
            <w:vAlign w:val="center"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617AE" w:rsidRPr="00237721" w:rsidTr="009C69CD">
        <w:trPr>
          <w:trHeight w:val="227"/>
        </w:trPr>
        <w:tc>
          <w:tcPr>
            <w:tcW w:w="3856" w:type="dxa"/>
            <w:gridSpan w:val="3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COMT </w:t>
            </w: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allele frequency </w:t>
            </w:r>
            <w:r w:rsidRPr="00237721">
              <w:rPr>
                <w:rFonts w:ascii="Times New Roman" w:hAnsi="Times New Roman"/>
                <w:sz w:val="18"/>
                <w:szCs w:val="18"/>
              </w:rPr>
              <w:t>(%)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0.03, 0.88</w:t>
            </w:r>
          </w:p>
        </w:tc>
        <w:tc>
          <w:tcPr>
            <w:tcW w:w="48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6" w:type="dxa"/>
            <w:gridSpan w:val="2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6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 xml:space="preserve">4.16, </w:t>
            </w: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0.04*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0.52,0.47</w:t>
            </w:r>
          </w:p>
        </w:tc>
      </w:tr>
      <w:tr w:rsidR="00A617AE" w:rsidRPr="00237721" w:rsidTr="009C69CD">
        <w:trPr>
          <w:trHeight w:val="227"/>
        </w:trPr>
        <w:tc>
          <w:tcPr>
            <w:tcW w:w="1729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Met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95(28.1%)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140(28.9%)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158(32.1%)</w:t>
            </w:r>
          </w:p>
        </w:tc>
        <w:tc>
          <w:tcPr>
            <w:tcW w:w="1126" w:type="dxa"/>
            <w:gridSpan w:val="2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60(24.8%)</w:t>
            </w:r>
          </w:p>
        </w:tc>
        <w:tc>
          <w:tcPr>
            <w:tcW w:w="1126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617AE" w:rsidRPr="00237721" w:rsidTr="009C69CD">
        <w:trPr>
          <w:trHeight w:val="227"/>
        </w:trPr>
        <w:tc>
          <w:tcPr>
            <w:tcW w:w="1729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Val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247(71.9%)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354(71.7%)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334(67.9%)</w:t>
            </w:r>
          </w:p>
        </w:tc>
        <w:tc>
          <w:tcPr>
            <w:tcW w:w="1126" w:type="dxa"/>
            <w:gridSpan w:val="2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182(75.2%)</w:t>
            </w:r>
          </w:p>
        </w:tc>
        <w:tc>
          <w:tcPr>
            <w:tcW w:w="1126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617AE" w:rsidRPr="00237721" w:rsidTr="009C69CD">
        <w:trPr>
          <w:trHeight w:val="227"/>
        </w:trPr>
        <w:tc>
          <w:tcPr>
            <w:tcW w:w="3856" w:type="dxa"/>
            <w:gridSpan w:val="3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COMT</w:t>
            </w: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genotype distribution </w:t>
            </w:r>
            <w:r w:rsidRPr="00237721">
              <w:rPr>
                <w:rFonts w:ascii="Times New Roman" w:hAnsi="Times New Roman"/>
                <w:sz w:val="18"/>
                <w:szCs w:val="18"/>
              </w:rPr>
              <w:t>[(n (%)]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0.82, 0.66</w:t>
            </w:r>
          </w:p>
        </w:tc>
        <w:tc>
          <w:tcPr>
            <w:tcW w:w="48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43" w:type="dxa"/>
            <w:gridSpan w:val="2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 xml:space="preserve">10.3, </w:t>
            </w:r>
            <w:r w:rsidRPr="00237721">
              <w:rPr>
                <w:rFonts w:ascii="Times New Roman" w:hAnsi="Times New Roman"/>
                <w:b/>
                <w:bCs/>
                <w:sz w:val="18"/>
                <w:szCs w:val="18"/>
              </w:rPr>
              <w:t>0.00**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2.27,0.32</w:t>
            </w:r>
          </w:p>
        </w:tc>
      </w:tr>
      <w:tr w:rsidR="00A617AE" w:rsidRPr="00237721" w:rsidTr="009C69CD">
        <w:trPr>
          <w:trHeight w:val="227"/>
        </w:trPr>
        <w:tc>
          <w:tcPr>
            <w:tcW w:w="1729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Met/Met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12(6.2%)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14(5.1%)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21(6.1%)</w:t>
            </w:r>
          </w:p>
        </w:tc>
        <w:tc>
          <w:tcPr>
            <w:tcW w:w="1126" w:type="dxa"/>
            <w:gridSpan w:val="2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12(6.8%)</w:t>
            </w:r>
          </w:p>
        </w:tc>
        <w:tc>
          <w:tcPr>
            <w:tcW w:w="1126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617AE" w:rsidRPr="00237721" w:rsidTr="009C69CD">
        <w:trPr>
          <w:trHeight w:val="227"/>
        </w:trPr>
        <w:tc>
          <w:tcPr>
            <w:tcW w:w="1729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Met/Val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71(36.8%)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112(40.9%)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116(33.5%)</w:t>
            </w:r>
          </w:p>
        </w:tc>
        <w:tc>
          <w:tcPr>
            <w:tcW w:w="1126" w:type="dxa"/>
            <w:gridSpan w:val="2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36(20.5%)</w:t>
            </w:r>
          </w:p>
        </w:tc>
        <w:tc>
          <w:tcPr>
            <w:tcW w:w="1126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617AE" w:rsidRPr="00237721" w:rsidTr="009C69CD">
        <w:trPr>
          <w:trHeight w:val="227"/>
        </w:trPr>
        <w:tc>
          <w:tcPr>
            <w:tcW w:w="1729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Val/Val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89(46.1%)</w:t>
            </w:r>
          </w:p>
        </w:tc>
        <w:tc>
          <w:tcPr>
            <w:tcW w:w="105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121(44.2%)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" w:type="dxa"/>
            <w:shd w:val="clear" w:color="auto" w:fill="auto"/>
            <w:hideMark/>
          </w:tcPr>
          <w:p w:rsidR="00A617AE" w:rsidRPr="00237721" w:rsidRDefault="00A617AE" w:rsidP="009C69C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109(31.5%)</w:t>
            </w:r>
          </w:p>
        </w:tc>
        <w:tc>
          <w:tcPr>
            <w:tcW w:w="1126" w:type="dxa"/>
            <w:gridSpan w:val="2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37721">
              <w:rPr>
                <w:rFonts w:ascii="Times New Roman" w:hAnsi="Times New Roman"/>
                <w:sz w:val="18"/>
                <w:szCs w:val="18"/>
              </w:rPr>
              <w:t>73(41.5%)</w:t>
            </w:r>
          </w:p>
        </w:tc>
        <w:tc>
          <w:tcPr>
            <w:tcW w:w="1126" w:type="dxa"/>
            <w:shd w:val="clear" w:color="auto" w:fill="auto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A617AE" w:rsidRPr="00CD29AD" w:rsidRDefault="00A617AE" w:rsidP="00A617AE">
      <w:pPr>
        <w:rPr>
          <w:rFonts w:ascii="Times New Roman" w:hAnsi="Times New Roman"/>
          <w:sz w:val="20"/>
          <w:szCs w:val="20"/>
        </w:rPr>
      </w:pPr>
      <w:r w:rsidRPr="00CD29AD">
        <w:rPr>
          <w:rFonts w:ascii="Times New Roman" w:hAnsi="Times New Roman"/>
          <w:sz w:val="20"/>
          <w:szCs w:val="20"/>
          <w:vertAlign w:val="superscript"/>
        </w:rPr>
        <w:t>a</w:t>
      </w:r>
      <w:r w:rsidRPr="00CD29AD">
        <w:rPr>
          <w:rFonts w:ascii="Times New Roman" w:hAnsi="Times New Roman"/>
          <w:sz w:val="20"/>
          <w:szCs w:val="20"/>
        </w:rPr>
        <w:t>Statistic: sex effect in the healthy control</w:t>
      </w:r>
    </w:p>
    <w:p w:rsidR="00A617AE" w:rsidRPr="00CD29AD" w:rsidRDefault="00A617AE" w:rsidP="00A617AE">
      <w:pPr>
        <w:rPr>
          <w:rFonts w:ascii="Times New Roman" w:hAnsi="Times New Roman"/>
          <w:sz w:val="20"/>
          <w:szCs w:val="20"/>
        </w:rPr>
      </w:pPr>
      <w:r w:rsidRPr="00CD29AD">
        <w:rPr>
          <w:rFonts w:ascii="Times New Roman" w:hAnsi="Times New Roman"/>
          <w:sz w:val="20"/>
          <w:szCs w:val="20"/>
          <w:vertAlign w:val="superscript"/>
        </w:rPr>
        <w:t>b</w:t>
      </w:r>
      <w:r w:rsidRPr="00CD29AD">
        <w:rPr>
          <w:rFonts w:ascii="Times New Roman" w:hAnsi="Times New Roman"/>
          <w:sz w:val="20"/>
          <w:szCs w:val="20"/>
        </w:rPr>
        <w:t>Statistic: sex effect in the schizophrenia patients</w:t>
      </w:r>
    </w:p>
    <w:p w:rsidR="00A617AE" w:rsidRPr="00CD29AD" w:rsidRDefault="00A617AE" w:rsidP="00A617AE">
      <w:pPr>
        <w:rPr>
          <w:rFonts w:ascii="Times New Roman" w:hAnsi="Times New Roman"/>
          <w:sz w:val="20"/>
          <w:szCs w:val="20"/>
        </w:rPr>
      </w:pPr>
      <w:r w:rsidRPr="00CD29AD">
        <w:rPr>
          <w:rFonts w:ascii="Times New Roman" w:hAnsi="Times New Roman"/>
          <w:sz w:val="20"/>
          <w:szCs w:val="20"/>
          <w:vertAlign w:val="superscript"/>
        </w:rPr>
        <w:t>c</w:t>
      </w:r>
      <w:r w:rsidRPr="00CD29AD">
        <w:rPr>
          <w:rFonts w:ascii="Times New Roman" w:hAnsi="Times New Roman"/>
          <w:sz w:val="20"/>
          <w:szCs w:val="20"/>
        </w:rPr>
        <w:t>Statistic: main effect of diagnostic group</w:t>
      </w:r>
    </w:p>
    <w:p w:rsidR="00A617AE" w:rsidRPr="00CD29AD" w:rsidRDefault="00A617AE" w:rsidP="00A617AE">
      <w:pPr>
        <w:spacing w:line="360" w:lineRule="auto"/>
        <w:rPr>
          <w:rFonts w:ascii="Times New Roman" w:hAnsi="Times New Roman"/>
          <w:sz w:val="20"/>
          <w:szCs w:val="20"/>
        </w:rPr>
      </w:pPr>
      <w:r w:rsidRPr="00CD29AD">
        <w:rPr>
          <w:rFonts w:ascii="Times New Roman" w:hAnsi="Times New Roman"/>
          <w:i/>
          <w:iCs/>
          <w:sz w:val="20"/>
          <w:szCs w:val="20"/>
        </w:rPr>
        <w:t>p</w:t>
      </w:r>
      <w:r w:rsidRPr="00CD29AD">
        <w:rPr>
          <w:rFonts w:ascii="Times New Roman" w:hAnsi="Times New Roman"/>
          <w:sz w:val="20"/>
          <w:szCs w:val="20"/>
        </w:rPr>
        <w:t xml:space="preserve">: </w:t>
      </w:r>
      <w:r w:rsidRPr="00CD29AD">
        <w:rPr>
          <w:rFonts w:ascii="Times New Roman" w:hAnsi="Times New Roman"/>
          <w:i/>
          <w:iCs/>
          <w:sz w:val="20"/>
          <w:szCs w:val="20"/>
        </w:rPr>
        <w:t>*</w:t>
      </w:r>
      <w:r w:rsidRPr="00CD29AD">
        <w:rPr>
          <w:rFonts w:ascii="Times New Roman" w:hAnsi="Times New Roman"/>
          <w:sz w:val="20"/>
          <w:szCs w:val="20"/>
        </w:rPr>
        <w:t>&lt;0.05，**</w:t>
      </w:r>
      <w:r w:rsidRPr="00CD29AD">
        <w:rPr>
          <w:rFonts w:ascii="Times New Roman" w:hAnsi="Times New Roman"/>
          <w:i/>
          <w:iCs/>
          <w:sz w:val="20"/>
          <w:szCs w:val="20"/>
        </w:rPr>
        <w:t xml:space="preserve"> </w:t>
      </w:r>
      <w:r w:rsidRPr="00CD29AD">
        <w:rPr>
          <w:rFonts w:ascii="Times New Roman" w:hAnsi="Times New Roman"/>
          <w:sz w:val="20"/>
          <w:szCs w:val="20"/>
        </w:rPr>
        <w:t>&lt;0.01</w:t>
      </w:r>
    </w:p>
    <w:bookmarkEnd w:id="0"/>
    <w:p w:rsidR="00E22226" w:rsidRDefault="00E22226" w:rsidP="00A617AE"/>
    <w:p w:rsidR="00A617AE" w:rsidRDefault="00A617AE" w:rsidP="00A617AE"/>
    <w:p w:rsidR="00A617AE" w:rsidRDefault="00A617AE" w:rsidP="00A617AE"/>
    <w:p w:rsidR="00A617AE" w:rsidRPr="00CD29AD" w:rsidRDefault="00A617AE" w:rsidP="00A617AE">
      <w:pPr>
        <w:spacing w:line="360" w:lineRule="auto"/>
        <w:rPr>
          <w:rFonts w:ascii="Times New Roman" w:hAnsi="Times New Roman" w:hint="eastAsia"/>
          <w:b/>
          <w:bCs/>
          <w:sz w:val="20"/>
          <w:szCs w:val="20"/>
        </w:rPr>
      </w:pPr>
      <w:r w:rsidRPr="00CD29AD">
        <w:rPr>
          <w:rFonts w:ascii="Times New Roman" w:hAnsi="Times New Roman"/>
          <w:sz w:val="20"/>
          <w:szCs w:val="20"/>
        </w:rPr>
        <w:t xml:space="preserve">Table3: </w:t>
      </w:r>
      <w:r w:rsidRPr="00CD29AD">
        <w:rPr>
          <w:rFonts w:ascii="Times New Roman" w:hAnsi="Times New Roman"/>
          <w:b/>
          <w:bCs/>
          <w:sz w:val="20"/>
          <w:szCs w:val="20"/>
        </w:rPr>
        <w:t xml:space="preserve">Interaction of sex and </w:t>
      </w:r>
      <w:r w:rsidRPr="00CD29AD">
        <w:rPr>
          <w:rFonts w:ascii="Times New Roman" w:hAnsi="Times New Roman"/>
          <w:b/>
          <w:bCs/>
          <w:i/>
          <w:iCs/>
          <w:sz w:val="20"/>
          <w:szCs w:val="20"/>
        </w:rPr>
        <w:t>COMT</w:t>
      </w:r>
      <w:r w:rsidRPr="00CD29AD">
        <w:rPr>
          <w:rFonts w:ascii="Times New Roman" w:hAnsi="Times New Roman"/>
          <w:b/>
          <w:bCs/>
          <w:sz w:val="20"/>
          <w:szCs w:val="20"/>
        </w:rPr>
        <w:t xml:space="preserve"> Val</w:t>
      </w:r>
      <w:r w:rsidRPr="00CD29AD">
        <w:rPr>
          <w:rFonts w:ascii="Times New Roman" w:hAnsi="Times New Roman"/>
          <w:b/>
          <w:bCs/>
          <w:sz w:val="20"/>
          <w:szCs w:val="20"/>
          <w:vertAlign w:val="superscript"/>
        </w:rPr>
        <w:t>158</w:t>
      </w:r>
      <w:r w:rsidRPr="00CD29AD">
        <w:rPr>
          <w:rFonts w:ascii="Times New Roman" w:hAnsi="Times New Roman"/>
          <w:b/>
          <w:bCs/>
          <w:sz w:val="20"/>
          <w:szCs w:val="20"/>
        </w:rPr>
        <w:t xml:space="preserve">Met genotypes the clinical characteristics and cognitive function in healthy control and patients. </w:t>
      </w:r>
      <w:bookmarkStart w:id="2" w:name="_Hlk70517966"/>
    </w:p>
    <w:tbl>
      <w:tblPr>
        <w:tblpPr w:leftFromText="180" w:rightFromText="180" w:vertAnchor="text" w:horzAnchor="margin" w:tblpX="284" w:tblpY="220"/>
        <w:tblW w:w="15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" w:type="dxa"/>
          <w:right w:w="6" w:type="dxa"/>
        </w:tblCellMar>
        <w:tblLook w:val="0600" w:firstRow="0" w:lastRow="0" w:firstColumn="0" w:lastColumn="0" w:noHBand="1" w:noVBand="1"/>
      </w:tblPr>
      <w:tblGrid>
        <w:gridCol w:w="1814"/>
        <w:gridCol w:w="792"/>
        <w:gridCol w:w="792"/>
        <w:gridCol w:w="746"/>
        <w:gridCol w:w="32"/>
        <w:gridCol w:w="794"/>
        <w:gridCol w:w="794"/>
        <w:gridCol w:w="681"/>
        <w:gridCol w:w="580"/>
        <w:gridCol w:w="581"/>
        <w:gridCol w:w="791"/>
        <w:gridCol w:w="142"/>
        <w:gridCol w:w="712"/>
        <w:gridCol w:w="794"/>
        <w:gridCol w:w="737"/>
        <w:gridCol w:w="32"/>
        <w:gridCol w:w="25"/>
        <w:gridCol w:w="32"/>
        <w:gridCol w:w="794"/>
        <w:gridCol w:w="794"/>
        <w:gridCol w:w="623"/>
        <w:gridCol w:w="57"/>
        <w:gridCol w:w="593"/>
        <w:gridCol w:w="75"/>
        <w:gridCol w:w="634"/>
        <w:gridCol w:w="75"/>
        <w:gridCol w:w="775"/>
        <w:gridCol w:w="75"/>
      </w:tblGrid>
      <w:tr w:rsidR="00A617AE" w:rsidRPr="00237721" w:rsidTr="009C69CD">
        <w:trPr>
          <w:gridAfter w:val="1"/>
          <w:wAfter w:w="57" w:type="dxa"/>
          <w:trHeight w:val="227"/>
        </w:trPr>
        <w:tc>
          <w:tcPr>
            <w:tcW w:w="181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6583" w:type="dxa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Healthy Control</w:t>
            </w:r>
          </w:p>
        </w:tc>
        <w:tc>
          <w:tcPr>
            <w:tcW w:w="1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6752" w:type="dxa"/>
            <w:gridSpan w:val="1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Schizophrenia Patients</w:t>
            </w:r>
          </w:p>
        </w:tc>
      </w:tr>
      <w:tr w:rsidR="00A617AE" w:rsidRPr="00237721" w:rsidTr="009C69CD">
        <w:trPr>
          <w:gridAfter w:val="1"/>
          <w:wAfter w:w="57" w:type="dxa"/>
          <w:trHeight w:val="17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23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Male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Female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SEX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  <w:vertAlign w:val="superscript"/>
              </w:rPr>
              <w:t>c</w:t>
            </w: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 xml:space="preserve">F, </w:t>
            </w:r>
            <w:r w:rsidRPr="00237721">
              <w:rPr>
                <w:rFonts w:ascii="Times New Roman" w:eastAsia="DengXian Light" w:hAnsi="Times New Roman"/>
                <w:i/>
                <w:iCs/>
                <w:color w:val="000000"/>
                <w:kern w:val="24"/>
                <w:sz w:val="15"/>
                <w:szCs w:val="15"/>
              </w:rPr>
              <w:t>p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i/>
                <w:iCs/>
                <w:color w:val="000000"/>
                <w:kern w:val="24"/>
                <w:sz w:val="15"/>
                <w:szCs w:val="15"/>
              </w:rPr>
              <w:t>COMT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  <w:vertAlign w:val="superscript"/>
              </w:rPr>
              <w:t>c</w:t>
            </w: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 xml:space="preserve">F, </w:t>
            </w:r>
            <w:r w:rsidRPr="00237721">
              <w:rPr>
                <w:rFonts w:ascii="Times New Roman" w:eastAsia="DengXian Light" w:hAnsi="Times New Roman"/>
                <w:i/>
                <w:iCs/>
                <w:color w:val="000000"/>
                <w:kern w:val="24"/>
                <w:sz w:val="15"/>
                <w:szCs w:val="15"/>
              </w:rPr>
              <w:t>p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SEX×</w:t>
            </w:r>
            <w:r w:rsidRPr="00237721">
              <w:rPr>
                <w:rFonts w:ascii="Times New Roman" w:eastAsia="DengXian Light" w:hAnsi="Times New Roman"/>
                <w:b/>
                <w:bCs/>
                <w:i/>
                <w:iCs/>
                <w:color w:val="000000"/>
                <w:kern w:val="24"/>
                <w:sz w:val="15"/>
                <w:szCs w:val="15"/>
              </w:rPr>
              <w:t>COMT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  <w:vertAlign w:val="superscript"/>
              </w:rPr>
              <w:t>c</w:t>
            </w: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 xml:space="preserve">F, </w:t>
            </w:r>
            <w:r w:rsidRPr="00237721">
              <w:rPr>
                <w:rFonts w:ascii="Times New Roman" w:eastAsia="DengXian Light" w:hAnsi="Times New Roman"/>
                <w:i/>
                <w:iCs/>
                <w:color w:val="000000"/>
                <w:kern w:val="24"/>
                <w:sz w:val="15"/>
                <w:szCs w:val="15"/>
              </w:rPr>
              <w:t>p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22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Male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Female</w:t>
            </w:r>
          </w:p>
        </w:tc>
        <w:tc>
          <w:tcPr>
            <w:tcW w:w="6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SEX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  <w:vertAlign w:val="superscript"/>
              </w:rPr>
              <w:t>c</w:t>
            </w: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 xml:space="preserve">F, </w:t>
            </w:r>
            <w:r w:rsidRPr="00237721">
              <w:rPr>
                <w:rFonts w:ascii="Times New Roman" w:eastAsia="DengXian Light" w:hAnsi="Times New Roman"/>
                <w:i/>
                <w:iCs/>
                <w:color w:val="000000"/>
                <w:kern w:val="24"/>
                <w:sz w:val="15"/>
                <w:szCs w:val="15"/>
              </w:rPr>
              <w:t>p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i/>
                <w:iCs/>
                <w:color w:val="000000"/>
                <w:kern w:val="24"/>
                <w:sz w:val="15"/>
                <w:szCs w:val="15"/>
              </w:rPr>
              <w:t>COMT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  <w:vertAlign w:val="superscript"/>
              </w:rPr>
              <w:t>c</w:t>
            </w: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 xml:space="preserve">F, </w:t>
            </w:r>
            <w:r w:rsidRPr="00237721">
              <w:rPr>
                <w:rFonts w:ascii="Times New Roman" w:eastAsia="DengXian Light" w:hAnsi="Times New Roman"/>
                <w:i/>
                <w:iCs/>
                <w:color w:val="000000"/>
                <w:kern w:val="24"/>
                <w:sz w:val="15"/>
                <w:szCs w:val="15"/>
              </w:rPr>
              <w:t>p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SEX×</w:t>
            </w:r>
            <w:r w:rsidRPr="00237721">
              <w:rPr>
                <w:rFonts w:ascii="Times New Roman" w:eastAsia="DengXian Light" w:hAnsi="Times New Roman"/>
                <w:b/>
                <w:bCs/>
                <w:i/>
                <w:iCs/>
                <w:color w:val="000000"/>
                <w:kern w:val="24"/>
                <w:sz w:val="15"/>
                <w:szCs w:val="15"/>
              </w:rPr>
              <w:t>COMT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  <w:vertAlign w:val="superscript"/>
              </w:rPr>
              <w:t>c</w:t>
            </w: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 xml:space="preserve">F, </w:t>
            </w:r>
            <w:r w:rsidRPr="00237721">
              <w:rPr>
                <w:rFonts w:ascii="Times New Roman" w:eastAsia="DengXian Light" w:hAnsi="Times New Roman"/>
                <w:i/>
                <w:iCs/>
                <w:color w:val="000000"/>
                <w:kern w:val="24"/>
                <w:sz w:val="15"/>
                <w:szCs w:val="15"/>
              </w:rPr>
              <w:t>p</w:t>
            </w:r>
          </w:p>
        </w:tc>
      </w:tr>
      <w:tr w:rsidR="00A617AE" w:rsidRPr="00237721" w:rsidTr="009C69CD">
        <w:trPr>
          <w:trHeight w:val="170"/>
        </w:trPr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Val/Val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(n=86)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Met carrier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(n=82)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  <w:vertAlign w:val="superscript"/>
              </w:rPr>
              <w:t>a</w:t>
            </w: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 xml:space="preserve">F, </w:t>
            </w:r>
            <w:r w:rsidRPr="00237721">
              <w:rPr>
                <w:rFonts w:ascii="Times New Roman" w:eastAsia="DengXian Light" w:hAnsi="Times New Roman"/>
                <w:i/>
                <w:iCs/>
                <w:color w:val="000000"/>
                <w:kern w:val="24"/>
                <w:sz w:val="15"/>
                <w:szCs w:val="15"/>
              </w:rPr>
              <w:t>p</w:t>
            </w:r>
          </w:p>
        </w:tc>
        <w:tc>
          <w:tcPr>
            <w:tcW w:w="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Val/Val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(n=111)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Met carrier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F(n=118)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  <w:vertAlign w:val="superscript"/>
              </w:rPr>
              <w:t>b</w:t>
            </w: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 xml:space="preserve">F, </w:t>
            </w:r>
            <w:r w:rsidRPr="00237721">
              <w:rPr>
                <w:rFonts w:ascii="Times New Roman" w:eastAsia="DengXian Light" w:hAnsi="Times New Roman"/>
                <w:i/>
                <w:iCs/>
                <w:color w:val="000000"/>
                <w:kern w:val="24"/>
                <w:sz w:val="15"/>
                <w:szCs w:val="15"/>
              </w:rPr>
              <w:t>p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Val/Val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(n=78)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Met carrier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(n=103)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  <w:vertAlign w:val="superscript"/>
              </w:rPr>
              <w:t>a</w:t>
            </w: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 xml:space="preserve">F, </w:t>
            </w:r>
            <w:r w:rsidRPr="00237721">
              <w:rPr>
                <w:rFonts w:ascii="Times New Roman" w:eastAsia="DengXian Light" w:hAnsi="Times New Roman"/>
                <w:i/>
                <w:iCs/>
                <w:color w:val="000000"/>
                <w:kern w:val="24"/>
                <w:sz w:val="15"/>
                <w:szCs w:val="15"/>
              </w:rPr>
              <w:t>p</w:t>
            </w:r>
          </w:p>
        </w:tc>
        <w:tc>
          <w:tcPr>
            <w:tcW w:w="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Val/Val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(n=37)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Met carrier</w:t>
            </w:r>
          </w:p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F(n=26)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top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  <w:vertAlign w:val="superscript"/>
              </w:rPr>
              <w:t>b</w:t>
            </w: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 xml:space="preserve">F, </w:t>
            </w:r>
            <w:r w:rsidRPr="00237721">
              <w:rPr>
                <w:rFonts w:ascii="Times New Roman" w:eastAsia="DengXian Light" w:hAnsi="Times New Roman"/>
                <w:i/>
                <w:iCs/>
                <w:color w:val="000000"/>
                <w:kern w:val="24"/>
                <w:sz w:val="15"/>
                <w:szCs w:val="15"/>
              </w:rPr>
              <w:t>p</w:t>
            </w:r>
          </w:p>
        </w:tc>
        <w:tc>
          <w:tcPr>
            <w:tcW w:w="6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PANSS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1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6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Positive subscale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13.3±4.8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11.6±4.6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5.4,0.01**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12.3±5.4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14.7±7.3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1.8,0.18</w:t>
            </w:r>
          </w:p>
        </w:tc>
        <w:tc>
          <w:tcPr>
            <w:tcW w:w="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1.4,0.24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0.4,0.54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7.3,0.01*</w:t>
            </w: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Negative subscale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22.1±7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22.1±7.2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0.1,0.92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21.1±6.9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20±8.1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1.9,0.16</w:t>
            </w:r>
          </w:p>
        </w:tc>
        <w:tc>
          <w:tcPr>
            <w:tcW w:w="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2.4,0.12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0.4,0.51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0.6,0.44</w:t>
            </w: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General subscale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27.4±5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25.8±4.8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3.7,0.03*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27.8±6.2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27.9±6.2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0.2,0.81</w:t>
            </w:r>
          </w:p>
        </w:tc>
        <w:tc>
          <w:tcPr>
            <w:tcW w:w="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1.8,0.18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0.9,0.34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0.9,0.36</w:t>
            </w: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Total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62.8±12.8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59.5±13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2.2,0.12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61.1±14.1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62.6±15.6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0.0,0.98</w:t>
            </w:r>
          </w:p>
        </w:tc>
        <w:tc>
          <w:tcPr>
            <w:tcW w:w="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0.0,0.85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0.2,0.63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1.1,0.31</w:t>
            </w: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RBANS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Immediate memory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73.8±16.9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76.6±18.7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0.2,0.62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77±16.5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75.8±17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0.3,0.58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0.8,0.38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0,0.96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0.5,0.47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57.4±13.1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66.8±20.4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12.9,0.00**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67.3±19.3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66.5±20.7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0.2,0.69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4,0.05*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2,0.15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4.4,0.04*</w:t>
            </w: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Visuospatial/constructional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79±15.7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80.5±15.8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0,1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80.8±16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79.4±15.4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0.5,0.46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0.4,0.56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0.3,0.56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79.4±20.1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85.4±18.3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5.9,0.02*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87.2±20.1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84.7±18.6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0.5,0.47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1,0.33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0.3,0.57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3.4,0.07</w:t>
            </w: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Language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94.1±11.1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95±12.3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0.1,0.78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93.4±13.8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94.3±13.8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0.2,0.65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0.2,0.64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0.0,0.86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0.2,0.69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84.5±13.3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88.4±13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4.4,0.04*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84±17.1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91±13.8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2.6,0.11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0.2,0.67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6.6,0.01*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0.4,0.51</w:t>
            </w: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Attention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87.2±20.4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88.6±20.5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0,0.93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88.7±19.6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87±20.4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0.5,0.49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0.0,0.91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0.4,0.54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0.1,0.75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78.4±14.2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82.8±14.9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4.6,0.03*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84.4±14.3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79.8±18.1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1.6,0.21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0.4,0.53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0,0.85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4.9,0.03*</w:t>
            </w: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Delayed memory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86.8±14.5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87.1±13.7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0.2,0.66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87.6±14.4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85±16.5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1.7,0.19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0.0,0.92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1.7,0.19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0.3,0.62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66±18.6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71.4±21.3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4.3,0.03*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78.5±20.2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75.5±22.7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0.6,0.43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6.9,0.01*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0.1,0.78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2.9,0.09</w:t>
            </w:r>
          </w:p>
        </w:tc>
      </w:tr>
      <w:tr w:rsidR="00A617AE" w:rsidRPr="00237721" w:rsidTr="009C69CD">
        <w:trPr>
          <w:trHeight w:val="283"/>
        </w:trPr>
        <w:tc>
          <w:tcPr>
            <w:tcW w:w="18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left"/>
              <w:textAlignment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RBANS total score</w:t>
            </w: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79.5±14.6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81.3±15.5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0.0,0.86</w:t>
            </w:r>
          </w:p>
        </w:tc>
        <w:tc>
          <w:tcPr>
            <w:tcW w:w="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80.95±14.8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79.8±15.5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0.4,0.53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0.1,0.78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0.2,0.67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0.2,0.66</w:t>
            </w:r>
          </w:p>
        </w:tc>
        <w:tc>
          <w:tcPr>
            <w:tcW w:w="1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66.7±12.6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73.5±15.1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9.0,0.00**</w:t>
            </w:r>
          </w:p>
        </w:tc>
        <w:tc>
          <w:tcPr>
            <w:tcW w:w="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75.1±16.9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74.4±18.2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0.2,0.61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textAlignment w:val="bottom"/>
              <w:rPr>
                <w:rFonts w:ascii="Times New Roman" w:eastAsia="DengXian Light" w:hAnsi="Times New Roman"/>
                <w:b/>
                <w:bCs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4.3,0.04*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color w:val="000000"/>
                <w:kern w:val="24"/>
                <w:sz w:val="15"/>
                <w:szCs w:val="15"/>
              </w:rPr>
              <w:t>1.7,0.2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A617AE" w:rsidRPr="00237721" w:rsidRDefault="00A617AE" w:rsidP="009C69CD">
            <w:pPr>
              <w:widowControl/>
              <w:spacing w:line="0" w:lineRule="atLeast"/>
              <w:jc w:val="center"/>
              <w:textAlignment w:val="bottom"/>
              <w:rPr>
                <w:rFonts w:ascii="Times New Roman" w:eastAsia="DengXian Light" w:hAnsi="Times New Roman"/>
                <w:b/>
                <w:bCs/>
                <w:kern w:val="0"/>
                <w:sz w:val="15"/>
                <w:szCs w:val="15"/>
              </w:rPr>
            </w:pPr>
            <w:r w:rsidRPr="00237721">
              <w:rPr>
                <w:rFonts w:ascii="Times New Roman" w:eastAsia="DengXian Light" w:hAnsi="Times New Roman"/>
                <w:b/>
                <w:bCs/>
                <w:color w:val="000000"/>
                <w:kern w:val="24"/>
                <w:sz w:val="15"/>
                <w:szCs w:val="15"/>
              </w:rPr>
              <w:t>4.2,0.04*</w:t>
            </w:r>
          </w:p>
        </w:tc>
      </w:tr>
    </w:tbl>
    <w:bookmarkEnd w:id="2"/>
    <w:p w:rsidR="00A617AE" w:rsidRPr="00CD29AD" w:rsidRDefault="00A617AE" w:rsidP="00A617AE">
      <w:pPr>
        <w:spacing w:line="360" w:lineRule="auto"/>
        <w:rPr>
          <w:rFonts w:ascii="Times New Roman" w:hAnsi="Times New Roman"/>
          <w:sz w:val="20"/>
          <w:szCs w:val="20"/>
        </w:rPr>
      </w:pPr>
      <w:r w:rsidRPr="00CD29AD">
        <w:rPr>
          <w:rFonts w:ascii="Times New Roman" w:hAnsi="Times New Roman"/>
          <w:sz w:val="20"/>
          <w:szCs w:val="20"/>
          <w:vertAlign w:val="superscript"/>
        </w:rPr>
        <w:t>a</w:t>
      </w:r>
      <w:r w:rsidRPr="00CD29AD">
        <w:rPr>
          <w:rFonts w:ascii="Times New Roman" w:hAnsi="Times New Roman"/>
          <w:sz w:val="20"/>
          <w:szCs w:val="20"/>
        </w:rPr>
        <w:t>F: one-way MANCOVA in the male subjects</w:t>
      </w:r>
    </w:p>
    <w:p w:rsidR="00A617AE" w:rsidRPr="00CD29AD" w:rsidRDefault="00A617AE" w:rsidP="00A617AE">
      <w:pPr>
        <w:spacing w:line="360" w:lineRule="auto"/>
        <w:rPr>
          <w:rFonts w:ascii="Times New Roman" w:hAnsi="Times New Roman"/>
          <w:sz w:val="20"/>
          <w:szCs w:val="20"/>
        </w:rPr>
      </w:pPr>
      <w:r w:rsidRPr="00CD29AD">
        <w:rPr>
          <w:rFonts w:ascii="Times New Roman" w:hAnsi="Times New Roman"/>
          <w:sz w:val="20"/>
          <w:szCs w:val="20"/>
          <w:vertAlign w:val="superscript"/>
        </w:rPr>
        <w:t>b</w:t>
      </w:r>
      <w:r w:rsidRPr="00CD29AD">
        <w:rPr>
          <w:rFonts w:ascii="Times New Roman" w:hAnsi="Times New Roman"/>
          <w:sz w:val="20"/>
          <w:szCs w:val="20"/>
        </w:rPr>
        <w:t>F: one-way MANCOVA in the female subjects</w:t>
      </w:r>
    </w:p>
    <w:p w:rsidR="00A617AE" w:rsidRPr="00CD29AD" w:rsidRDefault="00A617AE" w:rsidP="00A617AE">
      <w:pPr>
        <w:spacing w:line="360" w:lineRule="auto"/>
        <w:rPr>
          <w:rFonts w:ascii="Times New Roman" w:hAnsi="Times New Roman"/>
          <w:sz w:val="20"/>
          <w:szCs w:val="20"/>
        </w:rPr>
      </w:pPr>
      <w:r w:rsidRPr="00CD29AD">
        <w:rPr>
          <w:rFonts w:ascii="Times New Roman" w:hAnsi="Times New Roman"/>
          <w:sz w:val="20"/>
          <w:szCs w:val="20"/>
          <w:vertAlign w:val="superscript"/>
        </w:rPr>
        <w:t>c</w:t>
      </w:r>
      <w:r w:rsidRPr="00CD29AD">
        <w:rPr>
          <w:rFonts w:ascii="Times New Roman" w:hAnsi="Times New Roman"/>
          <w:sz w:val="20"/>
          <w:szCs w:val="20"/>
        </w:rPr>
        <w:t>F: two-way MANCOVA in the health control/patients.</w:t>
      </w:r>
    </w:p>
    <w:p w:rsidR="00A617AE" w:rsidRPr="00CD29AD" w:rsidRDefault="00A617AE" w:rsidP="00A617AE">
      <w:pPr>
        <w:spacing w:line="360" w:lineRule="auto"/>
        <w:rPr>
          <w:rFonts w:ascii="Times New Roman" w:hAnsi="Times New Roman"/>
          <w:sz w:val="20"/>
          <w:szCs w:val="20"/>
        </w:rPr>
      </w:pPr>
      <w:r w:rsidRPr="00CD29AD">
        <w:rPr>
          <w:rFonts w:ascii="Times New Roman" w:hAnsi="Times New Roman"/>
          <w:sz w:val="20"/>
          <w:szCs w:val="20"/>
        </w:rPr>
        <w:t>Age and education defined as the covariates in healthy control; Age, age of onset, and education as the covariates in patients.</w:t>
      </w:r>
    </w:p>
    <w:p w:rsidR="00A617AE" w:rsidRPr="00CD29AD" w:rsidRDefault="00A617AE" w:rsidP="00A617AE">
      <w:pPr>
        <w:spacing w:line="360" w:lineRule="auto"/>
        <w:rPr>
          <w:rFonts w:ascii="Times New Roman" w:hAnsi="Times New Roman"/>
          <w:sz w:val="20"/>
          <w:szCs w:val="20"/>
        </w:rPr>
      </w:pPr>
      <w:r w:rsidRPr="00CD29AD">
        <w:rPr>
          <w:rFonts w:ascii="Times New Roman" w:hAnsi="Times New Roman"/>
          <w:i/>
          <w:iCs/>
          <w:sz w:val="20"/>
          <w:szCs w:val="20"/>
        </w:rPr>
        <w:t>p</w:t>
      </w:r>
      <w:r w:rsidRPr="00CD29AD">
        <w:rPr>
          <w:rFonts w:ascii="Times New Roman" w:hAnsi="Times New Roman"/>
          <w:sz w:val="20"/>
          <w:szCs w:val="20"/>
        </w:rPr>
        <w:t xml:space="preserve">: </w:t>
      </w:r>
      <w:r w:rsidRPr="00CD29AD">
        <w:rPr>
          <w:rFonts w:ascii="Times New Roman" w:hAnsi="Times New Roman"/>
          <w:i/>
          <w:iCs/>
          <w:sz w:val="20"/>
          <w:szCs w:val="20"/>
        </w:rPr>
        <w:t>*</w:t>
      </w:r>
      <w:r w:rsidRPr="00CD29AD">
        <w:rPr>
          <w:rFonts w:ascii="Times New Roman" w:hAnsi="Times New Roman"/>
          <w:sz w:val="20"/>
          <w:szCs w:val="20"/>
        </w:rPr>
        <w:t>&lt;0.05，**</w:t>
      </w:r>
      <w:r w:rsidRPr="00CD29AD">
        <w:rPr>
          <w:rFonts w:ascii="Times New Roman" w:hAnsi="Times New Roman"/>
          <w:i/>
          <w:iCs/>
          <w:sz w:val="20"/>
          <w:szCs w:val="20"/>
        </w:rPr>
        <w:t xml:space="preserve"> </w:t>
      </w:r>
      <w:r w:rsidRPr="00CD29AD">
        <w:rPr>
          <w:rFonts w:ascii="Times New Roman" w:hAnsi="Times New Roman"/>
          <w:sz w:val="20"/>
          <w:szCs w:val="20"/>
        </w:rPr>
        <w:t>&lt;0.01</w:t>
      </w:r>
    </w:p>
    <w:p w:rsidR="00A617AE" w:rsidRPr="00A617AE" w:rsidRDefault="00A617AE" w:rsidP="00A617AE">
      <w:bookmarkStart w:id="3" w:name="_GoBack"/>
      <w:bookmarkEnd w:id="3"/>
    </w:p>
    <w:sectPr w:rsidR="00A617AE" w:rsidRPr="00A617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AAE"/>
    <w:rsid w:val="0016198D"/>
    <w:rsid w:val="00294AAE"/>
    <w:rsid w:val="003E54F6"/>
    <w:rsid w:val="009A0E03"/>
    <w:rsid w:val="00A617AE"/>
    <w:rsid w:val="00C63A64"/>
    <w:rsid w:val="00E12942"/>
    <w:rsid w:val="00E22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66A01"/>
  <w15:chartTrackingRefBased/>
  <w15:docId w15:val="{39F1DBDC-7EAD-4602-B597-7CBF5F71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0E0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2021-08-25T11:57:00Z</dcterms:created>
  <dcterms:modified xsi:type="dcterms:W3CDTF">2021-08-26T10:02:00Z</dcterms:modified>
</cp:coreProperties>
</file>