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E2BD6" w14:textId="77777777" w:rsidR="009426E5" w:rsidRDefault="009426E5" w:rsidP="009426E5">
      <w:pPr>
        <w:pStyle w:val="Heading3"/>
      </w:pPr>
      <w:r>
        <w:t>Supplemental Figures</w:t>
      </w:r>
    </w:p>
    <w:p w14:paraId="01448CD5" w14:textId="77777777" w:rsidR="009426E5" w:rsidRDefault="009426E5" w:rsidP="009426E5">
      <w:r>
        <w:rPr>
          <w:noProof/>
        </w:rPr>
        <w:drawing>
          <wp:inline distT="0" distB="0" distL="0" distR="0" wp14:anchorId="3D2C8050" wp14:editId="431BA3AA">
            <wp:extent cx="5930900" cy="3930650"/>
            <wp:effectExtent l="0" t="0" r="0" b="0"/>
            <wp:docPr id="153080409" name="Picture 2" descr="A graph of different types of foo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80409" name="Picture 2" descr="A graph of different types of foo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B83EC" w14:textId="77777777" w:rsidR="009426E5" w:rsidRPr="00DE2A7F" w:rsidRDefault="009426E5" w:rsidP="009426E5">
      <w:pPr>
        <w:rPr>
          <w:sz w:val="20"/>
          <w:szCs w:val="20"/>
        </w:rPr>
      </w:pPr>
      <w:r w:rsidRPr="00B14A22">
        <w:rPr>
          <w:b/>
          <w:bCs/>
          <w:sz w:val="20"/>
          <w:szCs w:val="20"/>
        </w:rPr>
        <w:t xml:space="preserve">Figure </w:t>
      </w:r>
      <w:r>
        <w:rPr>
          <w:b/>
          <w:bCs/>
          <w:sz w:val="20"/>
          <w:szCs w:val="20"/>
        </w:rPr>
        <w:t>S1</w:t>
      </w:r>
      <w:r w:rsidRPr="00B14A22">
        <w:rPr>
          <w:b/>
          <w:bCs/>
          <w:sz w:val="20"/>
          <w:szCs w:val="20"/>
        </w:rPr>
        <w:t xml:space="preserve">. </w:t>
      </w:r>
      <w:r>
        <w:rPr>
          <w:b/>
          <w:bCs/>
          <w:sz w:val="20"/>
          <w:szCs w:val="20"/>
        </w:rPr>
        <w:t>snpEFF Mutation Classes</w:t>
      </w:r>
      <w:r w:rsidRPr="00B14A22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Across Protein Structures (5% tails excluded)</w:t>
      </w:r>
      <w:r>
        <w:rPr>
          <w:sz w:val="20"/>
          <w:szCs w:val="20"/>
        </w:rPr>
        <w:t xml:space="preserve">. The relationship between minor allele frequency (MAF) and relative available surface area (rASA) at mutation positions in protein coding genes is plotted with the </w:t>
      </w:r>
      <w:r w:rsidRPr="005A4B17">
        <w:rPr>
          <w:i/>
          <w:iCs/>
          <w:sz w:val="20"/>
          <w:szCs w:val="20"/>
        </w:rPr>
        <w:t>geom_smooth</w:t>
      </w:r>
      <w:r>
        <w:rPr>
          <w:sz w:val="20"/>
          <w:szCs w:val="20"/>
        </w:rPr>
        <w:t xml:space="preserve"> function in ggplot2. Mutation effects are classified as low (synonymous), moderate (nonsynonymous or in-frame small indels), and high (frameshift, splice site variants, start-codon loss, etc). Amino acids that fell into the first and last 5% of the protein sequence were excluded.</w:t>
      </w:r>
    </w:p>
    <w:p w14:paraId="2960C596" w14:textId="77777777" w:rsidR="009426E5" w:rsidRDefault="009426E5" w:rsidP="009426E5"/>
    <w:p w14:paraId="0088CA10" w14:textId="77777777" w:rsidR="009426E5" w:rsidRDefault="009426E5" w:rsidP="009426E5">
      <w:r>
        <w:rPr>
          <w:noProof/>
        </w:rPr>
        <w:lastRenderedPageBreak/>
        <w:drawing>
          <wp:inline distT="0" distB="0" distL="0" distR="0" wp14:anchorId="02E2EAB1" wp14:editId="04BF89F1">
            <wp:extent cx="5943600" cy="3937000"/>
            <wp:effectExtent l="0" t="0" r="0" b="6350"/>
            <wp:docPr id="378620380" name="Picture 4" descr="A graph of different types of foo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620380" name="Picture 4" descr="A graph of different types of foo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C6EA1" w14:textId="77777777" w:rsidR="009426E5" w:rsidRPr="00F64B00" w:rsidRDefault="009426E5" w:rsidP="009426E5">
      <w:pPr>
        <w:rPr>
          <w:sz w:val="20"/>
          <w:szCs w:val="20"/>
        </w:rPr>
      </w:pPr>
      <w:r w:rsidRPr="00B14A22">
        <w:rPr>
          <w:b/>
          <w:bCs/>
          <w:sz w:val="20"/>
          <w:szCs w:val="20"/>
        </w:rPr>
        <w:t xml:space="preserve">Figure </w:t>
      </w:r>
      <w:r>
        <w:rPr>
          <w:b/>
          <w:bCs/>
          <w:sz w:val="20"/>
          <w:szCs w:val="20"/>
        </w:rPr>
        <w:t>S2</w:t>
      </w:r>
      <w:r w:rsidRPr="00B14A22">
        <w:rPr>
          <w:b/>
          <w:bCs/>
          <w:sz w:val="20"/>
          <w:szCs w:val="20"/>
        </w:rPr>
        <w:t xml:space="preserve">. Amino Acid Substitution </w:t>
      </w:r>
      <w:r>
        <w:rPr>
          <w:b/>
          <w:bCs/>
          <w:sz w:val="20"/>
          <w:szCs w:val="20"/>
        </w:rPr>
        <w:t>BLOSUM Scores Across Protein Structures</w:t>
      </w:r>
      <w:r>
        <w:rPr>
          <w:sz w:val="20"/>
          <w:szCs w:val="20"/>
        </w:rPr>
        <w:t xml:space="preserve">. The relationship between minor allele frequency (MAF) and relative available surface area (rASA) at nonsynonymous mutation positions is plotted with the </w:t>
      </w:r>
      <w:r w:rsidRPr="005A4B17">
        <w:rPr>
          <w:i/>
          <w:iCs/>
          <w:sz w:val="20"/>
          <w:szCs w:val="20"/>
        </w:rPr>
        <w:t>geom_smooth</w:t>
      </w:r>
      <w:r>
        <w:rPr>
          <w:sz w:val="20"/>
          <w:szCs w:val="20"/>
        </w:rPr>
        <w:t xml:space="preserve"> function in ggplot2. The BLOSUM score given by the </w:t>
      </w:r>
      <w:r w:rsidRPr="001B28A7">
        <w:rPr>
          <w:sz w:val="20"/>
          <w:szCs w:val="20"/>
        </w:rPr>
        <w:t xml:space="preserve">BLOSUM62 </w:t>
      </w:r>
      <w:r>
        <w:rPr>
          <w:sz w:val="20"/>
          <w:szCs w:val="20"/>
        </w:rPr>
        <w:t>matrix are shown for nonsynonymous mutations.</w:t>
      </w:r>
    </w:p>
    <w:p w14:paraId="49ECCD69" w14:textId="77777777" w:rsidR="009426E5" w:rsidRPr="00DE2A7F" w:rsidRDefault="009426E5" w:rsidP="009426E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B7C85D" wp14:editId="218E6929">
                <wp:simplePos x="0" y="0"/>
                <wp:positionH relativeFrom="column">
                  <wp:posOffset>9281620</wp:posOffset>
                </wp:positionH>
                <wp:positionV relativeFrom="paragraph">
                  <wp:posOffset>3084245</wp:posOffset>
                </wp:positionV>
                <wp:extent cx="968670" cy="436905"/>
                <wp:effectExtent l="0" t="0" r="3175" b="1270"/>
                <wp:wrapNone/>
                <wp:docPr id="807085849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91F48AB0-0506-E486-5A24-9D769ED1162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8670" cy="4369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14:paraId="78EB0CCF" w14:textId="77777777" w:rsidR="009426E5" w:rsidRDefault="009426E5" w:rsidP="009426E5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BLOSUM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B7C85D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730.85pt;margin-top:242.85pt;width:76.25pt;height:34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" fillcolor="white [3212]" stroked="f">
                <v:textbox>
                  <w:txbxContent>
                    <w:p w14:paraId="78EB0CCF" w14:textId="77777777" w:rsidR="009426E5" w:rsidRDefault="009426E5" w:rsidP="009426E5">
                      <w:pP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hAnsi="Aptos"/>
                          <w:color w:val="000000" w:themeColor="text1"/>
                          <w:kern w:val="24"/>
                          <w:sz w:val="36"/>
                          <w:szCs w:val="36"/>
                        </w:rPr>
                        <w:t>BLOSUM</w:t>
                      </w:r>
                    </w:p>
                  </w:txbxContent>
                </v:textbox>
              </v:shape>
            </w:pict>
          </mc:Fallback>
        </mc:AlternateContent>
      </w:r>
    </w:p>
    <w:p w14:paraId="1C911FF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6E5"/>
    <w:rsid w:val="001B5525"/>
    <w:rsid w:val="002978F5"/>
    <w:rsid w:val="003852CF"/>
    <w:rsid w:val="004E780C"/>
    <w:rsid w:val="009426E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DFC94"/>
  <w15:chartTrackingRefBased/>
  <w15:docId w15:val="{DB47E1B6-E9AE-4696-BCED-830DE5DCD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6E5"/>
  </w:style>
  <w:style w:type="paragraph" w:styleId="Heading1">
    <w:name w:val="heading 1"/>
    <w:basedOn w:val="Normal"/>
    <w:next w:val="Normal"/>
    <w:link w:val="Heading1Char"/>
    <w:uiPriority w:val="9"/>
    <w:qFormat/>
    <w:rsid w:val="009426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6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426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6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6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6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6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6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6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6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6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426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6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6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6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6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6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6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6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26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6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26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26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26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6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26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6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6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6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781</Characters>
  <Application>Microsoft Office Word</Application>
  <DocSecurity>0</DocSecurity>
  <Lines>12</Lines>
  <Paragraphs>3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2025-12-01T07:48:00Z</dcterms:created>
  <dcterms:modified xsi:type="dcterms:W3CDTF">2025-12-01T07:48:00Z</dcterms:modified>
</cp:coreProperties>
</file>