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418"/>
        <w:gridCol w:w="1417"/>
        <w:gridCol w:w="1418"/>
        <w:gridCol w:w="1134"/>
      </w:tblGrid>
      <w:tr w:rsidR="00AB2FA1" w:rsidRPr="006F6525" w14:paraId="1EDF9419" w14:textId="77777777" w:rsidTr="00244264">
        <w:trPr>
          <w:jc w:val="center"/>
        </w:trPr>
        <w:tc>
          <w:tcPr>
            <w:tcW w:w="8784" w:type="dxa"/>
            <w:gridSpan w:val="5"/>
            <w:tcBorders>
              <w:bottom w:val="single" w:sz="4" w:space="0" w:color="000000"/>
            </w:tcBorders>
          </w:tcPr>
          <w:p w14:paraId="62FCFF6B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Table 3</w:t>
            </w: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. Association of functional capacity, frailty, and low functional capacity and frailty with post-surgical complications in elective conventional cardiac surgery</w:t>
            </w:r>
          </w:p>
        </w:tc>
      </w:tr>
      <w:tr w:rsidR="00AB2FA1" w:rsidRPr="00AB2FA1" w14:paraId="00550CD6" w14:textId="77777777" w:rsidTr="00244264">
        <w:trPr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2414FF6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Variables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EA551C8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All (n=68)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73F2F17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Post-surgical complications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DFE5022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p-value</w:t>
            </w:r>
          </w:p>
        </w:tc>
      </w:tr>
      <w:tr w:rsidR="00AB2FA1" w:rsidRPr="00AB2FA1" w14:paraId="341BCBE5" w14:textId="77777777" w:rsidTr="00244264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59DA111B" w14:textId="77777777" w:rsidR="00AB2FA1" w:rsidRPr="00AB2FA1" w:rsidRDefault="00AB2FA1" w:rsidP="00AB2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DCF2ED3" w14:textId="77777777" w:rsidR="00AB2FA1" w:rsidRPr="00AB2FA1" w:rsidRDefault="00AB2FA1" w:rsidP="00AB2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304419BD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Yes (n=22)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3F9C2D45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No (n=46)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65818016" w14:textId="77777777" w:rsidR="00AB2FA1" w:rsidRPr="00AB2FA1" w:rsidRDefault="00AB2FA1" w:rsidP="00AB2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</w:tr>
      <w:tr w:rsidR="00AB2FA1" w:rsidRPr="00AB2FA1" w14:paraId="32C4E6A6" w14:textId="77777777" w:rsidTr="00244264">
        <w:trPr>
          <w:jc w:val="center"/>
        </w:trPr>
        <w:tc>
          <w:tcPr>
            <w:tcW w:w="3397" w:type="dxa"/>
            <w:tcBorders>
              <w:top w:val="single" w:sz="4" w:space="0" w:color="000000"/>
            </w:tcBorders>
          </w:tcPr>
          <w:p w14:paraId="2969EC5B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>Functional capacity</w:t>
            </w:r>
          </w:p>
          <w:p w14:paraId="5F9D2291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>SPPB</w:t>
            </w: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(point)</w:t>
            </w:r>
          </w:p>
          <w:p w14:paraId="2A4407C4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</w:t>
            </w:r>
            <w:r w:rsidRPr="00AB2FA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SPPB classification </w:t>
            </w:r>
          </w:p>
          <w:p w14:paraId="0EEAC40C" w14:textId="77777777" w:rsidR="00AB2FA1" w:rsidRPr="00AB2FA1" w:rsidRDefault="00AB2FA1" w:rsidP="00AB2FA1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Incapacity</w:t>
            </w:r>
          </w:p>
          <w:p w14:paraId="5F6FABAB" w14:textId="77777777" w:rsidR="00AB2FA1" w:rsidRPr="00AB2FA1" w:rsidRDefault="00AB2FA1" w:rsidP="00AB2FA1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Low capacity</w:t>
            </w:r>
          </w:p>
          <w:p w14:paraId="5A199882" w14:textId="77777777" w:rsidR="00AB2FA1" w:rsidRPr="00AB2FA1" w:rsidRDefault="00AB2FA1" w:rsidP="00AB2FA1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Moderate capacity</w:t>
            </w:r>
          </w:p>
          <w:p w14:paraId="22FCA7D1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Good capacity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51BEC8AD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F258731" w14:textId="73DF51E1" w:rsidR="00AB2FA1" w:rsidRPr="00AB2FA1" w:rsidRDefault="006F6525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9 [7.0-10.0]</w:t>
            </w:r>
          </w:p>
          <w:p w14:paraId="7DC01D51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E31A74F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(0)</w:t>
            </w:r>
          </w:p>
          <w:p w14:paraId="61EC5757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14 (20.6)</w:t>
            </w:r>
          </w:p>
          <w:p w14:paraId="42DF960C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31 (45.6)</w:t>
            </w:r>
          </w:p>
          <w:p w14:paraId="168C245A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23 (33.8)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195B49F1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E3073B2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7.5 [5.0-9.3]</w:t>
            </w:r>
          </w:p>
          <w:p w14:paraId="03D36901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0701012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  <w:p w14:paraId="46257208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8 (57.1)</w:t>
            </w:r>
          </w:p>
          <w:p w14:paraId="25948189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9 (29.0)</w:t>
            </w:r>
          </w:p>
          <w:p w14:paraId="4D3A3C6F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 (21.7)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4E2D5C18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D32E288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9 [7.0-10.0]</w:t>
            </w:r>
          </w:p>
          <w:p w14:paraId="64293EC4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D59CA5C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  <w:p w14:paraId="18B4E724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6 (42.9)</w:t>
            </w:r>
          </w:p>
          <w:p w14:paraId="6F142100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22 (70.9)</w:t>
            </w:r>
          </w:p>
          <w:p w14:paraId="7242DD6E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18 (78.2)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0A35BC7A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A8C3D02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0.048</w:t>
            </w: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a</w:t>
            </w:r>
          </w:p>
          <w:p w14:paraId="010D4169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492F7CA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538E563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pt-BR"/>
                <w14:ligatures w14:val="none"/>
              </w:rPr>
              <w:t>0.072</w:t>
            </w:r>
            <w:r w:rsidRPr="00AB2F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</w:p>
        </w:tc>
      </w:tr>
      <w:tr w:rsidR="00AB2FA1" w:rsidRPr="00AB2FA1" w14:paraId="67E4329B" w14:textId="77777777" w:rsidTr="00244264">
        <w:trPr>
          <w:jc w:val="center"/>
        </w:trPr>
        <w:tc>
          <w:tcPr>
            <w:tcW w:w="3397" w:type="dxa"/>
          </w:tcPr>
          <w:p w14:paraId="46D1466C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Frailty </w:t>
            </w:r>
          </w:p>
          <w:p w14:paraId="65876816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CFS </w:t>
            </w: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(point)</w:t>
            </w:r>
          </w:p>
          <w:p w14:paraId="16B0FF71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</w:t>
            </w:r>
            <w:r w:rsidRPr="00AB2FA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>CFS classification</w:t>
            </w:r>
          </w:p>
          <w:p w14:paraId="1F4457A9" w14:textId="77777777" w:rsidR="00AB2FA1" w:rsidRPr="00AB2FA1" w:rsidRDefault="00AB2FA1" w:rsidP="00AB2FA1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Not frail</w:t>
            </w:r>
          </w:p>
          <w:p w14:paraId="1BE3BE6C" w14:textId="77777777" w:rsidR="00AB2FA1" w:rsidRPr="00AB2FA1" w:rsidRDefault="00AB2FA1" w:rsidP="00AB2FA1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Pre-frail</w:t>
            </w:r>
          </w:p>
          <w:p w14:paraId="0B0CE86A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Frail</w:t>
            </w:r>
          </w:p>
        </w:tc>
        <w:tc>
          <w:tcPr>
            <w:tcW w:w="1418" w:type="dxa"/>
          </w:tcPr>
          <w:p w14:paraId="093CE04F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F75FA35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 [1.0-3.0]</w:t>
            </w:r>
          </w:p>
          <w:p w14:paraId="6C0CB657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EBC27CF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55 (80.9)</w:t>
            </w:r>
          </w:p>
          <w:p w14:paraId="535001F2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9 (13.2)</w:t>
            </w:r>
          </w:p>
          <w:p w14:paraId="3F678146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(5.6)</w:t>
            </w:r>
          </w:p>
        </w:tc>
        <w:tc>
          <w:tcPr>
            <w:tcW w:w="1417" w:type="dxa"/>
          </w:tcPr>
          <w:p w14:paraId="00D7248A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8A167E5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[1.0-4.0]</w:t>
            </w:r>
          </w:p>
          <w:p w14:paraId="431BAB03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77C69D5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14 (25.4)</w:t>
            </w:r>
          </w:p>
          <w:p w14:paraId="1AF4DEC2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(44.4)</w:t>
            </w:r>
          </w:p>
          <w:p w14:paraId="3F126BCE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(100.0)</w:t>
            </w:r>
          </w:p>
        </w:tc>
        <w:tc>
          <w:tcPr>
            <w:tcW w:w="1418" w:type="dxa"/>
          </w:tcPr>
          <w:p w14:paraId="40BE8192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77D9FAB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 [1.0-3.0]</w:t>
            </w:r>
          </w:p>
          <w:p w14:paraId="596356F6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30BEE2A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41 (74.5)</w:t>
            </w:r>
          </w:p>
          <w:p w14:paraId="0BBC9016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 (55.6)</w:t>
            </w:r>
          </w:p>
          <w:p w14:paraId="5BF052C3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</w:tc>
        <w:tc>
          <w:tcPr>
            <w:tcW w:w="1134" w:type="dxa"/>
          </w:tcPr>
          <w:p w14:paraId="2DA3FA94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6D0BD49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0.101</w:t>
            </w: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a</w:t>
            </w:r>
          </w:p>
          <w:p w14:paraId="10FA51DE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E237BE6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25526FB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0.006</w:t>
            </w: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</w:p>
          <w:p w14:paraId="77C551E8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</w:tr>
      <w:tr w:rsidR="00AB2FA1" w:rsidRPr="00AB2FA1" w14:paraId="05C0657D" w14:textId="77777777" w:rsidTr="00244264">
        <w:trPr>
          <w:jc w:val="center"/>
        </w:trPr>
        <w:tc>
          <w:tcPr>
            <w:tcW w:w="3397" w:type="dxa"/>
          </w:tcPr>
          <w:p w14:paraId="387651EE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val="en-US" w:eastAsia="pt-BR"/>
                <w14:ligatures w14:val="none"/>
              </w:rPr>
              <w:t>Low functional capacity and frailty</w:t>
            </w:r>
          </w:p>
        </w:tc>
        <w:tc>
          <w:tcPr>
            <w:tcW w:w="1418" w:type="dxa"/>
          </w:tcPr>
          <w:p w14:paraId="2E31E756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12 (17.6)</w:t>
            </w:r>
          </w:p>
        </w:tc>
        <w:tc>
          <w:tcPr>
            <w:tcW w:w="1417" w:type="dxa"/>
          </w:tcPr>
          <w:p w14:paraId="4B8499D8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8 (66.7)</w:t>
            </w:r>
          </w:p>
        </w:tc>
        <w:tc>
          <w:tcPr>
            <w:tcW w:w="1418" w:type="dxa"/>
          </w:tcPr>
          <w:p w14:paraId="390ED7E0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(33.3)</w:t>
            </w:r>
          </w:p>
        </w:tc>
        <w:tc>
          <w:tcPr>
            <w:tcW w:w="1134" w:type="dxa"/>
          </w:tcPr>
          <w:p w14:paraId="097C6F24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0.014</w:t>
            </w: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</w:p>
        </w:tc>
      </w:tr>
      <w:tr w:rsidR="00AB2FA1" w:rsidRPr="00AB2FA1" w14:paraId="2A361C9A" w14:textId="77777777" w:rsidTr="00244264">
        <w:trPr>
          <w:jc w:val="center"/>
        </w:trPr>
        <w:tc>
          <w:tcPr>
            <w:tcW w:w="3397" w:type="dxa"/>
            <w:tcBorders>
              <w:bottom w:val="single" w:sz="4" w:space="0" w:color="000000"/>
            </w:tcBorders>
          </w:tcPr>
          <w:p w14:paraId="410222BC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Score SPPB - CFS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9FB543A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[4.0-8.8]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9DAE4F4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5.5 [1.0-7.2]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D8E1ABE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[5.0-9.0]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FA4A40B" w14:textId="77777777" w:rsidR="00AB2FA1" w:rsidRPr="00AB2FA1" w:rsidRDefault="00AB2FA1" w:rsidP="00AB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0.048</w:t>
            </w:r>
            <w:r w:rsidRPr="00AB2FA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a</w:t>
            </w:r>
          </w:p>
        </w:tc>
      </w:tr>
      <w:tr w:rsidR="00AB2FA1" w:rsidRPr="006F6525" w14:paraId="47C7831B" w14:textId="77777777" w:rsidTr="00244264">
        <w:trPr>
          <w:jc w:val="center"/>
        </w:trPr>
        <w:tc>
          <w:tcPr>
            <w:tcW w:w="8784" w:type="dxa"/>
            <w:gridSpan w:val="5"/>
            <w:tcBorders>
              <w:top w:val="single" w:sz="4" w:space="0" w:color="000000"/>
            </w:tcBorders>
          </w:tcPr>
          <w:p w14:paraId="78F41B48" w14:textId="77777777" w:rsidR="00AB2FA1" w:rsidRPr="00AB2FA1" w:rsidRDefault="00AB2FA1" w:rsidP="00A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a</w:t>
            </w: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Mann-Whitney test for continuous variables, and </w:t>
            </w: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  <w:r w:rsidRPr="00AB2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Pearson's chi-square test for categorical variables; p&lt;0.05 was considered statistically significant. SPPB: short physical performance battery; CFS: clinical frailty scale. Post-surgical complications were considered: infectious (pneumonia and surgical site infection), renal (acute renal failure), neurological (hypoactive delirium), and cardiovascular (atrial fibrillation, low output syndrome, shock, type 2 acute myocardial infarction). </w:t>
            </w:r>
          </w:p>
        </w:tc>
      </w:tr>
    </w:tbl>
    <w:p w14:paraId="0D6B8BFC" w14:textId="77777777" w:rsidR="002C6BE9" w:rsidRPr="00AB2FA1" w:rsidRDefault="002C6BE9">
      <w:pPr>
        <w:rPr>
          <w:lang w:val="en-US"/>
        </w:rPr>
      </w:pPr>
    </w:p>
    <w:sectPr w:rsidR="002C6BE9" w:rsidRPr="00AB2F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A3"/>
    <w:rsid w:val="00030F8D"/>
    <w:rsid w:val="001F0BA3"/>
    <w:rsid w:val="002C6BE9"/>
    <w:rsid w:val="0038335A"/>
    <w:rsid w:val="0043481E"/>
    <w:rsid w:val="006F6525"/>
    <w:rsid w:val="00AB2FA1"/>
    <w:rsid w:val="00B1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6F48"/>
  <w15:chartTrackingRefBased/>
  <w15:docId w15:val="{B1156BC9-2512-4AFF-B5E1-E30E25CF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0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B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BA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B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B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B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B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0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0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B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B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B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B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Letycia Netto de Paula Cunha</dc:creator>
  <cp:keywords/>
  <dc:description/>
  <cp:lastModifiedBy>Letycia Netto de Paula Cunha</cp:lastModifiedBy>
  <cp:revision>3</cp:revision>
  <dcterms:created xsi:type="dcterms:W3CDTF">2025-04-08T20:21:00Z</dcterms:created>
  <dcterms:modified xsi:type="dcterms:W3CDTF">2025-10-20T17:07:00Z</dcterms:modified>
</cp:coreProperties>
</file>