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1D429">
      <w:pPr>
        <w:rPr>
          <w:rFonts w:ascii="Times New Roman" w:hAnsi="Times New Roman" w:cs="Times New Roman"/>
          <w:szCs w:val="21"/>
        </w:rPr>
      </w:pPr>
    </w:p>
    <w:p w14:paraId="10D3D58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5274310" cy="2113915"/>
            <wp:effectExtent l="0" t="0" r="13970" b="4445"/>
            <wp:docPr id="1389166759" name="图片 6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66759" name="图片 6" descr="图形用户界面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4348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S1. Pearson correlation coefficients of fecal untargeted metabolomic profiles in quality control (QC) samples. </w:t>
      </w:r>
      <w:r>
        <w:rPr>
          <w:rFonts w:hint="eastAsia" w:ascii="Times New Roman" w:hAnsi="Times New Roman" w:cs="Times New Roman"/>
          <w:szCs w:val="21"/>
        </w:rPr>
        <w:t>High correlation coefficients indicate strong consistency and reliability of the metabolomics data, reflecting stable instrument performance and reproducibility throughout the analytical process.</w:t>
      </w:r>
    </w:p>
    <w:p w14:paraId="6EFA49E9">
      <w:pPr>
        <w:rPr>
          <w:rFonts w:ascii="Times New Roman" w:hAnsi="Times New Roman" w:cs="Times New Roman"/>
          <w:szCs w:val="21"/>
        </w:rPr>
      </w:pPr>
    </w:p>
    <w:p w14:paraId="1E113D8E">
      <w:pPr>
        <w:rPr>
          <w:rFonts w:ascii="Times New Roman" w:hAnsi="Times New Roman" w:cs="Times New Roman"/>
          <w:szCs w:val="21"/>
        </w:rPr>
      </w:pPr>
    </w:p>
    <w:p w14:paraId="4A20ADB7">
      <w:pPr>
        <w:rPr>
          <w:rFonts w:ascii="Times New Roman" w:hAnsi="Times New Roman" w:cs="Times New Roman"/>
          <w:szCs w:val="21"/>
        </w:rPr>
      </w:pPr>
    </w:p>
    <w:p w14:paraId="14B31133">
      <w:pPr>
        <w:rPr>
          <w:rFonts w:ascii="Times New Roman" w:hAnsi="Times New Roman" w:cs="Times New Roman"/>
          <w:szCs w:val="21"/>
        </w:rPr>
      </w:pPr>
    </w:p>
    <w:p w14:paraId="69D89163">
      <w:pPr>
        <w:rPr>
          <w:rFonts w:ascii="Times New Roman" w:hAnsi="Times New Roman" w:cs="Times New Roman"/>
          <w:szCs w:val="21"/>
        </w:rPr>
      </w:pPr>
    </w:p>
    <w:p w14:paraId="77EADCD9">
      <w:pPr>
        <w:rPr>
          <w:rFonts w:ascii="Times New Roman" w:hAnsi="Times New Roman" w:cs="Times New Roman"/>
          <w:szCs w:val="21"/>
        </w:rPr>
      </w:pPr>
    </w:p>
    <w:p w14:paraId="4C89C9F7">
      <w:pPr>
        <w:rPr>
          <w:rFonts w:ascii="Times New Roman" w:hAnsi="Times New Roman" w:cs="Times New Roman"/>
          <w:szCs w:val="21"/>
        </w:rPr>
      </w:pPr>
    </w:p>
    <w:p w14:paraId="7C728EB6">
      <w:pPr>
        <w:rPr>
          <w:rFonts w:ascii="Times New Roman" w:hAnsi="Times New Roman" w:cs="Times New Roman"/>
          <w:szCs w:val="21"/>
        </w:rPr>
      </w:pPr>
    </w:p>
    <w:p w14:paraId="34114DDD">
      <w:pPr>
        <w:rPr>
          <w:rFonts w:ascii="Times New Roman" w:hAnsi="Times New Roman" w:cs="Times New Roman"/>
          <w:szCs w:val="21"/>
        </w:rPr>
      </w:pPr>
    </w:p>
    <w:p w14:paraId="7CA8A38F">
      <w:pPr>
        <w:rPr>
          <w:rFonts w:ascii="Times New Roman" w:hAnsi="Times New Roman" w:cs="Times New Roman"/>
          <w:szCs w:val="21"/>
        </w:rPr>
      </w:pPr>
    </w:p>
    <w:p w14:paraId="7E87CB4A">
      <w:pPr>
        <w:rPr>
          <w:rFonts w:ascii="Times New Roman" w:hAnsi="Times New Roman" w:cs="Times New Roman"/>
          <w:szCs w:val="21"/>
        </w:rPr>
      </w:pPr>
    </w:p>
    <w:p w14:paraId="62811674">
      <w:pPr>
        <w:rPr>
          <w:rFonts w:ascii="Times New Roman" w:hAnsi="Times New Roman" w:cs="Times New Roman"/>
          <w:szCs w:val="21"/>
        </w:rPr>
      </w:pPr>
    </w:p>
    <w:p w14:paraId="4F8AAE0C">
      <w:pPr>
        <w:rPr>
          <w:rFonts w:ascii="Times New Roman" w:hAnsi="Times New Roman" w:cs="Times New Roman"/>
          <w:szCs w:val="21"/>
        </w:rPr>
      </w:pPr>
    </w:p>
    <w:p w14:paraId="020AAFEF">
      <w:pPr>
        <w:rPr>
          <w:rFonts w:ascii="Times New Roman" w:hAnsi="Times New Roman" w:cs="Times New Roman"/>
          <w:szCs w:val="21"/>
        </w:rPr>
      </w:pPr>
    </w:p>
    <w:p w14:paraId="221805FB">
      <w:pPr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szCs w:val="21"/>
        </w:rPr>
        <w:drawing>
          <wp:inline distT="0" distB="0" distL="0" distR="0">
            <wp:extent cx="5274310" cy="4016375"/>
            <wp:effectExtent l="0" t="0" r="13970" b="6985"/>
            <wp:docPr id="1355942814" name="图片 7" descr="图示, 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42814" name="图片 7" descr="图示, 工程绘图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37DA">
      <w:pPr>
        <w:spacing w:line="480" w:lineRule="auto"/>
        <w:rPr>
          <w:rFonts w:ascii="Times New Roman" w:hAnsi="Times New Roman" w:cs="Times New Roman"/>
          <w:b/>
          <w:bCs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Figure S2. Differential bile acids (BAs) identified through paired Wilcoxon tests in untargeted and targeted metabolomics datasets. A. </w:t>
      </w:r>
      <w:r>
        <w:rPr>
          <w:rFonts w:hint="eastAsia" w:ascii="Times New Roman" w:hAnsi="Times New Roman" w:cs="Times New Roman"/>
          <w:szCs w:val="21"/>
        </w:rPr>
        <w:t>The remaining three differential BA-related metabolites.</w:t>
      </w:r>
    </w:p>
    <w:p w14:paraId="6DFA5229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b/>
          <w:bCs/>
          <w:szCs w:val="21"/>
        </w:rPr>
        <w:t xml:space="preserve">B. </w:t>
      </w:r>
      <w:r>
        <w:rPr>
          <w:rFonts w:hint="eastAsia" w:ascii="Times New Roman" w:hAnsi="Times New Roman" w:cs="Times New Roman"/>
          <w:szCs w:val="21"/>
        </w:rPr>
        <w:t>Ten novel differential BAs identified in this study, highlighting metabolic changes in the EG group at W8.</w:t>
      </w:r>
    </w:p>
    <w:p w14:paraId="2B41DA3D">
      <w:pPr>
        <w:rPr>
          <w:rFonts w:ascii="Times New Roman" w:hAnsi="Times New Roman" w:cs="Times New Roman"/>
          <w:szCs w:val="21"/>
        </w:rPr>
      </w:pPr>
    </w:p>
    <w:p w14:paraId="79F39223">
      <w:pPr>
        <w:rPr>
          <w:rFonts w:ascii="Times New Roman" w:hAnsi="Times New Roman" w:cs="Times New Roman"/>
          <w:szCs w:val="21"/>
        </w:rPr>
      </w:pPr>
    </w:p>
    <w:p w14:paraId="1193FFCF">
      <w:pPr>
        <w:rPr>
          <w:rFonts w:ascii="Times New Roman" w:hAnsi="Times New Roman" w:cs="Times New Roman"/>
          <w:szCs w:val="21"/>
        </w:rPr>
      </w:pPr>
    </w:p>
    <w:p w14:paraId="60C0A719">
      <w:pPr>
        <w:rPr>
          <w:rFonts w:ascii="Times New Roman" w:hAnsi="Times New Roman" w:cs="Times New Roman"/>
          <w:szCs w:val="21"/>
        </w:rPr>
      </w:pPr>
    </w:p>
    <w:p w14:paraId="3B2A3351">
      <w:pPr>
        <w:rPr>
          <w:rFonts w:ascii="Times New Roman" w:hAnsi="Times New Roman" w:cs="Times New Roman"/>
          <w:szCs w:val="21"/>
        </w:rPr>
      </w:pPr>
    </w:p>
    <w:p w14:paraId="6444A831">
      <w:pPr>
        <w:rPr>
          <w:rFonts w:ascii="Times New Roman" w:hAnsi="Times New Roman" w:cs="Times New Roman"/>
          <w:szCs w:val="21"/>
        </w:rPr>
      </w:pPr>
    </w:p>
    <w:p w14:paraId="7D2AD7C2">
      <w:pPr>
        <w:rPr>
          <w:rFonts w:ascii="Times New Roman" w:hAnsi="Times New Roman" w:cs="Times New Roman"/>
          <w:szCs w:val="21"/>
        </w:rPr>
      </w:pPr>
    </w:p>
    <w:p w14:paraId="4CD9040C">
      <w:pPr>
        <w:rPr>
          <w:rFonts w:ascii="Times New Roman" w:hAnsi="Times New Roman" w:cs="Times New Roman"/>
          <w:szCs w:val="21"/>
        </w:rPr>
      </w:pPr>
    </w:p>
    <w:p w14:paraId="0330C349">
      <w:pPr>
        <w:rPr>
          <w:rFonts w:ascii="Times New Roman" w:hAnsi="Times New Roman" w:cs="Times New Roman"/>
          <w:szCs w:val="21"/>
        </w:rPr>
      </w:pPr>
    </w:p>
    <w:p w14:paraId="34BEAA76">
      <w:pPr>
        <w:rPr>
          <w:rFonts w:ascii="Times New Roman" w:hAnsi="Times New Roman" w:cs="Times New Roman"/>
          <w:szCs w:val="21"/>
        </w:rPr>
      </w:pPr>
    </w:p>
    <w:p w14:paraId="2271CE40">
      <w:pPr>
        <w:rPr>
          <w:rFonts w:ascii="Times New Roman" w:hAnsi="Times New Roman" w:cs="Times New Roman"/>
          <w:szCs w:val="21"/>
        </w:rPr>
      </w:pPr>
    </w:p>
    <w:p w14:paraId="7C561885">
      <w:pPr>
        <w:rPr>
          <w:rFonts w:ascii="Times New Roman" w:hAnsi="Times New Roman" w:cs="Times New Roman"/>
          <w:szCs w:val="21"/>
        </w:rPr>
      </w:pPr>
    </w:p>
    <w:p w14:paraId="2EDA8505">
      <w:pPr>
        <w:rPr>
          <w:rFonts w:ascii="Times New Roman" w:hAnsi="Times New Roman" w:cs="Times New Roman"/>
          <w:szCs w:val="21"/>
        </w:rPr>
      </w:pPr>
    </w:p>
    <w:p w14:paraId="0B6F3189">
      <w:pPr>
        <w:rPr>
          <w:rFonts w:ascii="Times New Roman" w:hAnsi="Times New Roman" w:cs="Times New Roman"/>
          <w:szCs w:val="21"/>
        </w:rPr>
      </w:pPr>
    </w:p>
    <w:p w14:paraId="2D62C5CC">
      <w:pPr>
        <w:rPr>
          <w:rFonts w:ascii="Times New Roman" w:hAnsi="Times New Roman" w:cs="Times New Roman"/>
          <w:szCs w:val="21"/>
        </w:rPr>
      </w:pPr>
    </w:p>
    <w:p w14:paraId="2FCFCD3F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 xml:space="preserve">Table S1. </w:t>
      </w:r>
      <w:r>
        <w:rPr>
          <w:rFonts w:ascii="Times New Roman" w:hAnsi="Times New Roman" w:cs="Times New Roman"/>
          <w:szCs w:val="21"/>
        </w:rPr>
        <w:t xml:space="preserve">Baseline characteristics of the recruited patients with </w:t>
      </w:r>
      <w:r>
        <w:rPr>
          <w:rFonts w:hint="eastAsia" w:ascii="Times New Roman" w:hAnsi="Times New Roman" w:cs="Times New Roman"/>
          <w:szCs w:val="21"/>
        </w:rPr>
        <w:t>functional</w:t>
      </w:r>
      <w:r>
        <w:rPr>
          <w:rFonts w:ascii="Times New Roman" w:hAnsi="Times New Roman" w:cs="Times New Roman"/>
          <w:szCs w:val="21"/>
        </w:rPr>
        <w:t xml:space="preserve"> constipation</w:t>
      </w:r>
    </w:p>
    <w:tbl>
      <w:tblPr>
        <w:tblStyle w:val="2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05"/>
        <w:gridCol w:w="2088"/>
        <w:gridCol w:w="2018"/>
        <w:gridCol w:w="1095"/>
      </w:tblGrid>
      <w:tr w14:paraId="55FF29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single" w:color="666666" w:sz="12" w:space="0"/>
              <w:left w:val="nil"/>
              <w:bottom w:val="single" w:color="666666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FF318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57" w:type="pct"/>
            <w:tcBorders>
              <w:top w:val="single" w:color="666666" w:sz="12" w:space="0"/>
              <w:left w:val="nil"/>
              <w:bottom w:val="single" w:color="666666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2DEC9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CG (n=50)</w:t>
            </w:r>
          </w:p>
        </w:tc>
        <w:tc>
          <w:tcPr>
            <w:tcW w:w="1215" w:type="pct"/>
            <w:tcBorders>
              <w:top w:val="single" w:color="666666" w:sz="12" w:space="0"/>
              <w:left w:val="nil"/>
              <w:bottom w:val="single" w:color="666666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9CE2D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EG (n=51)</w:t>
            </w:r>
          </w:p>
        </w:tc>
        <w:tc>
          <w:tcPr>
            <w:tcW w:w="660" w:type="pct"/>
            <w:tcBorders>
              <w:top w:val="single" w:color="666666" w:sz="12" w:space="0"/>
              <w:left w:val="nil"/>
              <w:bottom w:val="single" w:color="666666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FB62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Cs w:val="21"/>
              </w:rPr>
              <w:t>P</w:t>
            </w:r>
            <w:r>
              <w:rPr>
                <w:rFonts w:ascii="Times New Roman" w:hAnsi="Times New Roman" w:cs="Times New Roman"/>
                <w:szCs w:val="21"/>
              </w:rPr>
              <w:t xml:space="preserve"> value</w:t>
            </w:r>
          </w:p>
        </w:tc>
      </w:tr>
      <w:tr w14:paraId="20604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single" w:color="666666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E852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Female, n (%)</w:t>
            </w:r>
          </w:p>
        </w:tc>
        <w:tc>
          <w:tcPr>
            <w:tcW w:w="1257" w:type="pct"/>
            <w:tcBorders>
              <w:top w:val="single" w:color="666666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D20DF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 (96.0%)</w:t>
            </w:r>
          </w:p>
        </w:tc>
        <w:tc>
          <w:tcPr>
            <w:tcW w:w="1215" w:type="pct"/>
            <w:tcBorders>
              <w:top w:val="single" w:color="666666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9F48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 (94.1%)</w:t>
            </w:r>
          </w:p>
        </w:tc>
        <w:tc>
          <w:tcPr>
            <w:tcW w:w="660" w:type="pct"/>
            <w:tcBorders>
              <w:top w:val="single" w:color="666666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BA65D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</w:tr>
      <w:tr w14:paraId="7348D1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54074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Age (years)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39D2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48.80 ± 21.93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F2E0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44.12 ± 11.20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8D4D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0.182</w:t>
            </w:r>
          </w:p>
        </w:tc>
      </w:tr>
      <w:tr w14:paraId="231C2F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71A8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Duration (years)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43B81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8.56 ± 6.23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E57D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9.46 ± 6.95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7BB4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0.495</w:t>
            </w:r>
          </w:p>
        </w:tc>
      </w:tr>
      <w:tr w14:paraId="1C34A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F3E44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Height (m)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BC54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 ± 0.05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AD3B5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1.59 ± 0.05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2DD1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0.848</w:t>
            </w:r>
          </w:p>
        </w:tc>
      </w:tr>
      <w:tr w14:paraId="7D79C7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7242F8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Body weight (kg)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3D40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56.10 ± 7.00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E87751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55.61 ± 7.18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E287B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0.728</w:t>
            </w:r>
          </w:p>
        </w:tc>
      </w:tr>
      <w:tr w14:paraId="5725F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120E8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BMI (kg/m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E95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22.23 ± 2.57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91B32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21.96 ± 2.53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30A5F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0.613</w:t>
            </w:r>
          </w:p>
        </w:tc>
      </w:tr>
      <w:tr w14:paraId="10995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5D7DF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ROME score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C463C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3.74 ± 1.08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8999C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3.85 ± 1.04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4A258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0.608</w:t>
            </w:r>
          </w:p>
        </w:tc>
      </w:tr>
      <w:tr w14:paraId="7CBD92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8A4C2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CSBM score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0B1A6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2.28 ± 0.90 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2067C7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2.35 ± 1.04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0053C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0.707</w:t>
            </w:r>
          </w:p>
        </w:tc>
      </w:tr>
      <w:tr w14:paraId="646103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713B99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HAMD score</w:t>
            </w:r>
          </w:p>
        </w:tc>
        <w:tc>
          <w:tcPr>
            <w:tcW w:w="12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86A8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6.40 ± 5.50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BAF6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5.85 ± 5.58</w:t>
            </w:r>
          </w:p>
        </w:tc>
        <w:tc>
          <w:tcPr>
            <w:tcW w:w="6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7721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0.627</w:t>
            </w:r>
          </w:p>
        </w:tc>
      </w:tr>
      <w:tr w14:paraId="426F5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9" w:type="pct"/>
            <w:tcBorders>
              <w:top w:val="nil"/>
              <w:left w:val="nil"/>
              <w:bottom w:val="single" w:color="666666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5541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PAC-QOL score</w:t>
            </w:r>
          </w:p>
        </w:tc>
        <w:tc>
          <w:tcPr>
            <w:tcW w:w="1257" w:type="pct"/>
            <w:tcBorders>
              <w:top w:val="nil"/>
              <w:left w:val="nil"/>
              <w:bottom w:val="single" w:color="666666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1917E9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51.48 ± 22.34</w:t>
            </w:r>
          </w:p>
        </w:tc>
        <w:tc>
          <w:tcPr>
            <w:tcW w:w="1215" w:type="pct"/>
            <w:tcBorders>
              <w:top w:val="nil"/>
              <w:left w:val="nil"/>
              <w:bottom w:val="single" w:color="666666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9066A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50.49 ± 22.59</w:t>
            </w:r>
          </w:p>
        </w:tc>
        <w:tc>
          <w:tcPr>
            <w:tcW w:w="660" w:type="pct"/>
            <w:tcBorders>
              <w:top w:val="nil"/>
              <w:left w:val="nil"/>
              <w:bottom w:val="single" w:color="666666" w:sz="12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8B5C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0.825</w:t>
            </w:r>
          </w:p>
        </w:tc>
      </w:tr>
    </w:tbl>
    <w:p w14:paraId="334E754A">
      <w:pPr>
        <w:rPr>
          <w:rFonts w:ascii="Times New Roman" w:hAnsi="Times New Roman" w:cs="Times New Roman"/>
          <w:szCs w:val="21"/>
        </w:rPr>
      </w:pPr>
    </w:p>
    <w:p w14:paraId="245FD641">
      <w:pPr>
        <w:rPr>
          <w:rFonts w:ascii="Times New Roman" w:hAnsi="Times New Roman" w:cs="Times New Roman"/>
          <w:szCs w:val="21"/>
        </w:rPr>
      </w:pPr>
    </w:p>
    <w:p w14:paraId="4873C3A7">
      <w:pPr>
        <w:tabs>
          <w:tab w:val="left" w:pos="7526"/>
        </w:tabs>
        <w:rPr>
          <w:rFonts w:ascii="Times New Roman" w:hAnsi="Times New Roman" w:cs="Times New Roman"/>
          <w:szCs w:val="21"/>
        </w:rPr>
      </w:pPr>
    </w:p>
    <w:p w14:paraId="564DD6F9">
      <w:pPr>
        <w:tabs>
          <w:tab w:val="left" w:pos="7526"/>
        </w:tabs>
        <w:rPr>
          <w:rFonts w:ascii="Times New Roman" w:hAnsi="Times New Roman" w:cs="Times New Roman"/>
          <w:i/>
          <w:iCs/>
          <w:szCs w:val="21"/>
        </w:rPr>
      </w:pPr>
    </w:p>
    <w:p w14:paraId="1EFDA267">
      <w:pPr>
        <w:rPr>
          <w:rFonts w:ascii="Times New Roman" w:hAnsi="Times New Roman" w:cs="Times New Roman"/>
          <w:szCs w:val="21"/>
        </w:rPr>
      </w:pPr>
      <w:r>
        <w:rPr>
          <w:rFonts w:hint="eastAsia" w:ascii="Times New Roman" w:hAnsi="Times New Roman" w:cs="Times New Roman"/>
          <w:szCs w:val="21"/>
        </w:rPr>
        <w:t xml:space="preserve">Table S2. </w:t>
      </w:r>
      <w:r>
        <w:rPr>
          <w:rFonts w:ascii="Times New Roman" w:hAnsi="Times New Roman" w:cs="Times New Roman"/>
          <w:szCs w:val="21"/>
        </w:rPr>
        <w:t xml:space="preserve">Paired Comparison of PBAs in the EG Group Between W0 </w:t>
      </w:r>
      <w:r>
        <w:rPr>
          <w:rFonts w:hint="eastAsia" w:ascii="Times New Roman" w:hAnsi="Times New Roman" w:cs="Times New Roman"/>
          <w:szCs w:val="21"/>
        </w:rPr>
        <w:t>and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hint="eastAsia" w:ascii="Times New Roman" w:hAnsi="Times New Roman" w:cs="Times New Roman"/>
          <w:szCs w:val="21"/>
        </w:rPr>
        <w:t>W8</w:t>
      </w:r>
    </w:p>
    <w:tbl>
      <w:tblPr>
        <w:tblStyle w:val="2"/>
        <w:tblW w:w="5000" w:type="pct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20"/>
        <w:gridCol w:w="1326"/>
        <w:gridCol w:w="1993"/>
        <w:gridCol w:w="1331"/>
        <w:gridCol w:w="736"/>
      </w:tblGrid>
      <w:tr w14:paraId="213922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175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5D3E8E2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Full Name</w:t>
            </w:r>
          </w:p>
        </w:tc>
        <w:tc>
          <w:tcPr>
            <w:tcW w:w="798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4A72E2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Abbreviation</w:t>
            </w:r>
          </w:p>
        </w:tc>
        <w:tc>
          <w:tcPr>
            <w:tcW w:w="1200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5D9D88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Metabolomics Type</w:t>
            </w:r>
          </w:p>
        </w:tc>
        <w:tc>
          <w:tcPr>
            <w:tcW w:w="801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4BD455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</w:rPr>
              <w:t>FC (W8/W0)</w:t>
            </w:r>
          </w:p>
        </w:tc>
        <w:tc>
          <w:tcPr>
            <w:tcW w:w="443" w:type="pct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5DE84C8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</w:t>
            </w:r>
            <w:r>
              <w:rPr>
                <w:rFonts w:hint="eastAsia" w:ascii="Times New Roman" w:hAnsi="Times New Roman" w:cs="Times New Roman"/>
                <w:sz w:val="20"/>
                <w:szCs w:val="20"/>
              </w:rPr>
              <w:t xml:space="preserve"> value</w:t>
            </w:r>
          </w:p>
        </w:tc>
      </w:tr>
      <w:tr w14:paraId="498F7B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1758" w:type="pct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vAlign w:val="center"/>
          </w:tcPr>
          <w:p w14:paraId="21505AE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Cholic acid</w:t>
            </w:r>
          </w:p>
        </w:tc>
        <w:tc>
          <w:tcPr>
            <w:tcW w:w="798" w:type="pct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vAlign w:val="center"/>
          </w:tcPr>
          <w:p w14:paraId="5E7D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</w:t>
            </w:r>
          </w:p>
        </w:tc>
        <w:tc>
          <w:tcPr>
            <w:tcW w:w="1200" w:type="pct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vAlign w:val="center"/>
          </w:tcPr>
          <w:p w14:paraId="26D716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Untargeted</w:t>
            </w:r>
          </w:p>
        </w:tc>
        <w:tc>
          <w:tcPr>
            <w:tcW w:w="801" w:type="pct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vAlign w:val="center"/>
          </w:tcPr>
          <w:p w14:paraId="561BDD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</w:rPr>
              <w:t>1.53</w:t>
            </w:r>
          </w:p>
        </w:tc>
        <w:tc>
          <w:tcPr>
            <w:tcW w:w="443" w:type="pct"/>
            <w:tcBorders>
              <w:top w:val="single" w:color="auto" w:sz="8" w:space="0"/>
              <w:left w:val="nil"/>
              <w:bottom w:val="nil"/>
              <w:right w:val="nil"/>
            </w:tcBorders>
            <w:noWrap/>
            <w:vAlign w:val="center"/>
          </w:tcPr>
          <w:p w14:paraId="2B21D3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  <w:r>
              <w:rPr>
                <w:rFonts w:hint="eastAsia" w:ascii="Times New Roman" w:hAnsi="Times New Roman" w:cs="Times New Roman"/>
                <w:sz w:val="20"/>
                <w:szCs w:val="20"/>
              </w:rPr>
              <w:t>8</w:t>
            </w:r>
          </w:p>
        </w:tc>
      </w:tr>
      <w:tr w14:paraId="2DF01B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175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341181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Glycocholic acid</w:t>
            </w:r>
          </w:p>
        </w:tc>
        <w:tc>
          <w:tcPr>
            <w:tcW w:w="798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CDD2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GCA</w:t>
            </w:r>
          </w:p>
        </w:tc>
        <w:tc>
          <w:tcPr>
            <w:tcW w:w="1200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F7F05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Targeted</w:t>
            </w:r>
          </w:p>
        </w:tc>
        <w:tc>
          <w:tcPr>
            <w:tcW w:w="801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41B1E2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2.30</w:t>
            </w:r>
          </w:p>
        </w:tc>
        <w:tc>
          <w:tcPr>
            <w:tcW w:w="443" w:type="pct"/>
            <w:tcBorders>
              <w:top w:val="nil"/>
              <w:left w:val="nil"/>
              <w:right w:val="nil"/>
            </w:tcBorders>
            <w:noWrap/>
            <w:vAlign w:val="center"/>
          </w:tcPr>
          <w:p w14:paraId="2DA499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0.015</w:t>
            </w:r>
          </w:p>
        </w:tc>
      </w:tr>
      <w:tr w14:paraId="269231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1758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335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Glycochenodeoxycholic acid</w:t>
            </w:r>
          </w:p>
        </w:tc>
        <w:tc>
          <w:tcPr>
            <w:tcW w:w="798" w:type="pct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F787B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GCDCA</w:t>
            </w: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257A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Untargeted</w:t>
            </w:r>
          </w:p>
        </w:tc>
        <w:tc>
          <w:tcPr>
            <w:tcW w:w="80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6B4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</w:rPr>
              <w:t>2.28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E78A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sz w:val="20"/>
                <w:szCs w:val="20"/>
              </w:rPr>
              <w:t>0.008</w:t>
            </w:r>
          </w:p>
        </w:tc>
      </w:tr>
      <w:tr w14:paraId="3F3C33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  <w:jc w:val="center"/>
        </w:trPr>
        <w:tc>
          <w:tcPr>
            <w:tcW w:w="1758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3AD9A3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pct"/>
            <w:vMerge w:val="continue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77FAA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1EE21E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Targeted</w:t>
            </w:r>
          </w:p>
        </w:tc>
        <w:tc>
          <w:tcPr>
            <w:tcW w:w="801" w:type="pct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6C96C3C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2.91</w:t>
            </w:r>
          </w:p>
        </w:tc>
        <w:tc>
          <w:tcPr>
            <w:tcW w:w="443" w:type="pct"/>
            <w:tcBorders>
              <w:top w:val="nil"/>
              <w:left w:val="nil"/>
              <w:bottom w:val="single" w:color="auto" w:sz="8" w:space="0"/>
              <w:right w:val="nil"/>
            </w:tcBorders>
            <w:noWrap/>
            <w:vAlign w:val="center"/>
          </w:tcPr>
          <w:p w14:paraId="41647F7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0.005</w:t>
            </w:r>
          </w:p>
        </w:tc>
      </w:tr>
    </w:tbl>
    <w:p w14:paraId="7E132194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03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2025-09-02T04:28:34Z</dcterms:created>
  <dc:creator>Administrator</dc:creator>
  <cp:lastModifiedBy>WPS_1635768200</cp:lastModifiedBy>
  <dcterms:modified xsi:type="dcterms:W3CDTF">2025-09-02T04:29:00Z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eyJoZGlkIjoiM2Y3ZWVkNjlkNThiMmI5ZjA3MzAwNmQ0YWIyYTRjMmMiLCJ1c2VySWQiOiIxMjc4ODc3Mzg3In0=</vt:lpwstr>
  </property>
  <property fmtid="{D5CDD505-2E9C-101B-9397-08002B2CF9AE}" pid="4" name="ICV">
    <vt:lpwstr>BCCE18DED63F46CE96623F6410CFC056_12</vt:lpwstr>
  </property>
</Properties>
</file>