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ACA1E" w14:textId="77777777" w:rsidR="002F42F8" w:rsidRPr="002B114A" w:rsidRDefault="002F42F8" w:rsidP="002F42F8">
      <w:pPr>
        <w:spacing w:line="36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0E16FE">
        <w:rPr>
          <w:rFonts w:ascii="Times New Roman" w:hAnsi="Times New Roman" w:cs="Times New Roman"/>
          <w:b/>
          <w:sz w:val="24"/>
          <w:lang w:val="en-US"/>
        </w:rPr>
        <w:t>Table 1: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  <w:r w:rsidRPr="005429DA">
        <w:rPr>
          <w:rFonts w:ascii="Times New Roman" w:hAnsi="Times New Roman" w:cs="Times New Roman"/>
          <w:sz w:val="24"/>
          <w:lang w:val="en-US"/>
        </w:rPr>
        <w:t>Analog evaluation criteria based on preclinical criteria for preparation exercises. The parameters were evaluated for each tooth by three different raters (student, dentist, senior consultant).</w:t>
      </w:r>
      <w:r w:rsidRPr="005429DA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14:paraId="55B8B03F" w14:textId="77777777" w:rsidR="002F42F8" w:rsidRDefault="002F42F8" w:rsidP="002F42F8">
      <w:pPr>
        <w:pStyle w:val="NormalWeb"/>
        <w:spacing w:line="360" w:lineRule="auto"/>
        <w:jc w:val="both"/>
        <w:rPr>
          <w:lang w:val="en-US"/>
        </w:rPr>
      </w:pPr>
    </w:p>
    <w:p w14:paraId="294E4870" w14:textId="77777777" w:rsidR="002F42F8" w:rsidRDefault="002F42F8" w:rsidP="002F42F8">
      <w:pPr>
        <w:pStyle w:val="NormalWeb"/>
        <w:spacing w:line="360" w:lineRule="auto"/>
        <w:jc w:val="both"/>
        <w:rPr>
          <w:lang w:val="en-US"/>
        </w:rPr>
      </w:pPr>
    </w:p>
    <w:tbl>
      <w:tblPr>
        <w:tblStyle w:val="Tabellenraster3"/>
        <w:tblW w:w="9778" w:type="dxa"/>
        <w:tblLayout w:type="fixed"/>
        <w:tblLook w:val="04A0" w:firstRow="1" w:lastRow="0" w:firstColumn="1" w:lastColumn="0" w:noHBand="0" w:noVBand="1"/>
      </w:tblPr>
      <w:tblGrid>
        <w:gridCol w:w="1944"/>
        <w:gridCol w:w="245"/>
        <w:gridCol w:w="2037"/>
        <w:gridCol w:w="1657"/>
        <w:gridCol w:w="1663"/>
        <w:gridCol w:w="2232"/>
      </w:tblGrid>
      <w:tr w:rsidR="002F42F8" w:rsidRPr="002B114A" w14:paraId="340D0B14" w14:textId="77777777" w:rsidTr="0065673F">
        <w:trPr>
          <w:trHeight w:val="297"/>
        </w:trPr>
        <w:tc>
          <w:tcPr>
            <w:tcW w:w="1944" w:type="dxa"/>
            <w:noWrap/>
            <w:hideMark/>
          </w:tcPr>
          <w:p w14:paraId="3B3DCB93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Category</w:t>
            </w:r>
          </w:p>
        </w:tc>
        <w:tc>
          <w:tcPr>
            <w:tcW w:w="245" w:type="dxa"/>
            <w:noWrap/>
            <w:hideMark/>
          </w:tcPr>
          <w:p w14:paraId="4CB7ACE7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7589" w:type="dxa"/>
            <w:gridSpan w:val="4"/>
            <w:hideMark/>
          </w:tcPr>
          <w:p w14:paraId="3D710657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Score</w:t>
            </w:r>
          </w:p>
        </w:tc>
      </w:tr>
      <w:tr w:rsidR="002F42F8" w:rsidRPr="002B114A" w14:paraId="397CAF7F" w14:textId="77777777" w:rsidTr="0065673F">
        <w:trPr>
          <w:trHeight w:val="297"/>
        </w:trPr>
        <w:tc>
          <w:tcPr>
            <w:tcW w:w="1944" w:type="dxa"/>
            <w:hideMark/>
          </w:tcPr>
          <w:p w14:paraId="736EBF13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45" w:type="dxa"/>
            <w:hideMark/>
          </w:tcPr>
          <w:p w14:paraId="7AA540AC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037" w:type="dxa"/>
            <w:noWrap/>
            <w:hideMark/>
          </w:tcPr>
          <w:p w14:paraId="30AF0198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657" w:type="dxa"/>
            <w:noWrap/>
            <w:hideMark/>
          </w:tcPr>
          <w:p w14:paraId="44DCE87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b/>
                <w:color w:val="92D05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b/>
                <w:color w:val="92D05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663" w:type="dxa"/>
            <w:noWrap/>
            <w:hideMark/>
          </w:tcPr>
          <w:p w14:paraId="69CF7C5D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b/>
                <w:color w:val="FFC00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b/>
                <w:color w:val="FFC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2232" w:type="dxa"/>
            <w:noWrap/>
            <w:hideMark/>
          </w:tcPr>
          <w:p w14:paraId="57E2F924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b/>
                <w:color w:val="C00000"/>
                <w:sz w:val="20"/>
                <w:szCs w:val="20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b/>
                <w:color w:val="C00000"/>
                <w:sz w:val="20"/>
                <w:szCs w:val="20"/>
                <w:lang w:eastAsia="de-DE"/>
              </w:rPr>
              <w:t>0</w:t>
            </w:r>
          </w:p>
        </w:tc>
      </w:tr>
      <w:tr w:rsidR="002F42F8" w:rsidRPr="00FC3E14" w14:paraId="4C49EA9B" w14:textId="77777777" w:rsidTr="0065673F">
        <w:trPr>
          <w:trHeight w:val="595"/>
        </w:trPr>
        <w:tc>
          <w:tcPr>
            <w:tcW w:w="2189" w:type="dxa"/>
            <w:gridSpan w:val="2"/>
          </w:tcPr>
          <w:p w14:paraId="7F6577AB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Circumferential reduction</w:t>
            </w:r>
          </w:p>
          <w:p w14:paraId="72ACE7D5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37" w:type="dxa"/>
          </w:tcPr>
          <w:p w14:paraId="6E46DB60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Reduction meets the guidelines </w:t>
            </w:r>
          </w:p>
          <w:p w14:paraId="2F5ADB9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(1 – 1.2 mm)</w:t>
            </w:r>
          </w:p>
        </w:tc>
        <w:tc>
          <w:tcPr>
            <w:tcW w:w="1657" w:type="dxa"/>
            <w:noWrap/>
          </w:tcPr>
          <w:p w14:paraId="4BA761CF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Minor correctable deviations</w:t>
            </w:r>
          </w:p>
        </w:tc>
        <w:tc>
          <w:tcPr>
            <w:tcW w:w="1663" w:type="dxa"/>
          </w:tcPr>
          <w:p w14:paraId="6F602B3F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 xml:space="preserve">Major correctable deviations </w:t>
            </w:r>
          </w:p>
        </w:tc>
        <w:tc>
          <w:tcPr>
            <w:tcW w:w="2232" w:type="dxa"/>
          </w:tcPr>
          <w:p w14:paraId="5768030D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Circumferential reduction does not meet the guidelines</w:t>
            </w:r>
          </w:p>
        </w:tc>
      </w:tr>
      <w:tr w:rsidR="002F42F8" w:rsidRPr="00FC3E14" w14:paraId="50FAC6FD" w14:textId="77777777" w:rsidTr="0065673F">
        <w:trPr>
          <w:trHeight w:val="595"/>
        </w:trPr>
        <w:tc>
          <w:tcPr>
            <w:tcW w:w="2189" w:type="dxa"/>
            <w:gridSpan w:val="2"/>
            <w:hideMark/>
          </w:tcPr>
          <w:p w14:paraId="4ABA10D4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Tooth shape</w:t>
            </w:r>
          </w:p>
          <w:p w14:paraId="5F246AA8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37" w:type="dxa"/>
            <w:hideMark/>
          </w:tcPr>
          <w:p w14:paraId="131CA07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Correct tooth shape, cusp beveling and crown inclination considered</w:t>
            </w:r>
          </w:p>
        </w:tc>
        <w:tc>
          <w:tcPr>
            <w:tcW w:w="1657" w:type="dxa"/>
            <w:noWrap/>
            <w:hideMark/>
          </w:tcPr>
          <w:p w14:paraId="4C451BF2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Minor correctable deviations</w:t>
            </w:r>
          </w:p>
        </w:tc>
        <w:tc>
          <w:tcPr>
            <w:tcW w:w="1663" w:type="dxa"/>
            <w:hideMark/>
          </w:tcPr>
          <w:p w14:paraId="124DF287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Major correctable deviations</w:t>
            </w:r>
          </w:p>
        </w:tc>
        <w:tc>
          <w:tcPr>
            <w:tcW w:w="2232" w:type="dxa"/>
            <w:hideMark/>
          </w:tcPr>
          <w:p w14:paraId="535DCFD4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Incorrect tooth shape, cusp beveling, and/or crown inclination not considered</w:t>
            </w:r>
          </w:p>
        </w:tc>
      </w:tr>
      <w:tr w:rsidR="002F42F8" w:rsidRPr="00FC3E14" w14:paraId="49C14695" w14:textId="77777777" w:rsidTr="0065673F">
        <w:trPr>
          <w:trHeight w:val="595"/>
        </w:trPr>
        <w:tc>
          <w:tcPr>
            <w:tcW w:w="2189" w:type="dxa"/>
            <w:gridSpan w:val="2"/>
            <w:hideMark/>
          </w:tcPr>
          <w:p w14:paraId="3FB0C2FC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Occlusal</w:t>
            </w:r>
          </w:p>
          <w:p w14:paraId="7B3506AC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reduction</w:t>
            </w:r>
          </w:p>
          <w:p w14:paraId="3C4DFF7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37" w:type="dxa"/>
            <w:hideMark/>
          </w:tcPr>
          <w:p w14:paraId="174EC310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Occlusal reduction meets the guidelines</w:t>
            </w:r>
          </w:p>
        </w:tc>
        <w:tc>
          <w:tcPr>
            <w:tcW w:w="1657" w:type="dxa"/>
            <w:hideMark/>
          </w:tcPr>
          <w:p w14:paraId="439E0B30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Insufficient substance removal </w:t>
            </w:r>
          </w:p>
          <w:p w14:paraId="21200A21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(1.1-1.5 mm)</w:t>
            </w:r>
          </w:p>
        </w:tc>
        <w:tc>
          <w:tcPr>
            <w:tcW w:w="1663" w:type="dxa"/>
            <w:hideMark/>
          </w:tcPr>
          <w:p w14:paraId="653157B9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Excessive substance removal (2.0-2.5 mm)</w:t>
            </w:r>
          </w:p>
        </w:tc>
        <w:tc>
          <w:tcPr>
            <w:tcW w:w="2232" w:type="dxa"/>
            <w:hideMark/>
          </w:tcPr>
          <w:p w14:paraId="30FF35D7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More than 3 mm or less than 1 mm occlusal reduction</w:t>
            </w:r>
          </w:p>
        </w:tc>
      </w:tr>
      <w:tr w:rsidR="002F42F8" w:rsidRPr="00FC3E14" w14:paraId="78E100AD" w14:textId="77777777" w:rsidTr="0065673F">
        <w:trPr>
          <w:trHeight w:val="595"/>
        </w:trPr>
        <w:tc>
          <w:tcPr>
            <w:tcW w:w="2189" w:type="dxa"/>
            <w:gridSpan w:val="2"/>
            <w:hideMark/>
          </w:tcPr>
          <w:p w14:paraId="16BD94ED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Preparation margin –</w:t>
            </w:r>
          </w:p>
          <w:p w14:paraId="020716ED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smoothness</w:t>
            </w:r>
          </w:p>
          <w:p w14:paraId="650738DE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37" w:type="dxa"/>
            <w:hideMark/>
          </w:tcPr>
          <w:p w14:paraId="611D9462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Chamfer is smooth and polished</w:t>
            </w:r>
          </w:p>
        </w:tc>
        <w:tc>
          <w:tcPr>
            <w:tcW w:w="1657" w:type="dxa"/>
            <w:hideMark/>
          </w:tcPr>
          <w:p w14:paraId="46D26E7C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Chamfer with minor correctable irregularities</w:t>
            </w:r>
          </w:p>
        </w:tc>
        <w:tc>
          <w:tcPr>
            <w:tcW w:w="1663" w:type="dxa"/>
            <w:hideMark/>
          </w:tcPr>
          <w:p w14:paraId="11E560B1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Chamfer with major correctable irregularieties</w:t>
            </w:r>
          </w:p>
        </w:tc>
        <w:tc>
          <w:tcPr>
            <w:tcW w:w="2232" w:type="dxa"/>
            <w:hideMark/>
          </w:tcPr>
          <w:p w14:paraId="27BB3161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Incorrect preparation margin </w:t>
            </w:r>
          </w:p>
          <w:p w14:paraId="5362303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(shoulder / tangential), non-correctable irregularties</w:t>
            </w:r>
          </w:p>
        </w:tc>
      </w:tr>
      <w:tr w:rsidR="002F42F8" w:rsidRPr="002B114A" w14:paraId="5A357CA2" w14:textId="77777777" w:rsidTr="0065673F">
        <w:trPr>
          <w:trHeight w:val="595"/>
        </w:trPr>
        <w:tc>
          <w:tcPr>
            <w:tcW w:w="2189" w:type="dxa"/>
            <w:gridSpan w:val="2"/>
            <w:hideMark/>
          </w:tcPr>
          <w:p w14:paraId="6AE3E45B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Preparation margin –</w:t>
            </w:r>
          </w:p>
          <w:p w14:paraId="43BC6C79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height</w:t>
            </w:r>
          </w:p>
          <w:p w14:paraId="2E9A29B6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37" w:type="dxa"/>
            <w:hideMark/>
          </w:tcPr>
          <w:p w14:paraId="6B3EF718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Uniformly 0.5 mm </w:t>
            </w:r>
          </w:p>
          <w:p w14:paraId="699A3499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supragingival to epigingival</w:t>
            </w:r>
          </w:p>
        </w:tc>
        <w:tc>
          <w:tcPr>
            <w:tcW w:w="1657" w:type="dxa"/>
            <w:hideMark/>
          </w:tcPr>
          <w:p w14:paraId="5BE0CC8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0.1-0.4 mm subgingival or 0.6-0.9 mm </w:t>
            </w:r>
          </w:p>
          <w:p w14:paraId="5A13A6BE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supragingival</w:t>
            </w:r>
          </w:p>
        </w:tc>
        <w:tc>
          <w:tcPr>
            <w:tcW w:w="1663" w:type="dxa"/>
            <w:hideMark/>
          </w:tcPr>
          <w:p w14:paraId="3EF0B458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0.5 mm subgingival or more than 1 mm </w:t>
            </w:r>
          </w:p>
          <w:p w14:paraId="33436E55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supragingival</w:t>
            </w:r>
          </w:p>
        </w:tc>
        <w:tc>
          <w:tcPr>
            <w:tcW w:w="2232" w:type="dxa"/>
            <w:hideMark/>
          </w:tcPr>
          <w:p w14:paraId="3CEC8EF7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 xml:space="preserve">0.6-0.9 mm subgingival </w:t>
            </w:r>
          </w:p>
        </w:tc>
      </w:tr>
      <w:tr w:rsidR="002F42F8" w:rsidRPr="002B114A" w14:paraId="6465723A" w14:textId="77777777" w:rsidTr="0065673F">
        <w:trPr>
          <w:trHeight w:val="595"/>
        </w:trPr>
        <w:tc>
          <w:tcPr>
            <w:tcW w:w="2189" w:type="dxa"/>
            <w:gridSpan w:val="2"/>
            <w:hideMark/>
          </w:tcPr>
          <w:p w14:paraId="50FB4A10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lastRenderedPageBreak/>
              <w:t>Taper Angle</w:t>
            </w:r>
          </w:p>
          <w:p w14:paraId="53552147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37" w:type="dxa"/>
            <w:hideMark/>
          </w:tcPr>
          <w:p w14:paraId="03EA75FE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6°, no undercuts</w:t>
            </w:r>
          </w:p>
        </w:tc>
        <w:tc>
          <w:tcPr>
            <w:tcW w:w="1657" w:type="dxa"/>
            <w:hideMark/>
          </w:tcPr>
          <w:p w14:paraId="54BD328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4°-5°, 7°-8°, not undercutting</w:t>
            </w:r>
          </w:p>
        </w:tc>
        <w:tc>
          <w:tcPr>
            <w:tcW w:w="1663" w:type="dxa"/>
            <w:hideMark/>
          </w:tcPr>
          <w:p w14:paraId="7948CAD8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&lt;4°, 9°-10°, not undercutting</w:t>
            </w:r>
          </w:p>
        </w:tc>
        <w:tc>
          <w:tcPr>
            <w:tcW w:w="2232" w:type="dxa"/>
            <w:hideMark/>
          </w:tcPr>
          <w:p w14:paraId="789AC431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 xml:space="preserve">&gt;10° or undercutting </w:t>
            </w:r>
          </w:p>
        </w:tc>
      </w:tr>
      <w:tr w:rsidR="002F42F8" w:rsidRPr="00FC3E14" w14:paraId="6E07AE53" w14:textId="77777777" w:rsidTr="0065673F">
        <w:trPr>
          <w:trHeight w:val="595"/>
        </w:trPr>
        <w:tc>
          <w:tcPr>
            <w:tcW w:w="2189" w:type="dxa"/>
            <w:gridSpan w:val="2"/>
            <w:hideMark/>
          </w:tcPr>
          <w:p w14:paraId="22DC009A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Path of insertion</w:t>
            </w:r>
          </w:p>
          <w:p w14:paraId="6D0FCC24" w14:textId="77777777" w:rsidR="002F42F8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DE"/>
              </w:rPr>
              <w:t> </w:t>
            </w:r>
          </w:p>
          <w:p w14:paraId="121763C3" w14:textId="77777777" w:rsidR="002F42F8" w:rsidRDefault="002F42F8" w:rsidP="0065673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  <w:p w14:paraId="265AEBDC" w14:textId="77777777" w:rsidR="002F42F8" w:rsidRPr="00C64573" w:rsidRDefault="002F42F8" w:rsidP="0065673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2037" w:type="dxa"/>
            <w:hideMark/>
          </w:tcPr>
          <w:p w14:paraId="09171D5C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hAnsi="Times New Roman" w:cs="Times New Roman"/>
                <w:sz w:val="18"/>
                <w:szCs w:val="18"/>
              </w:rPr>
              <w:t>Path of insertion maintained</w:t>
            </w:r>
          </w:p>
        </w:tc>
        <w:tc>
          <w:tcPr>
            <w:tcW w:w="1657" w:type="dxa"/>
            <w:hideMark/>
          </w:tcPr>
          <w:p w14:paraId="56CDFC02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Minor correctable deviations</w:t>
            </w:r>
          </w:p>
        </w:tc>
        <w:tc>
          <w:tcPr>
            <w:tcW w:w="1663" w:type="dxa"/>
            <w:hideMark/>
          </w:tcPr>
          <w:p w14:paraId="3749AB4C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Major correctable deviations</w:t>
            </w:r>
          </w:p>
        </w:tc>
        <w:tc>
          <w:tcPr>
            <w:tcW w:w="2232" w:type="dxa"/>
            <w:hideMark/>
          </w:tcPr>
          <w:p w14:paraId="203D62E5" w14:textId="77777777" w:rsidR="002F42F8" w:rsidRPr="002B114A" w:rsidRDefault="002F42F8" w:rsidP="0065673F">
            <w:pPr>
              <w:spacing w:after="160"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2B114A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Path of insertion not maintained, non-correctable </w:t>
            </w:r>
          </w:p>
        </w:tc>
      </w:tr>
    </w:tbl>
    <w:tbl>
      <w:tblPr>
        <w:tblStyle w:val="TableGrid"/>
        <w:tblpPr w:leftFromText="141" w:rightFromText="141" w:vertAnchor="page" w:horzAnchor="margin" w:tblpY="2746"/>
        <w:tblW w:w="9229" w:type="dxa"/>
        <w:tblLook w:val="04A0" w:firstRow="1" w:lastRow="0" w:firstColumn="1" w:lastColumn="0" w:noHBand="0" w:noVBand="1"/>
      </w:tblPr>
      <w:tblGrid>
        <w:gridCol w:w="1787"/>
        <w:gridCol w:w="279"/>
        <w:gridCol w:w="1923"/>
        <w:gridCol w:w="1564"/>
        <w:gridCol w:w="1570"/>
        <w:gridCol w:w="2106"/>
      </w:tblGrid>
      <w:tr w:rsidR="002F42F8" w:rsidRPr="00706F36" w14:paraId="0FD9E351" w14:textId="77777777" w:rsidTr="0065673F">
        <w:trPr>
          <w:trHeight w:val="283"/>
        </w:trPr>
        <w:tc>
          <w:tcPr>
            <w:tcW w:w="1787" w:type="dxa"/>
            <w:noWrap/>
            <w:hideMark/>
          </w:tcPr>
          <w:p w14:paraId="37B79CC4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Category</w:t>
            </w:r>
          </w:p>
        </w:tc>
        <w:tc>
          <w:tcPr>
            <w:tcW w:w="279" w:type="dxa"/>
            <w:noWrap/>
            <w:hideMark/>
          </w:tcPr>
          <w:p w14:paraId="1A05D35D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de-DE"/>
              </w:rPr>
              <w:t> </w:t>
            </w:r>
          </w:p>
        </w:tc>
        <w:tc>
          <w:tcPr>
            <w:tcW w:w="7163" w:type="dxa"/>
            <w:gridSpan w:val="4"/>
            <w:hideMark/>
          </w:tcPr>
          <w:p w14:paraId="6C8A4730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Score</w:t>
            </w:r>
          </w:p>
        </w:tc>
      </w:tr>
      <w:tr w:rsidR="002F42F8" w:rsidRPr="00706F36" w14:paraId="3EB7C6F0" w14:textId="77777777" w:rsidTr="0065673F">
        <w:trPr>
          <w:trHeight w:val="283"/>
        </w:trPr>
        <w:tc>
          <w:tcPr>
            <w:tcW w:w="1787" w:type="dxa"/>
            <w:hideMark/>
          </w:tcPr>
          <w:p w14:paraId="34F25D0A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79" w:type="dxa"/>
            <w:hideMark/>
          </w:tcPr>
          <w:p w14:paraId="50E80E77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923" w:type="dxa"/>
            <w:noWrap/>
            <w:hideMark/>
          </w:tcPr>
          <w:p w14:paraId="717FD028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564" w:type="dxa"/>
            <w:noWrap/>
            <w:hideMark/>
          </w:tcPr>
          <w:p w14:paraId="4F618212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92D05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b/>
                <w:color w:val="92D05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570" w:type="dxa"/>
            <w:noWrap/>
            <w:hideMark/>
          </w:tcPr>
          <w:p w14:paraId="6AC7C9F9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FFC00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b/>
                <w:color w:val="FFC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2106" w:type="dxa"/>
            <w:noWrap/>
            <w:hideMark/>
          </w:tcPr>
          <w:p w14:paraId="0D9C42B5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C00000"/>
                <w:sz w:val="20"/>
                <w:szCs w:val="20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b/>
                <w:color w:val="C00000"/>
                <w:sz w:val="20"/>
                <w:szCs w:val="20"/>
                <w:lang w:eastAsia="de-DE"/>
              </w:rPr>
              <w:t>0</w:t>
            </w:r>
          </w:p>
        </w:tc>
      </w:tr>
      <w:tr w:rsidR="002F42F8" w:rsidRPr="00FC3E14" w14:paraId="782087B6" w14:textId="77777777" w:rsidTr="0065673F">
        <w:trPr>
          <w:trHeight w:val="567"/>
        </w:trPr>
        <w:tc>
          <w:tcPr>
            <w:tcW w:w="2066" w:type="dxa"/>
            <w:gridSpan w:val="2"/>
          </w:tcPr>
          <w:p w14:paraId="2B57ACF8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Impression for provisional restoration</w:t>
            </w:r>
          </w:p>
          <w:p w14:paraId="5D938062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923" w:type="dxa"/>
          </w:tcPr>
          <w:p w14:paraId="7EB104B7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Reduction meets the guidelines </w:t>
            </w:r>
          </w:p>
          <w:p w14:paraId="680EEDDE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(1 – 1.2 mm)</w:t>
            </w:r>
          </w:p>
        </w:tc>
        <w:tc>
          <w:tcPr>
            <w:tcW w:w="1564" w:type="dxa"/>
            <w:noWrap/>
          </w:tcPr>
          <w:p w14:paraId="1FC85490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Minor correctable deviations</w:t>
            </w:r>
          </w:p>
        </w:tc>
        <w:tc>
          <w:tcPr>
            <w:tcW w:w="1570" w:type="dxa"/>
          </w:tcPr>
          <w:p w14:paraId="6360D5E7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 xml:space="preserve">Major correctable deviations </w:t>
            </w:r>
          </w:p>
        </w:tc>
        <w:tc>
          <w:tcPr>
            <w:tcW w:w="2106" w:type="dxa"/>
          </w:tcPr>
          <w:p w14:paraId="14FAE499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Circumferential reduction does not meet the guidelines</w:t>
            </w:r>
          </w:p>
        </w:tc>
      </w:tr>
      <w:tr w:rsidR="002F42F8" w:rsidRPr="00FC3E14" w14:paraId="3680FA73" w14:textId="77777777" w:rsidTr="0065673F">
        <w:trPr>
          <w:trHeight w:val="567"/>
        </w:trPr>
        <w:tc>
          <w:tcPr>
            <w:tcW w:w="2066" w:type="dxa"/>
            <w:gridSpan w:val="2"/>
            <w:hideMark/>
          </w:tcPr>
          <w:p w14:paraId="130351EC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Hygiene suitability of the provisional restoration</w:t>
            </w:r>
          </w:p>
          <w:p w14:paraId="016A8781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923" w:type="dxa"/>
            <w:hideMark/>
          </w:tcPr>
          <w:p w14:paraId="6EDD1F40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Correct tooth shape, cusp beveling and crown inclination considered</w:t>
            </w:r>
          </w:p>
        </w:tc>
        <w:tc>
          <w:tcPr>
            <w:tcW w:w="1564" w:type="dxa"/>
            <w:noWrap/>
            <w:hideMark/>
          </w:tcPr>
          <w:p w14:paraId="3404CDB7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Minor correctable deviations</w:t>
            </w:r>
          </w:p>
        </w:tc>
        <w:tc>
          <w:tcPr>
            <w:tcW w:w="1570" w:type="dxa"/>
            <w:hideMark/>
          </w:tcPr>
          <w:p w14:paraId="3754C76A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Major correctable deviations</w:t>
            </w:r>
          </w:p>
        </w:tc>
        <w:tc>
          <w:tcPr>
            <w:tcW w:w="2106" w:type="dxa"/>
            <w:hideMark/>
          </w:tcPr>
          <w:p w14:paraId="4A72F07E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Incorrect tooth shape, cusp beveling, and/or crown inclination not considered</w:t>
            </w:r>
          </w:p>
        </w:tc>
      </w:tr>
      <w:tr w:rsidR="002F42F8" w:rsidRPr="00FC3E14" w14:paraId="4D9BE056" w14:textId="77777777" w:rsidTr="0065673F">
        <w:trPr>
          <w:trHeight w:val="567"/>
        </w:trPr>
        <w:tc>
          <w:tcPr>
            <w:tcW w:w="2066" w:type="dxa"/>
            <w:gridSpan w:val="2"/>
            <w:hideMark/>
          </w:tcPr>
          <w:p w14:paraId="0D14DE1B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Marginal fit of the provisional restoration</w:t>
            </w:r>
          </w:p>
          <w:p w14:paraId="74995A7E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923" w:type="dxa"/>
            <w:hideMark/>
          </w:tcPr>
          <w:p w14:paraId="3A3185D1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Occlusal reduction meets the guidelines</w:t>
            </w:r>
          </w:p>
        </w:tc>
        <w:tc>
          <w:tcPr>
            <w:tcW w:w="1564" w:type="dxa"/>
            <w:hideMark/>
          </w:tcPr>
          <w:p w14:paraId="18E76816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Insufficient substance removal </w:t>
            </w:r>
          </w:p>
          <w:p w14:paraId="0090E093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(1.1-1.5 mm)</w:t>
            </w:r>
          </w:p>
        </w:tc>
        <w:tc>
          <w:tcPr>
            <w:tcW w:w="1570" w:type="dxa"/>
            <w:hideMark/>
          </w:tcPr>
          <w:p w14:paraId="51040CF1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Excessive substance removal (2.0-2.5 mm)</w:t>
            </w:r>
          </w:p>
        </w:tc>
        <w:tc>
          <w:tcPr>
            <w:tcW w:w="2106" w:type="dxa"/>
            <w:hideMark/>
          </w:tcPr>
          <w:p w14:paraId="23715378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More than 3 mm or less than 1 mm occlusal reduction</w:t>
            </w:r>
          </w:p>
        </w:tc>
      </w:tr>
      <w:tr w:rsidR="002F42F8" w:rsidRPr="00FC3E14" w14:paraId="726D8415" w14:textId="77777777" w:rsidTr="0065673F">
        <w:trPr>
          <w:trHeight w:val="567"/>
        </w:trPr>
        <w:tc>
          <w:tcPr>
            <w:tcW w:w="2066" w:type="dxa"/>
            <w:gridSpan w:val="2"/>
            <w:hideMark/>
          </w:tcPr>
          <w:p w14:paraId="6FFA107E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Proximal contacts </w:t>
            </w:r>
          </w:p>
        </w:tc>
        <w:tc>
          <w:tcPr>
            <w:tcW w:w="1923" w:type="dxa"/>
            <w:hideMark/>
          </w:tcPr>
          <w:p w14:paraId="67579607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Chamfer is smooth and polished</w:t>
            </w:r>
          </w:p>
        </w:tc>
        <w:tc>
          <w:tcPr>
            <w:tcW w:w="1564" w:type="dxa"/>
            <w:hideMark/>
          </w:tcPr>
          <w:p w14:paraId="262365E2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Chamfer with minor correctable irregularities</w:t>
            </w:r>
          </w:p>
        </w:tc>
        <w:tc>
          <w:tcPr>
            <w:tcW w:w="1570" w:type="dxa"/>
            <w:hideMark/>
          </w:tcPr>
          <w:p w14:paraId="370852B0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Chamfer with major correctable irregularieties</w:t>
            </w:r>
          </w:p>
        </w:tc>
        <w:tc>
          <w:tcPr>
            <w:tcW w:w="2106" w:type="dxa"/>
            <w:hideMark/>
          </w:tcPr>
          <w:p w14:paraId="5558FDA2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Incorrect preparation margin </w:t>
            </w:r>
          </w:p>
          <w:p w14:paraId="52070592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(shoulder / tangential), non-correctable irregularties</w:t>
            </w:r>
          </w:p>
        </w:tc>
      </w:tr>
      <w:tr w:rsidR="002F42F8" w:rsidRPr="00706F36" w14:paraId="3ADD8D01" w14:textId="77777777" w:rsidTr="0065673F">
        <w:trPr>
          <w:trHeight w:val="567"/>
        </w:trPr>
        <w:tc>
          <w:tcPr>
            <w:tcW w:w="2066" w:type="dxa"/>
            <w:gridSpan w:val="2"/>
            <w:hideMark/>
          </w:tcPr>
          <w:p w14:paraId="6E7115DC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Polishing of the provisional restoration</w:t>
            </w:r>
          </w:p>
          <w:p w14:paraId="0360790F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1923" w:type="dxa"/>
            <w:hideMark/>
          </w:tcPr>
          <w:p w14:paraId="2710E9BA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Uniformly 0.5 mm </w:t>
            </w:r>
          </w:p>
          <w:p w14:paraId="4EE33DAA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supragingival to epigingival</w:t>
            </w:r>
          </w:p>
        </w:tc>
        <w:tc>
          <w:tcPr>
            <w:tcW w:w="1564" w:type="dxa"/>
            <w:hideMark/>
          </w:tcPr>
          <w:p w14:paraId="7EC18C54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0.1-0.4 mm subgingival or 0.6-0.9 mm </w:t>
            </w:r>
          </w:p>
          <w:p w14:paraId="62317018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>supragingival</w:t>
            </w:r>
          </w:p>
        </w:tc>
        <w:tc>
          <w:tcPr>
            <w:tcW w:w="1570" w:type="dxa"/>
            <w:hideMark/>
          </w:tcPr>
          <w:p w14:paraId="1DA6330B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e-DE"/>
              </w:rPr>
              <w:t xml:space="preserve">0.5 mm subgingival or more than 1 mm </w:t>
            </w:r>
          </w:p>
          <w:p w14:paraId="0C00FD2C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>supragingival</w:t>
            </w:r>
          </w:p>
        </w:tc>
        <w:tc>
          <w:tcPr>
            <w:tcW w:w="2106" w:type="dxa"/>
            <w:hideMark/>
          </w:tcPr>
          <w:p w14:paraId="1CFD4219" w14:textId="77777777" w:rsidR="002F42F8" w:rsidRPr="00706F36" w:rsidRDefault="002F42F8" w:rsidP="0065673F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  <w:r w:rsidRPr="00706F36"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  <w:t xml:space="preserve">0.6-0.9 mm subgingival </w:t>
            </w:r>
          </w:p>
        </w:tc>
      </w:tr>
    </w:tbl>
    <w:p w14:paraId="6077239F" w14:textId="77777777" w:rsidR="002F42F8" w:rsidRDefault="002F42F8" w:rsidP="002F42F8">
      <w:pPr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0E16FE">
        <w:rPr>
          <w:rFonts w:ascii="Times New Roman" w:hAnsi="Times New Roman" w:cs="Times New Roman"/>
          <w:b/>
          <w:sz w:val="24"/>
          <w:lang w:val="en-US"/>
        </w:rPr>
        <w:lastRenderedPageBreak/>
        <w:t xml:space="preserve">Table 2: </w:t>
      </w:r>
      <w:r w:rsidRPr="000E16FE">
        <w:rPr>
          <w:rFonts w:ascii="Times New Roman" w:hAnsi="Times New Roman" w:cs="Times New Roman"/>
          <w:sz w:val="24"/>
          <w:lang w:val="en-US"/>
        </w:rPr>
        <w:t>Another analogue evaluation criteria for the provisional restoration, again based on preclinical criteria.</w:t>
      </w:r>
    </w:p>
    <w:p w14:paraId="559E76CF" w14:textId="77777777" w:rsidR="002F42F8" w:rsidRDefault="002F42F8" w:rsidP="002F42F8">
      <w:pPr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B40BA31" w14:textId="77777777" w:rsidR="002F42F8" w:rsidRDefault="002F42F8" w:rsidP="002F42F8">
      <w:pPr>
        <w:pStyle w:val="NormalWeb"/>
        <w:spacing w:line="360" w:lineRule="auto"/>
        <w:jc w:val="both"/>
        <w:rPr>
          <w:lang w:val="en-US"/>
        </w:rPr>
      </w:pPr>
    </w:p>
    <w:p w14:paraId="2DB748BD" w14:textId="77777777" w:rsidR="00DA07B9" w:rsidRPr="00C64573" w:rsidRDefault="00DA07B9" w:rsidP="00DA07B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de-DE"/>
        </w:rPr>
      </w:pPr>
      <w:r w:rsidRPr="000E16FE">
        <w:rPr>
          <w:rFonts w:ascii="Times New Roman" w:hAnsi="Times New Roman" w:cs="Times New Roman"/>
          <w:b/>
          <w:sz w:val="24"/>
          <w:lang w:val="en-US"/>
        </w:rPr>
        <w:t>Table 3:</w:t>
      </w:r>
      <w:r w:rsidRPr="006E043B">
        <w:rPr>
          <w:rFonts w:ascii="Times New Roman" w:hAnsi="Times New Roman" w:cs="Times New Roman"/>
          <w:sz w:val="24"/>
          <w:lang w:val="en-US"/>
        </w:rPr>
        <w:t xml:space="preserve"> Mean percentage scores of the maximum achievable points by experimental group. The rows are organized by semester, while the columns represent the five evaluation methods assessed by three raters (ST=student; D=dentist; SC=senior consultant), along with their respective mean values. </w:t>
      </w:r>
    </w:p>
    <w:p w14:paraId="6B6E340E" w14:textId="77777777" w:rsidR="00DA07B9" w:rsidRDefault="00DA07B9" w:rsidP="00DA07B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tbl>
      <w:tblPr>
        <w:tblStyle w:val="TableGrid"/>
        <w:tblW w:w="5050" w:type="pct"/>
        <w:tblLayout w:type="fixed"/>
        <w:tblLook w:val="04A0" w:firstRow="1" w:lastRow="0" w:firstColumn="1" w:lastColumn="0" w:noHBand="0" w:noVBand="1"/>
      </w:tblPr>
      <w:tblGrid>
        <w:gridCol w:w="731"/>
        <w:gridCol w:w="731"/>
        <w:gridCol w:w="439"/>
        <w:gridCol w:w="503"/>
        <w:gridCol w:w="503"/>
        <w:gridCol w:w="505"/>
        <w:gridCol w:w="178"/>
        <w:gridCol w:w="325"/>
        <w:gridCol w:w="503"/>
        <w:gridCol w:w="505"/>
        <w:gridCol w:w="138"/>
        <w:gridCol w:w="365"/>
        <w:gridCol w:w="503"/>
        <w:gridCol w:w="505"/>
        <w:gridCol w:w="100"/>
        <w:gridCol w:w="403"/>
        <w:gridCol w:w="503"/>
        <w:gridCol w:w="505"/>
        <w:gridCol w:w="49"/>
        <w:gridCol w:w="454"/>
        <w:gridCol w:w="503"/>
        <w:gridCol w:w="405"/>
        <w:gridCol w:w="98"/>
      </w:tblGrid>
      <w:tr w:rsidR="00DA07B9" w:rsidRPr="00FC3E14" w14:paraId="4429BF1C" w14:textId="77777777" w:rsidTr="0065673F">
        <w:trPr>
          <w:trHeight w:val="283"/>
        </w:trPr>
        <w:tc>
          <w:tcPr>
            <w:tcW w:w="387" w:type="pct"/>
            <w:vMerge w:val="restart"/>
            <w:tcBorders>
              <w:top w:val="single" w:sz="4" w:space="0" w:color="auto"/>
              <w:left w:val="nil"/>
              <w:right w:val="nil"/>
            </w:tcBorders>
            <w:textDirection w:val="btLr"/>
            <w:vAlign w:val="center"/>
          </w:tcPr>
          <w:p w14:paraId="7DCFDC2B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Semester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3E4AC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Group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C81A4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3994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A3CE2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E043B">
              <w:rPr>
                <w:rFonts w:ascii="Times New Roman" w:hAnsi="Times New Roman" w:cs="Times New Roman"/>
                <w:sz w:val="16"/>
                <w:lang w:val="en-US"/>
              </w:rPr>
              <w:t>Mean percentage scores relative to the maximum possible points across evaluation methods</w:t>
            </w:r>
          </w:p>
        </w:tc>
      </w:tr>
      <w:tr w:rsidR="00DA07B9" w:rsidRPr="006E043B" w14:paraId="6949FC1F" w14:textId="77777777" w:rsidTr="0065673F">
        <w:trPr>
          <w:trHeight w:val="283"/>
        </w:trPr>
        <w:tc>
          <w:tcPr>
            <w:tcW w:w="387" w:type="pct"/>
            <w:vMerge/>
            <w:tcBorders>
              <w:left w:val="nil"/>
              <w:right w:val="nil"/>
            </w:tcBorders>
            <w:textDirection w:val="btLr"/>
            <w:vAlign w:val="center"/>
          </w:tcPr>
          <w:p w14:paraId="10956D71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387" w:type="pct"/>
            <w:vMerge/>
            <w:tcBorders>
              <w:left w:val="nil"/>
              <w:right w:val="nil"/>
            </w:tcBorders>
            <w:vAlign w:val="center"/>
          </w:tcPr>
          <w:p w14:paraId="4F943A7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232" w:type="pct"/>
            <w:vMerge/>
            <w:tcBorders>
              <w:left w:val="nil"/>
              <w:right w:val="nil"/>
            </w:tcBorders>
            <w:vAlign w:val="center"/>
          </w:tcPr>
          <w:p w14:paraId="04943D8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092A6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Provisional restoration</w:t>
            </w:r>
          </w:p>
        </w:tc>
        <w:tc>
          <w:tcPr>
            <w:tcW w:w="77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AC7A6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Preparation</w:t>
            </w:r>
          </w:p>
          <w:p w14:paraId="3BE071B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conventional</w:t>
            </w:r>
          </w:p>
        </w:tc>
        <w:tc>
          <w:tcPr>
            <w:tcW w:w="7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788C4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Preparation</w:t>
            </w:r>
          </w:p>
          <w:p w14:paraId="27AB064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digital</w:t>
            </w:r>
          </w:p>
        </w:tc>
        <w:tc>
          <w:tcPr>
            <w:tcW w:w="77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1C438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Preparation</w:t>
            </w:r>
          </w:p>
          <w:p w14:paraId="42588B2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conventional + digital</w:t>
            </w:r>
          </w:p>
        </w:tc>
        <w:tc>
          <w:tcPr>
            <w:tcW w:w="77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DF5EF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Overall assesment</w:t>
            </w:r>
          </w:p>
        </w:tc>
      </w:tr>
      <w:tr w:rsidR="00DA07B9" w:rsidRPr="006E043B" w14:paraId="1A67D571" w14:textId="77777777" w:rsidTr="0065673F">
        <w:trPr>
          <w:trHeight w:val="340"/>
        </w:trPr>
        <w:tc>
          <w:tcPr>
            <w:tcW w:w="387" w:type="pct"/>
            <w:vMerge/>
            <w:tcBorders>
              <w:left w:val="nil"/>
              <w:right w:val="nil"/>
            </w:tcBorders>
            <w:vAlign w:val="center"/>
          </w:tcPr>
          <w:p w14:paraId="565A106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left w:val="nil"/>
              <w:right w:val="nil"/>
            </w:tcBorders>
            <w:vAlign w:val="center"/>
          </w:tcPr>
          <w:p w14:paraId="5834CCE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right w:val="nil"/>
            </w:tcBorders>
            <w:vAlign w:val="center"/>
          </w:tcPr>
          <w:p w14:paraId="7CA6D48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734018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2A903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EAC24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2CF2A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65624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7842C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A7290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DDF61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936C21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BF989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4E666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BBA323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252A7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9DA0F5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D8A36D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</w:t>
            </w:r>
          </w:p>
        </w:tc>
      </w:tr>
      <w:tr w:rsidR="00DA07B9" w:rsidRPr="006E043B" w14:paraId="1BB79006" w14:textId="77777777" w:rsidTr="0065673F">
        <w:trPr>
          <w:trHeight w:val="340"/>
        </w:trPr>
        <w:tc>
          <w:tcPr>
            <w:tcW w:w="387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1C740E0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2B4A919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C0E59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33A1A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C6"/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CC489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C6"/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08F3E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C6"/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81260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C6"/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9DB1B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C6"/>
            </w:r>
          </w:p>
        </w:tc>
      </w:tr>
      <w:tr w:rsidR="00DA07B9" w:rsidRPr="006E043B" w14:paraId="014FAB33" w14:textId="77777777" w:rsidTr="0065673F">
        <w:trPr>
          <w:cantSplit/>
          <w:trHeight w:val="340"/>
        </w:trPr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C1D0839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Fifth</w:t>
            </w:r>
          </w:p>
          <w:p w14:paraId="30D16EF0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Semester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99CD5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SG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0669E5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BD5BB5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30,4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80A78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55,6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FA71B3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48,9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8CAEF0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55,7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40E3A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76,2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69ED5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AC2BF2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C2C1CE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35C91D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58,6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52F3F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63,6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66619E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66,0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FD991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64,9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E6510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BF85A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64,4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7771A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62,2</w:t>
            </w:r>
          </w:p>
        </w:tc>
      </w:tr>
      <w:tr w:rsidR="00DA07B9" w:rsidRPr="006E043B" w14:paraId="7DF4D3C5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6867785A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80FC3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5850E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23702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44,938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9151C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67,619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FBAE3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61,746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583DA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64,815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284F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60,864</w:t>
            </w:r>
          </w:p>
        </w:tc>
      </w:tr>
      <w:tr w:rsidR="00DA07B9" w:rsidRPr="006E043B" w14:paraId="7C7B2AC4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346D220E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C045B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DL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03FFE2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07367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31,7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9C0D0C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55,8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515B3C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40,0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C9E216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740C9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64,3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12C74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F74D0C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F7958A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48,1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D4ABEB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54,8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783F17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64,0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D31A6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A9AA4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63,8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F6482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59,4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3BACD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65,2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E63247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60,0</w:t>
            </w:r>
          </w:p>
        </w:tc>
      </w:tr>
      <w:tr w:rsidR="00DA07B9" w:rsidRPr="006E043B" w14:paraId="7D911047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1C24A83A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678D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66735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62F8D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42,500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F21B9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66,191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19398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57,302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C01F4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63,629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7C7B3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61,528</w:t>
            </w:r>
          </w:p>
        </w:tc>
      </w:tr>
      <w:tr w:rsidR="00DA07B9" w:rsidRPr="006E043B" w14:paraId="146951B8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412A5F51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97731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OPMI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A26992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CDA98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22,9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DECB95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50,4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D8E312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36,3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3000E5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65,7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3203F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85,7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CF83C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76,2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CFE969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74,3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DE34AD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77,1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BBC25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65,7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51C987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71,1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11106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81,8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AAF01B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72,0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6E2334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59,1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D53A0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73,1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51FEA3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62,8</w:t>
            </w:r>
          </w:p>
        </w:tc>
      </w:tr>
      <w:tr w:rsidR="00DA07B9" w:rsidRPr="006E043B" w14:paraId="46D23A9D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2770BE7C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486F3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DE83F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797A6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36,543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A0CA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75,873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A320F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72,381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35024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74,963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A4D6D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65,000</w:t>
            </w:r>
          </w:p>
        </w:tc>
      </w:tr>
      <w:tr w:rsidR="00DA07B9" w:rsidRPr="006E043B" w14:paraId="2D2417D3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0A1F6A56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3F1BC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A19F73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2DC2E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28,2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9C2F7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53,8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9D54CC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41,8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6F0689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58,9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FE9E03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78,3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4AA87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72,1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D2ECAC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71,4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27234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60,3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381C1C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59,7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F488E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66,2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733C41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70,3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7F610C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66,9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5EE702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58,1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510AB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67,7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B14EF1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61,7</w:t>
            </w:r>
          </w:p>
        </w:tc>
      </w:tr>
      <w:tr w:rsidR="00DA07B9" w:rsidRPr="006E043B" w14:paraId="4779B506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5CB2B96A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80077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AAAED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02C68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41,282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85E62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69,894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B553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63,809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60D9C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67,803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90578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62,500</w:t>
            </w:r>
          </w:p>
        </w:tc>
      </w:tr>
      <w:tr w:rsidR="00DA07B9" w:rsidRPr="006E043B" w14:paraId="1B4BB431" w14:textId="77777777" w:rsidTr="0065673F">
        <w:trPr>
          <w:cantSplit/>
          <w:trHeight w:val="340"/>
        </w:trPr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</w:tcPr>
          <w:p w14:paraId="232273C2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Ninth</w:t>
            </w:r>
          </w:p>
          <w:p w14:paraId="7BBFA560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Semester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8542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SG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60134C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53BE7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52,5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2BEE73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69,2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0B84EB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69,2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AFBAD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57,6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A06C9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78,1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673324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69,5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C5BA71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71,9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3257E5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39,5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06C7B9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63,3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CCE1B3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63,6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F79C4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58,0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B33DEC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65,1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FF784D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57,9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5AF02B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57,9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07260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58,9</w:t>
            </w:r>
          </w:p>
        </w:tc>
      </w:tr>
      <w:tr w:rsidR="00DA07B9" w:rsidRPr="006E043B" w14:paraId="74424F18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4C6BC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CEAE8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0AE5C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1D267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56,944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592E6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68,413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55B50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58,254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0DB8C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62,222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77C80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58,264</w:t>
            </w:r>
          </w:p>
        </w:tc>
      </w:tr>
      <w:tr w:rsidR="00DA07B9" w:rsidRPr="006E043B" w14:paraId="5C09FDD4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E14AA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F990C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DL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331CC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E3978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539918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C8FCBD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55,8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38AF57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63,8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4F8408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83,3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D07AD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74,8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06925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85,2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E2982B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65,7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987FE7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65,2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13A1BB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74,2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D46C27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74,2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E9FB19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F6CC91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68,9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B6AF6F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73,3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190689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66,9</w:t>
            </w:r>
          </w:p>
        </w:tc>
      </w:tr>
      <w:tr w:rsidR="00DA07B9" w:rsidRPr="006E043B" w14:paraId="7ABE7AFB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5B856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18D28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50406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C4A43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60,278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DB9FF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73,968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94174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72,064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4EBFA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72,815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AA1D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69,722</w:t>
            </w:r>
          </w:p>
        </w:tc>
      </w:tr>
      <w:tr w:rsidR="00DA07B9" w:rsidRPr="006E043B" w14:paraId="2045A8CE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80E7E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D07A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OPMI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A2B1B7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2CA360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41,9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2872CB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6CB4C9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51,4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045FAB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B14C9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75,7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D37F6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74,8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7CBE17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94A76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68,1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E633B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62,4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259E61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68,4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DDCE38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71,6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12D1A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68,4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027C8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61,7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17097C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69,3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7C228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63,6</w:t>
            </w:r>
          </w:p>
        </w:tc>
      </w:tr>
      <w:tr w:rsidR="00DA07B9" w:rsidRPr="006E043B" w14:paraId="2FC21485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9A1C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7133C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DD22C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8B137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51,111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59AE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73,492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C4B3B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65,873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2F298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69,482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58124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64,841</w:t>
            </w:r>
          </w:p>
        </w:tc>
      </w:tr>
      <w:tr w:rsidR="00DA07B9" w:rsidRPr="006E043B" w14:paraId="1DB72B69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9A0D4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FC4A4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B9D4A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81F6B6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50,1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868F1F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66,7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D17618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52,2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504645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63,8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8AF6B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79,0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2877E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73,0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58D423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74,8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3336A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57,8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2C3FD8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63,7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3E3117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68,7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921FD1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67,9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F8172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39E0AC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62,9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110C15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66,7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AD7391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63,1</w:t>
            </w:r>
          </w:p>
        </w:tc>
      </w:tr>
      <w:tr w:rsidR="00DA07B9" w:rsidRPr="006E043B" w14:paraId="52878E39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092A1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A1ABF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64F389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3AB72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56,329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8FF7E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71,958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272CD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65,397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F11E7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68,173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2A583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64,251</w:t>
            </w:r>
          </w:p>
        </w:tc>
      </w:tr>
      <w:tr w:rsidR="00DA07B9" w:rsidRPr="006E043B" w14:paraId="478AC8A3" w14:textId="77777777" w:rsidTr="0065673F">
        <w:trPr>
          <w:cantSplit/>
          <w:trHeight w:val="340"/>
        </w:trPr>
        <w:tc>
          <w:tcPr>
            <w:tcW w:w="387" w:type="pct"/>
            <w:vMerge w:val="restart"/>
            <w:tcBorders>
              <w:top w:val="single" w:sz="4" w:space="0" w:color="auto"/>
              <w:left w:val="nil"/>
              <w:right w:val="nil"/>
            </w:tcBorders>
            <w:textDirection w:val="btLr"/>
            <w:vAlign w:val="center"/>
          </w:tcPr>
          <w:p w14:paraId="356802F0" w14:textId="77777777" w:rsidR="00DA07B9" w:rsidRPr="006E043B" w:rsidRDefault="00DA07B9" w:rsidP="0065673F">
            <w:pPr>
              <w:spacing w:line="480" w:lineRule="auto"/>
              <w:ind w:left="113" w:right="113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245900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SG</w:t>
            </w:r>
          </w:p>
        </w:tc>
        <w:tc>
          <w:tcPr>
            <w:tcW w:w="23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B3F48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FB9971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40,8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DE7484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61,9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CCC47E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49,0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3EF0B4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56,7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491BDD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77,1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62D1A1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70,2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B4F435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71,4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AD7500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47,6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125D3D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33CBAE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63,6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BDAAA4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62,0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EC40DE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65,0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256777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56,9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A32DA2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61,4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E767E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60,7</w:t>
            </w:r>
          </w:p>
        </w:tc>
      </w:tr>
      <w:tr w:rsidR="00DA07B9" w:rsidRPr="006E043B" w14:paraId="41B29755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left w:val="nil"/>
              <w:right w:val="nil"/>
            </w:tcBorders>
          </w:tcPr>
          <w:p w14:paraId="323FF16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left w:val="nil"/>
              <w:right w:val="nil"/>
            </w:tcBorders>
          </w:tcPr>
          <w:p w14:paraId="5A1BD9B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7D677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F78D2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50,588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EF2FA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68,016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0386F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60,000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5C6F4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63,519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265C6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59,641</w:t>
            </w:r>
          </w:p>
        </w:tc>
      </w:tr>
      <w:tr w:rsidR="00DA07B9" w:rsidRPr="006E043B" w14:paraId="6E720B05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left w:val="nil"/>
              <w:right w:val="nil"/>
            </w:tcBorders>
          </w:tcPr>
          <w:p w14:paraId="7B64642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left w:val="nil"/>
              <w:right w:val="nil"/>
            </w:tcBorders>
          </w:tcPr>
          <w:p w14:paraId="556328E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DL</w:t>
            </w:r>
          </w:p>
        </w:tc>
        <w:tc>
          <w:tcPr>
            <w:tcW w:w="232" w:type="pct"/>
            <w:vMerge w:val="restart"/>
            <w:tcBorders>
              <w:left w:val="nil"/>
              <w:right w:val="nil"/>
            </w:tcBorders>
            <w:vAlign w:val="center"/>
          </w:tcPr>
          <w:p w14:paraId="5825D03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DB15F5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43,3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8A4520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62,9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2EB5E7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47,9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A949EA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59,5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296495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78,8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A87CFE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71,9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73F366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77,1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F16A5F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56,9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2EAF14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3792E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10C6F4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68,7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15E73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66,9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52E19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64,2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AA5772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69,3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8D92BC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63,4</w:t>
            </w:r>
          </w:p>
        </w:tc>
      </w:tr>
      <w:tr w:rsidR="00DA07B9" w:rsidRPr="006E043B" w14:paraId="0AF02E79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left w:val="nil"/>
              <w:right w:val="nil"/>
            </w:tcBorders>
          </w:tcPr>
          <w:p w14:paraId="281DBDD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left w:val="nil"/>
              <w:right w:val="nil"/>
            </w:tcBorders>
          </w:tcPr>
          <w:p w14:paraId="1807F6A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8D7A6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9E455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51,389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D71F1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70,079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0217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64,683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A2002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68,222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ED555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65,625</w:t>
            </w:r>
          </w:p>
        </w:tc>
      </w:tr>
      <w:tr w:rsidR="00DA07B9" w:rsidRPr="006E043B" w14:paraId="54247F4E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left w:val="nil"/>
              <w:right w:val="nil"/>
            </w:tcBorders>
          </w:tcPr>
          <w:p w14:paraId="3B33843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left w:val="nil"/>
              <w:right w:val="nil"/>
            </w:tcBorders>
          </w:tcPr>
          <w:p w14:paraId="4264FF6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OPMI</w:t>
            </w:r>
          </w:p>
        </w:tc>
        <w:tc>
          <w:tcPr>
            <w:tcW w:w="232" w:type="pct"/>
            <w:vMerge w:val="restart"/>
            <w:tcBorders>
              <w:left w:val="nil"/>
              <w:right w:val="nil"/>
            </w:tcBorders>
            <w:vAlign w:val="center"/>
          </w:tcPr>
          <w:p w14:paraId="37A7448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6FC994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31,2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9209E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54,6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49277B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42,9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208C74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67,9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5D105E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80,7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EDBF0A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75,5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6ABA450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70,7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1CB57B9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72,6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F112B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64,0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B67233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69,8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EBFAD3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76,7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A64A03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70,2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162853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60,2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B9C794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71,5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CE54F6B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63,1</w:t>
            </w:r>
          </w:p>
        </w:tc>
      </w:tr>
      <w:tr w:rsidR="00DA07B9" w:rsidRPr="006E043B" w14:paraId="5BC5FC99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left w:val="nil"/>
              <w:right w:val="nil"/>
            </w:tcBorders>
          </w:tcPr>
          <w:p w14:paraId="1734BF7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left w:val="nil"/>
              <w:right w:val="nil"/>
            </w:tcBorders>
          </w:tcPr>
          <w:p w14:paraId="5DA1C97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BAAB8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5336F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42,917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70117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74,683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B18E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69,127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7873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72,222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6A803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64,931</w:t>
            </w:r>
          </w:p>
        </w:tc>
      </w:tr>
      <w:tr w:rsidR="00DA07B9" w:rsidRPr="006E043B" w14:paraId="377EB12C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left w:val="nil"/>
              <w:right w:val="nil"/>
            </w:tcBorders>
          </w:tcPr>
          <w:p w14:paraId="5578570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 w:val="restart"/>
            <w:tcBorders>
              <w:left w:val="nil"/>
              <w:right w:val="nil"/>
            </w:tcBorders>
          </w:tcPr>
          <w:p w14:paraId="04AF21B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232" w:type="pct"/>
            <w:vMerge w:val="restart"/>
            <w:tcBorders>
              <w:left w:val="nil"/>
              <w:right w:val="nil"/>
            </w:tcBorders>
            <w:vAlign w:val="center"/>
          </w:tcPr>
          <w:p w14:paraId="4DACA36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306467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38,5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2C93F9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59,9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D990B9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46,7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35DD51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61,3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1C42F7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78,9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E5DC1D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72,5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DE25E9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73,1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0541058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59,0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4039DA4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61,7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9C373B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67,5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A3B4B9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69,1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FCF88FE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67,4</w:t>
            </w:r>
          </w:p>
        </w:tc>
        <w:tc>
          <w:tcPr>
            <w:tcW w:w="266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7C7476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60,3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30AE6B3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67,2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4414847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3"/>
                <w:szCs w:val="13"/>
              </w:rPr>
              <w:t>62,4</w:t>
            </w:r>
          </w:p>
        </w:tc>
      </w:tr>
      <w:tr w:rsidR="00DA07B9" w:rsidRPr="006E043B" w14:paraId="0FDBDF76" w14:textId="77777777" w:rsidTr="0065673F">
        <w:trPr>
          <w:cantSplit/>
          <w:trHeight w:val="340"/>
        </w:trPr>
        <w:tc>
          <w:tcPr>
            <w:tcW w:w="387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125FB59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7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7CC6E63A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757B46FD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99" w:type="pct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F44EF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48,345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E44365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70,926</w:t>
            </w:r>
          </w:p>
        </w:tc>
        <w:tc>
          <w:tcPr>
            <w:tcW w:w="799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FA2082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64,603</w:t>
            </w:r>
          </w:p>
        </w:tc>
        <w:tc>
          <w:tcPr>
            <w:tcW w:w="798" w:type="pct"/>
            <w:gridSpan w:val="4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BDD226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67,988</w:t>
            </w:r>
          </w:p>
        </w:tc>
        <w:tc>
          <w:tcPr>
            <w:tcW w:w="799" w:type="pct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33F21C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6E043B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63,322</w:t>
            </w:r>
          </w:p>
        </w:tc>
      </w:tr>
      <w:tr w:rsidR="00DA07B9" w:rsidRPr="00FC3E14" w14:paraId="209B6B24" w14:textId="77777777" w:rsidTr="0065673F">
        <w:trPr>
          <w:gridAfter w:val="1"/>
          <w:wAfter w:w="52" w:type="pct"/>
          <w:trHeight w:val="283"/>
        </w:trPr>
        <w:tc>
          <w:tcPr>
            <w:tcW w:w="4948" w:type="pct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1869B1" w14:textId="77777777" w:rsidR="00DA07B9" w:rsidRPr="006E043B" w:rsidRDefault="00DA07B9" w:rsidP="0065673F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ST=Student, D= Dentist, SC=Senior consultant, n=number of cases, </w:t>
            </w: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Symbol" w:char="F0C6"/>
            </w:r>
            <w:r w:rsidRPr="006E043B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=mean values of all three raters</w:t>
            </w:r>
          </w:p>
        </w:tc>
      </w:tr>
    </w:tbl>
    <w:p w14:paraId="056A14A2" w14:textId="77777777" w:rsidR="00DA07B9" w:rsidRDefault="00DA07B9" w:rsidP="00DA07B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14:paraId="5759536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2F8"/>
    <w:rsid w:val="002E281E"/>
    <w:rsid w:val="002F42F8"/>
    <w:rsid w:val="003201BB"/>
    <w:rsid w:val="00423340"/>
    <w:rsid w:val="00865217"/>
    <w:rsid w:val="00DA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EDB40"/>
  <w15:chartTrackingRefBased/>
  <w15:docId w15:val="{C6044EE6-2DE1-4062-B70A-59CB93E9A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2F8"/>
    <w:pPr>
      <w:spacing w:line="259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42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2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2F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2F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2F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2F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2F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2F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2F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2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4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2F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4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2F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42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2F8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4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2F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2F42F8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F42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table" w:customStyle="1" w:styleId="Tabellenraster3">
    <w:name w:val="Tabellenraster3"/>
    <w:basedOn w:val="TableNormal"/>
    <w:next w:val="TableGrid"/>
    <w:rsid w:val="002F42F8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645</Words>
  <Characters>4406</Characters>
  <Application>Microsoft Office Word</Application>
  <DocSecurity>0</DocSecurity>
  <Lines>93</Lines>
  <Paragraphs>21</Paragraphs>
  <ScaleCrop>false</ScaleCrop>
  <Company>Springer Nature</Company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2025-12-01T07:40:00Z</dcterms:created>
  <dcterms:modified xsi:type="dcterms:W3CDTF">2025-12-01T07:42:00Z</dcterms:modified>
</cp:coreProperties>
</file>