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0E6DA" w14:textId="77777777" w:rsidR="008F268C" w:rsidRDefault="008F268C" w:rsidP="008F268C"/>
    <w:p w14:paraId="68F4ED0B" w14:textId="134C4EAE" w:rsidR="008F268C" w:rsidRDefault="008F268C" w:rsidP="008F268C">
      <w:pPr>
        <w:jc w:val="center"/>
        <w:rPr>
          <w:sz w:val="36"/>
          <w:szCs w:val="36"/>
        </w:rPr>
      </w:pPr>
      <w:r w:rsidRPr="002C6570">
        <w:rPr>
          <w:sz w:val="36"/>
          <w:szCs w:val="36"/>
        </w:rPr>
        <w:t xml:space="preserve">Supplementary </w:t>
      </w:r>
      <w:r>
        <w:rPr>
          <w:sz w:val="36"/>
          <w:szCs w:val="36"/>
        </w:rPr>
        <w:t>Information</w:t>
      </w:r>
    </w:p>
    <w:p w14:paraId="3757BF75" w14:textId="77777777" w:rsidR="005505C6" w:rsidRDefault="005505C6" w:rsidP="008F268C">
      <w:pPr>
        <w:jc w:val="center"/>
        <w:rPr>
          <w:sz w:val="36"/>
          <w:szCs w:val="36"/>
        </w:rPr>
      </w:pPr>
    </w:p>
    <w:p w14:paraId="35B145F8" w14:textId="77777777" w:rsidR="005505C6" w:rsidRDefault="005505C6" w:rsidP="008F268C">
      <w:pPr>
        <w:jc w:val="center"/>
        <w:rPr>
          <w:sz w:val="36"/>
          <w:szCs w:val="36"/>
        </w:rPr>
      </w:pPr>
    </w:p>
    <w:p w14:paraId="2FCE1100" w14:textId="77777777" w:rsidR="008F268C" w:rsidRDefault="008F268C" w:rsidP="008F268C"/>
    <w:p w14:paraId="0F6F0C89" w14:textId="77777777" w:rsidR="008F268C" w:rsidRDefault="008F268C" w:rsidP="008F268C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Hlk212802155"/>
      <w:r w:rsidRPr="002D22D7">
        <w:rPr>
          <w:rFonts w:ascii="Arial" w:hAnsi="Arial" w:cs="Arial"/>
          <w:b/>
          <w:bCs/>
          <w:sz w:val="28"/>
          <w:szCs w:val="28"/>
        </w:rPr>
        <w:t xml:space="preserve">Human </w:t>
      </w:r>
      <w:proofErr w:type="gramStart"/>
      <w:r w:rsidRPr="002D22D7">
        <w:rPr>
          <w:rFonts w:ascii="Arial" w:hAnsi="Arial" w:cs="Arial"/>
          <w:b/>
          <w:bCs/>
          <w:sz w:val="28"/>
          <w:szCs w:val="28"/>
        </w:rPr>
        <w:t>Wild-Type</w:t>
      </w:r>
      <w:proofErr w:type="gramEnd"/>
      <w:r w:rsidRPr="002D22D7">
        <w:rPr>
          <w:rFonts w:ascii="Arial" w:hAnsi="Arial" w:cs="Arial"/>
          <w:b/>
          <w:bCs/>
          <w:sz w:val="28"/>
          <w:szCs w:val="28"/>
        </w:rPr>
        <w:t xml:space="preserve"> α-Synuclein Drives Progressive Tau Pathology in a Disease-Relevant Mouse Model of Synucleinopathy.</w:t>
      </w:r>
    </w:p>
    <w:bookmarkEnd w:id="0"/>
    <w:p w14:paraId="3240ADF3" w14:textId="77777777" w:rsidR="008F268C" w:rsidRDefault="008F268C" w:rsidP="008F268C">
      <w:pPr>
        <w:jc w:val="center"/>
        <w:rPr>
          <w:rFonts w:ascii="Arial" w:hAnsi="Arial" w:cs="Arial"/>
          <w:sz w:val="32"/>
          <w:szCs w:val="32"/>
        </w:rPr>
      </w:pPr>
    </w:p>
    <w:p w14:paraId="765E165F" w14:textId="77777777" w:rsidR="008F268C" w:rsidRDefault="008F268C" w:rsidP="008F268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40D96">
        <w:rPr>
          <w:rFonts w:ascii="Arial" w:hAnsi="Arial" w:cs="Arial"/>
          <w:sz w:val="24"/>
          <w:szCs w:val="24"/>
        </w:rPr>
        <w:t>Sudipta Senapati</w:t>
      </w:r>
      <w:r w:rsidRPr="00B41302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  <w:vertAlign w:val="superscript"/>
        </w:rPr>
        <w:t>,2</w:t>
      </w:r>
      <w:r w:rsidRPr="00640D96">
        <w:rPr>
          <w:rFonts w:ascii="Arial" w:hAnsi="Arial" w:cs="Arial"/>
          <w:sz w:val="24"/>
          <w:szCs w:val="24"/>
        </w:rPr>
        <w:t>, Alessia Sciortino</w:t>
      </w:r>
      <w:r w:rsidRPr="00B41302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  <w:vertAlign w:val="superscript"/>
        </w:rPr>
        <w:t>,2</w:t>
      </w:r>
      <w:r w:rsidRPr="00640D96">
        <w:rPr>
          <w:rFonts w:ascii="Arial" w:hAnsi="Arial" w:cs="Arial"/>
          <w:sz w:val="24"/>
          <w:szCs w:val="24"/>
        </w:rPr>
        <w:t>, Madison Samples</w:t>
      </w:r>
      <w:r w:rsidRPr="00B41302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  <w:vertAlign w:val="superscript"/>
        </w:rPr>
        <w:t>,2</w:t>
      </w:r>
      <w:r w:rsidRPr="00640D96">
        <w:rPr>
          <w:rFonts w:ascii="Arial" w:hAnsi="Arial" w:cs="Arial"/>
          <w:sz w:val="24"/>
          <w:szCs w:val="24"/>
        </w:rPr>
        <w:t>, Nikita Shchankin</w:t>
      </w:r>
      <w:r w:rsidRPr="00B41302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  <w:vertAlign w:val="superscript"/>
        </w:rPr>
        <w:t>,2</w:t>
      </w:r>
      <w:r w:rsidRPr="00E54B15">
        <w:rPr>
          <w:rFonts w:ascii="Arial" w:hAnsi="Arial" w:cs="Arial"/>
          <w:sz w:val="24"/>
          <w:szCs w:val="24"/>
        </w:rPr>
        <w:t>,</w:t>
      </w:r>
      <w:r w:rsidRPr="00640D9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4C68">
        <w:rPr>
          <w:rFonts w:ascii="Arial" w:hAnsi="Arial" w:cs="Arial"/>
          <w:sz w:val="24"/>
          <w:szCs w:val="24"/>
        </w:rPr>
        <w:t>Yingxin</w:t>
      </w:r>
      <w:proofErr w:type="spellEnd"/>
      <w:r w:rsidRPr="00564C68">
        <w:rPr>
          <w:rFonts w:ascii="Arial" w:hAnsi="Arial" w:cs="Arial"/>
          <w:sz w:val="24"/>
          <w:szCs w:val="24"/>
        </w:rPr>
        <w:t xml:space="preserve"> Zhao</w:t>
      </w:r>
      <w:r w:rsidRPr="00564C68">
        <w:rPr>
          <w:rFonts w:ascii="Arial" w:hAnsi="Arial" w:cs="Arial"/>
          <w:sz w:val="24"/>
          <w:szCs w:val="24"/>
          <w:vertAlign w:val="superscript"/>
        </w:rPr>
        <w:t>3</w:t>
      </w:r>
      <w:r w:rsidRPr="00564C6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6F7FC9">
        <w:rPr>
          <w:rFonts w:ascii="Arial" w:hAnsi="Arial" w:cs="Arial"/>
          <w:sz w:val="24"/>
          <w:szCs w:val="24"/>
        </w:rPr>
        <w:t>Mauro Montalbano</w:t>
      </w:r>
      <w:r w:rsidRPr="00B41302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  <w:vertAlign w:val="superscript"/>
        </w:rPr>
        <w:t xml:space="preserve">,2 </w:t>
      </w:r>
      <w:r w:rsidRPr="00640D96">
        <w:rPr>
          <w:rFonts w:ascii="Arial" w:hAnsi="Arial" w:cs="Arial"/>
          <w:sz w:val="24"/>
          <w:szCs w:val="24"/>
        </w:rPr>
        <w:t>and Rakez Kayed</w:t>
      </w:r>
      <w:r w:rsidRPr="4AC2F682">
        <w:rPr>
          <w:rFonts w:ascii="Arial" w:eastAsia="Arial" w:hAnsi="Arial" w:cs="Arial"/>
          <w:sz w:val="24"/>
          <w:szCs w:val="24"/>
          <w:vertAlign w:val="superscript"/>
        </w:rPr>
        <w:t>1,2</w:t>
      </w:r>
      <w:r w:rsidRPr="4AC2F682">
        <w:rPr>
          <w:rFonts w:ascii="Arial" w:eastAsia="Arial" w:hAnsi="Arial" w:cs="Arial"/>
          <w:sz w:val="24"/>
          <w:szCs w:val="24"/>
        </w:rPr>
        <w:t>*</w:t>
      </w:r>
    </w:p>
    <w:p w14:paraId="128D2536" w14:textId="77777777" w:rsidR="008F268C" w:rsidRDefault="008F268C" w:rsidP="008F268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BD95545" w14:textId="77777777" w:rsidR="008F268C" w:rsidRPr="00026E75" w:rsidRDefault="008F268C" w:rsidP="008F268C">
      <w:pPr>
        <w:jc w:val="both"/>
        <w:rPr>
          <w:rFonts w:ascii="Arial" w:hAnsi="Arial" w:cs="Arial"/>
          <w:bCs/>
          <w:i/>
        </w:rPr>
      </w:pPr>
      <w:r w:rsidRPr="00026E75">
        <w:rPr>
          <w:rFonts w:ascii="Arial" w:hAnsi="Arial" w:cs="Arial"/>
          <w:bCs/>
          <w:i/>
          <w:vertAlign w:val="superscript"/>
        </w:rPr>
        <w:t>1</w:t>
      </w:r>
      <w:r w:rsidRPr="00026E75">
        <w:rPr>
          <w:rFonts w:ascii="Arial" w:hAnsi="Arial" w:cs="Arial"/>
          <w:bCs/>
          <w:i/>
        </w:rPr>
        <w:t xml:space="preserve">Mitchell Center for Neurodegenerative Diseases, University of Texas Medical Branch, Galveston, Texas, USA; </w:t>
      </w:r>
      <w:r w:rsidRPr="00026E75">
        <w:rPr>
          <w:rFonts w:ascii="Arial" w:hAnsi="Arial" w:cs="Arial"/>
          <w:bCs/>
          <w:i/>
          <w:vertAlign w:val="superscript"/>
        </w:rPr>
        <w:t>2</w:t>
      </w:r>
      <w:r w:rsidRPr="00026E75">
        <w:rPr>
          <w:rFonts w:ascii="Arial" w:hAnsi="Arial" w:cs="Arial"/>
          <w:bCs/>
          <w:i/>
        </w:rPr>
        <w:t>Departments of Neurology, Neuroscience and Cell Biology, University of Texas Medical Branch, Galveston, Texas, USA; </w:t>
      </w:r>
      <w:r w:rsidRPr="00026E75">
        <w:rPr>
          <w:rFonts w:ascii="Arial" w:hAnsi="Arial" w:cs="Arial"/>
          <w:bCs/>
          <w:i/>
          <w:vertAlign w:val="superscript"/>
        </w:rPr>
        <w:t>3</w:t>
      </w:r>
      <w:r w:rsidRPr="00026E75">
        <w:rPr>
          <w:rFonts w:ascii="Arial" w:hAnsi="Arial" w:cs="Arial"/>
          <w:bCs/>
          <w:i/>
        </w:rPr>
        <w:t>Sealy Center for Molecular Medicine, University of Texas Medical Branch, Galveston, Texas, USA</w:t>
      </w:r>
    </w:p>
    <w:p w14:paraId="58E04BF0" w14:textId="77777777" w:rsidR="008F268C" w:rsidRPr="002C6570" w:rsidRDefault="008F268C" w:rsidP="008F268C">
      <w:pPr>
        <w:jc w:val="center"/>
        <w:rPr>
          <w:sz w:val="36"/>
          <w:szCs w:val="36"/>
        </w:rPr>
      </w:pPr>
    </w:p>
    <w:p w14:paraId="1736B383" w14:textId="77777777" w:rsidR="008F268C" w:rsidRDefault="008F268C" w:rsidP="008F268C"/>
    <w:p w14:paraId="28916D60" w14:textId="77777777" w:rsidR="008F268C" w:rsidRDefault="008F268C" w:rsidP="008F268C"/>
    <w:p w14:paraId="6E1DCBF9" w14:textId="77777777" w:rsidR="008F268C" w:rsidRDefault="008F268C" w:rsidP="008F268C"/>
    <w:p w14:paraId="0826EFF8" w14:textId="77777777" w:rsidR="008F268C" w:rsidRDefault="008F268C" w:rsidP="008F268C"/>
    <w:p w14:paraId="58D0AEC5" w14:textId="77777777" w:rsidR="008F268C" w:rsidRDefault="008F268C" w:rsidP="008F268C"/>
    <w:p w14:paraId="58CDA5D0" w14:textId="77777777" w:rsidR="008F268C" w:rsidRDefault="008F268C" w:rsidP="008F268C"/>
    <w:p w14:paraId="645F0C21" w14:textId="77777777" w:rsidR="008F268C" w:rsidRDefault="008F268C" w:rsidP="008F268C"/>
    <w:p w14:paraId="2D613996" w14:textId="77777777" w:rsidR="008F268C" w:rsidRDefault="008F268C" w:rsidP="008F268C"/>
    <w:p w14:paraId="05EB030B" w14:textId="77777777" w:rsidR="008F268C" w:rsidRDefault="008F268C" w:rsidP="008F268C"/>
    <w:p w14:paraId="23E05E6B" w14:textId="77777777" w:rsidR="008F268C" w:rsidRDefault="008F268C" w:rsidP="008F268C"/>
    <w:p w14:paraId="7192E2CB" w14:textId="77777777" w:rsidR="008F268C" w:rsidRDefault="008F268C" w:rsidP="008F268C"/>
    <w:p w14:paraId="2B13813B" w14:textId="77777777" w:rsidR="008F268C" w:rsidRDefault="008F268C" w:rsidP="008F268C"/>
    <w:p w14:paraId="26517519" w14:textId="77777777" w:rsidR="008F268C" w:rsidRDefault="008F268C" w:rsidP="008F268C">
      <w:pPr>
        <w:jc w:val="center"/>
      </w:pPr>
      <w:r>
        <w:rPr>
          <w:noProof/>
        </w:rPr>
        <w:lastRenderedPageBreak/>
        <w:drawing>
          <wp:inline distT="0" distB="0" distL="0" distR="0" wp14:anchorId="2602D9FA" wp14:editId="5626A2A0">
            <wp:extent cx="5838888" cy="4114800"/>
            <wp:effectExtent l="0" t="0" r="0" b="0"/>
            <wp:docPr id="15772840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84054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88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06108F" w14:textId="77777777" w:rsidR="008F268C" w:rsidRDefault="008F268C" w:rsidP="008F268C"/>
    <w:p w14:paraId="69B5F492" w14:textId="77777777" w:rsidR="008F268C" w:rsidRPr="002C6570" w:rsidRDefault="008F268C" w:rsidP="008F268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C6570">
        <w:rPr>
          <w:rFonts w:ascii="Arial" w:hAnsi="Arial" w:cs="Arial"/>
          <w:b/>
          <w:bCs/>
          <w:sz w:val="24"/>
          <w:szCs w:val="24"/>
        </w:rPr>
        <w:t>Fig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2C6570">
        <w:rPr>
          <w:rFonts w:ascii="Arial" w:hAnsi="Arial" w:cs="Arial"/>
          <w:b/>
          <w:bCs/>
          <w:sz w:val="24"/>
          <w:szCs w:val="24"/>
        </w:rPr>
        <w:t xml:space="preserve"> S1: hSyn transgenic mice expressing WT human α-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2C6570">
        <w:rPr>
          <w:rFonts w:ascii="Arial" w:hAnsi="Arial" w:cs="Arial"/>
          <w:b/>
          <w:bCs/>
          <w:sz w:val="24"/>
          <w:szCs w:val="24"/>
        </w:rPr>
        <w:t>yn under the direction of the Thy-1 promoter exhibit α-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2C6570">
        <w:rPr>
          <w:rFonts w:ascii="Arial" w:hAnsi="Arial" w:cs="Arial"/>
          <w:b/>
          <w:bCs/>
          <w:sz w:val="24"/>
          <w:szCs w:val="24"/>
        </w:rPr>
        <w:t>yn pathology.</w:t>
      </w:r>
      <w:r w:rsidRPr="002C6570">
        <w:rPr>
          <w:rFonts w:ascii="Arial" w:hAnsi="Arial" w:cs="Arial"/>
          <w:sz w:val="24"/>
          <w:szCs w:val="24"/>
        </w:rPr>
        <w:t xml:space="preserve"> </w:t>
      </w:r>
      <w:r w:rsidRPr="00AF7380">
        <w:rPr>
          <w:rFonts w:ascii="Arial" w:hAnsi="Arial" w:cs="Arial"/>
          <w:sz w:val="24"/>
          <w:szCs w:val="24"/>
        </w:rPr>
        <w:t xml:space="preserve"> </w:t>
      </w:r>
      <w:r w:rsidRPr="002C6570">
        <w:rPr>
          <w:rFonts w:ascii="Arial" w:hAnsi="Arial" w:cs="Arial"/>
          <w:sz w:val="24"/>
          <w:szCs w:val="24"/>
        </w:rPr>
        <w:t>(</w:t>
      </w:r>
      <w:r w:rsidRPr="00E34C55">
        <w:rPr>
          <w:rFonts w:ascii="Arial" w:hAnsi="Arial" w:cs="Arial"/>
          <w:b/>
          <w:bCs/>
          <w:sz w:val="24"/>
          <w:szCs w:val="24"/>
        </w:rPr>
        <w:t>A</w:t>
      </w:r>
      <w:r w:rsidRPr="002C6570">
        <w:rPr>
          <w:rFonts w:ascii="Arial" w:hAnsi="Arial" w:cs="Arial"/>
          <w:sz w:val="24"/>
          <w:szCs w:val="24"/>
        </w:rPr>
        <w:t xml:space="preserve">) Western blot analysis of PBS-soluble brain homogenates from 5-, 10- and 20-month-old hSyn Tg and WT littermates with LB509, and </w:t>
      </w:r>
      <w:r>
        <w:rPr>
          <w:rFonts w:ascii="Arial" w:hAnsi="Arial" w:cs="Arial"/>
          <w:sz w:val="24"/>
          <w:szCs w:val="24"/>
        </w:rPr>
        <w:t xml:space="preserve">rabbit </w:t>
      </w:r>
      <w:r w:rsidRPr="002C6570">
        <w:rPr>
          <w:rFonts w:ascii="Arial" w:hAnsi="Arial" w:cs="Arial"/>
          <w:sz w:val="24"/>
          <w:szCs w:val="24"/>
        </w:rPr>
        <w:t>polyclonal α-</w:t>
      </w:r>
      <w:r>
        <w:rPr>
          <w:rFonts w:ascii="Arial" w:hAnsi="Arial" w:cs="Arial"/>
          <w:sz w:val="24"/>
          <w:szCs w:val="24"/>
        </w:rPr>
        <w:t>S</w:t>
      </w:r>
      <w:r w:rsidRPr="002C6570">
        <w:rPr>
          <w:rFonts w:ascii="Arial" w:hAnsi="Arial" w:cs="Arial"/>
          <w:sz w:val="24"/>
          <w:szCs w:val="24"/>
        </w:rPr>
        <w:t>yn antibodies. (</w:t>
      </w:r>
      <w:r w:rsidRPr="00E34C55">
        <w:rPr>
          <w:rFonts w:ascii="Arial" w:hAnsi="Arial" w:cs="Arial"/>
          <w:b/>
          <w:bCs/>
          <w:sz w:val="24"/>
          <w:szCs w:val="24"/>
        </w:rPr>
        <w:t>B-</w:t>
      </w:r>
      <w:r>
        <w:rPr>
          <w:rFonts w:ascii="Arial" w:hAnsi="Arial" w:cs="Arial"/>
          <w:b/>
          <w:bCs/>
          <w:sz w:val="24"/>
          <w:szCs w:val="24"/>
        </w:rPr>
        <w:t>C</w:t>
      </w:r>
      <w:r w:rsidRPr="002C6570">
        <w:rPr>
          <w:rFonts w:ascii="Arial" w:hAnsi="Arial" w:cs="Arial"/>
          <w:sz w:val="24"/>
          <w:szCs w:val="24"/>
        </w:rPr>
        <w:t>) Quantification of α-</w:t>
      </w:r>
      <w:r>
        <w:rPr>
          <w:rFonts w:ascii="Arial" w:hAnsi="Arial" w:cs="Arial"/>
          <w:sz w:val="24"/>
          <w:szCs w:val="24"/>
        </w:rPr>
        <w:t>S</w:t>
      </w:r>
      <w:r w:rsidRPr="002C6570">
        <w:rPr>
          <w:rFonts w:ascii="Arial" w:hAnsi="Arial" w:cs="Arial"/>
          <w:sz w:val="24"/>
          <w:szCs w:val="24"/>
        </w:rPr>
        <w:t xml:space="preserve">yn levels using LB509 and Rb-polyclonal </w:t>
      </w:r>
      <w:r>
        <w:rPr>
          <w:rFonts w:ascii="Arial" w:hAnsi="Arial" w:cs="Arial"/>
          <w:sz w:val="24"/>
          <w:szCs w:val="24"/>
        </w:rPr>
        <w:t>s</w:t>
      </w:r>
      <w:r w:rsidRPr="002C6570">
        <w:rPr>
          <w:rFonts w:ascii="Arial" w:hAnsi="Arial" w:cs="Arial"/>
          <w:sz w:val="24"/>
          <w:szCs w:val="24"/>
        </w:rPr>
        <w:t xml:space="preserve">ynuclein antibodies. Bar graphs represent mean ± SEM. Statistical analyses were performed using </w:t>
      </w:r>
      <w:r>
        <w:rPr>
          <w:rFonts w:ascii="Arial" w:hAnsi="Arial" w:cs="Arial"/>
          <w:sz w:val="24"/>
          <w:szCs w:val="24"/>
        </w:rPr>
        <w:t>t</w:t>
      </w:r>
      <w:r w:rsidRPr="002C6570">
        <w:rPr>
          <w:rFonts w:ascii="Arial" w:hAnsi="Arial" w:cs="Arial"/>
          <w:sz w:val="24"/>
          <w:szCs w:val="24"/>
        </w:rPr>
        <w:t>wo-way ANOVA with Tukey's post-hoc test (*p &lt; 0.05, **p &lt; 0.01, ***p &lt; 0.001</w:t>
      </w:r>
      <w:r>
        <w:rPr>
          <w:rFonts w:ascii="Arial" w:hAnsi="Arial" w:cs="Arial"/>
          <w:sz w:val="24"/>
          <w:szCs w:val="24"/>
        </w:rPr>
        <w:t xml:space="preserve">, </w:t>
      </w:r>
      <w:r w:rsidRPr="002C6570">
        <w:rPr>
          <w:rFonts w:ascii="Arial" w:hAnsi="Arial" w:cs="Arial"/>
          <w:sz w:val="24"/>
          <w:szCs w:val="24"/>
        </w:rPr>
        <w:t>***p &lt; 0.0</w:t>
      </w:r>
      <w:r>
        <w:rPr>
          <w:rFonts w:ascii="Arial" w:hAnsi="Arial" w:cs="Arial"/>
          <w:sz w:val="24"/>
          <w:szCs w:val="24"/>
        </w:rPr>
        <w:t>0</w:t>
      </w:r>
      <w:r w:rsidRPr="002C6570">
        <w:rPr>
          <w:rFonts w:ascii="Arial" w:hAnsi="Arial" w:cs="Arial"/>
          <w:sz w:val="24"/>
          <w:szCs w:val="24"/>
        </w:rPr>
        <w:t xml:space="preserve">01 </w:t>
      </w:r>
      <w:r>
        <w:rPr>
          <w:rFonts w:ascii="Arial" w:hAnsi="Arial" w:cs="Arial"/>
          <w:sz w:val="24"/>
          <w:szCs w:val="24"/>
        </w:rPr>
        <w:t>f</w:t>
      </w:r>
      <w:r w:rsidRPr="002C6570">
        <w:rPr>
          <w:rFonts w:ascii="Arial" w:hAnsi="Arial" w:cs="Arial"/>
          <w:sz w:val="24"/>
          <w:szCs w:val="24"/>
        </w:rPr>
        <w:t xml:space="preserve">or age-dependent comparisons within the same </w:t>
      </w:r>
      <w:proofErr w:type="gramStart"/>
      <w:r w:rsidRPr="002C6570">
        <w:rPr>
          <w:rFonts w:ascii="Arial" w:hAnsi="Arial" w:cs="Arial"/>
          <w:sz w:val="24"/>
          <w:szCs w:val="24"/>
        </w:rPr>
        <w:t>group</w:t>
      </w:r>
      <w:r>
        <w:rPr>
          <w:rFonts w:ascii="Arial" w:hAnsi="Arial" w:cs="Arial"/>
          <w:sz w:val="24"/>
          <w:szCs w:val="24"/>
        </w:rPr>
        <w:t>;</w:t>
      </w:r>
      <w:r w:rsidRPr="002C6570">
        <w:rPr>
          <w:rFonts w:ascii="Arial" w:hAnsi="Arial" w:cs="Arial"/>
          <w:sz w:val="24"/>
          <w:szCs w:val="24"/>
        </w:rPr>
        <w:t xml:space="preserve"> </w:t>
      </w:r>
      <w:r w:rsidRPr="002C6570">
        <w:rPr>
          <w:rFonts w:ascii="Arial" w:hAnsi="Arial" w:cs="Arial"/>
          <w:sz w:val="24"/>
          <w:szCs w:val="24"/>
          <w:vertAlign w:val="superscript"/>
        </w:rPr>
        <w:t>####</w:t>
      </w:r>
      <w:proofErr w:type="gramEnd"/>
      <w:r w:rsidRPr="002C6570">
        <w:rPr>
          <w:rFonts w:ascii="Arial" w:hAnsi="Arial" w:cs="Arial"/>
          <w:sz w:val="24"/>
          <w:szCs w:val="24"/>
        </w:rPr>
        <w:t xml:space="preserve">p &lt; 0.0001 for comparisons between hSyn and WT littermates). </w:t>
      </w:r>
    </w:p>
    <w:p w14:paraId="04746ED7" w14:textId="77777777" w:rsidR="008F268C" w:rsidRPr="002C6570" w:rsidRDefault="008F268C" w:rsidP="008F268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1CCF3DE" w14:textId="77777777" w:rsidR="008F268C" w:rsidRDefault="008F268C" w:rsidP="008F268C"/>
    <w:p w14:paraId="2EB4433F" w14:textId="77777777" w:rsidR="008F268C" w:rsidRDefault="008F268C" w:rsidP="008F268C"/>
    <w:p w14:paraId="5484992F" w14:textId="77777777" w:rsidR="008F268C" w:rsidRDefault="008F268C" w:rsidP="008F268C">
      <w:pPr>
        <w:jc w:val="center"/>
      </w:pPr>
      <w:r>
        <w:rPr>
          <w:noProof/>
        </w:rPr>
        <w:lastRenderedPageBreak/>
        <w:drawing>
          <wp:inline distT="0" distB="0" distL="0" distR="0" wp14:anchorId="4AD8F76F" wp14:editId="2339A892">
            <wp:extent cx="4572000" cy="6817708"/>
            <wp:effectExtent l="0" t="0" r="0" b="2540"/>
            <wp:docPr id="2000644741" name="Picture 2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44741" name="Picture 2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17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F593FC" w14:textId="77777777" w:rsidR="008F268C" w:rsidRPr="00AF7380" w:rsidRDefault="008F268C" w:rsidP="008F268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C6570">
        <w:rPr>
          <w:rFonts w:ascii="Arial" w:hAnsi="Arial" w:cs="Arial"/>
          <w:b/>
          <w:bCs/>
          <w:sz w:val="24"/>
          <w:szCs w:val="24"/>
        </w:rPr>
        <w:t xml:space="preserve">Figure S2: </w:t>
      </w:r>
      <w:r w:rsidRPr="002C6570">
        <w:rPr>
          <w:rFonts w:ascii="Arial" w:hAnsi="Arial" w:cs="Arial"/>
          <w:sz w:val="24"/>
          <w:szCs w:val="24"/>
        </w:rPr>
        <w:t>Representative immunofluorescence</w:t>
      </w:r>
      <w:r>
        <w:rPr>
          <w:rFonts w:ascii="Arial" w:hAnsi="Arial" w:cs="Arial"/>
          <w:sz w:val="24"/>
          <w:szCs w:val="24"/>
        </w:rPr>
        <w:t xml:space="preserve"> </w:t>
      </w:r>
      <w:r w:rsidRPr="002C6570">
        <w:rPr>
          <w:rFonts w:ascii="Arial" w:hAnsi="Arial" w:cs="Arial"/>
          <w:sz w:val="24"/>
          <w:szCs w:val="24"/>
        </w:rPr>
        <w:t>images of AT8 and AT100 immunoreactivities in 5-, 10- and 20-month-old WT controls in cortex, hippocampus, and midbrain.</w:t>
      </w:r>
    </w:p>
    <w:p w14:paraId="513B2AAC" w14:textId="77777777" w:rsidR="008F268C" w:rsidRPr="002C6570" w:rsidRDefault="008F268C" w:rsidP="008F268C"/>
    <w:p w14:paraId="65E0F9B3" w14:textId="77777777" w:rsidR="008F268C" w:rsidRDefault="008F268C" w:rsidP="008F268C">
      <w:r>
        <w:rPr>
          <w:noProof/>
        </w:rPr>
        <w:lastRenderedPageBreak/>
        <w:drawing>
          <wp:inline distT="0" distB="0" distL="0" distR="0" wp14:anchorId="0F312B97" wp14:editId="6C61FF78">
            <wp:extent cx="6448013" cy="7040880"/>
            <wp:effectExtent l="0" t="0" r="0" b="7620"/>
            <wp:docPr id="80511271" name="Picture 10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1271" name="Picture 10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013" cy="704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3B94EE" w14:textId="022FCD3A" w:rsidR="008F268C" w:rsidRPr="00AF7380" w:rsidRDefault="008F268C" w:rsidP="00796B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46A71">
        <w:rPr>
          <w:rFonts w:ascii="Arial" w:hAnsi="Arial" w:cs="Arial"/>
          <w:b/>
          <w:bCs/>
          <w:sz w:val="24"/>
          <w:szCs w:val="24"/>
        </w:rPr>
        <w:t>Fig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A46A71">
        <w:rPr>
          <w:rFonts w:ascii="Arial" w:hAnsi="Arial" w:cs="Arial"/>
          <w:b/>
          <w:bCs/>
          <w:sz w:val="24"/>
          <w:szCs w:val="24"/>
        </w:rPr>
        <w:t xml:space="preserve"> S3: </w:t>
      </w:r>
      <w:r>
        <w:rPr>
          <w:rFonts w:ascii="Arial" w:hAnsi="Arial" w:cs="Arial"/>
          <w:b/>
          <w:bCs/>
          <w:sz w:val="24"/>
          <w:szCs w:val="24"/>
        </w:rPr>
        <w:t>C</w:t>
      </w:r>
      <w:r w:rsidRPr="002C6570">
        <w:rPr>
          <w:rFonts w:ascii="Arial" w:hAnsi="Arial" w:cs="Arial"/>
          <w:b/>
          <w:bCs/>
          <w:sz w:val="24"/>
          <w:szCs w:val="24"/>
        </w:rPr>
        <w:t>olocalization of hyperphosphorylated tau with total tau in hSyn mice</w:t>
      </w:r>
      <w:r w:rsidRPr="00A46A71">
        <w:rPr>
          <w:rFonts w:ascii="Arial" w:hAnsi="Arial" w:cs="Arial"/>
          <w:b/>
          <w:bCs/>
          <w:sz w:val="24"/>
          <w:szCs w:val="24"/>
        </w:rPr>
        <w:t xml:space="preserve">. </w:t>
      </w:r>
      <w:r w:rsidRPr="00A46A71">
        <w:rPr>
          <w:rFonts w:ascii="Arial" w:hAnsi="Arial" w:cs="Arial"/>
          <w:sz w:val="24"/>
          <w:szCs w:val="24"/>
        </w:rPr>
        <w:t>(</w:t>
      </w:r>
      <w:r w:rsidRPr="001D0477">
        <w:rPr>
          <w:rFonts w:ascii="Arial" w:hAnsi="Arial" w:cs="Arial"/>
          <w:b/>
          <w:bCs/>
          <w:sz w:val="24"/>
          <w:szCs w:val="24"/>
        </w:rPr>
        <w:t>A, B</w:t>
      </w:r>
      <w:r w:rsidRPr="00A46A71">
        <w:rPr>
          <w:rFonts w:ascii="Arial" w:hAnsi="Arial" w:cs="Arial"/>
          <w:sz w:val="24"/>
          <w:szCs w:val="24"/>
        </w:rPr>
        <w:t xml:space="preserve">) Representative co-immunofluorescence images of hSyn and WT mice cortex showing hyperphosphorylated tau (AT100, red) colocalize with total tau (chicken-polyclonal tau, green), with DAPI staining for nuclei (blue). Scale bars: 50 </w:t>
      </w:r>
      <w:proofErr w:type="spellStart"/>
      <w:r w:rsidRPr="00A46A71">
        <w:rPr>
          <w:rFonts w:ascii="Arial" w:hAnsi="Arial" w:cs="Arial"/>
          <w:sz w:val="24"/>
          <w:szCs w:val="24"/>
        </w:rPr>
        <w:t>μm</w:t>
      </w:r>
      <w:proofErr w:type="spellEnd"/>
      <w:r w:rsidRPr="00A46A71">
        <w:rPr>
          <w:rFonts w:ascii="Arial" w:hAnsi="Arial" w:cs="Arial"/>
          <w:sz w:val="24"/>
          <w:szCs w:val="24"/>
        </w:rPr>
        <w:t xml:space="preserve">; 20 </w:t>
      </w:r>
      <w:proofErr w:type="spellStart"/>
      <w:r w:rsidRPr="00A46A71">
        <w:rPr>
          <w:rFonts w:ascii="Arial" w:hAnsi="Arial" w:cs="Arial"/>
          <w:sz w:val="24"/>
          <w:szCs w:val="24"/>
        </w:rPr>
        <w:t>μm</w:t>
      </w:r>
      <w:proofErr w:type="spellEnd"/>
      <w:r w:rsidRPr="00A46A71">
        <w:rPr>
          <w:rFonts w:ascii="Arial" w:hAnsi="Arial" w:cs="Arial"/>
          <w:sz w:val="24"/>
          <w:szCs w:val="24"/>
        </w:rPr>
        <w:t xml:space="preserve"> for zoomed-in </w:t>
      </w:r>
      <w:r w:rsidRPr="00A46A71">
        <w:rPr>
          <w:rFonts w:ascii="Arial" w:hAnsi="Arial" w:cs="Arial"/>
          <w:sz w:val="24"/>
          <w:szCs w:val="24"/>
        </w:rPr>
        <w:lastRenderedPageBreak/>
        <w:t>images. (</w:t>
      </w:r>
      <w:r w:rsidRPr="001D0477">
        <w:rPr>
          <w:rFonts w:ascii="Arial" w:hAnsi="Arial" w:cs="Arial"/>
          <w:b/>
          <w:bCs/>
          <w:sz w:val="24"/>
          <w:szCs w:val="24"/>
        </w:rPr>
        <w:t>C, D</w:t>
      </w:r>
      <w:r w:rsidRPr="00A46A71">
        <w:rPr>
          <w:rFonts w:ascii="Arial" w:hAnsi="Arial" w:cs="Arial"/>
          <w:sz w:val="24"/>
          <w:szCs w:val="24"/>
        </w:rPr>
        <w:t xml:space="preserve">) Intensity profiles of colocalization of AT100 (red), chicken-polyclonal tau (green) and DAPI (blue) along an 82 </w:t>
      </w:r>
      <w:proofErr w:type="spellStart"/>
      <w:r w:rsidRPr="00A46A71">
        <w:rPr>
          <w:rFonts w:ascii="Arial" w:hAnsi="Arial" w:cs="Arial"/>
          <w:sz w:val="24"/>
          <w:szCs w:val="24"/>
        </w:rPr>
        <w:t>μm</w:t>
      </w:r>
      <w:proofErr w:type="spellEnd"/>
      <w:r w:rsidRPr="00A46A71">
        <w:rPr>
          <w:rFonts w:ascii="Arial" w:hAnsi="Arial" w:cs="Arial"/>
          <w:sz w:val="24"/>
          <w:szCs w:val="24"/>
        </w:rPr>
        <w:t xml:space="preserve"> segment (indicated by white lines), analyzed using ImageJ software. Significant colocalization of hyperphosphorylated tau (AT100, red) with chicken polyclonal tau (green) is evident in 10- and 20-month-old hSyn mice (black arrows), compared to younger (5-month-old) mice and age-matched WT controls, which show minimal colocalization and lack substantial hyperphosphorylated tau. </w:t>
      </w:r>
    </w:p>
    <w:p w14:paraId="77CD3E7C" w14:textId="5608C7AC" w:rsidR="008F268C" w:rsidRDefault="00796B2A" w:rsidP="008F268C">
      <w:pPr>
        <w:jc w:val="center"/>
      </w:pPr>
      <w:r>
        <w:rPr>
          <w:noProof/>
        </w:rPr>
        <w:lastRenderedPageBreak/>
        <w:drawing>
          <wp:inline distT="0" distB="0" distL="0" distR="0" wp14:anchorId="0A3D779E" wp14:editId="20779E8A">
            <wp:extent cx="3912958" cy="6675120"/>
            <wp:effectExtent l="0" t="0" r="0" b="0"/>
            <wp:docPr id="2128732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58" cy="667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E30B98" w14:textId="77777777" w:rsidR="008F268C" w:rsidRPr="00A46A71" w:rsidRDefault="008F268C" w:rsidP="008F268C">
      <w:pPr>
        <w:jc w:val="both"/>
        <w:rPr>
          <w:rFonts w:ascii="Arial" w:hAnsi="Arial" w:cs="Arial"/>
        </w:rPr>
      </w:pPr>
      <w:r w:rsidRPr="00A46A71">
        <w:rPr>
          <w:rFonts w:ascii="Arial" w:hAnsi="Arial" w:cs="Arial"/>
          <w:b/>
          <w:bCs/>
        </w:rPr>
        <w:t>Fig</w:t>
      </w:r>
      <w:r>
        <w:rPr>
          <w:rFonts w:ascii="Arial" w:hAnsi="Arial" w:cs="Arial"/>
          <w:b/>
          <w:bCs/>
        </w:rPr>
        <w:t>.</w:t>
      </w:r>
      <w:r w:rsidRPr="00A46A71">
        <w:rPr>
          <w:rFonts w:ascii="Arial" w:hAnsi="Arial" w:cs="Arial"/>
          <w:b/>
          <w:bCs/>
        </w:rPr>
        <w:t xml:space="preserve"> S4: </w:t>
      </w:r>
      <w:r w:rsidRPr="00A46A71">
        <w:rPr>
          <w:rFonts w:ascii="Arial" w:hAnsi="Arial" w:cs="Arial"/>
        </w:rPr>
        <w:t>Representative images of immunohistochemistry staining for hyperphosphorylated tau (pThr231) in different brain regions of 5-, 10- and 20-month</w:t>
      </w:r>
      <w:r>
        <w:rPr>
          <w:rFonts w:ascii="Arial" w:hAnsi="Arial" w:cs="Arial"/>
        </w:rPr>
        <w:t>-</w:t>
      </w:r>
      <w:r w:rsidRPr="00A46A71">
        <w:rPr>
          <w:rFonts w:ascii="Arial" w:hAnsi="Arial" w:cs="Arial"/>
        </w:rPr>
        <w:t>old WT animals.</w:t>
      </w:r>
    </w:p>
    <w:p w14:paraId="7C407319" w14:textId="77777777" w:rsidR="008F268C" w:rsidRDefault="008F268C" w:rsidP="008F268C"/>
    <w:p w14:paraId="4F8C7EB7" w14:textId="4EEF013C" w:rsidR="008F268C" w:rsidRDefault="00946706" w:rsidP="008F268C">
      <w:pPr>
        <w:jc w:val="center"/>
      </w:pPr>
      <w:r>
        <w:rPr>
          <w:noProof/>
        </w:rPr>
        <w:lastRenderedPageBreak/>
        <w:drawing>
          <wp:inline distT="0" distB="0" distL="0" distR="0" wp14:anchorId="04FE538B" wp14:editId="314F6C00">
            <wp:extent cx="3932555" cy="6694170"/>
            <wp:effectExtent l="0" t="0" r="0" b="0"/>
            <wp:docPr id="19103418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669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61D67" w14:textId="77777777" w:rsidR="008F268C" w:rsidRDefault="008F268C" w:rsidP="008F268C">
      <w:pPr>
        <w:jc w:val="both"/>
      </w:pPr>
      <w:r w:rsidRPr="00A46A71">
        <w:rPr>
          <w:rFonts w:ascii="Arial" w:hAnsi="Arial" w:cs="Arial"/>
          <w:b/>
          <w:bCs/>
          <w:sz w:val="24"/>
          <w:szCs w:val="24"/>
        </w:rPr>
        <w:t>Fig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A46A71">
        <w:rPr>
          <w:rFonts w:ascii="Arial" w:hAnsi="Arial" w:cs="Arial"/>
          <w:b/>
          <w:bCs/>
          <w:sz w:val="24"/>
          <w:szCs w:val="24"/>
        </w:rPr>
        <w:t xml:space="preserve"> S5: </w:t>
      </w:r>
      <w:r w:rsidRPr="00A46A71">
        <w:rPr>
          <w:rFonts w:ascii="Arial" w:hAnsi="Arial" w:cs="Arial"/>
          <w:sz w:val="24"/>
          <w:szCs w:val="24"/>
        </w:rPr>
        <w:t>Representative images of immunohistochemistry staining for hyperphosphorylated tau (AT8) in different brain regions of 5-, 10- and 20-month</w:t>
      </w:r>
      <w:r>
        <w:rPr>
          <w:rFonts w:ascii="Arial" w:hAnsi="Arial" w:cs="Arial"/>
          <w:sz w:val="24"/>
          <w:szCs w:val="24"/>
        </w:rPr>
        <w:t>-</w:t>
      </w:r>
      <w:r w:rsidRPr="00A46A71">
        <w:rPr>
          <w:rFonts w:ascii="Arial" w:hAnsi="Arial" w:cs="Arial"/>
          <w:sz w:val="24"/>
          <w:szCs w:val="24"/>
        </w:rPr>
        <w:t>old WT animals.</w:t>
      </w:r>
    </w:p>
    <w:p w14:paraId="18A0D45A" w14:textId="77777777" w:rsidR="00E51043" w:rsidRDefault="00E51043"/>
    <w:sectPr w:rsidR="00E510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68C"/>
    <w:rsid w:val="001769C8"/>
    <w:rsid w:val="00210368"/>
    <w:rsid w:val="002F4527"/>
    <w:rsid w:val="00450CBE"/>
    <w:rsid w:val="005505C6"/>
    <w:rsid w:val="00796B2A"/>
    <w:rsid w:val="007F25E5"/>
    <w:rsid w:val="008220CB"/>
    <w:rsid w:val="008F268C"/>
    <w:rsid w:val="00946706"/>
    <w:rsid w:val="009F04CE"/>
    <w:rsid w:val="00A56F06"/>
    <w:rsid w:val="00B91BF5"/>
    <w:rsid w:val="00E5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60CE6F5A"/>
  <w15:chartTrackingRefBased/>
  <w15:docId w15:val="{DB8BA2A1-D577-41C0-A15A-E8565E151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268C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268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268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268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268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268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268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268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268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268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26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26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26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26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26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26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26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26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26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26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26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268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26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268C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F26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268C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8F26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26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26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26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1311</TotalTime>
  <Pages>7</Pages>
  <Words>356</Words>
  <Characters>2260</Characters>
  <Application>Microsoft Office Word</Application>
  <DocSecurity>0</DocSecurity>
  <Lines>65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Senapati, Sudipta</dc:creator>
  <cp:keywords/>
  <dc:description/>
  <cp:lastModifiedBy>Senapati, Sudipta</cp:lastModifiedBy>
  <cp:revision>3</cp:revision>
  <dcterms:created xsi:type="dcterms:W3CDTF">2025-11-04T21:56:00Z</dcterms:created>
  <dcterms:modified xsi:type="dcterms:W3CDTF">2025-11-05T20:28:00Z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9d5a15e0-c946-4eff-952d-9cfece47882e</vt:lpwstr>
  </property>
</Properties>
</file>