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EC588" w14:textId="2454CC6A" w:rsidR="00560C12" w:rsidRDefault="007D40F9">
      <w:pPr>
        <w:rPr>
          <w:lang w:val="en-GB"/>
        </w:rPr>
      </w:pPr>
      <w:r w:rsidRPr="00064FB2">
        <w:rPr>
          <w:b/>
          <w:bCs/>
          <w:u w:val="single"/>
          <w:lang w:val="en-GB"/>
        </w:rPr>
        <w:t>Antibiotics</w:t>
      </w:r>
      <w:r w:rsidR="00064FB2" w:rsidRPr="00064FB2">
        <w:rPr>
          <w:b/>
          <w:bCs/>
          <w:u w:val="single"/>
          <w:lang w:val="en-GB"/>
        </w:rPr>
        <w:t xml:space="preserve"> considered</w:t>
      </w:r>
    </w:p>
    <w:p w14:paraId="2F4CBDC2" w14:textId="4822F0AD" w:rsidR="009F3AA9" w:rsidRDefault="00A47DF6">
      <w:pPr>
        <w:rPr>
          <w:lang w:val="en-GB"/>
        </w:rPr>
      </w:pPr>
      <w:r>
        <w:rPr>
          <w:lang w:val="en-GB"/>
        </w:rPr>
        <w:t>These are the BNF codes used:</w:t>
      </w:r>
    </w:p>
    <w:tbl>
      <w:tblPr>
        <w:tblW w:w="7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0"/>
        <w:gridCol w:w="2400"/>
        <w:gridCol w:w="3240"/>
      </w:tblGrid>
      <w:tr w:rsidR="00A47DF6" w:rsidRPr="00A47DF6" w14:paraId="2A09768C" w14:textId="77777777" w:rsidTr="00A47DF6">
        <w:trPr>
          <w:trHeight w:val="30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02B4E7A4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Class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71273BDE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Drug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0930A3D2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BNF code</w:t>
            </w:r>
          </w:p>
        </w:tc>
      </w:tr>
      <w:tr w:rsidR="00A47DF6" w:rsidRPr="00A47DF6" w14:paraId="2918E622" w14:textId="77777777" w:rsidTr="00A47DF6">
        <w:trPr>
          <w:trHeight w:val="30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4815A8BC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Amoxicillin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01F6FFE7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7BC3FEF5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0501013B0%</w:t>
            </w:r>
          </w:p>
        </w:tc>
      </w:tr>
      <w:tr w:rsidR="00A47DF6" w:rsidRPr="00A47DF6" w14:paraId="6FBC6A90" w14:textId="77777777" w:rsidTr="00A47DF6">
        <w:trPr>
          <w:trHeight w:val="30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3B416AC3" w14:textId="12BFD116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Co-</w:t>
            </w: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Amoxiclav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57A98E75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1ECB139F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0501013K0%</w:t>
            </w:r>
          </w:p>
        </w:tc>
      </w:tr>
      <w:tr w:rsidR="00A47DF6" w:rsidRPr="00A47DF6" w14:paraId="71220A4F" w14:textId="77777777" w:rsidTr="00A47DF6">
        <w:trPr>
          <w:trHeight w:val="30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2A51122C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Clindamycin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0332DF34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51A990BA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0501060%</w:t>
            </w:r>
          </w:p>
        </w:tc>
      </w:tr>
      <w:tr w:rsidR="00A47DF6" w:rsidRPr="00A47DF6" w14:paraId="1ADBECFE" w14:textId="77777777" w:rsidTr="00A47DF6">
        <w:trPr>
          <w:trHeight w:val="30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41F26845" w14:textId="7BB5B050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</w:t>
            </w: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eph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alosporins (</w:t>
            </w: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1st gen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0B96E461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Cefadroxil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36C41164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0501021B0%</w:t>
            </w:r>
          </w:p>
        </w:tc>
      </w:tr>
      <w:tr w:rsidR="00A47DF6" w:rsidRPr="00A47DF6" w14:paraId="6C204395" w14:textId="77777777" w:rsidTr="00A47DF6">
        <w:trPr>
          <w:trHeight w:val="30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021F8094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0D945901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Cefalexin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0F27276D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0501021L0%</w:t>
            </w:r>
          </w:p>
        </w:tc>
      </w:tr>
      <w:tr w:rsidR="00A47DF6" w:rsidRPr="00A47DF6" w14:paraId="79C7067B" w14:textId="77777777" w:rsidTr="00A47DF6">
        <w:trPr>
          <w:trHeight w:val="30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2CCD93CE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65AC163B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Cefradine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15DDD1D1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0501021M0%</w:t>
            </w:r>
          </w:p>
        </w:tc>
      </w:tr>
      <w:tr w:rsidR="00A47DF6" w:rsidRPr="00A47DF6" w14:paraId="2F2AAE30" w14:textId="77777777" w:rsidTr="00A47DF6">
        <w:trPr>
          <w:trHeight w:val="30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488FFCC5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Fluroquinolones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56E0EAF4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Ciprofloxacin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0DA2873C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0501120L0%</w:t>
            </w:r>
          </w:p>
        </w:tc>
      </w:tr>
      <w:tr w:rsidR="00A47DF6" w:rsidRPr="00A47DF6" w14:paraId="319A047A" w14:textId="77777777" w:rsidTr="00A47DF6">
        <w:trPr>
          <w:trHeight w:val="30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1369336B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45E64A64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Levofloxacin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2EC0B2D9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0501120XL0%</w:t>
            </w:r>
          </w:p>
        </w:tc>
      </w:tr>
      <w:tr w:rsidR="00A47DF6" w:rsidRPr="00A47DF6" w14:paraId="30E65A54" w14:textId="77777777" w:rsidTr="00A47DF6">
        <w:trPr>
          <w:trHeight w:val="30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7CAA8765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35192E0B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Moxifloxacin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22083BAF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0501120Y0%</w:t>
            </w:r>
          </w:p>
        </w:tc>
      </w:tr>
      <w:tr w:rsidR="00A47DF6" w:rsidRPr="00A47DF6" w14:paraId="631B56D3" w14:textId="77777777" w:rsidTr="00A47DF6">
        <w:trPr>
          <w:trHeight w:val="30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1024135F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5307E898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Norfloxacin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7172FB30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0501120Q0%</w:t>
            </w:r>
          </w:p>
        </w:tc>
      </w:tr>
      <w:tr w:rsidR="00A47DF6" w:rsidRPr="00A47DF6" w14:paraId="6FC1FB3F" w14:textId="77777777" w:rsidTr="00A47DF6">
        <w:trPr>
          <w:trHeight w:val="30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2ADEB631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3D0051F7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Ofloxacin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14:paraId="5055343D" w14:textId="77777777" w:rsidR="00A47DF6" w:rsidRPr="00A47DF6" w:rsidRDefault="00A47DF6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47DF6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0501120P0%</w:t>
            </w:r>
          </w:p>
        </w:tc>
      </w:tr>
      <w:tr w:rsidR="00C5785C" w:rsidRPr="00A47DF6" w14:paraId="1EDC6196" w14:textId="77777777" w:rsidTr="00A47DF6">
        <w:trPr>
          <w:trHeight w:val="300"/>
        </w:trPr>
        <w:tc>
          <w:tcPr>
            <w:tcW w:w="1660" w:type="dxa"/>
            <w:shd w:val="clear" w:color="auto" w:fill="auto"/>
            <w:noWrap/>
            <w:vAlign w:val="bottom"/>
          </w:tcPr>
          <w:p w14:paraId="58429CA4" w14:textId="2628A50B" w:rsidR="00C5785C" w:rsidRPr="00A47DF6" w:rsidRDefault="00C5785C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Proton Pump Inhibitors</w:t>
            </w:r>
          </w:p>
        </w:tc>
        <w:tc>
          <w:tcPr>
            <w:tcW w:w="2400" w:type="dxa"/>
            <w:shd w:val="clear" w:color="auto" w:fill="auto"/>
            <w:noWrap/>
            <w:vAlign w:val="bottom"/>
          </w:tcPr>
          <w:p w14:paraId="0E801BBB" w14:textId="77777777" w:rsidR="00C5785C" w:rsidRPr="00A47DF6" w:rsidRDefault="00C5785C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3240" w:type="dxa"/>
            <w:shd w:val="clear" w:color="auto" w:fill="auto"/>
            <w:noWrap/>
            <w:vAlign w:val="bottom"/>
          </w:tcPr>
          <w:p w14:paraId="63B48197" w14:textId="2BB1F7CE" w:rsidR="00C5785C" w:rsidRPr="00A47DF6" w:rsidRDefault="00EA7E0A" w:rsidP="00A47DF6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010305%</w:t>
            </w:r>
          </w:p>
        </w:tc>
      </w:tr>
    </w:tbl>
    <w:p w14:paraId="3AA6A366" w14:textId="77777777" w:rsidR="00A47DF6" w:rsidRDefault="00A47DF6">
      <w:pPr>
        <w:rPr>
          <w:lang w:val="en-GB"/>
        </w:rPr>
      </w:pPr>
    </w:p>
    <w:p w14:paraId="0F7E3E73" w14:textId="292618A9" w:rsidR="00A47DF6" w:rsidRDefault="00A47DF6" w:rsidP="00A47DF6">
      <w:pPr>
        <w:rPr>
          <w:lang w:val="en-GB"/>
        </w:rPr>
      </w:pPr>
      <w:r>
        <w:rPr>
          <w:lang w:val="en-GB"/>
        </w:rPr>
        <w:t>Note also that for Cephalosporins, we also looked at 2</w:t>
      </w:r>
      <w:r w:rsidRPr="00A47DF6">
        <w:rPr>
          <w:vertAlign w:val="superscript"/>
          <w:lang w:val="en-GB"/>
        </w:rPr>
        <w:t>nd</w:t>
      </w:r>
      <w:r>
        <w:rPr>
          <w:lang w:val="en-GB"/>
        </w:rPr>
        <w:t xml:space="preserve"> and 3</w:t>
      </w:r>
      <w:r w:rsidRPr="00A47DF6">
        <w:rPr>
          <w:vertAlign w:val="superscript"/>
          <w:lang w:val="en-GB"/>
        </w:rPr>
        <w:t>rd</w:t>
      </w:r>
      <w:r>
        <w:rPr>
          <w:lang w:val="en-GB"/>
        </w:rPr>
        <w:t xml:space="preserve"> generation. </w:t>
      </w:r>
      <w:r w:rsidR="00E8549E">
        <w:rPr>
          <w:lang w:val="en-GB"/>
        </w:rPr>
        <w:t>However,</w:t>
      </w:r>
      <w:r>
        <w:rPr>
          <w:lang w:val="en-GB"/>
        </w:rPr>
        <w:t xml:space="preserve"> all patients that had 2</w:t>
      </w:r>
      <w:r w:rsidRPr="00A11533">
        <w:rPr>
          <w:vertAlign w:val="superscript"/>
          <w:lang w:val="en-GB"/>
        </w:rPr>
        <w:t>nd</w:t>
      </w:r>
      <w:r>
        <w:rPr>
          <w:lang w:val="en-GB"/>
        </w:rPr>
        <w:t xml:space="preserve"> or 3</w:t>
      </w:r>
      <w:r w:rsidRPr="00A11533">
        <w:rPr>
          <w:vertAlign w:val="superscript"/>
          <w:lang w:val="en-GB"/>
        </w:rPr>
        <w:t>rd</w:t>
      </w:r>
      <w:r>
        <w:rPr>
          <w:lang w:val="en-GB"/>
        </w:rPr>
        <w:t xml:space="preserve"> gen cephalosporins in the community in the 6 months prior to admission or diagnosis</w:t>
      </w:r>
      <w:r w:rsidR="007476AC">
        <w:rPr>
          <w:lang w:val="en-GB"/>
        </w:rPr>
        <w:t xml:space="preserve"> </w:t>
      </w:r>
      <w:r>
        <w:rPr>
          <w:lang w:val="en-GB"/>
        </w:rPr>
        <w:t>also had 1</w:t>
      </w:r>
      <w:r w:rsidRPr="00A11533">
        <w:rPr>
          <w:vertAlign w:val="superscript"/>
          <w:lang w:val="en-GB"/>
        </w:rPr>
        <w:t>st</w:t>
      </w:r>
      <w:r>
        <w:rPr>
          <w:lang w:val="en-GB"/>
        </w:rPr>
        <w:t xml:space="preserve"> generation </w:t>
      </w:r>
      <w:r w:rsidR="00286C50">
        <w:rPr>
          <w:lang w:val="en-GB"/>
        </w:rPr>
        <w:t>cephalosporins (</w:t>
      </w:r>
      <w:r w:rsidR="007476AC">
        <w:rPr>
          <w:lang w:val="en-GB"/>
        </w:rPr>
        <w:t>39 CDI patients and 64 controls)</w:t>
      </w:r>
      <w:r>
        <w:rPr>
          <w:lang w:val="en-GB"/>
        </w:rPr>
        <w:t xml:space="preserve">. </w:t>
      </w:r>
    </w:p>
    <w:p w14:paraId="6B17EA23" w14:textId="345C8D0C" w:rsidR="00A47DF6" w:rsidRPr="00064FB2" w:rsidRDefault="00064FB2">
      <w:pPr>
        <w:rPr>
          <w:b/>
          <w:bCs/>
          <w:u w:val="single"/>
          <w:lang w:val="en-GB"/>
        </w:rPr>
      </w:pPr>
      <w:r w:rsidRPr="00064FB2">
        <w:rPr>
          <w:b/>
          <w:bCs/>
          <w:u w:val="single"/>
          <w:lang w:val="en-GB"/>
        </w:rPr>
        <w:t>Time period sensitivity</w:t>
      </w:r>
    </w:p>
    <w:p w14:paraId="3C929E72" w14:textId="30B64A9F" w:rsidR="00064FB2" w:rsidRDefault="00752E7A">
      <w:pPr>
        <w:rPr>
          <w:lang w:val="en-GB"/>
        </w:rPr>
      </w:pPr>
      <w:r>
        <w:rPr>
          <w:lang w:val="en-GB"/>
        </w:rPr>
        <w:t xml:space="preserve">A period of </w:t>
      </w:r>
      <w:r w:rsidR="00064FB2">
        <w:rPr>
          <w:lang w:val="en-GB"/>
        </w:rPr>
        <w:t>6 months</w:t>
      </w:r>
      <w:r>
        <w:rPr>
          <w:lang w:val="en-GB"/>
        </w:rPr>
        <w:t xml:space="preserve"> was deemed epidemiologically appropriate time to consider antibiotic effect on the gut. </w:t>
      </w:r>
      <w:r w:rsidR="00E8549E">
        <w:rPr>
          <w:lang w:val="en-GB"/>
        </w:rPr>
        <w:t>However,</w:t>
      </w:r>
      <w:r>
        <w:rPr>
          <w:lang w:val="en-GB"/>
        </w:rPr>
        <w:t xml:space="preserve"> to test/ explore this we ran sensitivity analysis considering alternatives of 3</w:t>
      </w:r>
      <w:r w:rsidR="00FA6E69">
        <w:rPr>
          <w:lang w:val="en-GB"/>
        </w:rPr>
        <w:t xml:space="preserve">, 6, 9 and 12 months. The results can be seen in </w:t>
      </w:r>
      <w:r w:rsidR="003C621A">
        <w:rPr>
          <w:lang w:val="en-GB"/>
        </w:rPr>
        <w:t>the f</w:t>
      </w:r>
      <w:r w:rsidR="00FA6E69">
        <w:rPr>
          <w:lang w:val="en-GB"/>
        </w:rPr>
        <w:t>igure below</w:t>
      </w:r>
      <w:r w:rsidR="00B04398">
        <w:rPr>
          <w:lang w:val="en-GB"/>
        </w:rPr>
        <w:t xml:space="preserve">. We see that the </w:t>
      </w:r>
      <w:r w:rsidR="00596D56">
        <w:rPr>
          <w:lang w:val="en-GB"/>
        </w:rPr>
        <w:t>odds ratio</w:t>
      </w:r>
      <w:r w:rsidR="00B04398">
        <w:rPr>
          <w:lang w:val="en-GB"/>
        </w:rPr>
        <w:t xml:space="preserve"> is </w:t>
      </w:r>
      <w:r w:rsidR="00596D56">
        <w:rPr>
          <w:lang w:val="en-GB"/>
        </w:rPr>
        <w:t xml:space="preserve">highest </w:t>
      </w:r>
      <w:r w:rsidR="00B04398">
        <w:rPr>
          <w:lang w:val="en-GB"/>
        </w:rPr>
        <w:t>for shorter periods</w:t>
      </w:r>
      <w:r w:rsidR="00596D56">
        <w:rPr>
          <w:lang w:val="en-GB"/>
        </w:rPr>
        <w:t xml:space="preserve"> considered</w:t>
      </w:r>
      <w:r w:rsidR="00B04398">
        <w:rPr>
          <w:lang w:val="en-GB"/>
        </w:rPr>
        <w:t xml:space="preserve">. </w:t>
      </w:r>
      <w:r w:rsidR="00596D56">
        <w:rPr>
          <w:lang w:val="en-GB"/>
        </w:rPr>
        <w:t>However, c</w:t>
      </w:r>
      <w:r w:rsidR="003C621A">
        <w:rPr>
          <w:lang w:val="en-GB"/>
        </w:rPr>
        <w:t>orrelation was observed e</w:t>
      </w:r>
      <w:r w:rsidR="00B04398">
        <w:rPr>
          <w:lang w:val="en-GB"/>
        </w:rPr>
        <w:t>ven up to 1 year</w:t>
      </w:r>
      <w:r w:rsidR="003C621A">
        <w:rPr>
          <w:lang w:val="en-GB"/>
        </w:rPr>
        <w:t xml:space="preserve"> (the maximum we could model). </w:t>
      </w:r>
      <w:r w:rsidR="00B00645">
        <w:rPr>
          <w:lang w:val="en-GB"/>
        </w:rPr>
        <w:t>A period</w:t>
      </w:r>
      <w:r w:rsidR="003C621A">
        <w:rPr>
          <w:lang w:val="en-GB"/>
        </w:rPr>
        <w:t xml:space="preserve"> of six months to have taken antibiotics</w:t>
      </w:r>
      <w:r w:rsidR="00B00645">
        <w:rPr>
          <w:lang w:val="en-GB"/>
        </w:rPr>
        <w:t xml:space="preserve"> before infection/ hospitalisation</w:t>
      </w:r>
      <w:r w:rsidR="003C621A">
        <w:rPr>
          <w:lang w:val="en-GB"/>
        </w:rPr>
        <w:t xml:space="preserve"> seemed a reasonable assumption to make.</w:t>
      </w:r>
    </w:p>
    <w:p w14:paraId="69BCF9D5" w14:textId="29D3F449" w:rsidR="003C621A" w:rsidRDefault="003C621A">
      <w:pPr>
        <w:rPr>
          <w:lang w:val="en-GB"/>
        </w:rPr>
      </w:pPr>
      <w:r w:rsidRPr="00B04398">
        <w:rPr>
          <w:noProof/>
        </w:rPr>
        <w:lastRenderedPageBreak/>
        <w:drawing>
          <wp:inline distT="0" distB="0" distL="0" distR="0" wp14:anchorId="434F637E" wp14:editId="050D93DB">
            <wp:extent cx="5943600" cy="2546985"/>
            <wp:effectExtent l="0" t="0" r="0" b="0"/>
            <wp:docPr id="5" name="Picture 4" descr="A graph with colorful dots and lines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49BDD12A-47D3-E45D-0298-1251C195798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graph with colorful dots and lines&#10;&#10;AI-generated content may be incorrect.">
                      <a:extLst>
                        <a:ext uri="{FF2B5EF4-FFF2-40B4-BE49-F238E27FC236}">
                          <a16:creationId xmlns:a16="http://schemas.microsoft.com/office/drawing/2014/main" id="{49BDD12A-47D3-E45D-0298-1251C195798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4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ED152" w14:textId="008096C2" w:rsidR="00B04398" w:rsidRPr="00064FB2" w:rsidRDefault="00B04398">
      <w:pPr>
        <w:rPr>
          <w:lang w:val="en-GB"/>
        </w:rPr>
      </w:pPr>
    </w:p>
    <w:sectPr w:rsidR="00B04398" w:rsidRPr="00064FB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0F9"/>
    <w:rsid w:val="00064FB2"/>
    <w:rsid w:val="00141DC7"/>
    <w:rsid w:val="001E348B"/>
    <w:rsid w:val="00286C50"/>
    <w:rsid w:val="002B6617"/>
    <w:rsid w:val="003C621A"/>
    <w:rsid w:val="00560C12"/>
    <w:rsid w:val="00596D56"/>
    <w:rsid w:val="0065332A"/>
    <w:rsid w:val="00686432"/>
    <w:rsid w:val="007476AC"/>
    <w:rsid w:val="00752E7A"/>
    <w:rsid w:val="007D40F9"/>
    <w:rsid w:val="008516A7"/>
    <w:rsid w:val="00870FBE"/>
    <w:rsid w:val="008B3438"/>
    <w:rsid w:val="009B1F5F"/>
    <w:rsid w:val="009F3AA9"/>
    <w:rsid w:val="00A11533"/>
    <w:rsid w:val="00A47DF6"/>
    <w:rsid w:val="00AD1529"/>
    <w:rsid w:val="00B00645"/>
    <w:rsid w:val="00B04398"/>
    <w:rsid w:val="00C16B0B"/>
    <w:rsid w:val="00C5785C"/>
    <w:rsid w:val="00C7567F"/>
    <w:rsid w:val="00C75A0D"/>
    <w:rsid w:val="00C75ED7"/>
    <w:rsid w:val="00C83A02"/>
    <w:rsid w:val="00CA28C4"/>
    <w:rsid w:val="00E8549E"/>
    <w:rsid w:val="00EA7E0A"/>
    <w:rsid w:val="00FA6E69"/>
    <w:rsid w:val="00FB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41164"/>
  <w15:chartTrackingRefBased/>
  <w15:docId w15:val="{E5C526AB-5B1B-4DF9-98A2-E18EC75F4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40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40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40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40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40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40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40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40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40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40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40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40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40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40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40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40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40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40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40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40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40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40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40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40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40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40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40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40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40F9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B043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0439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043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43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4398"/>
    <w:rPr>
      <w:b/>
      <w:bCs/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FB6FFE"/>
    <w:pPr>
      <w:tabs>
        <w:tab w:val="left" w:pos="264"/>
      </w:tabs>
      <w:spacing w:after="240" w:line="240" w:lineRule="auto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78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5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DCCD89BD9E4B449B7A388C7270B838" ma:contentTypeVersion="14" ma:contentTypeDescription="Create a new document." ma:contentTypeScope="" ma:versionID="070190a6b2bfdd9928879ce332b6ca83">
  <xsd:schema xmlns:xsd="http://www.w3.org/2001/XMLSchema" xmlns:xs="http://www.w3.org/2001/XMLSchema" xmlns:p="http://schemas.microsoft.com/office/2006/metadata/properties" xmlns:ns2="68644401-2d3d-4da0-b17c-44d1b350bb29" xmlns:ns3="ce28da5e-9f68-4bb0-9259-c875d5f45878" targetNamespace="http://schemas.microsoft.com/office/2006/metadata/properties" ma:root="true" ma:fieldsID="18d3c226164bdcb659cf5e3723072cc6" ns2:_="" ns3:_="">
    <xsd:import namespace="68644401-2d3d-4da0-b17c-44d1b350bb29"/>
    <xsd:import namespace="ce28da5e-9f68-4bb0-9259-c875d5f458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644401-2d3d-4da0-b17c-44d1b350b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89f538-edf0-4bde-b084-18e01efd0e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28da5e-9f68-4bb0-9259-c875d5f45878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1e9cc7fc-b3f0-4feb-9cb8-17dd5592573d}" ma:internalName="TaxCatchAll" ma:showField="CatchAllData" ma:web="ce28da5e-9f68-4bb0-9259-c875d5f458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644401-2d3d-4da0-b17c-44d1b350bb29">
      <Terms xmlns="http://schemas.microsoft.com/office/infopath/2007/PartnerControls"/>
    </lcf76f155ced4ddcb4097134ff3c332f>
    <TaxCatchAll xmlns="ce28da5e-9f68-4bb0-9259-c875d5f45878" xsi:nil="true"/>
  </documentManagement>
</p:properties>
</file>

<file path=customXml/itemProps1.xml><?xml version="1.0" encoding="utf-8"?>
<ds:datastoreItem xmlns:ds="http://schemas.openxmlformats.org/officeDocument/2006/customXml" ds:itemID="{76524B05-5EB5-44D3-B1E1-4148007CE0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644401-2d3d-4da0-b17c-44d1b350bb29"/>
    <ds:schemaRef ds:uri="ce28da5e-9f68-4bb0-9259-c875d5f458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7FA73A8-BFC3-41CB-8899-8474897E41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99DBEC-0154-4A42-B813-E0769B31E0A3}">
  <ds:schemaRefs>
    <ds:schemaRef ds:uri="http://schemas.microsoft.com/office/2006/metadata/properties"/>
    <ds:schemaRef ds:uri="http://schemas.microsoft.com/office/infopath/2007/PartnerControls"/>
    <ds:schemaRef ds:uri="68644401-2d3d-4da0-b17c-44d1b350bb29"/>
    <ds:schemaRef ds:uri="ce28da5e-9f68-4bb0-9259-c875d5f4587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Whiteley</dc:creator>
  <cp:keywords/>
  <dc:description/>
  <cp:lastModifiedBy>Tim Whiteley</cp:lastModifiedBy>
  <cp:revision>19</cp:revision>
  <dcterms:created xsi:type="dcterms:W3CDTF">2025-09-25T09:10:00Z</dcterms:created>
  <dcterms:modified xsi:type="dcterms:W3CDTF">2025-11-14T12:40:00Z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0x010100A7DCCD89BD9E4B449B7A388C7270B838</vt:lpwstr>
  </property>
  <property fmtid="{D5CDD505-2E9C-101B-9397-08002B2CF9AE}" pid="3" name="MediaServiceImageTags">
    <vt:lpwstr/>
  </property>
  <property fmtid="{D5CDD505-2E9C-101B-9397-08002B2CF9AE}" pid="4" name="ZOTERO_PREF_1">
    <vt:lpwstr>&lt;data data-version="3" zotero-version="7.0.27"&gt;&lt;session id="0CJNlOIf"/&gt;&lt;style id="http://www.zotero.org/styles/vancouver" locale="en-GB" hasBibliography="1" bibliographyStyleHasBeenSet="1"/&gt;&lt;prefs&gt;&lt;pref name="fieldType" value="Field"/&gt;&lt;/prefs&gt;&lt;/data&gt;</vt:lpwstr>
  </property>
</Properties>
</file>