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7E900" w14:textId="6774234A" w:rsidR="00567E09" w:rsidRDefault="00567E09" w:rsidP="00E1200E">
      <w:pPr>
        <w:spacing w:after="6"/>
        <w:rPr>
          <w:rFonts w:ascii="Calibri" w:eastAsia="Calibri" w:hAnsi="Calibri" w:cs="Calibri"/>
          <w:b/>
          <w:bCs/>
          <w:u w:val="single"/>
        </w:rPr>
      </w:pPr>
      <w:r w:rsidRPr="542899F4">
        <w:rPr>
          <w:rFonts w:ascii="Calibri" w:eastAsia="Calibri" w:hAnsi="Calibri" w:cs="Calibri"/>
          <w:b/>
          <w:bCs/>
          <w:u w:val="single"/>
        </w:rPr>
        <w:t>Supplementary material</w:t>
      </w:r>
      <w:r>
        <w:rPr>
          <w:rFonts w:ascii="Calibri" w:eastAsia="Calibri" w:hAnsi="Calibri" w:cs="Calibri"/>
          <w:b/>
          <w:bCs/>
          <w:u w:val="single"/>
        </w:rPr>
        <w:t xml:space="preserve"> for:</w:t>
      </w:r>
    </w:p>
    <w:p w14:paraId="1752E0EE" w14:textId="77777777" w:rsidR="00D55FBF" w:rsidRDefault="00D55FBF" w:rsidP="00E1200E">
      <w:pPr>
        <w:spacing w:after="6"/>
        <w:rPr>
          <w:rFonts w:ascii="Calibri" w:eastAsia="Calibri" w:hAnsi="Calibri" w:cs="Calibri"/>
          <w:b/>
          <w:bCs/>
        </w:rPr>
      </w:pPr>
    </w:p>
    <w:p w14:paraId="33560C25" w14:textId="66FD15BD" w:rsidR="00604414" w:rsidRPr="0029738F" w:rsidRDefault="00604414" w:rsidP="0029738F">
      <w:pPr>
        <w:spacing w:after="6"/>
        <w:jc w:val="center"/>
        <w:rPr>
          <w:rFonts w:ascii="Calibri" w:eastAsia="Calibri" w:hAnsi="Calibri" w:cs="Calibri"/>
          <w:b/>
          <w:bCs/>
          <w:sz w:val="24"/>
          <w:szCs w:val="24"/>
        </w:rPr>
      </w:pPr>
      <w:proofErr w:type="spellStart"/>
      <w:r w:rsidRPr="0029738F">
        <w:rPr>
          <w:rFonts w:ascii="Calibri" w:eastAsia="Calibri" w:hAnsi="Calibri" w:cs="Calibri"/>
          <w:b/>
          <w:bCs/>
          <w:sz w:val="24"/>
          <w:szCs w:val="24"/>
        </w:rPr>
        <w:t>DeNPRU</w:t>
      </w:r>
      <w:proofErr w:type="spellEnd"/>
      <w:r w:rsidRPr="0029738F">
        <w:rPr>
          <w:rFonts w:ascii="Calibri" w:eastAsia="Calibri" w:hAnsi="Calibri" w:cs="Calibri"/>
          <w:b/>
          <w:bCs/>
          <w:sz w:val="24"/>
          <w:szCs w:val="24"/>
        </w:rPr>
        <w:t>-QM Responsive project: Prevalence of memory complaints in the absence of objective symptoms in clinical populations: systematic review update.</w:t>
      </w:r>
    </w:p>
    <w:p w14:paraId="579D2052" w14:textId="77777777" w:rsidR="00FA469A" w:rsidRDefault="00FA469A" w:rsidP="00E1200E">
      <w:pPr>
        <w:spacing w:after="6"/>
        <w:rPr>
          <w:rFonts w:ascii="Calibri" w:eastAsia="Calibri" w:hAnsi="Calibri" w:cs="Calibri"/>
          <w:b/>
          <w:bCs/>
        </w:rPr>
      </w:pPr>
    </w:p>
    <w:p w14:paraId="7F0BE133" w14:textId="1AA6A491" w:rsidR="00E1200E" w:rsidRPr="00E1200E" w:rsidRDefault="00E1200E" w:rsidP="00E1200E">
      <w:pPr>
        <w:spacing w:after="6"/>
        <w:rPr>
          <w:rFonts w:ascii="Calibri" w:eastAsia="Calibri" w:hAnsi="Calibri" w:cs="Calibri"/>
          <w:b/>
          <w:bCs/>
        </w:rPr>
      </w:pPr>
      <w:r w:rsidRPr="00E1200E">
        <w:rPr>
          <w:rFonts w:ascii="Calibri" w:eastAsia="Calibri" w:hAnsi="Calibri" w:cs="Calibri"/>
          <w:b/>
          <w:bCs/>
        </w:rPr>
        <w:t>Authors</w:t>
      </w:r>
    </w:p>
    <w:p w14:paraId="5EACA231" w14:textId="77777777" w:rsidR="00E1200E" w:rsidRPr="00E1200E" w:rsidRDefault="00E1200E" w:rsidP="00E1200E">
      <w:pPr>
        <w:spacing w:after="6"/>
        <w:rPr>
          <w:rFonts w:ascii="Calibri" w:eastAsia="Calibri" w:hAnsi="Calibri" w:cs="Calibri"/>
        </w:rPr>
      </w:pPr>
    </w:p>
    <w:p w14:paraId="20EB2A34" w14:textId="77777777" w:rsidR="004741FB" w:rsidRDefault="00E8304B" w:rsidP="00E1200E">
      <w:pPr>
        <w:spacing w:after="6"/>
        <w:rPr>
          <w:rFonts w:ascii="Calibri" w:eastAsia="Calibri" w:hAnsi="Calibri" w:cs="Calibri"/>
          <w:lang w:eastAsia="en-US"/>
        </w:rPr>
      </w:pPr>
      <w:r w:rsidRPr="00874C50">
        <w:rPr>
          <w:rFonts w:ascii="Calibri" w:eastAsia="Calibri" w:hAnsi="Calibri" w:cs="Calibri"/>
          <w:lang w:eastAsia="en-US"/>
        </w:rPr>
        <w:t>Jasmine Shaw</w:t>
      </w:r>
      <w:r>
        <w:rPr>
          <w:rFonts w:ascii="Calibri" w:eastAsia="Calibri" w:hAnsi="Calibri" w:cs="Calibri"/>
          <w:vertAlign w:val="superscript"/>
          <w:lang w:eastAsia="en-US"/>
        </w:rPr>
        <w:t>1</w:t>
      </w:r>
      <w:r w:rsidRPr="00874C50">
        <w:rPr>
          <w:rFonts w:ascii="Calibri" w:eastAsia="Calibri" w:hAnsi="Calibri" w:cs="Calibri"/>
          <w:lang w:eastAsia="en-US"/>
        </w:rPr>
        <w:t>, Malvika Muralidhar</w:t>
      </w:r>
      <w:r>
        <w:rPr>
          <w:rFonts w:ascii="Calibri" w:eastAsia="Calibri" w:hAnsi="Calibri" w:cs="Calibri"/>
          <w:vertAlign w:val="superscript"/>
          <w:lang w:eastAsia="en-US"/>
        </w:rPr>
        <w:t>1</w:t>
      </w:r>
      <w:r w:rsidRPr="00874C50">
        <w:rPr>
          <w:rFonts w:ascii="Calibri" w:eastAsia="Calibri" w:hAnsi="Calibri" w:cs="Calibri"/>
          <w:lang w:eastAsia="en-US"/>
        </w:rPr>
        <w:t>, Harriet Demnitz-King</w:t>
      </w:r>
      <w:r>
        <w:rPr>
          <w:rFonts w:ascii="Calibri" w:eastAsia="Calibri" w:hAnsi="Calibri" w:cs="Calibri"/>
          <w:vertAlign w:val="superscript"/>
          <w:lang w:eastAsia="en-US"/>
        </w:rPr>
        <w:t>1</w:t>
      </w:r>
      <w:r w:rsidRPr="00874C50">
        <w:rPr>
          <w:rFonts w:ascii="Calibri" w:eastAsia="Calibri" w:hAnsi="Calibri" w:cs="Calibri"/>
          <w:lang w:eastAsia="en-US"/>
        </w:rPr>
        <w:t>, Greta Rait</w:t>
      </w:r>
      <w:r>
        <w:rPr>
          <w:rFonts w:ascii="Calibri" w:eastAsia="Calibri" w:hAnsi="Calibri" w:cs="Calibri"/>
          <w:vertAlign w:val="superscript"/>
          <w:lang w:eastAsia="en-US"/>
        </w:rPr>
        <w:t>2</w:t>
      </w:r>
      <w:r w:rsidRPr="00874C50">
        <w:rPr>
          <w:rFonts w:ascii="Calibri" w:eastAsia="Calibri" w:hAnsi="Calibri" w:cs="Calibri"/>
          <w:lang w:eastAsia="en-US"/>
        </w:rPr>
        <w:t>, Jonathan Schott</w:t>
      </w:r>
      <w:r>
        <w:rPr>
          <w:rFonts w:ascii="Calibri" w:eastAsia="Calibri" w:hAnsi="Calibri" w:cs="Calibri"/>
          <w:vertAlign w:val="superscript"/>
          <w:lang w:eastAsia="en-US"/>
        </w:rPr>
        <w:t>2</w:t>
      </w:r>
      <w:r w:rsidRPr="00874C50">
        <w:rPr>
          <w:rFonts w:ascii="Calibri" w:eastAsia="Calibri" w:hAnsi="Calibri" w:cs="Calibri"/>
          <w:lang w:eastAsia="en-US"/>
        </w:rPr>
        <w:t>, Naaheed Mukadam</w:t>
      </w:r>
      <w:r>
        <w:rPr>
          <w:rFonts w:ascii="Calibri" w:eastAsia="Calibri" w:hAnsi="Calibri" w:cs="Calibri"/>
          <w:vertAlign w:val="superscript"/>
          <w:lang w:eastAsia="en-US"/>
        </w:rPr>
        <w:t>2</w:t>
      </w:r>
      <w:r w:rsidRPr="00874C50">
        <w:rPr>
          <w:rFonts w:ascii="Calibri" w:eastAsia="Calibri" w:hAnsi="Calibri" w:cs="Calibri"/>
          <w:lang w:eastAsia="en-US"/>
        </w:rPr>
        <w:t>, Charles Marshall</w:t>
      </w:r>
      <w:r>
        <w:rPr>
          <w:rFonts w:ascii="Calibri" w:eastAsia="Calibri" w:hAnsi="Calibri" w:cs="Calibri"/>
          <w:vertAlign w:val="superscript"/>
          <w:lang w:eastAsia="en-US"/>
        </w:rPr>
        <w:t>1</w:t>
      </w:r>
      <w:r w:rsidRPr="00874C50">
        <w:rPr>
          <w:rFonts w:ascii="Calibri" w:eastAsia="Calibri" w:hAnsi="Calibri" w:cs="Calibri"/>
          <w:lang w:eastAsia="en-US"/>
        </w:rPr>
        <w:t>, Asho Oommen</w:t>
      </w:r>
      <w:r>
        <w:rPr>
          <w:rFonts w:ascii="Calibri" w:eastAsia="Calibri" w:hAnsi="Calibri" w:cs="Calibri"/>
          <w:vertAlign w:val="superscript"/>
          <w:lang w:eastAsia="en-US"/>
        </w:rPr>
        <w:t>3</w:t>
      </w:r>
      <w:r w:rsidRPr="00874C50">
        <w:rPr>
          <w:rFonts w:ascii="Calibri" w:eastAsia="Calibri" w:hAnsi="Calibri" w:cs="Calibri"/>
          <w:lang w:eastAsia="en-US"/>
        </w:rPr>
        <w:t>, Clare Hadley</w:t>
      </w:r>
      <w:r>
        <w:rPr>
          <w:rFonts w:ascii="Calibri" w:eastAsia="Calibri" w:hAnsi="Calibri" w:cs="Calibri"/>
          <w:vertAlign w:val="superscript"/>
          <w:lang w:eastAsia="en-US"/>
        </w:rPr>
        <w:t>1</w:t>
      </w:r>
      <w:r w:rsidRPr="00874C50">
        <w:rPr>
          <w:rFonts w:ascii="Calibri" w:eastAsia="Calibri" w:hAnsi="Calibri" w:cs="Calibri"/>
          <w:lang w:eastAsia="en-US"/>
        </w:rPr>
        <w:t>, Deborah Smith</w:t>
      </w:r>
      <w:r>
        <w:rPr>
          <w:rFonts w:ascii="Calibri" w:eastAsia="Calibri" w:hAnsi="Calibri" w:cs="Calibri"/>
          <w:vertAlign w:val="superscript"/>
          <w:lang w:eastAsia="en-US"/>
        </w:rPr>
        <w:t>1</w:t>
      </w:r>
      <w:r w:rsidRPr="00874C50">
        <w:rPr>
          <w:rFonts w:ascii="Calibri" w:eastAsia="Calibri" w:hAnsi="Calibri" w:cs="Calibri"/>
          <w:lang w:eastAsia="en-US"/>
        </w:rPr>
        <w:t>, Sube Banerjee</w:t>
      </w:r>
      <w:r>
        <w:rPr>
          <w:rFonts w:ascii="Calibri" w:eastAsia="Calibri" w:hAnsi="Calibri" w:cs="Calibri"/>
          <w:vertAlign w:val="superscript"/>
          <w:lang w:eastAsia="en-US"/>
        </w:rPr>
        <w:t>4</w:t>
      </w:r>
      <w:r w:rsidRPr="00874C50">
        <w:rPr>
          <w:rFonts w:ascii="Calibri" w:eastAsia="Calibri" w:hAnsi="Calibri" w:cs="Calibri"/>
          <w:lang w:eastAsia="en-US"/>
        </w:rPr>
        <w:t>, Claudia Cooper</w:t>
      </w:r>
      <w:r>
        <w:rPr>
          <w:rFonts w:ascii="Calibri" w:eastAsia="Calibri" w:hAnsi="Calibri" w:cs="Calibri"/>
          <w:vertAlign w:val="superscript"/>
          <w:lang w:eastAsia="en-US"/>
        </w:rPr>
        <w:t>1</w:t>
      </w:r>
      <w:r w:rsidRPr="00874C50">
        <w:rPr>
          <w:rFonts w:ascii="Calibri" w:eastAsia="Calibri" w:hAnsi="Calibri" w:cs="Calibri"/>
          <w:lang w:eastAsia="en-US"/>
        </w:rPr>
        <w:t xml:space="preserve"> and on behalf of </w:t>
      </w:r>
      <w:proofErr w:type="spellStart"/>
      <w:r w:rsidRPr="00874C50">
        <w:rPr>
          <w:rFonts w:ascii="Calibri" w:eastAsia="Calibri" w:hAnsi="Calibri" w:cs="Calibri"/>
          <w:lang w:eastAsia="en-US"/>
        </w:rPr>
        <w:t>DeNPRU</w:t>
      </w:r>
      <w:proofErr w:type="spellEnd"/>
      <w:r w:rsidRPr="00874C50">
        <w:rPr>
          <w:rFonts w:ascii="Calibri" w:eastAsia="Calibri" w:hAnsi="Calibri" w:cs="Calibri"/>
          <w:lang w:eastAsia="en-US"/>
        </w:rPr>
        <w:t>-QM.</w:t>
      </w:r>
      <w:r>
        <w:rPr>
          <w:rFonts w:ascii="Calibri" w:eastAsia="Calibri" w:hAnsi="Calibri" w:cs="Calibri"/>
          <w:lang w:eastAsia="en-US"/>
        </w:rPr>
        <w:br/>
      </w:r>
      <w:r>
        <w:rPr>
          <w:rFonts w:ascii="Calibri" w:eastAsia="Calibri" w:hAnsi="Calibri" w:cs="Calibri"/>
          <w:lang w:eastAsia="en-US"/>
        </w:rPr>
        <w:br/>
      </w:r>
      <w:r>
        <w:rPr>
          <w:rFonts w:ascii="Calibri" w:eastAsia="Calibri" w:hAnsi="Calibri" w:cs="Calibri"/>
          <w:b/>
          <w:bCs/>
          <w:lang w:eastAsia="en-US"/>
        </w:rPr>
        <w:t>Affiliations</w:t>
      </w:r>
      <w:r>
        <w:rPr>
          <w:rFonts w:ascii="Calibri" w:eastAsia="Calibri" w:hAnsi="Calibri" w:cs="Calibri"/>
          <w:lang w:eastAsia="en-US"/>
        </w:rPr>
        <w:br/>
      </w:r>
      <w:r>
        <w:rPr>
          <w:rFonts w:ascii="Calibri" w:eastAsia="Calibri" w:hAnsi="Calibri" w:cs="Calibri"/>
          <w:lang w:eastAsia="en-US"/>
        </w:rPr>
        <w:br/>
      </w:r>
      <w:r>
        <w:rPr>
          <w:rFonts w:ascii="Calibri" w:eastAsia="Calibri" w:hAnsi="Calibri" w:cs="Calibri"/>
          <w:vertAlign w:val="superscript"/>
          <w:lang w:eastAsia="en-US"/>
        </w:rPr>
        <w:t>1</w:t>
      </w:r>
      <w:r>
        <w:rPr>
          <w:rFonts w:ascii="Calibri" w:eastAsia="Calibri" w:hAnsi="Calibri" w:cs="Calibri"/>
          <w:lang w:eastAsia="en-US"/>
        </w:rPr>
        <w:t>Queen Mary, University of London, UK</w:t>
      </w:r>
      <w:r>
        <w:rPr>
          <w:rFonts w:ascii="Calibri" w:eastAsia="Calibri" w:hAnsi="Calibri" w:cs="Calibri"/>
          <w:lang w:eastAsia="en-US"/>
        </w:rPr>
        <w:br/>
      </w:r>
      <w:r>
        <w:rPr>
          <w:rFonts w:ascii="Calibri" w:eastAsia="Calibri" w:hAnsi="Calibri" w:cs="Calibri"/>
          <w:vertAlign w:val="superscript"/>
          <w:lang w:eastAsia="en-US"/>
        </w:rPr>
        <w:t>2</w:t>
      </w:r>
      <w:r>
        <w:rPr>
          <w:rFonts w:ascii="Calibri" w:eastAsia="Calibri" w:hAnsi="Calibri" w:cs="Calibri"/>
          <w:lang w:eastAsia="en-US"/>
        </w:rPr>
        <w:t>University College London, UK</w:t>
      </w:r>
      <w:r>
        <w:rPr>
          <w:rFonts w:ascii="Calibri" w:eastAsia="Calibri" w:hAnsi="Calibri" w:cs="Calibri"/>
          <w:lang w:eastAsia="en-US"/>
        </w:rPr>
        <w:br/>
      </w:r>
      <w:r>
        <w:rPr>
          <w:rFonts w:ascii="Calibri" w:eastAsia="Calibri" w:hAnsi="Calibri" w:cs="Calibri"/>
          <w:vertAlign w:val="superscript"/>
          <w:lang w:eastAsia="en-US"/>
        </w:rPr>
        <w:t>3</w:t>
      </w:r>
      <w:r>
        <w:rPr>
          <w:rFonts w:ascii="Calibri" w:eastAsia="Calibri" w:hAnsi="Calibri" w:cs="Calibri"/>
          <w:lang w:eastAsia="en-US"/>
        </w:rPr>
        <w:t>East London NHS Foundation Trust, UK</w:t>
      </w:r>
      <w:r>
        <w:rPr>
          <w:rFonts w:ascii="Calibri" w:eastAsia="Calibri" w:hAnsi="Calibri" w:cs="Calibri"/>
          <w:lang w:eastAsia="en-US"/>
        </w:rPr>
        <w:br/>
      </w:r>
      <w:r>
        <w:rPr>
          <w:rFonts w:ascii="Calibri" w:eastAsia="Calibri" w:hAnsi="Calibri" w:cs="Calibri"/>
          <w:vertAlign w:val="superscript"/>
          <w:lang w:eastAsia="en-US"/>
        </w:rPr>
        <w:t>4</w:t>
      </w:r>
      <w:r>
        <w:rPr>
          <w:rFonts w:ascii="Calibri" w:eastAsia="Calibri" w:hAnsi="Calibri" w:cs="Calibri"/>
          <w:lang w:eastAsia="en-US"/>
        </w:rPr>
        <w:t>University of Nottingham, UK</w:t>
      </w:r>
    </w:p>
    <w:p w14:paraId="4BEBE508" w14:textId="77777777" w:rsidR="004741FB" w:rsidRDefault="004741FB" w:rsidP="00E1200E">
      <w:pPr>
        <w:spacing w:after="6"/>
        <w:rPr>
          <w:rFonts w:ascii="Calibri" w:eastAsia="Calibri" w:hAnsi="Calibri" w:cs="Calibri"/>
          <w:lang w:eastAsia="en-US"/>
        </w:rPr>
      </w:pPr>
    </w:p>
    <w:p w14:paraId="4E218E7E" w14:textId="78BED485" w:rsidR="542899F4" w:rsidRPr="004741FB" w:rsidRDefault="5D53541A" w:rsidP="00E1200E">
      <w:pPr>
        <w:spacing w:after="6"/>
        <w:rPr>
          <w:rFonts w:ascii="Calibri" w:eastAsia="Calibri" w:hAnsi="Calibri" w:cs="Calibri"/>
          <w:lang w:eastAsia="en-US"/>
        </w:rPr>
      </w:pPr>
      <w:r w:rsidRPr="542899F4">
        <w:rPr>
          <w:rFonts w:ascii="Calibri" w:eastAsia="Calibri" w:hAnsi="Calibri" w:cs="Calibri"/>
          <w:b/>
          <w:bCs/>
        </w:rPr>
        <w:t>Contents</w:t>
      </w:r>
    </w:p>
    <w:p w14:paraId="342C991B" w14:textId="77777777" w:rsidR="0064746D" w:rsidRDefault="0064746D" w:rsidP="542899F4">
      <w:pPr>
        <w:spacing w:after="6"/>
        <w:rPr>
          <w:rFonts w:ascii="Calibri" w:eastAsia="Calibri" w:hAnsi="Calibri" w:cs="Calibri"/>
        </w:rPr>
      </w:pPr>
    </w:p>
    <w:sdt>
      <w:sdtPr>
        <w:id w:val="1573007072"/>
        <w:docPartObj>
          <w:docPartGallery w:val="Table of Contents"/>
          <w:docPartUnique/>
        </w:docPartObj>
      </w:sdtPr>
      <w:sdtEndPr/>
      <w:sdtContent>
        <w:p w14:paraId="4FE6666F" w14:textId="24DD93DA" w:rsidR="00E8304B" w:rsidRPr="00E8304B" w:rsidRDefault="542899F4">
          <w:pPr>
            <w:pStyle w:val="TOC1"/>
            <w:tabs>
              <w:tab w:val="right" w:leader="dot" w:pos="9019"/>
            </w:tabs>
            <w:rPr>
              <w:rFonts w:asciiTheme="minorHAnsi" w:eastAsiaTheme="minorEastAsia" w:hAnsiTheme="minorHAnsi" w:cstheme="minorBidi"/>
              <w:noProof/>
              <w:kern w:val="2"/>
              <w:sz w:val="24"/>
              <w:szCs w:val="24"/>
              <w14:ligatures w14:val="standardContextual"/>
            </w:rPr>
          </w:pPr>
          <w:r w:rsidRPr="00E8304B">
            <w:fldChar w:fldCharType="begin"/>
          </w:r>
          <w:r w:rsidRPr="00E8304B">
            <w:instrText>TOC \o "1-9" \z \u \h</w:instrText>
          </w:r>
          <w:r w:rsidRPr="00E8304B">
            <w:fldChar w:fldCharType="separate"/>
          </w:r>
          <w:hyperlink w:anchor="_Toc214541297" w:history="1">
            <w:r w:rsidR="00E8304B" w:rsidRPr="00E8304B">
              <w:rPr>
                <w:rStyle w:val="Hyperlink"/>
                <w:rFonts w:ascii="Calibri" w:eastAsia="Calibri" w:hAnsi="Calibri" w:cs="Calibri"/>
                <w:noProof/>
              </w:rPr>
              <w:t>Table 1S: Search strategy</w:t>
            </w:r>
            <w:r w:rsidR="00E8304B" w:rsidRPr="00E8304B">
              <w:rPr>
                <w:noProof/>
                <w:webHidden/>
              </w:rPr>
              <w:tab/>
            </w:r>
            <w:r w:rsidR="00E8304B" w:rsidRPr="00E8304B">
              <w:rPr>
                <w:noProof/>
                <w:webHidden/>
              </w:rPr>
              <w:fldChar w:fldCharType="begin"/>
            </w:r>
            <w:r w:rsidR="00E8304B" w:rsidRPr="00E8304B">
              <w:rPr>
                <w:noProof/>
                <w:webHidden/>
              </w:rPr>
              <w:instrText xml:space="preserve"> PAGEREF _Toc214541297 \h </w:instrText>
            </w:r>
            <w:r w:rsidR="00E8304B" w:rsidRPr="00E8304B">
              <w:rPr>
                <w:noProof/>
                <w:webHidden/>
              </w:rPr>
            </w:r>
            <w:r w:rsidR="00E8304B" w:rsidRPr="00E8304B">
              <w:rPr>
                <w:noProof/>
                <w:webHidden/>
              </w:rPr>
              <w:fldChar w:fldCharType="separate"/>
            </w:r>
            <w:r w:rsidR="004741FB">
              <w:rPr>
                <w:noProof/>
                <w:webHidden/>
              </w:rPr>
              <w:t>2</w:t>
            </w:r>
            <w:r w:rsidR="00E8304B" w:rsidRPr="00E8304B">
              <w:rPr>
                <w:noProof/>
                <w:webHidden/>
              </w:rPr>
              <w:fldChar w:fldCharType="end"/>
            </w:r>
          </w:hyperlink>
        </w:p>
        <w:p w14:paraId="54F47E8C" w14:textId="6FDDB210" w:rsidR="00E8304B" w:rsidRPr="00E8304B" w:rsidRDefault="00E8304B">
          <w:pPr>
            <w:pStyle w:val="TOC1"/>
            <w:tabs>
              <w:tab w:val="right" w:leader="dot" w:pos="9019"/>
            </w:tabs>
            <w:rPr>
              <w:rFonts w:asciiTheme="minorHAnsi" w:eastAsiaTheme="minorEastAsia" w:hAnsiTheme="minorHAnsi" w:cstheme="minorBidi"/>
              <w:noProof/>
              <w:kern w:val="2"/>
              <w:sz w:val="24"/>
              <w:szCs w:val="24"/>
              <w14:ligatures w14:val="standardContextual"/>
            </w:rPr>
          </w:pPr>
          <w:hyperlink w:anchor="_Toc214541298" w:history="1">
            <w:r w:rsidRPr="00E8304B">
              <w:rPr>
                <w:rStyle w:val="Hyperlink"/>
                <w:rFonts w:ascii="Calibri" w:hAnsi="Calibri" w:cs="Calibri"/>
                <w:noProof/>
              </w:rPr>
              <w:t>Table 2S. Data extracted from studies describing prevalence of subjective cognitive concerns among patients presenting to primary care settings.</w:t>
            </w:r>
            <w:r w:rsidRPr="00E8304B">
              <w:rPr>
                <w:noProof/>
                <w:webHidden/>
              </w:rPr>
              <w:tab/>
            </w:r>
            <w:r w:rsidRPr="00E8304B">
              <w:rPr>
                <w:noProof/>
                <w:webHidden/>
              </w:rPr>
              <w:fldChar w:fldCharType="begin"/>
            </w:r>
            <w:r w:rsidRPr="00E8304B">
              <w:rPr>
                <w:noProof/>
                <w:webHidden/>
              </w:rPr>
              <w:instrText xml:space="preserve"> PAGEREF _Toc214541298 \h </w:instrText>
            </w:r>
            <w:r w:rsidRPr="00E8304B">
              <w:rPr>
                <w:noProof/>
                <w:webHidden/>
              </w:rPr>
            </w:r>
            <w:r w:rsidRPr="00E8304B">
              <w:rPr>
                <w:noProof/>
                <w:webHidden/>
              </w:rPr>
              <w:fldChar w:fldCharType="separate"/>
            </w:r>
            <w:r w:rsidR="004741FB">
              <w:rPr>
                <w:noProof/>
                <w:webHidden/>
              </w:rPr>
              <w:t>3</w:t>
            </w:r>
            <w:r w:rsidRPr="00E8304B">
              <w:rPr>
                <w:noProof/>
                <w:webHidden/>
              </w:rPr>
              <w:fldChar w:fldCharType="end"/>
            </w:r>
          </w:hyperlink>
        </w:p>
        <w:p w14:paraId="42A7B2FA" w14:textId="03D1EE6B" w:rsidR="00E8304B" w:rsidRPr="00E8304B" w:rsidRDefault="00E8304B">
          <w:pPr>
            <w:pStyle w:val="TOC1"/>
            <w:tabs>
              <w:tab w:val="right" w:leader="dot" w:pos="9019"/>
            </w:tabs>
            <w:rPr>
              <w:rFonts w:asciiTheme="minorHAnsi" w:eastAsiaTheme="minorEastAsia" w:hAnsiTheme="minorHAnsi" w:cstheme="minorBidi"/>
              <w:noProof/>
              <w:kern w:val="2"/>
              <w:sz w:val="24"/>
              <w:szCs w:val="24"/>
              <w14:ligatures w14:val="standardContextual"/>
            </w:rPr>
          </w:pPr>
          <w:hyperlink w:anchor="_Toc214541299" w:history="1">
            <w:r w:rsidRPr="00E8304B">
              <w:rPr>
                <w:rStyle w:val="Hyperlink"/>
                <w:rFonts w:ascii="Calibri" w:hAnsi="Calibri" w:cs="Calibri"/>
                <w:noProof/>
              </w:rPr>
              <w:t>Table 3S. Data extracted from studies describing prevalence of subjective cognitive concerns among patients presenting to secondary and tertiary care memory clinics.</w:t>
            </w:r>
            <w:r w:rsidRPr="00E8304B">
              <w:rPr>
                <w:noProof/>
                <w:webHidden/>
              </w:rPr>
              <w:tab/>
            </w:r>
            <w:r w:rsidRPr="00E8304B">
              <w:rPr>
                <w:noProof/>
                <w:webHidden/>
              </w:rPr>
              <w:fldChar w:fldCharType="begin"/>
            </w:r>
            <w:r w:rsidRPr="00E8304B">
              <w:rPr>
                <w:noProof/>
                <w:webHidden/>
              </w:rPr>
              <w:instrText xml:space="preserve"> PAGEREF _Toc214541299 \h </w:instrText>
            </w:r>
            <w:r w:rsidRPr="00E8304B">
              <w:rPr>
                <w:noProof/>
                <w:webHidden/>
              </w:rPr>
            </w:r>
            <w:r w:rsidRPr="00E8304B">
              <w:rPr>
                <w:noProof/>
                <w:webHidden/>
              </w:rPr>
              <w:fldChar w:fldCharType="separate"/>
            </w:r>
            <w:r w:rsidR="004741FB">
              <w:rPr>
                <w:noProof/>
                <w:webHidden/>
              </w:rPr>
              <w:t>4</w:t>
            </w:r>
            <w:r w:rsidRPr="00E8304B">
              <w:rPr>
                <w:noProof/>
                <w:webHidden/>
              </w:rPr>
              <w:fldChar w:fldCharType="end"/>
            </w:r>
          </w:hyperlink>
        </w:p>
        <w:p w14:paraId="3689ECCC" w14:textId="45500546" w:rsidR="00E8304B" w:rsidRPr="00E8304B" w:rsidRDefault="00E8304B">
          <w:pPr>
            <w:pStyle w:val="TOC1"/>
            <w:tabs>
              <w:tab w:val="right" w:leader="dot" w:pos="9019"/>
            </w:tabs>
            <w:rPr>
              <w:rFonts w:asciiTheme="minorHAnsi" w:eastAsiaTheme="minorEastAsia" w:hAnsiTheme="minorHAnsi" w:cstheme="minorBidi"/>
              <w:noProof/>
              <w:kern w:val="2"/>
              <w:sz w:val="24"/>
              <w:szCs w:val="24"/>
              <w14:ligatures w14:val="standardContextual"/>
            </w:rPr>
          </w:pPr>
          <w:hyperlink w:anchor="_Toc214541300" w:history="1">
            <w:r w:rsidRPr="00E8304B">
              <w:rPr>
                <w:rStyle w:val="Hyperlink"/>
                <w:rFonts w:ascii="Calibri" w:hAnsi="Calibri" w:cs="Calibri"/>
                <w:noProof/>
              </w:rPr>
              <w:t>Table 4S. Data extracted from studies describing prevalence of subjective cognitive concerns among patients presenting to healthcare settings other than primary care or memory services.</w:t>
            </w:r>
            <w:r w:rsidRPr="00E8304B">
              <w:rPr>
                <w:noProof/>
                <w:webHidden/>
              </w:rPr>
              <w:tab/>
            </w:r>
            <w:r w:rsidRPr="00E8304B">
              <w:rPr>
                <w:noProof/>
                <w:webHidden/>
              </w:rPr>
              <w:fldChar w:fldCharType="begin"/>
            </w:r>
            <w:r w:rsidRPr="00E8304B">
              <w:rPr>
                <w:noProof/>
                <w:webHidden/>
              </w:rPr>
              <w:instrText xml:space="preserve"> PAGEREF _Toc214541300 \h </w:instrText>
            </w:r>
            <w:r w:rsidRPr="00E8304B">
              <w:rPr>
                <w:noProof/>
                <w:webHidden/>
              </w:rPr>
            </w:r>
            <w:r w:rsidRPr="00E8304B">
              <w:rPr>
                <w:noProof/>
                <w:webHidden/>
              </w:rPr>
              <w:fldChar w:fldCharType="separate"/>
            </w:r>
            <w:r w:rsidR="004741FB">
              <w:rPr>
                <w:noProof/>
                <w:webHidden/>
              </w:rPr>
              <w:t>7</w:t>
            </w:r>
            <w:r w:rsidRPr="00E8304B">
              <w:rPr>
                <w:noProof/>
                <w:webHidden/>
              </w:rPr>
              <w:fldChar w:fldCharType="end"/>
            </w:r>
          </w:hyperlink>
        </w:p>
        <w:p w14:paraId="644E2EFD" w14:textId="23F81121" w:rsidR="00E8304B" w:rsidRPr="00E8304B" w:rsidRDefault="00E8304B">
          <w:pPr>
            <w:pStyle w:val="TOC1"/>
            <w:tabs>
              <w:tab w:val="right" w:leader="dot" w:pos="9019"/>
            </w:tabs>
            <w:rPr>
              <w:rFonts w:asciiTheme="minorHAnsi" w:eastAsiaTheme="minorEastAsia" w:hAnsiTheme="minorHAnsi" w:cstheme="minorBidi"/>
              <w:noProof/>
              <w:kern w:val="2"/>
              <w:sz w:val="24"/>
              <w:szCs w:val="24"/>
              <w14:ligatures w14:val="standardContextual"/>
            </w:rPr>
          </w:pPr>
          <w:hyperlink w:anchor="_Toc214541301" w:history="1">
            <w:r w:rsidRPr="00E8304B">
              <w:rPr>
                <w:rStyle w:val="Hyperlink"/>
                <w:rFonts w:ascii="Calibri" w:eastAsia="Calibri" w:hAnsi="Calibri" w:cs="Calibri"/>
                <w:noProof/>
              </w:rPr>
              <w:t>Table 5S Evaluation of Risk of Bias in included studies, using the RoB-PrevMH)</w:t>
            </w:r>
            <w:r w:rsidRPr="00E8304B">
              <w:rPr>
                <w:noProof/>
                <w:webHidden/>
              </w:rPr>
              <w:tab/>
            </w:r>
            <w:r w:rsidRPr="00E8304B">
              <w:rPr>
                <w:noProof/>
                <w:webHidden/>
              </w:rPr>
              <w:fldChar w:fldCharType="begin"/>
            </w:r>
            <w:r w:rsidRPr="00E8304B">
              <w:rPr>
                <w:noProof/>
                <w:webHidden/>
              </w:rPr>
              <w:instrText xml:space="preserve"> PAGEREF _Toc214541301 \h </w:instrText>
            </w:r>
            <w:r w:rsidRPr="00E8304B">
              <w:rPr>
                <w:noProof/>
                <w:webHidden/>
              </w:rPr>
            </w:r>
            <w:r w:rsidRPr="00E8304B">
              <w:rPr>
                <w:noProof/>
                <w:webHidden/>
              </w:rPr>
              <w:fldChar w:fldCharType="separate"/>
            </w:r>
            <w:r w:rsidR="004741FB">
              <w:rPr>
                <w:noProof/>
                <w:webHidden/>
              </w:rPr>
              <w:t>8</w:t>
            </w:r>
            <w:r w:rsidRPr="00E8304B">
              <w:rPr>
                <w:noProof/>
                <w:webHidden/>
              </w:rPr>
              <w:fldChar w:fldCharType="end"/>
            </w:r>
          </w:hyperlink>
        </w:p>
        <w:p w14:paraId="266D9ACB" w14:textId="2220FC57" w:rsidR="00E8304B" w:rsidRPr="00E8304B" w:rsidRDefault="00E8304B">
          <w:pPr>
            <w:pStyle w:val="TOC1"/>
            <w:tabs>
              <w:tab w:val="right" w:leader="dot" w:pos="9019"/>
            </w:tabs>
            <w:rPr>
              <w:rFonts w:asciiTheme="minorHAnsi" w:eastAsiaTheme="minorEastAsia" w:hAnsiTheme="minorHAnsi" w:cstheme="minorBidi"/>
              <w:noProof/>
              <w:kern w:val="2"/>
              <w:sz w:val="24"/>
              <w:szCs w:val="24"/>
              <w14:ligatures w14:val="standardContextual"/>
            </w:rPr>
          </w:pPr>
          <w:hyperlink w:anchor="_Toc214541302" w:history="1">
            <w:r w:rsidRPr="00E8304B">
              <w:rPr>
                <w:rStyle w:val="Hyperlink"/>
                <w:rFonts w:ascii="Calibri" w:hAnsi="Calibri" w:cs="Calibri"/>
                <w:noProof/>
              </w:rPr>
              <w:t>Figure 1S. Funnel plot of publication bias.</w:t>
            </w:r>
            <w:r w:rsidRPr="00E8304B">
              <w:rPr>
                <w:noProof/>
                <w:webHidden/>
              </w:rPr>
              <w:tab/>
            </w:r>
            <w:r w:rsidRPr="00E8304B">
              <w:rPr>
                <w:noProof/>
                <w:webHidden/>
              </w:rPr>
              <w:fldChar w:fldCharType="begin"/>
            </w:r>
            <w:r w:rsidRPr="00E8304B">
              <w:rPr>
                <w:noProof/>
                <w:webHidden/>
              </w:rPr>
              <w:instrText xml:space="preserve"> PAGEREF _Toc214541302 \h </w:instrText>
            </w:r>
            <w:r w:rsidRPr="00E8304B">
              <w:rPr>
                <w:noProof/>
                <w:webHidden/>
              </w:rPr>
            </w:r>
            <w:r w:rsidRPr="00E8304B">
              <w:rPr>
                <w:noProof/>
                <w:webHidden/>
              </w:rPr>
              <w:fldChar w:fldCharType="separate"/>
            </w:r>
            <w:r w:rsidR="004741FB">
              <w:rPr>
                <w:noProof/>
                <w:webHidden/>
              </w:rPr>
              <w:t>9</w:t>
            </w:r>
            <w:r w:rsidRPr="00E8304B">
              <w:rPr>
                <w:noProof/>
                <w:webHidden/>
              </w:rPr>
              <w:fldChar w:fldCharType="end"/>
            </w:r>
          </w:hyperlink>
        </w:p>
        <w:p w14:paraId="55D83363" w14:textId="74A50008" w:rsidR="00E8304B" w:rsidRPr="00E8304B" w:rsidRDefault="00E8304B">
          <w:pPr>
            <w:pStyle w:val="TOC1"/>
            <w:tabs>
              <w:tab w:val="right" w:leader="dot" w:pos="9019"/>
            </w:tabs>
            <w:rPr>
              <w:rFonts w:asciiTheme="minorHAnsi" w:eastAsiaTheme="minorEastAsia" w:hAnsiTheme="minorHAnsi" w:cstheme="minorBidi"/>
              <w:noProof/>
              <w:kern w:val="2"/>
              <w:sz w:val="24"/>
              <w:szCs w:val="24"/>
              <w14:ligatures w14:val="standardContextual"/>
            </w:rPr>
          </w:pPr>
          <w:hyperlink w:anchor="_Toc214541303" w:history="1">
            <w:r w:rsidRPr="00E8304B">
              <w:rPr>
                <w:rStyle w:val="Hyperlink"/>
                <w:rFonts w:ascii="Calibri" w:hAnsi="Calibri" w:cs="Calibri"/>
                <w:noProof/>
              </w:rPr>
              <w:t>Table 6S: Matrix of terms and methods used to define the groups of people with subjective or functional cognitive symptoms.</w:t>
            </w:r>
            <w:r w:rsidRPr="00E8304B">
              <w:rPr>
                <w:noProof/>
                <w:webHidden/>
              </w:rPr>
              <w:tab/>
            </w:r>
            <w:r w:rsidRPr="00E8304B">
              <w:rPr>
                <w:noProof/>
                <w:webHidden/>
              </w:rPr>
              <w:fldChar w:fldCharType="begin"/>
            </w:r>
            <w:r w:rsidRPr="00E8304B">
              <w:rPr>
                <w:noProof/>
                <w:webHidden/>
              </w:rPr>
              <w:instrText xml:space="preserve"> PAGEREF _Toc214541303 \h </w:instrText>
            </w:r>
            <w:r w:rsidRPr="00E8304B">
              <w:rPr>
                <w:noProof/>
                <w:webHidden/>
              </w:rPr>
            </w:r>
            <w:r w:rsidRPr="00E8304B">
              <w:rPr>
                <w:noProof/>
                <w:webHidden/>
              </w:rPr>
              <w:fldChar w:fldCharType="separate"/>
            </w:r>
            <w:r w:rsidR="004741FB">
              <w:rPr>
                <w:noProof/>
                <w:webHidden/>
              </w:rPr>
              <w:t>9</w:t>
            </w:r>
            <w:r w:rsidRPr="00E8304B">
              <w:rPr>
                <w:noProof/>
                <w:webHidden/>
              </w:rPr>
              <w:fldChar w:fldCharType="end"/>
            </w:r>
          </w:hyperlink>
        </w:p>
        <w:p w14:paraId="62384E68" w14:textId="70F10F92" w:rsidR="00E8304B" w:rsidRPr="00E8304B" w:rsidRDefault="00E8304B">
          <w:pPr>
            <w:pStyle w:val="TOC1"/>
            <w:tabs>
              <w:tab w:val="right" w:leader="dot" w:pos="9019"/>
            </w:tabs>
            <w:rPr>
              <w:rFonts w:asciiTheme="minorHAnsi" w:eastAsiaTheme="minorEastAsia" w:hAnsiTheme="minorHAnsi" w:cstheme="minorBidi"/>
              <w:noProof/>
              <w:kern w:val="2"/>
              <w:sz w:val="24"/>
              <w:szCs w:val="24"/>
              <w14:ligatures w14:val="standardContextual"/>
            </w:rPr>
          </w:pPr>
          <w:hyperlink w:anchor="_Toc214541304" w:history="1">
            <w:r w:rsidRPr="00E8304B">
              <w:rPr>
                <w:rStyle w:val="Hyperlink"/>
                <w:rFonts w:ascii="Calibri" w:eastAsia="Calibri" w:hAnsi="Calibri" w:cs="Calibri"/>
                <w:noProof/>
              </w:rPr>
              <w:t>Appendix: Sensitivity analyses</w:t>
            </w:r>
            <w:r w:rsidRPr="00E8304B">
              <w:rPr>
                <w:noProof/>
                <w:webHidden/>
              </w:rPr>
              <w:tab/>
            </w:r>
            <w:r w:rsidRPr="00E8304B">
              <w:rPr>
                <w:noProof/>
                <w:webHidden/>
              </w:rPr>
              <w:fldChar w:fldCharType="begin"/>
            </w:r>
            <w:r w:rsidRPr="00E8304B">
              <w:rPr>
                <w:noProof/>
                <w:webHidden/>
              </w:rPr>
              <w:instrText xml:space="preserve"> PAGEREF _Toc214541304 \h </w:instrText>
            </w:r>
            <w:r w:rsidRPr="00E8304B">
              <w:rPr>
                <w:noProof/>
                <w:webHidden/>
              </w:rPr>
            </w:r>
            <w:r w:rsidRPr="00E8304B">
              <w:rPr>
                <w:noProof/>
                <w:webHidden/>
              </w:rPr>
              <w:fldChar w:fldCharType="separate"/>
            </w:r>
            <w:r w:rsidR="004741FB">
              <w:rPr>
                <w:noProof/>
                <w:webHidden/>
              </w:rPr>
              <w:t>10</w:t>
            </w:r>
            <w:r w:rsidRPr="00E8304B">
              <w:rPr>
                <w:noProof/>
                <w:webHidden/>
              </w:rPr>
              <w:fldChar w:fldCharType="end"/>
            </w:r>
          </w:hyperlink>
        </w:p>
        <w:p w14:paraId="2524C5C6" w14:textId="7AB91DAE" w:rsidR="00E8304B" w:rsidRPr="00E8304B" w:rsidRDefault="00E8304B">
          <w:pPr>
            <w:pStyle w:val="TOC2"/>
            <w:tabs>
              <w:tab w:val="right" w:leader="dot" w:pos="9019"/>
            </w:tabs>
            <w:rPr>
              <w:rFonts w:asciiTheme="minorHAnsi" w:eastAsiaTheme="minorEastAsia" w:hAnsiTheme="minorHAnsi" w:cstheme="minorBidi"/>
              <w:noProof/>
              <w:kern w:val="2"/>
              <w:sz w:val="24"/>
              <w:szCs w:val="24"/>
              <w14:ligatures w14:val="standardContextual"/>
            </w:rPr>
          </w:pPr>
          <w:hyperlink w:anchor="_Toc214541305" w:history="1">
            <w:r w:rsidRPr="00E8304B">
              <w:rPr>
                <w:rStyle w:val="Hyperlink"/>
                <w:rFonts w:ascii="Calibri" w:eastAsia="Calibri" w:hAnsi="Calibri" w:cs="Calibri"/>
                <w:noProof/>
              </w:rPr>
              <w:t>Table 7S. Random effects prevalence meta-analysis models of sub-group analyses.</w:t>
            </w:r>
            <w:r w:rsidRPr="00E8304B">
              <w:rPr>
                <w:noProof/>
                <w:webHidden/>
              </w:rPr>
              <w:tab/>
            </w:r>
            <w:r w:rsidRPr="00E8304B">
              <w:rPr>
                <w:noProof/>
                <w:webHidden/>
              </w:rPr>
              <w:fldChar w:fldCharType="begin"/>
            </w:r>
            <w:r w:rsidRPr="00E8304B">
              <w:rPr>
                <w:noProof/>
                <w:webHidden/>
              </w:rPr>
              <w:instrText xml:space="preserve"> PAGEREF _Toc214541305 \h </w:instrText>
            </w:r>
            <w:r w:rsidRPr="00E8304B">
              <w:rPr>
                <w:noProof/>
                <w:webHidden/>
              </w:rPr>
            </w:r>
            <w:r w:rsidRPr="00E8304B">
              <w:rPr>
                <w:noProof/>
                <w:webHidden/>
              </w:rPr>
              <w:fldChar w:fldCharType="separate"/>
            </w:r>
            <w:r w:rsidR="004741FB">
              <w:rPr>
                <w:noProof/>
                <w:webHidden/>
              </w:rPr>
              <w:t>10</w:t>
            </w:r>
            <w:r w:rsidRPr="00E8304B">
              <w:rPr>
                <w:noProof/>
                <w:webHidden/>
              </w:rPr>
              <w:fldChar w:fldCharType="end"/>
            </w:r>
          </w:hyperlink>
        </w:p>
        <w:p w14:paraId="0EC3F62E" w14:textId="6E03DEB3" w:rsidR="00E8304B" w:rsidRPr="00E8304B" w:rsidRDefault="00E8304B">
          <w:pPr>
            <w:pStyle w:val="TOC1"/>
            <w:tabs>
              <w:tab w:val="right" w:leader="dot" w:pos="9019"/>
            </w:tabs>
            <w:rPr>
              <w:rFonts w:asciiTheme="minorHAnsi" w:eastAsiaTheme="minorEastAsia" w:hAnsiTheme="minorHAnsi" w:cstheme="minorBidi"/>
              <w:noProof/>
              <w:kern w:val="2"/>
              <w:sz w:val="24"/>
              <w:szCs w:val="24"/>
              <w14:ligatures w14:val="standardContextual"/>
            </w:rPr>
          </w:pPr>
          <w:hyperlink w:anchor="_Toc214541306" w:history="1">
            <w:r w:rsidRPr="00E8304B">
              <w:rPr>
                <w:rStyle w:val="Hyperlink"/>
                <w:rFonts w:ascii="Calibri" w:eastAsia="Calibri" w:hAnsi="Calibri" w:cs="Calibri"/>
                <w:noProof/>
              </w:rPr>
              <w:t>Supplementary references</w:t>
            </w:r>
            <w:r w:rsidRPr="00E8304B">
              <w:rPr>
                <w:noProof/>
                <w:webHidden/>
              </w:rPr>
              <w:tab/>
            </w:r>
            <w:r w:rsidRPr="00E8304B">
              <w:rPr>
                <w:noProof/>
                <w:webHidden/>
              </w:rPr>
              <w:fldChar w:fldCharType="begin"/>
            </w:r>
            <w:r w:rsidRPr="00E8304B">
              <w:rPr>
                <w:noProof/>
                <w:webHidden/>
              </w:rPr>
              <w:instrText xml:space="preserve"> PAGEREF _Toc214541306 \h </w:instrText>
            </w:r>
            <w:r w:rsidRPr="00E8304B">
              <w:rPr>
                <w:noProof/>
                <w:webHidden/>
              </w:rPr>
            </w:r>
            <w:r w:rsidRPr="00E8304B">
              <w:rPr>
                <w:noProof/>
                <w:webHidden/>
              </w:rPr>
              <w:fldChar w:fldCharType="separate"/>
            </w:r>
            <w:r w:rsidR="004741FB">
              <w:rPr>
                <w:noProof/>
                <w:webHidden/>
              </w:rPr>
              <w:t>11</w:t>
            </w:r>
            <w:r w:rsidRPr="00E8304B">
              <w:rPr>
                <w:noProof/>
                <w:webHidden/>
              </w:rPr>
              <w:fldChar w:fldCharType="end"/>
            </w:r>
          </w:hyperlink>
        </w:p>
        <w:p w14:paraId="3036BBF8" w14:textId="0EC7ED80" w:rsidR="542899F4" w:rsidRPr="00E8304B" w:rsidRDefault="542899F4" w:rsidP="542899F4">
          <w:pPr>
            <w:pStyle w:val="TOC1"/>
            <w:tabs>
              <w:tab w:val="right" w:leader="dot" w:pos="10455"/>
            </w:tabs>
            <w:rPr>
              <w:rStyle w:val="Hyperlink"/>
            </w:rPr>
          </w:pPr>
          <w:r w:rsidRPr="00E8304B">
            <w:fldChar w:fldCharType="end"/>
          </w:r>
        </w:p>
      </w:sdtContent>
    </w:sdt>
    <w:p w14:paraId="58C29A2C" w14:textId="617D1CCC" w:rsidR="542899F4" w:rsidRPr="00E8304B" w:rsidRDefault="542899F4" w:rsidP="542899F4">
      <w:pPr>
        <w:spacing w:after="6"/>
        <w:rPr>
          <w:rFonts w:ascii="Calibri" w:eastAsia="Calibri" w:hAnsi="Calibri" w:cs="Calibri"/>
        </w:rPr>
      </w:pPr>
    </w:p>
    <w:p w14:paraId="4987774E" w14:textId="20152372" w:rsidR="542899F4" w:rsidRDefault="542899F4" w:rsidP="542899F4">
      <w:pPr>
        <w:spacing w:after="6"/>
        <w:rPr>
          <w:rFonts w:ascii="Calibri" w:eastAsia="Calibri" w:hAnsi="Calibri" w:cs="Calibri"/>
        </w:rPr>
      </w:pPr>
    </w:p>
    <w:p w14:paraId="598883B5" w14:textId="4D008904" w:rsidR="542899F4" w:rsidRDefault="542899F4" w:rsidP="542899F4">
      <w:pPr>
        <w:spacing w:after="6"/>
        <w:rPr>
          <w:rFonts w:ascii="Calibri" w:eastAsia="Calibri" w:hAnsi="Calibri" w:cs="Calibri"/>
          <w:b/>
          <w:bCs/>
        </w:rPr>
      </w:pPr>
    </w:p>
    <w:p w14:paraId="3D8FF952" w14:textId="1E433DE6" w:rsidR="542899F4" w:rsidRDefault="542899F4">
      <w:r>
        <w:br w:type="page"/>
      </w:r>
    </w:p>
    <w:p w14:paraId="599755C4" w14:textId="168082AC" w:rsidR="5C268A70" w:rsidRDefault="5C268A70" w:rsidP="542899F4">
      <w:pPr>
        <w:pStyle w:val="Heading1"/>
        <w:rPr>
          <w:rFonts w:ascii="Calibri" w:eastAsia="Calibri" w:hAnsi="Calibri" w:cs="Calibri"/>
          <w:b/>
          <w:bCs/>
          <w:color w:val="auto"/>
          <w:sz w:val="22"/>
          <w:szCs w:val="22"/>
        </w:rPr>
      </w:pPr>
      <w:bookmarkStart w:id="0" w:name="_Toc214541297"/>
      <w:r w:rsidRPr="542899F4">
        <w:rPr>
          <w:rFonts w:ascii="Calibri" w:eastAsia="Calibri" w:hAnsi="Calibri" w:cs="Calibri"/>
          <w:b/>
          <w:bCs/>
          <w:color w:val="auto"/>
          <w:sz w:val="22"/>
          <w:szCs w:val="22"/>
        </w:rPr>
        <w:lastRenderedPageBreak/>
        <w:t>Table 1S: Search strategy</w:t>
      </w:r>
      <w:bookmarkEnd w:id="0"/>
    </w:p>
    <w:tbl>
      <w:tblPr>
        <w:tblStyle w:val="TableGrid"/>
        <w:tblW w:w="9037" w:type="dxa"/>
        <w:tblLook w:val="04A0" w:firstRow="1" w:lastRow="0" w:firstColumn="1" w:lastColumn="0" w:noHBand="0" w:noVBand="1"/>
      </w:tblPr>
      <w:tblGrid>
        <w:gridCol w:w="1983"/>
        <w:gridCol w:w="7054"/>
      </w:tblGrid>
      <w:tr w:rsidR="542899F4" w14:paraId="17AB5D4A" w14:textId="77777777" w:rsidTr="007C3105">
        <w:trPr>
          <w:trHeight w:val="341"/>
        </w:trPr>
        <w:tc>
          <w:tcPr>
            <w:tcW w:w="1983" w:type="dxa"/>
          </w:tcPr>
          <w:p w14:paraId="40FF8FEB" w14:textId="77777777" w:rsidR="542899F4" w:rsidRDefault="542899F4" w:rsidP="542899F4">
            <w:pPr>
              <w:spacing w:after="6"/>
              <w:rPr>
                <w:rFonts w:ascii="Calibri" w:eastAsia="Calibri" w:hAnsi="Calibri" w:cs="Calibri"/>
              </w:rPr>
            </w:pPr>
            <w:r w:rsidRPr="542899F4">
              <w:rPr>
                <w:rFonts w:ascii="Calibri" w:eastAsia="Calibri" w:hAnsi="Calibri" w:cs="Calibri"/>
              </w:rPr>
              <w:t>Condition</w:t>
            </w:r>
          </w:p>
        </w:tc>
        <w:tc>
          <w:tcPr>
            <w:tcW w:w="7054" w:type="dxa"/>
          </w:tcPr>
          <w:p w14:paraId="7D3C7B46" w14:textId="77777777" w:rsidR="542899F4" w:rsidRDefault="542899F4" w:rsidP="542899F4">
            <w:pPr>
              <w:spacing w:after="160" w:line="259" w:lineRule="auto"/>
              <w:rPr>
                <w:rFonts w:ascii="Calibri" w:eastAsia="Calibri" w:hAnsi="Calibri" w:cs="Calibri"/>
              </w:rPr>
            </w:pPr>
            <w:r w:rsidRPr="542899F4">
              <w:rPr>
                <w:rFonts w:ascii="Calibri" w:eastAsia="Calibri" w:hAnsi="Calibri" w:cs="Calibri"/>
              </w:rPr>
              <w:t xml:space="preserve">(functional or dissociative or psychogenic or hysterical or conversion or medically unexplained or subjective) adj1 (memory or cognit* or </w:t>
            </w:r>
            <w:proofErr w:type="spellStart"/>
            <w:r w:rsidRPr="542899F4">
              <w:rPr>
                <w:rFonts w:ascii="Calibri" w:eastAsia="Calibri" w:hAnsi="Calibri" w:cs="Calibri"/>
              </w:rPr>
              <w:t>forgetf</w:t>
            </w:r>
            <w:proofErr w:type="spellEnd"/>
            <w:r w:rsidRPr="542899F4">
              <w:rPr>
                <w:rFonts w:ascii="Calibri" w:eastAsia="Calibri" w:hAnsi="Calibri" w:cs="Calibri"/>
              </w:rPr>
              <w:t>*) adj1 (impairment or disorder or decline or worsening or complain* or symptom* or loss or disturbance or condition) OR pseudodementia or “worried well” or “age-related forgetfulness” or “Benign senescent forgetfulness” or “nondemented” or “subjective forgetfulness” or “fear of dementia” or “</w:t>
            </w:r>
            <w:proofErr w:type="spellStart"/>
            <w:r w:rsidRPr="542899F4">
              <w:rPr>
                <w:rFonts w:ascii="Calibri" w:eastAsia="Calibri" w:hAnsi="Calibri" w:cs="Calibri"/>
              </w:rPr>
              <w:t>cogniform</w:t>
            </w:r>
            <w:proofErr w:type="spellEnd"/>
            <w:r w:rsidRPr="542899F4">
              <w:rPr>
                <w:rFonts w:ascii="Calibri" w:eastAsia="Calibri" w:hAnsi="Calibri" w:cs="Calibri"/>
              </w:rPr>
              <w:t xml:space="preserve"> disorder”</w:t>
            </w:r>
          </w:p>
        </w:tc>
      </w:tr>
      <w:tr w:rsidR="542899F4" w14:paraId="24DD3FEB" w14:textId="77777777" w:rsidTr="007C3105">
        <w:trPr>
          <w:trHeight w:val="341"/>
        </w:trPr>
        <w:tc>
          <w:tcPr>
            <w:tcW w:w="1983" w:type="dxa"/>
          </w:tcPr>
          <w:p w14:paraId="47AECBC2" w14:textId="45E305AF" w:rsidR="542899F4" w:rsidRDefault="006F01F4" w:rsidP="542899F4">
            <w:pPr>
              <w:spacing w:after="6"/>
              <w:rPr>
                <w:rFonts w:ascii="Calibri" w:eastAsia="Calibri" w:hAnsi="Calibri" w:cs="Calibri"/>
              </w:rPr>
            </w:pPr>
            <w:r>
              <w:rPr>
                <w:rFonts w:ascii="Calibri" w:eastAsia="Calibri" w:hAnsi="Calibri" w:cs="Calibri"/>
              </w:rPr>
              <w:t>P</w:t>
            </w:r>
            <w:r w:rsidR="542899F4" w:rsidRPr="542899F4">
              <w:rPr>
                <w:rFonts w:ascii="Calibri" w:eastAsia="Calibri" w:hAnsi="Calibri" w:cs="Calibri"/>
              </w:rPr>
              <w:t>opulation</w:t>
            </w:r>
          </w:p>
        </w:tc>
        <w:tc>
          <w:tcPr>
            <w:tcW w:w="7054" w:type="dxa"/>
          </w:tcPr>
          <w:p w14:paraId="6A2CAEB8" w14:textId="77777777" w:rsidR="542899F4" w:rsidRDefault="542899F4" w:rsidP="542899F4">
            <w:pPr>
              <w:spacing w:after="6"/>
              <w:rPr>
                <w:rFonts w:ascii="Calibri" w:eastAsia="Calibri" w:hAnsi="Calibri" w:cs="Calibri"/>
              </w:rPr>
            </w:pPr>
            <w:r w:rsidRPr="542899F4">
              <w:rPr>
                <w:rFonts w:ascii="Calibri" w:eastAsia="Calibri" w:hAnsi="Calibri" w:cs="Calibri"/>
              </w:rPr>
              <w:t>(memory or cognit* or psychiatry or geriatric or neurology or dementia) AND (service OR clinic OR outpatient OR primary care)</w:t>
            </w:r>
          </w:p>
        </w:tc>
      </w:tr>
      <w:tr w:rsidR="542899F4" w14:paraId="1E763369" w14:textId="77777777" w:rsidTr="007C3105">
        <w:trPr>
          <w:trHeight w:val="341"/>
        </w:trPr>
        <w:tc>
          <w:tcPr>
            <w:tcW w:w="1983" w:type="dxa"/>
          </w:tcPr>
          <w:p w14:paraId="65AA7DEA" w14:textId="77777777" w:rsidR="542899F4" w:rsidRDefault="542899F4" w:rsidP="542899F4">
            <w:pPr>
              <w:spacing w:after="6"/>
              <w:rPr>
                <w:rFonts w:ascii="Calibri" w:eastAsia="Calibri" w:hAnsi="Calibri" w:cs="Calibri"/>
              </w:rPr>
            </w:pPr>
            <w:r w:rsidRPr="542899F4">
              <w:rPr>
                <w:rFonts w:ascii="Calibri" w:eastAsia="Calibri" w:hAnsi="Calibri" w:cs="Calibri"/>
              </w:rPr>
              <w:t>Date</w:t>
            </w:r>
          </w:p>
        </w:tc>
        <w:tc>
          <w:tcPr>
            <w:tcW w:w="7054" w:type="dxa"/>
          </w:tcPr>
          <w:p w14:paraId="1D153E33" w14:textId="77777777" w:rsidR="542899F4" w:rsidRDefault="542899F4" w:rsidP="542899F4">
            <w:pPr>
              <w:spacing w:after="6"/>
              <w:rPr>
                <w:rFonts w:ascii="Calibri" w:eastAsia="Calibri" w:hAnsi="Calibri" w:cs="Calibri"/>
              </w:rPr>
            </w:pPr>
            <w:r w:rsidRPr="542899F4">
              <w:rPr>
                <w:rFonts w:ascii="Calibri" w:eastAsia="Calibri" w:hAnsi="Calibri" w:cs="Calibri"/>
              </w:rPr>
              <w:t>1 March 2019 onwards</w:t>
            </w:r>
          </w:p>
        </w:tc>
      </w:tr>
    </w:tbl>
    <w:p w14:paraId="0A016F4C" w14:textId="6C238C03" w:rsidR="542899F4" w:rsidRDefault="542899F4" w:rsidP="542899F4">
      <w:pPr>
        <w:spacing w:after="6"/>
        <w:rPr>
          <w:rFonts w:ascii="Calibri" w:eastAsia="Calibri" w:hAnsi="Calibri" w:cs="Calibri"/>
        </w:rPr>
      </w:pPr>
    </w:p>
    <w:p w14:paraId="211848F0" w14:textId="77777777" w:rsidR="001246B4" w:rsidRDefault="001246B4" w:rsidP="001246B4">
      <w:pPr>
        <w:spacing w:after="6"/>
        <w:rPr>
          <w:rFonts w:asciiTheme="majorHAnsi" w:hAnsiTheme="majorHAnsi" w:cstheme="majorBidi"/>
          <w:b/>
          <w:bCs/>
        </w:rPr>
      </w:pPr>
    </w:p>
    <w:p w14:paraId="48F97743" w14:textId="77777777" w:rsidR="00643700" w:rsidRDefault="00643700" w:rsidP="00643700">
      <w:pPr>
        <w:spacing w:after="6"/>
        <w:rPr>
          <w:rFonts w:asciiTheme="majorHAnsi" w:hAnsiTheme="majorHAnsi" w:cstheme="majorBidi"/>
          <w:b/>
          <w:bCs/>
        </w:rPr>
      </w:pPr>
    </w:p>
    <w:p w14:paraId="29C42BAB" w14:textId="77777777" w:rsidR="00962599" w:rsidRDefault="00962599" w:rsidP="3BC651C8">
      <w:pPr>
        <w:spacing w:after="160" w:line="259" w:lineRule="auto"/>
        <w:rPr>
          <w:rFonts w:asciiTheme="majorHAnsi" w:eastAsiaTheme="majorEastAsia" w:hAnsiTheme="majorHAnsi" w:cstheme="majorBidi"/>
          <w:b/>
          <w:bCs/>
        </w:rPr>
        <w:sectPr w:rsidR="00962599" w:rsidSect="007C3105">
          <w:footerReference w:type="default" r:id="rId11"/>
          <w:pgSz w:w="11909" w:h="16834"/>
          <w:pgMar w:top="1440" w:right="1440" w:bottom="1440" w:left="1440" w:header="720" w:footer="720" w:gutter="0"/>
          <w:cols w:space="720"/>
          <w:docGrid w:linePitch="299"/>
        </w:sectPr>
      </w:pPr>
    </w:p>
    <w:p w14:paraId="4D1AA282" w14:textId="77777777" w:rsidR="00E268AC" w:rsidRDefault="00E268AC" w:rsidP="542899F4">
      <w:pPr>
        <w:rPr>
          <w:rFonts w:ascii="Calibri" w:eastAsia="Calibri" w:hAnsi="Calibri" w:cs="Calibri"/>
        </w:rPr>
      </w:pPr>
    </w:p>
    <w:p w14:paraId="11D94373" w14:textId="35E35FB9" w:rsidR="00E268AC" w:rsidRPr="00BA2DE2" w:rsidRDefault="0078341B" w:rsidP="00E268AC">
      <w:pPr>
        <w:rPr>
          <w:rFonts w:ascii="Calibri" w:eastAsiaTheme="majorEastAsia" w:hAnsi="Calibri" w:cs="Calibri"/>
          <w:b/>
          <w:bCs/>
        </w:rPr>
      </w:pPr>
      <w:bookmarkStart w:id="1" w:name="_Toc214541298"/>
      <w:r>
        <w:rPr>
          <w:rStyle w:val="Heading1Char"/>
          <w:rFonts w:ascii="Calibri" w:hAnsi="Calibri" w:cs="Calibri"/>
          <w:b/>
          <w:bCs/>
          <w:color w:val="auto"/>
          <w:sz w:val="22"/>
          <w:szCs w:val="22"/>
        </w:rPr>
        <w:t>T</w:t>
      </w:r>
      <w:r w:rsidR="00E268AC" w:rsidRPr="00BA2DE2">
        <w:rPr>
          <w:rStyle w:val="Heading1Char"/>
          <w:rFonts w:ascii="Calibri" w:hAnsi="Calibri" w:cs="Calibri"/>
          <w:b/>
          <w:bCs/>
          <w:color w:val="auto"/>
          <w:sz w:val="22"/>
          <w:szCs w:val="22"/>
        </w:rPr>
        <w:t xml:space="preserve">able </w:t>
      </w:r>
      <w:r>
        <w:rPr>
          <w:rStyle w:val="Heading1Char"/>
          <w:rFonts w:ascii="Calibri" w:hAnsi="Calibri" w:cs="Calibri"/>
          <w:b/>
          <w:bCs/>
          <w:color w:val="auto"/>
          <w:sz w:val="22"/>
          <w:szCs w:val="22"/>
        </w:rPr>
        <w:t>2</w:t>
      </w:r>
      <w:r w:rsidR="00EB1ADB">
        <w:rPr>
          <w:rStyle w:val="Heading1Char"/>
          <w:rFonts w:ascii="Calibri" w:hAnsi="Calibri" w:cs="Calibri"/>
          <w:b/>
          <w:bCs/>
          <w:color w:val="auto"/>
          <w:sz w:val="22"/>
          <w:szCs w:val="22"/>
        </w:rPr>
        <w:t>S</w:t>
      </w:r>
      <w:r w:rsidR="00E268AC" w:rsidRPr="00BA2DE2">
        <w:rPr>
          <w:rStyle w:val="Heading1Char"/>
          <w:rFonts w:ascii="Calibri" w:hAnsi="Calibri" w:cs="Calibri"/>
          <w:b/>
          <w:bCs/>
          <w:color w:val="auto"/>
          <w:sz w:val="22"/>
          <w:szCs w:val="22"/>
        </w:rPr>
        <w:t xml:space="preserve">. </w:t>
      </w:r>
      <w:r>
        <w:rPr>
          <w:rStyle w:val="Heading1Char"/>
          <w:rFonts w:ascii="Calibri" w:hAnsi="Calibri" w:cs="Calibri"/>
          <w:b/>
          <w:bCs/>
          <w:color w:val="auto"/>
          <w:sz w:val="22"/>
          <w:szCs w:val="22"/>
        </w:rPr>
        <w:t>Data extracted from s</w:t>
      </w:r>
      <w:r w:rsidR="00E268AC" w:rsidRPr="00BA2DE2">
        <w:rPr>
          <w:rStyle w:val="Heading1Char"/>
          <w:rFonts w:ascii="Calibri" w:hAnsi="Calibri" w:cs="Calibri"/>
          <w:b/>
          <w:bCs/>
          <w:color w:val="auto"/>
          <w:sz w:val="22"/>
          <w:szCs w:val="22"/>
        </w:rPr>
        <w:t>tudies describing prevalence of subjective cognitive concerns among patients presenting to primary care settings.</w:t>
      </w:r>
      <w:bookmarkEnd w:id="1"/>
      <w:r w:rsidR="00E268AC" w:rsidRPr="00BA2DE2">
        <w:rPr>
          <w:rStyle w:val="Heading1Char"/>
          <w:rFonts w:ascii="Calibri" w:hAnsi="Calibri" w:cs="Calibri"/>
          <w:b/>
          <w:bCs/>
          <w:color w:val="auto"/>
          <w:sz w:val="22"/>
          <w:szCs w:val="22"/>
        </w:rPr>
        <w:t xml:space="preserve"> </w:t>
      </w:r>
      <w:r w:rsidR="00E268AC" w:rsidRPr="00BA2DE2">
        <w:rPr>
          <w:rFonts w:ascii="Calibri" w:eastAsiaTheme="majorEastAsia" w:hAnsi="Calibri" w:cs="Calibri"/>
          <w:b/>
          <w:bCs/>
          <w:i/>
          <w:iCs/>
        </w:rPr>
        <w:t>k=</w:t>
      </w:r>
      <w:r w:rsidR="00E268AC" w:rsidRPr="00BA2DE2">
        <w:rPr>
          <w:rFonts w:ascii="Calibri" w:eastAsiaTheme="majorEastAsia" w:hAnsi="Calibri" w:cs="Calibri"/>
          <w:b/>
          <w:bCs/>
        </w:rPr>
        <w:t>2</w:t>
      </w:r>
    </w:p>
    <w:tbl>
      <w:tblPr>
        <w:tblW w:w="1535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3"/>
        <w:gridCol w:w="3204"/>
        <w:gridCol w:w="2641"/>
        <w:gridCol w:w="2646"/>
        <w:gridCol w:w="2148"/>
        <w:gridCol w:w="1155"/>
        <w:gridCol w:w="1156"/>
        <w:gridCol w:w="990"/>
      </w:tblGrid>
      <w:tr w:rsidR="00E268AC" w:rsidRPr="00874C50" w14:paraId="45BCFA42" w14:textId="77777777" w:rsidTr="00E268AC">
        <w:trPr>
          <w:trHeight w:val="312"/>
        </w:trPr>
        <w:tc>
          <w:tcPr>
            <w:tcW w:w="1413" w:type="dxa"/>
            <w:tcBorders>
              <w:top w:val="single" w:sz="6" w:space="0" w:color="auto"/>
              <w:left w:val="single" w:sz="6" w:space="0" w:color="auto"/>
              <w:bottom w:val="single" w:sz="6" w:space="0" w:color="auto"/>
              <w:right w:val="single" w:sz="6" w:space="0" w:color="auto"/>
            </w:tcBorders>
            <w:hideMark/>
          </w:tcPr>
          <w:p w14:paraId="56FD4DAB"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Study </w:t>
            </w:r>
          </w:p>
        </w:tc>
        <w:tc>
          <w:tcPr>
            <w:tcW w:w="3204" w:type="dxa"/>
            <w:tcBorders>
              <w:top w:val="single" w:sz="6" w:space="0" w:color="auto"/>
              <w:left w:val="single" w:sz="6" w:space="0" w:color="auto"/>
              <w:bottom w:val="single" w:sz="6" w:space="0" w:color="auto"/>
              <w:right w:val="single" w:sz="6" w:space="0" w:color="auto"/>
            </w:tcBorders>
            <w:hideMark/>
          </w:tcPr>
          <w:p w14:paraId="4E99907B"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Setting </w:t>
            </w:r>
          </w:p>
        </w:tc>
        <w:tc>
          <w:tcPr>
            <w:tcW w:w="2641" w:type="dxa"/>
            <w:tcBorders>
              <w:top w:val="single" w:sz="6" w:space="0" w:color="auto"/>
              <w:left w:val="single" w:sz="6" w:space="0" w:color="auto"/>
              <w:bottom w:val="single" w:sz="6" w:space="0" w:color="auto"/>
              <w:right w:val="single" w:sz="6" w:space="0" w:color="auto"/>
            </w:tcBorders>
            <w:hideMark/>
          </w:tcPr>
          <w:p w14:paraId="7448A615"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Population </w:t>
            </w:r>
          </w:p>
        </w:tc>
        <w:tc>
          <w:tcPr>
            <w:tcW w:w="2646" w:type="dxa"/>
            <w:tcBorders>
              <w:top w:val="single" w:sz="6" w:space="0" w:color="auto"/>
              <w:left w:val="single" w:sz="6" w:space="0" w:color="auto"/>
              <w:bottom w:val="single" w:sz="6" w:space="0" w:color="auto"/>
              <w:right w:val="single" w:sz="6" w:space="0" w:color="auto"/>
            </w:tcBorders>
            <w:hideMark/>
          </w:tcPr>
          <w:p w14:paraId="221866F2"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Definition of SCD </w:t>
            </w:r>
          </w:p>
        </w:tc>
        <w:tc>
          <w:tcPr>
            <w:tcW w:w="2148" w:type="dxa"/>
            <w:tcBorders>
              <w:top w:val="single" w:sz="6" w:space="0" w:color="auto"/>
              <w:left w:val="single" w:sz="6" w:space="0" w:color="auto"/>
              <w:bottom w:val="single" w:sz="6" w:space="0" w:color="auto"/>
              <w:right w:val="single" w:sz="6" w:space="0" w:color="auto"/>
            </w:tcBorders>
            <w:hideMark/>
          </w:tcPr>
          <w:p w14:paraId="1D321A5F"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Sample, N </w:t>
            </w:r>
          </w:p>
          <w:p w14:paraId="262A7ACA"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Mean age (SD) </w:t>
            </w:r>
          </w:p>
          <w:p w14:paraId="46B56DC6"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n (%) female </w:t>
            </w:r>
          </w:p>
        </w:tc>
        <w:tc>
          <w:tcPr>
            <w:tcW w:w="1155" w:type="dxa"/>
            <w:tcBorders>
              <w:top w:val="single" w:sz="6" w:space="0" w:color="auto"/>
              <w:left w:val="single" w:sz="6" w:space="0" w:color="auto"/>
              <w:bottom w:val="single" w:sz="6" w:space="0" w:color="auto"/>
              <w:right w:val="single" w:sz="6" w:space="0" w:color="auto"/>
            </w:tcBorders>
            <w:hideMark/>
          </w:tcPr>
          <w:p w14:paraId="39412F54"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Dementia, n (%) </w:t>
            </w:r>
          </w:p>
        </w:tc>
        <w:tc>
          <w:tcPr>
            <w:tcW w:w="1156" w:type="dxa"/>
            <w:tcBorders>
              <w:top w:val="single" w:sz="6" w:space="0" w:color="auto"/>
              <w:left w:val="single" w:sz="6" w:space="0" w:color="auto"/>
              <w:bottom w:val="single" w:sz="6" w:space="0" w:color="auto"/>
              <w:right w:val="single" w:sz="6" w:space="0" w:color="auto"/>
            </w:tcBorders>
            <w:hideMark/>
          </w:tcPr>
          <w:p w14:paraId="14C180A9"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MCI, n (%) </w:t>
            </w:r>
          </w:p>
        </w:tc>
        <w:tc>
          <w:tcPr>
            <w:tcW w:w="990" w:type="dxa"/>
            <w:tcBorders>
              <w:top w:val="single" w:sz="6" w:space="0" w:color="auto"/>
              <w:left w:val="single" w:sz="6" w:space="0" w:color="auto"/>
              <w:bottom w:val="single" w:sz="6" w:space="0" w:color="auto"/>
              <w:right w:val="single" w:sz="6" w:space="0" w:color="auto"/>
            </w:tcBorders>
            <w:hideMark/>
          </w:tcPr>
          <w:p w14:paraId="5E719062"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SCD, n (%) </w:t>
            </w:r>
          </w:p>
        </w:tc>
      </w:tr>
      <w:tr w:rsidR="00E268AC" w:rsidRPr="00874C50" w14:paraId="7C581A71" w14:textId="77777777" w:rsidTr="00E268AC">
        <w:trPr>
          <w:trHeight w:val="312"/>
        </w:trPr>
        <w:tc>
          <w:tcPr>
            <w:tcW w:w="1413" w:type="dxa"/>
            <w:tcBorders>
              <w:top w:val="single" w:sz="6" w:space="0" w:color="auto"/>
              <w:left w:val="single" w:sz="6" w:space="0" w:color="auto"/>
              <w:bottom w:val="single" w:sz="6" w:space="0" w:color="auto"/>
              <w:right w:val="single" w:sz="6" w:space="0" w:color="auto"/>
            </w:tcBorders>
          </w:tcPr>
          <w:p w14:paraId="7DD99D1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Palmqvist et al. 2024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{"citationID":"vE4Jp9Ub","properties":{"formattedCitation":"(15)","plainCitation":"(15)","noteIndex":0},"citationItems":[{"id":"UotwaLRr/ClciAhlw","uris":["http://zotero.org/users/10119464/items/ELDGCUF9"],"itemData":{"id":2973,"type":"article-journal","abstract":"An accurate blood test for Alzheimer disease (AD) could streamline the diagnostic workup and treatment of AD.To prospectively evaluate a clinically available AD blood test in primary care and secondary care using predefined biomarker cutoff values.There were 1213 patients undergoing clinical evaluation due to cognitive symptoms who were examined between February 2020 and January 2024 in Sweden. The biomarker cutoff values had been established in an independent cohort and were applied to a primary care cohort (n = 307) and a secondary care cohort (n = 300); 1 plasma sample per patient was analyzed as part of a single batch for each cohort. The blood test was then evaluated prospectively in the primary care cohort (n = 208) and in the secondary care cohort (n = 398); 1 plasma sample per patient was sent for analysis within 2 weeks of collection.Blood tests based on plasma analyses by mass spectrometry to determine the ratio of plasma phosphorylated tau 217 (p-tau217) to non–p-tau217 (expressed as percentage of p-tau217) alone and when combined with the amyloid-β 42 and amyloid-β 40 (Aβ42:Aβ40) plasma ratio (the amyloid probability score 2 [APS2]).The primary outcome was AD pathology (determined by abnormal cerebrospinal fluid Aβ42:Aβ40 ratio and p-tau217). The secondary outcome was clinical AD. The positive predictive value (PPV), negative predictive value (NPV), diagnostic accuracy, and area under the curve (AUC) values were calculated.The mean age was 74.2 years (SD, 8.3 years), 48% were women, 23% had subjective cognitive decline, 44% had mild cognitive impairment, and 33% had dementia. In both the primary care and secondary care assessments, 50% of patients had AD pathology. When the plasma samples were analyzed in a single batch in the primary care cohort, the AUC was 0.97 (95% CI, 0.95-0.99) when the APS2 was used, the PPV was 91% (95% CI, 87%-96%), and the NPV was 92% (95% CI, 87%-96%); in the secondary care cohort, the AUC was 0.96 (95% CI, 0.94-0.98) when the APS2 was used, the PPV was 88% (95% CI, 83%-93%), and the NPV was 87% (95% CI, 82%-93%). When the plasma samples were analyzed prospectively (biweekly) in the primary care cohort, the AUC was 0.96 (95% CI, 0.94-0.98) when the APS2 was used, the PPV was 88% (95% CI, 81%-94%), and the NPV was 90% (95% CI, 84%-96%); in the secondary care cohort, the AUC was 0.97 (95% CI, 0.95-0.98) when the APS2 was used, the PPV was 91% (95% CI, 87%-95%), and the NPV was 91% (95% CI, 87%-95%). The diagnostic accuracy was high in the 4 cohorts (range, 88%-92%). Primary care physicians had a diagnostic accuracy of 61% (95% CI, 53%-69%) for identifying clinical AD after clinical examination, cognitive testing, and a computed tomographic scan vs 91% (95% CI, 86%-96%) using the APS2. Dementia specialists had a diagnostic accuracy of 73% (95% CI, 68%-79%) vs 91% (95% CI, 88%-95%) using the APS2. In the overall population, the diagnostic accuracy using the APS2 (90% [95% CI, 88%-92%]) was not different from the diagnostic accuracy using the percentage of p-tau217 alone (90% [95% CI, 88%-91%]).The APS2 and percentage of p-tau217 alone had high diagnostic accuracy for identifying AD among individuals with cognitive symptoms in primary and secondary care using predefined cutoff values. Future studies should evaluate how the use of blood tests for these biomarkers influences clinical care.","container-title":"JAMA","DOI":"10.1001/jama.2024.13855","ISSN":"0098-7484","issue":"15","journalAbbreviation":"JAMA","page":"1245-1257","source":"Silverchair","title":"Blood Biomarkers to Detect Alzheimer Disease in Primary Care and Secondary Care","volume":"332","author":[{"family":"Palmqvist","given":"Sebastian"},{"family":"Tideman","given":"Pontus"},{"family":"Mattsson-Carlgren","given":"Niklas"},{"family":"Schindler","given":"Suzanne E."},{"family":"Smith","given":"Ruben"},{"family":"Ossenkoppele","given":"Rik"},{"family":"Calling","given":"Susanna"},{"family":"West","given":"Tim"},{"family":"Monane","given":"Mark"},{"family":"Verghese","given":"Philip B."},{"family":"Braunstein","given":"Joel B."},{"family":"Blennow","given":"Kaj"},{"family":"Janelidze","given":"Shorena"},{"family":"Stomrud","given":"Erik"},{"family":"Salvadó","given":"Gemma"},{"family":"Hansson","given":"Oskar"}],"issued":{"date-parts":[["2024",10,15]]}}}],"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(15)</w:t>
            </w:r>
            <w:r w:rsidRPr="00874C50">
              <w:rPr>
                <w:rFonts w:ascii="Calibri" w:eastAsiaTheme="majorEastAsia" w:hAnsi="Calibri" w:cs="Calibri"/>
              </w:rPr>
              <w:fldChar w:fldCharType="end"/>
            </w:r>
          </w:p>
        </w:tc>
        <w:tc>
          <w:tcPr>
            <w:tcW w:w="3204" w:type="dxa"/>
            <w:tcBorders>
              <w:top w:val="single" w:sz="6" w:space="0" w:color="auto"/>
              <w:left w:val="single" w:sz="6" w:space="0" w:color="auto"/>
              <w:bottom w:val="single" w:sz="6" w:space="0" w:color="auto"/>
              <w:right w:val="single" w:sz="6" w:space="0" w:color="auto"/>
            </w:tcBorders>
          </w:tcPr>
          <w:p w14:paraId="206BDFB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17 primary care centres across Sweden (12 public; 5 private) involved in the </w:t>
            </w:r>
            <w:proofErr w:type="spellStart"/>
            <w:r w:rsidRPr="00874C50">
              <w:rPr>
                <w:rFonts w:ascii="Calibri" w:eastAsiaTheme="majorEastAsia" w:hAnsi="Calibri" w:cs="Calibri"/>
              </w:rPr>
              <w:t>BioFINDER</w:t>
            </w:r>
            <w:proofErr w:type="spellEnd"/>
            <w:r w:rsidRPr="00874C50">
              <w:rPr>
                <w:rFonts w:ascii="Calibri" w:eastAsiaTheme="majorEastAsia" w:hAnsi="Calibri" w:cs="Calibri"/>
              </w:rPr>
              <w:t xml:space="preserve"> Primary Care study.</w:t>
            </w:r>
          </w:p>
        </w:tc>
        <w:tc>
          <w:tcPr>
            <w:tcW w:w="2641" w:type="dxa"/>
            <w:tcBorders>
              <w:top w:val="single" w:sz="6" w:space="0" w:color="auto"/>
              <w:left w:val="single" w:sz="6" w:space="0" w:color="auto"/>
              <w:bottom w:val="single" w:sz="6" w:space="0" w:color="auto"/>
              <w:right w:val="single" w:sz="6" w:space="0" w:color="auto"/>
            </w:tcBorders>
          </w:tcPr>
          <w:p w14:paraId="6571FBB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Patients (age ≥40 years) undergoing investigation for dementia diagnosis in primary care. </w:t>
            </w:r>
          </w:p>
        </w:tc>
        <w:tc>
          <w:tcPr>
            <w:tcW w:w="2646" w:type="dxa"/>
            <w:tcBorders>
              <w:top w:val="single" w:sz="6" w:space="0" w:color="auto"/>
              <w:left w:val="single" w:sz="6" w:space="0" w:color="auto"/>
              <w:bottom w:val="single" w:sz="6" w:space="0" w:color="auto"/>
              <w:right w:val="single" w:sz="6" w:space="0" w:color="auto"/>
            </w:tcBorders>
          </w:tcPr>
          <w:p w14:paraId="60D1A67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SCD: seeking help for cognitive symptoms, no objective impairment on assessment </w:t>
            </w:r>
            <w:r w:rsidRPr="00874C50">
              <w:rPr>
                <w:rFonts w:ascii="Calibri" w:eastAsiaTheme="majorEastAsia" w:hAnsi="Calibri" w:cs="Calibri"/>
                <w:vertAlign w:val="superscript"/>
              </w:rPr>
              <w:t>a</w:t>
            </w:r>
            <w:r w:rsidRPr="00874C50">
              <w:rPr>
                <w:rFonts w:ascii="Calibri" w:eastAsiaTheme="majorEastAsia" w:hAnsi="Calibri" w:cs="Calibri"/>
              </w:rPr>
              <w:t>.</w:t>
            </w:r>
          </w:p>
        </w:tc>
        <w:tc>
          <w:tcPr>
            <w:tcW w:w="2148" w:type="dxa"/>
            <w:tcBorders>
              <w:top w:val="single" w:sz="6" w:space="0" w:color="auto"/>
              <w:left w:val="single" w:sz="6" w:space="0" w:color="auto"/>
              <w:bottom w:val="single" w:sz="6" w:space="0" w:color="auto"/>
              <w:right w:val="single" w:sz="6" w:space="0" w:color="auto"/>
            </w:tcBorders>
          </w:tcPr>
          <w:p w14:paraId="65EB2187"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515</w:t>
            </w:r>
          </w:p>
          <w:p w14:paraId="0872282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Median 77.3 (IQR: 72.6 to 81.4) years</w:t>
            </w:r>
          </w:p>
          <w:p w14:paraId="1E7A965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257 (49.9) </w:t>
            </w:r>
            <w:proofErr w:type="gramStart"/>
            <w:r w:rsidRPr="00874C50">
              <w:rPr>
                <w:rFonts w:ascii="Calibri" w:eastAsiaTheme="majorEastAsia" w:hAnsi="Calibri" w:cs="Calibri"/>
              </w:rPr>
              <w:t>female</w:t>
            </w:r>
            <w:proofErr w:type="gramEnd"/>
          </w:p>
        </w:tc>
        <w:tc>
          <w:tcPr>
            <w:tcW w:w="1155" w:type="dxa"/>
            <w:tcBorders>
              <w:top w:val="single" w:sz="6" w:space="0" w:color="auto"/>
              <w:left w:val="single" w:sz="6" w:space="0" w:color="auto"/>
              <w:bottom w:val="single" w:sz="6" w:space="0" w:color="auto"/>
              <w:right w:val="single" w:sz="6" w:space="0" w:color="auto"/>
            </w:tcBorders>
          </w:tcPr>
          <w:p w14:paraId="5FE74AD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144 (28.0)</w:t>
            </w:r>
          </w:p>
        </w:tc>
        <w:tc>
          <w:tcPr>
            <w:tcW w:w="1156" w:type="dxa"/>
            <w:tcBorders>
              <w:top w:val="single" w:sz="6" w:space="0" w:color="auto"/>
              <w:left w:val="single" w:sz="6" w:space="0" w:color="auto"/>
              <w:bottom w:val="single" w:sz="6" w:space="0" w:color="auto"/>
              <w:right w:val="single" w:sz="6" w:space="0" w:color="auto"/>
            </w:tcBorders>
          </w:tcPr>
          <w:p w14:paraId="472F313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231 (44.9)</w:t>
            </w:r>
          </w:p>
        </w:tc>
        <w:tc>
          <w:tcPr>
            <w:tcW w:w="990" w:type="dxa"/>
            <w:tcBorders>
              <w:top w:val="single" w:sz="6" w:space="0" w:color="auto"/>
              <w:left w:val="single" w:sz="6" w:space="0" w:color="auto"/>
              <w:bottom w:val="single" w:sz="6" w:space="0" w:color="auto"/>
              <w:right w:val="single" w:sz="6" w:space="0" w:color="auto"/>
            </w:tcBorders>
          </w:tcPr>
          <w:p w14:paraId="7880B2C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140 (27.2)</w:t>
            </w:r>
          </w:p>
        </w:tc>
      </w:tr>
      <w:tr w:rsidR="00E268AC" w:rsidRPr="00874C50" w14:paraId="3DFC8329" w14:textId="77777777" w:rsidTr="00E268AC">
        <w:trPr>
          <w:trHeight w:val="312"/>
        </w:trPr>
        <w:tc>
          <w:tcPr>
            <w:tcW w:w="1413" w:type="dxa"/>
            <w:tcBorders>
              <w:top w:val="single" w:sz="6" w:space="0" w:color="auto"/>
              <w:left w:val="single" w:sz="6" w:space="0" w:color="auto"/>
              <w:bottom w:val="single" w:sz="6" w:space="0" w:color="auto"/>
              <w:right w:val="single" w:sz="6" w:space="0" w:color="auto"/>
            </w:tcBorders>
            <w:hideMark/>
          </w:tcPr>
          <w:p w14:paraId="5AFB554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Pereira et al. 2021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{"citationID":"04WsqRfr","properties":{"formattedCitation":"(16)","plainCitation":"(16)","noteIndex":0},"citationItems":[{"id":26,"uris":["http://zotero.org/groups/6084669/items/3RL6BM2L"],"itemData":{"id":26,"type":"article-journal","abstract":"ABSTRACT. There are different causes of memory complaints in the elderly, such as subjective cognitive decline (SCD), mild cognitive impairment (MCI) or dementia.  Objective: 1) To characterize individuals with memory complaints in a mid-sized city in Brazil, through clinical, cognitive and functional assessment; 2) to compare SCD individuals with MCI and dementia patients in terms of clinical and cognitive variables.  Methods: We consecutively included individuals aged ≥50 years, with memory complaints (spontaneous or inquired). Subjects who scored ≥25 on the Memory Complaint Questionnaire or who had spontaneous memory complaints were selected. Participants underwent a semi-structured interview, the Mini-Mental State Examination, Figure Memory Test for visual episodic memory, Clock Drawing Test, Category Fluency (Animals), Neuropsychiatric Inventory, and functional assessment. Individuals were classified as SCD, MCI or dementia. We did not include individuals with previous diagnosis of dementia.  Results: The final sample consisted of 91 subjects (73.6% women; mean age 67.6±9.8 years): 14.3% had spontaneous complaints and 85.7% had inquired complaints. The most common comorbidities were hypertension (69.2%), diabetes (36.3%), and dyslipidemia (24.2%). Low levels of vitamin B12 and hypothyroidism were found in 26.4 and 16.5%, respectively. Regarding cognitive diagnosis, 16.5% of the sample were classified as SCD, 49.4% as MCI and 34.1% as dementia. MCI and dementia were identified in five (38.5%) and seven (53.4%) patients with spontaneous complaint, respectively.  Conclusions: MCI and dementia are frequently underdiagnosed. Potential reversible causes of cognitive decline are common. The diagnosis of dementia is highly frequent among individuals with spontaneous memory complaints.\n          , \n            RESUMO. Há diferentes causas de queixas de memória nos idosos, como declínio cognitivo subjetivo (DCS), comprometimento cognitivo leve (CCL) ou demências.  Objetivo: 1) Caracterizar indivíduos com queixa de memória em uma cidade de médio porte do Brasil, por meio de avaliação clínica, cognitiva e funcional; 2) comparar indivíduos com DCS, com CCL e pacientes com demência em termos de variáveis clínicas e cognitivas.  Métodos: Incluiu-se, de modo consecutivo, indivíduos com idade ≥50 anos, com queixas de memória (espontânea ou inquirida). Foram selecionados participantes que pontuaram ≥25 no Questionário de Queixa de Memória ou que apresentaram queixa de memória espontânea. Todos foram submetidos à entrevista semiestruturada, Miniexame do Estado Mental, Teste de Figuras (teste de memória episódica visual), Teste do Desenho do Relógio, Fluência Semântica (Animais), Inventário Neuropsiquiátrico e avaliação funcional. Os indivíduos foram classificados em declínio cognitivo subjetivo (DCS), CCL e demência.  Resultados: A amostra final foi composta por 91 indivíduos (73,6% mulheres; média de idade 67,6±9,8 anos); 14,3% apresentaram queixa espontânea e 85,7%, queixa inquirida. As comorbidades mais comuns foram hipertensão (69,2%), diabetes (36,3%) e dislipidemia (24,2%). Baixos níveis de vitamina B12 e hipotireoidismo foram encontrados em 26,4 e 16,5%, respectivamente. Quanto ao diagnóstico cognitivo, 16,5% foram classificados como DCS, 49,4% como CCL e 34,1% como demência. CCL e demência foram respectivamente identificados em cinco (38,5%) e sete (53,4%) pacientes com queixa espontânea de memória.  Conclusões: CCL e demência são frequentemente subdiagnosticados. Causas potencialmente reversíveis de declínio cognitivo foram frequentes na amostra. O diagnóstico de demência foi muito frequente entre indivíduos com queixas espontâneas de memória.","container-title":"Dementia &amp; Neuropsychologia","DOI":"10.1590/1980-57642021dn15-010009","ISSN":"1980-5764, 1980-5764","issue":"1","journalAbbreviation":"Dement. neuropsychol.","license":"http://creativecommons.org/licenses/by/4.0/","page":"88-97","source":"DOI.org (Crossref)","title":"Memory complaints at primary care in a middle-income country: clinical and neuropsychological characterization","title-short":"Memory complaints at primary care in a middle-income country","volume":"15","author":[{"family":"Pereira","given":"Marcos Leandro"},{"family":"Vasconcelos","given":"Thiago Henrique Ferreira De"},{"family":"Oliveira","given":"Amanda Aparecida Rocha De"},{"family":"Campagnolo","given":"Sarah Bárbara"},{"family":"Figueiredo","given":"Sarah De Oliveira"},{"family":"Guimarães","given":"Ana Flávia Bereta Coelho"},{"family":"Barbosa","given":"Maira Tonidandel"},{"family":"Miranda","given":"Luís Felipe José Ravic De"},{"family":"Caramelli","given":"Paulo"},{"family":"Souza","given":"Leonardo Cruz De"}],"issued":{"date-parts":[["2021",3]]}}}],"schema":"https://github.com/citation-style-language/schema/raw/master/csl-citation.json"}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(16)</w:t>
            </w:r>
            <w:r w:rsidRPr="00874C50">
              <w:rPr>
                <w:rFonts w:ascii="Calibri" w:eastAsiaTheme="majorEastAsia" w:hAnsi="Calibri" w:cs="Calibri"/>
              </w:rPr>
              <w:fldChar w:fldCharType="end"/>
            </w:r>
          </w:p>
        </w:tc>
        <w:tc>
          <w:tcPr>
            <w:tcW w:w="3204" w:type="dxa"/>
            <w:tcBorders>
              <w:top w:val="single" w:sz="6" w:space="0" w:color="auto"/>
              <w:left w:val="single" w:sz="6" w:space="0" w:color="auto"/>
              <w:bottom w:val="single" w:sz="6" w:space="0" w:color="auto"/>
              <w:right w:val="single" w:sz="6" w:space="0" w:color="auto"/>
            </w:tcBorders>
            <w:hideMark/>
          </w:tcPr>
          <w:p w14:paraId="7702E10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lang w:val="pt-BR"/>
              </w:rPr>
              <w:t>Lagoa Grande Basic Health Unit in Patos de Minas, Brazil</w:t>
            </w:r>
            <w:r w:rsidRPr="00874C50">
              <w:rPr>
                <w:rFonts w:ascii="Calibri" w:eastAsiaTheme="majorEastAsia" w:hAnsi="Calibri" w:cs="Calibri"/>
              </w:rPr>
              <w:t> </w:t>
            </w:r>
          </w:p>
        </w:tc>
        <w:tc>
          <w:tcPr>
            <w:tcW w:w="2641" w:type="dxa"/>
            <w:tcBorders>
              <w:top w:val="single" w:sz="6" w:space="0" w:color="auto"/>
              <w:left w:val="single" w:sz="6" w:space="0" w:color="auto"/>
              <w:bottom w:val="single" w:sz="6" w:space="0" w:color="auto"/>
              <w:right w:val="single" w:sz="6" w:space="0" w:color="auto"/>
            </w:tcBorders>
            <w:hideMark/>
          </w:tcPr>
          <w:p w14:paraId="4480974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Patients (age &gt;50 years) without existing dementia diagnosis consecutively attending March-September 2016. </w:t>
            </w:r>
          </w:p>
        </w:tc>
        <w:tc>
          <w:tcPr>
            <w:tcW w:w="2646" w:type="dxa"/>
            <w:tcBorders>
              <w:top w:val="single" w:sz="6" w:space="0" w:color="auto"/>
              <w:left w:val="single" w:sz="6" w:space="0" w:color="auto"/>
              <w:bottom w:val="single" w:sz="6" w:space="0" w:color="auto"/>
              <w:right w:val="single" w:sz="6" w:space="0" w:color="auto"/>
            </w:tcBorders>
            <w:hideMark/>
          </w:tcPr>
          <w:p w14:paraId="1438337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SCD: MAC-Q ≥25 with no change in neuropsychological tests or functional decline (FAQ ≥5) </w:t>
            </w:r>
          </w:p>
        </w:tc>
        <w:tc>
          <w:tcPr>
            <w:tcW w:w="2148" w:type="dxa"/>
            <w:tcBorders>
              <w:top w:val="single" w:sz="6" w:space="0" w:color="auto"/>
              <w:left w:val="single" w:sz="6" w:space="0" w:color="auto"/>
              <w:bottom w:val="single" w:sz="6" w:space="0" w:color="auto"/>
              <w:right w:val="single" w:sz="6" w:space="0" w:color="auto"/>
            </w:tcBorders>
            <w:hideMark/>
          </w:tcPr>
          <w:p w14:paraId="4B1B50A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91</w:t>
            </w:r>
          </w:p>
          <w:p w14:paraId="71F2944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67.6 (9.7) years </w:t>
            </w:r>
          </w:p>
          <w:p w14:paraId="0230223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68 (74.7) </w:t>
            </w:r>
            <w:proofErr w:type="gramStart"/>
            <w:r w:rsidRPr="00874C50">
              <w:rPr>
                <w:rFonts w:ascii="Calibri" w:eastAsiaTheme="majorEastAsia" w:hAnsi="Calibri" w:cs="Calibri"/>
              </w:rPr>
              <w:t>female</w:t>
            </w:r>
            <w:proofErr w:type="gramEnd"/>
          </w:p>
        </w:tc>
        <w:tc>
          <w:tcPr>
            <w:tcW w:w="1155" w:type="dxa"/>
            <w:tcBorders>
              <w:top w:val="single" w:sz="6" w:space="0" w:color="auto"/>
              <w:left w:val="single" w:sz="6" w:space="0" w:color="auto"/>
              <w:bottom w:val="single" w:sz="6" w:space="0" w:color="auto"/>
              <w:right w:val="single" w:sz="6" w:space="0" w:color="auto"/>
            </w:tcBorders>
            <w:hideMark/>
          </w:tcPr>
          <w:p w14:paraId="0B9C91F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31 (34.1) </w:t>
            </w:r>
          </w:p>
        </w:tc>
        <w:tc>
          <w:tcPr>
            <w:tcW w:w="1156" w:type="dxa"/>
            <w:tcBorders>
              <w:top w:val="single" w:sz="6" w:space="0" w:color="auto"/>
              <w:left w:val="single" w:sz="6" w:space="0" w:color="auto"/>
              <w:bottom w:val="single" w:sz="6" w:space="0" w:color="auto"/>
              <w:right w:val="single" w:sz="6" w:space="0" w:color="auto"/>
            </w:tcBorders>
            <w:hideMark/>
          </w:tcPr>
          <w:p w14:paraId="1097596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45 (49.5) </w:t>
            </w:r>
          </w:p>
        </w:tc>
        <w:tc>
          <w:tcPr>
            <w:tcW w:w="990" w:type="dxa"/>
            <w:tcBorders>
              <w:top w:val="single" w:sz="6" w:space="0" w:color="auto"/>
              <w:left w:val="single" w:sz="6" w:space="0" w:color="auto"/>
              <w:bottom w:val="single" w:sz="6" w:space="0" w:color="auto"/>
              <w:right w:val="single" w:sz="6" w:space="0" w:color="auto"/>
            </w:tcBorders>
            <w:hideMark/>
          </w:tcPr>
          <w:p w14:paraId="194D1A7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15 (16.5) </w:t>
            </w:r>
          </w:p>
        </w:tc>
      </w:tr>
    </w:tbl>
    <w:p w14:paraId="1B4081C5" w14:textId="77777777" w:rsidR="00E268AC" w:rsidRPr="00874C50" w:rsidRDefault="00E268AC" w:rsidP="00E268AC">
      <w:pPr>
        <w:spacing w:after="6" w:line="240" w:lineRule="auto"/>
        <w:rPr>
          <w:rFonts w:ascii="Calibri" w:eastAsiaTheme="majorEastAsia" w:hAnsi="Calibri" w:cs="Calibri"/>
        </w:rPr>
      </w:pPr>
      <w:r w:rsidRPr="00874C50">
        <w:rPr>
          <w:rFonts w:ascii="Calibri" w:eastAsiaTheme="majorEastAsia" w:hAnsi="Calibri" w:cs="Calibri"/>
          <w:i/>
          <w:iCs/>
        </w:rPr>
        <w:t xml:space="preserve">Note. </w:t>
      </w:r>
      <w:r w:rsidRPr="00874C50">
        <w:rPr>
          <w:rFonts w:ascii="Calibri" w:eastAsiaTheme="majorEastAsia" w:hAnsi="Calibri" w:cs="Calibri"/>
          <w:vertAlign w:val="superscript"/>
        </w:rPr>
        <w:t>a</w:t>
      </w:r>
      <w:r w:rsidRPr="00874C50">
        <w:rPr>
          <w:rFonts w:ascii="Calibri" w:eastAsiaTheme="majorEastAsia" w:hAnsi="Calibri" w:cs="Calibri"/>
        </w:rPr>
        <w:t xml:space="preserve"> Patients with psychiatric diagnoses explicitly excluded from SCD groups.</w:t>
      </w:r>
    </w:p>
    <w:p w14:paraId="14BF1179" w14:textId="77777777" w:rsidR="00E268AC" w:rsidRPr="00874C50" w:rsidRDefault="00E268AC" w:rsidP="00E268AC">
      <w:pPr>
        <w:spacing w:after="6" w:line="240" w:lineRule="auto"/>
        <w:rPr>
          <w:rFonts w:ascii="Calibri" w:eastAsiaTheme="majorEastAsia" w:hAnsi="Calibri" w:cs="Calibri"/>
        </w:rPr>
      </w:pPr>
      <w:r w:rsidRPr="00874C50">
        <w:rPr>
          <w:rFonts w:ascii="Calibri" w:eastAsiaTheme="majorEastAsia" w:hAnsi="Calibri" w:cs="Calibri"/>
        </w:rPr>
        <w:t xml:space="preserve">Abbreviations: </w:t>
      </w:r>
      <w:proofErr w:type="spellStart"/>
      <w:r w:rsidRPr="00874C50">
        <w:rPr>
          <w:rFonts w:ascii="Calibri" w:eastAsiaTheme="majorEastAsia" w:hAnsi="Calibri" w:cs="Calibri"/>
        </w:rPr>
        <w:t>BioFINDER</w:t>
      </w:r>
      <w:proofErr w:type="spellEnd"/>
      <w:r w:rsidRPr="00874C50">
        <w:rPr>
          <w:rFonts w:ascii="Calibri" w:eastAsiaTheme="majorEastAsia" w:hAnsi="Calibri" w:cs="Calibri"/>
        </w:rPr>
        <w:t xml:space="preserve"> = Biomarkers </w:t>
      </w:r>
      <w:proofErr w:type="gramStart"/>
      <w:r w:rsidRPr="00874C50">
        <w:rPr>
          <w:rFonts w:ascii="Calibri" w:eastAsiaTheme="majorEastAsia" w:hAnsi="Calibri" w:cs="Calibri"/>
        </w:rPr>
        <w:t>For</w:t>
      </w:r>
      <w:proofErr w:type="gramEnd"/>
      <w:r w:rsidRPr="00874C50">
        <w:rPr>
          <w:rFonts w:ascii="Calibri" w:eastAsiaTheme="majorEastAsia" w:hAnsi="Calibri" w:cs="Calibri"/>
        </w:rPr>
        <w:t xml:space="preserve"> Identifying Neurodegenerative Disorders Early and Reliably; FAQ= Functional Activity Questionnaire; IQR = interquartile range; MAC-Q = Memory Complaint Questionnaire; MCI = mild cognitive impairment; MoCA = Montreal Cognitive Assessment; OCD: Objective Cognitive Decline; SCD = subjective cognitive decline; SD = standard deviation.</w:t>
      </w:r>
    </w:p>
    <w:p w14:paraId="010E1D90" w14:textId="77777777" w:rsidR="00E268AC" w:rsidRPr="00874C50" w:rsidRDefault="00E268AC" w:rsidP="00E268AC">
      <w:pPr>
        <w:spacing w:line="240" w:lineRule="auto"/>
        <w:rPr>
          <w:rFonts w:ascii="Calibri" w:eastAsiaTheme="majorEastAsia" w:hAnsi="Calibri" w:cs="Calibri"/>
          <w:b/>
          <w:bCs/>
        </w:rPr>
      </w:pPr>
    </w:p>
    <w:p w14:paraId="1590BF2F" w14:textId="77777777" w:rsidR="00E268AC" w:rsidRPr="00874C50" w:rsidRDefault="00E268AC" w:rsidP="00E268AC">
      <w:pPr>
        <w:spacing w:line="240" w:lineRule="auto"/>
        <w:rPr>
          <w:rFonts w:ascii="Calibri" w:eastAsiaTheme="majorEastAsia" w:hAnsi="Calibri" w:cs="Calibri"/>
          <w:b/>
          <w:bCs/>
        </w:rPr>
      </w:pPr>
      <w:r w:rsidRPr="00874C50">
        <w:rPr>
          <w:rFonts w:ascii="Calibri" w:eastAsiaTheme="majorEastAsia" w:hAnsi="Calibri" w:cs="Calibri"/>
          <w:b/>
          <w:bCs/>
        </w:rPr>
        <w:br w:type="page"/>
      </w:r>
    </w:p>
    <w:p w14:paraId="6D032572" w14:textId="652217C2" w:rsidR="00E268AC" w:rsidRPr="00874C50" w:rsidRDefault="0078341B" w:rsidP="00E268AC">
      <w:pPr>
        <w:spacing w:after="6" w:line="240" w:lineRule="auto"/>
        <w:rPr>
          <w:rFonts w:ascii="Calibri" w:eastAsiaTheme="majorEastAsia" w:hAnsi="Calibri" w:cs="Calibri"/>
          <w:b/>
          <w:bCs/>
        </w:rPr>
      </w:pPr>
      <w:bookmarkStart w:id="2" w:name="_Toc214541299"/>
      <w:r>
        <w:rPr>
          <w:rStyle w:val="Heading1Char"/>
          <w:rFonts w:ascii="Calibri" w:hAnsi="Calibri" w:cs="Calibri"/>
          <w:b/>
          <w:bCs/>
          <w:color w:val="auto"/>
          <w:sz w:val="22"/>
          <w:szCs w:val="22"/>
        </w:rPr>
        <w:lastRenderedPageBreak/>
        <w:t>T</w:t>
      </w:r>
      <w:r w:rsidR="00E268AC" w:rsidRPr="005245A1">
        <w:rPr>
          <w:rStyle w:val="Heading1Char"/>
          <w:rFonts w:ascii="Calibri" w:hAnsi="Calibri" w:cs="Calibri"/>
          <w:b/>
          <w:bCs/>
          <w:color w:val="auto"/>
          <w:sz w:val="22"/>
          <w:szCs w:val="22"/>
        </w:rPr>
        <w:t xml:space="preserve">able </w:t>
      </w:r>
      <w:r>
        <w:rPr>
          <w:rStyle w:val="Heading1Char"/>
          <w:rFonts w:ascii="Calibri" w:hAnsi="Calibri" w:cs="Calibri"/>
          <w:b/>
          <w:bCs/>
          <w:color w:val="auto"/>
          <w:sz w:val="22"/>
          <w:szCs w:val="22"/>
        </w:rPr>
        <w:t>3</w:t>
      </w:r>
      <w:r w:rsidR="00EB1ADB" w:rsidRPr="005245A1">
        <w:rPr>
          <w:rStyle w:val="Heading1Char"/>
          <w:rFonts w:ascii="Calibri" w:hAnsi="Calibri" w:cs="Calibri"/>
          <w:b/>
          <w:bCs/>
          <w:color w:val="auto"/>
          <w:sz w:val="22"/>
          <w:szCs w:val="22"/>
        </w:rPr>
        <w:t>S</w:t>
      </w:r>
      <w:r w:rsidR="00E268AC" w:rsidRPr="005245A1">
        <w:rPr>
          <w:rStyle w:val="Heading1Char"/>
          <w:rFonts w:ascii="Calibri" w:hAnsi="Calibri" w:cs="Calibri"/>
          <w:b/>
          <w:bCs/>
          <w:color w:val="auto"/>
          <w:sz w:val="22"/>
          <w:szCs w:val="22"/>
        </w:rPr>
        <w:t xml:space="preserve">. </w:t>
      </w:r>
      <w:r>
        <w:rPr>
          <w:rStyle w:val="Heading1Char"/>
          <w:rFonts w:ascii="Calibri" w:hAnsi="Calibri" w:cs="Calibri"/>
          <w:b/>
          <w:bCs/>
          <w:color w:val="auto"/>
          <w:sz w:val="22"/>
          <w:szCs w:val="22"/>
        </w:rPr>
        <w:t>Data extracted from s</w:t>
      </w:r>
      <w:r w:rsidR="00E268AC" w:rsidRPr="005245A1">
        <w:rPr>
          <w:rStyle w:val="Heading1Char"/>
          <w:rFonts w:ascii="Calibri" w:hAnsi="Calibri" w:cs="Calibri"/>
          <w:b/>
          <w:bCs/>
          <w:color w:val="auto"/>
          <w:sz w:val="22"/>
          <w:szCs w:val="22"/>
        </w:rPr>
        <w:t>tudies describing prevalence of subjective cognitive concerns among patients presenting to secondary and tertiary care memory clinics.</w:t>
      </w:r>
      <w:bookmarkEnd w:id="2"/>
      <w:r w:rsidR="00E268AC" w:rsidRPr="005245A1">
        <w:rPr>
          <w:rFonts w:ascii="Calibri" w:eastAsiaTheme="majorEastAsia" w:hAnsi="Calibri" w:cs="Calibri"/>
          <w:b/>
          <w:bCs/>
        </w:rPr>
        <w:t xml:space="preserve"> </w:t>
      </w:r>
      <w:r w:rsidR="00E268AC" w:rsidRPr="00874C50">
        <w:rPr>
          <w:rFonts w:ascii="Calibri" w:eastAsiaTheme="majorEastAsia" w:hAnsi="Calibri" w:cs="Calibri"/>
          <w:b/>
          <w:bCs/>
          <w:i/>
          <w:iCs/>
        </w:rPr>
        <w:t>k</w:t>
      </w:r>
      <w:r w:rsidR="00E268AC" w:rsidRPr="00874C50">
        <w:rPr>
          <w:rFonts w:ascii="Calibri" w:eastAsiaTheme="majorEastAsia" w:hAnsi="Calibri" w:cs="Calibri"/>
          <w:b/>
          <w:bCs/>
        </w:rPr>
        <w:t>=16.</w:t>
      </w:r>
    </w:p>
    <w:tbl>
      <w:tblPr>
        <w:tblW w:w="1527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373"/>
        <w:gridCol w:w="2066"/>
        <w:gridCol w:w="2547"/>
        <w:gridCol w:w="2548"/>
        <w:gridCol w:w="1349"/>
        <w:gridCol w:w="1048"/>
        <w:gridCol w:w="749"/>
        <w:gridCol w:w="749"/>
        <w:gridCol w:w="748"/>
        <w:gridCol w:w="2098"/>
      </w:tblGrid>
      <w:tr w:rsidR="00E268AC" w:rsidRPr="00874C50" w14:paraId="0F2AA140" w14:textId="77777777" w:rsidTr="00E268AC">
        <w:trPr>
          <w:trHeight w:val="300"/>
          <w:tblHeader/>
        </w:trPr>
        <w:tc>
          <w:tcPr>
            <w:tcW w:w="1373" w:type="dxa"/>
            <w:tcBorders>
              <w:top w:val="single" w:sz="6" w:space="0" w:color="auto"/>
              <w:left w:val="single" w:sz="6" w:space="0" w:color="auto"/>
              <w:bottom w:val="single" w:sz="6" w:space="0" w:color="auto"/>
              <w:right w:val="single" w:sz="6" w:space="0" w:color="auto"/>
            </w:tcBorders>
            <w:hideMark/>
          </w:tcPr>
          <w:p w14:paraId="2CC074AC"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Study </w:t>
            </w:r>
          </w:p>
        </w:tc>
        <w:tc>
          <w:tcPr>
            <w:tcW w:w="2066" w:type="dxa"/>
            <w:tcBorders>
              <w:top w:val="single" w:sz="6" w:space="0" w:color="auto"/>
              <w:left w:val="single" w:sz="6" w:space="0" w:color="auto"/>
              <w:bottom w:val="single" w:sz="6" w:space="0" w:color="auto"/>
              <w:right w:val="single" w:sz="6" w:space="0" w:color="auto"/>
            </w:tcBorders>
            <w:hideMark/>
          </w:tcPr>
          <w:p w14:paraId="6E48BC14"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Setting </w:t>
            </w:r>
          </w:p>
        </w:tc>
        <w:tc>
          <w:tcPr>
            <w:tcW w:w="2547" w:type="dxa"/>
            <w:tcBorders>
              <w:top w:val="single" w:sz="6" w:space="0" w:color="auto"/>
              <w:left w:val="single" w:sz="6" w:space="0" w:color="auto"/>
              <w:bottom w:val="single" w:sz="6" w:space="0" w:color="auto"/>
              <w:right w:val="single" w:sz="6" w:space="0" w:color="auto"/>
            </w:tcBorders>
            <w:hideMark/>
          </w:tcPr>
          <w:p w14:paraId="7764440C"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Population </w:t>
            </w:r>
          </w:p>
        </w:tc>
        <w:tc>
          <w:tcPr>
            <w:tcW w:w="2548" w:type="dxa"/>
            <w:tcBorders>
              <w:top w:val="single" w:sz="6" w:space="0" w:color="auto"/>
              <w:left w:val="single" w:sz="6" w:space="0" w:color="auto"/>
              <w:bottom w:val="single" w:sz="6" w:space="0" w:color="auto"/>
              <w:right w:val="single" w:sz="6" w:space="0" w:color="auto"/>
            </w:tcBorders>
            <w:hideMark/>
          </w:tcPr>
          <w:p w14:paraId="5C937911"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Definition of SCD and/or FCD </w:t>
            </w:r>
          </w:p>
        </w:tc>
        <w:tc>
          <w:tcPr>
            <w:tcW w:w="1349" w:type="dxa"/>
            <w:tcBorders>
              <w:top w:val="single" w:sz="6" w:space="0" w:color="auto"/>
              <w:left w:val="single" w:sz="6" w:space="0" w:color="auto"/>
              <w:bottom w:val="single" w:sz="6" w:space="0" w:color="auto"/>
              <w:right w:val="single" w:sz="6" w:space="0" w:color="auto"/>
            </w:tcBorders>
            <w:hideMark/>
          </w:tcPr>
          <w:p w14:paraId="209872FE"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Sample, N</w:t>
            </w:r>
          </w:p>
          <w:p w14:paraId="138050BE"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Mean age (SD)</w:t>
            </w:r>
          </w:p>
          <w:p w14:paraId="3CA65407"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n (%) female </w:t>
            </w:r>
          </w:p>
        </w:tc>
        <w:tc>
          <w:tcPr>
            <w:tcW w:w="1048" w:type="dxa"/>
            <w:tcBorders>
              <w:top w:val="single" w:sz="6" w:space="0" w:color="auto"/>
              <w:left w:val="single" w:sz="6" w:space="0" w:color="auto"/>
              <w:bottom w:val="single" w:sz="6" w:space="0" w:color="auto"/>
              <w:right w:val="single" w:sz="6" w:space="0" w:color="auto"/>
            </w:tcBorders>
            <w:hideMark/>
          </w:tcPr>
          <w:p w14:paraId="53F26390"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Dementia, n (%)  </w:t>
            </w:r>
          </w:p>
        </w:tc>
        <w:tc>
          <w:tcPr>
            <w:tcW w:w="749" w:type="dxa"/>
            <w:tcBorders>
              <w:top w:val="single" w:sz="6" w:space="0" w:color="auto"/>
              <w:left w:val="single" w:sz="6" w:space="0" w:color="auto"/>
              <w:bottom w:val="single" w:sz="6" w:space="0" w:color="auto"/>
              <w:right w:val="single" w:sz="6" w:space="0" w:color="auto"/>
            </w:tcBorders>
            <w:hideMark/>
          </w:tcPr>
          <w:p w14:paraId="14E26F0C"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MCI, n (%)  </w:t>
            </w:r>
          </w:p>
        </w:tc>
        <w:tc>
          <w:tcPr>
            <w:tcW w:w="749" w:type="dxa"/>
            <w:tcBorders>
              <w:top w:val="single" w:sz="6" w:space="0" w:color="auto"/>
              <w:left w:val="single" w:sz="6" w:space="0" w:color="auto"/>
              <w:bottom w:val="single" w:sz="6" w:space="0" w:color="auto"/>
              <w:right w:val="single" w:sz="6" w:space="0" w:color="auto"/>
            </w:tcBorders>
            <w:hideMark/>
          </w:tcPr>
          <w:p w14:paraId="4DCAC9C5"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SCD, n (%)  </w:t>
            </w:r>
          </w:p>
        </w:tc>
        <w:tc>
          <w:tcPr>
            <w:tcW w:w="748" w:type="dxa"/>
            <w:tcBorders>
              <w:top w:val="single" w:sz="6" w:space="0" w:color="auto"/>
              <w:left w:val="single" w:sz="6" w:space="0" w:color="auto"/>
              <w:bottom w:val="single" w:sz="6" w:space="0" w:color="auto"/>
              <w:right w:val="single" w:sz="6" w:space="0" w:color="auto"/>
            </w:tcBorders>
            <w:hideMark/>
          </w:tcPr>
          <w:p w14:paraId="77AB5D0F"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FCD, n (%)  </w:t>
            </w:r>
          </w:p>
        </w:tc>
        <w:tc>
          <w:tcPr>
            <w:tcW w:w="2098" w:type="dxa"/>
            <w:tcBorders>
              <w:top w:val="single" w:sz="6" w:space="0" w:color="auto"/>
              <w:left w:val="single" w:sz="6" w:space="0" w:color="auto"/>
              <w:bottom w:val="single" w:sz="6" w:space="0" w:color="auto"/>
              <w:right w:val="single" w:sz="6" w:space="0" w:color="auto"/>
            </w:tcBorders>
            <w:hideMark/>
          </w:tcPr>
          <w:p w14:paraId="041E0822"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Other, n (%) </w:t>
            </w:r>
          </w:p>
        </w:tc>
      </w:tr>
      <w:tr w:rsidR="00E268AC" w:rsidRPr="00874C50" w14:paraId="5A696E52"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7178BDC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Alty et al. 2023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{"citationID":"JaxJe5us","properties":{"formattedCitation":"(17)","plainCitation":"(17)","noteIndex":0},"citationItems":[{"id":43,"uris":["http://zotero.org/groups/6084669/items/SL5NHKXI"],"itemData":{"id":43,"type":"articl</w:instrText>
            </w:r>
            <w:r>
              <w:rPr>
                <w:rFonts w:ascii="Calibri" w:eastAsiaTheme="majorEastAsia" w:hAnsi="Calibri" w:cs="Calibri" w:hint="eastAsia"/>
              </w:rPr>
              <w:instrText xml:space="preserve">e-journal","abstract":"Abstract\n            \n              Objectives\n              Unequal access to cognitive assessments is a major barrier to timely diagnosis, especially for those living in rural or remote areas. </w:instrText>
            </w:r>
            <w:r>
              <w:rPr>
                <w:rFonts w:ascii="Calibri" w:eastAsiaTheme="majorEastAsia" w:hAnsi="Calibri" w:cs="Calibri" w:hint="eastAsia"/>
              </w:rPr>
              <w:instrText>‘</w:instrText>
            </w:r>
            <w:r>
              <w:rPr>
                <w:rFonts w:ascii="Calibri" w:eastAsiaTheme="majorEastAsia" w:hAnsi="Calibri" w:cs="Calibri" w:hint="eastAsia"/>
              </w:rPr>
              <w:instrText>One</w:instrText>
            </w:r>
            <w:r>
              <w:rPr>
                <w:rFonts w:ascii="Calibri" w:eastAsiaTheme="majorEastAsia" w:hAnsi="Calibri" w:cs="Calibri" w:hint="eastAsia"/>
              </w:rPr>
              <w:instrText>‐</w:instrText>
            </w:r>
            <w:r>
              <w:rPr>
                <w:rFonts w:ascii="Calibri" w:eastAsiaTheme="majorEastAsia" w:hAnsi="Calibri" w:cs="Calibri" w:hint="eastAsia"/>
              </w:rPr>
              <w:instrText>stop</w:instrText>
            </w:r>
            <w:r>
              <w:rPr>
                <w:rFonts w:ascii="Calibri" w:eastAsiaTheme="majorEastAsia" w:hAnsi="Calibri" w:cs="Calibri" w:hint="eastAsia"/>
              </w:rPr>
              <w:instrText>’</w:instrText>
            </w:r>
            <w:r>
              <w:rPr>
                <w:rFonts w:ascii="Calibri" w:eastAsiaTheme="majorEastAsia" w:hAnsi="Calibri" w:cs="Calibri" w:hint="eastAsia"/>
              </w:rPr>
              <w:instrText xml:space="preserve"> cognitive clinic models are a proposed solution, but few such clinics exist. We evaluate the implementation of a new one</w:instrText>
            </w:r>
            <w:r>
              <w:rPr>
                <w:rFonts w:ascii="Calibri" w:eastAsiaTheme="majorEastAsia" w:hAnsi="Calibri" w:cs="Calibri" w:hint="eastAsia"/>
              </w:rPr>
              <w:instrText>‐</w:instrText>
            </w:r>
            <w:r>
              <w:rPr>
                <w:rFonts w:ascii="Calibri" w:eastAsiaTheme="majorEastAsia" w:hAnsi="Calibri" w:cs="Calibri" w:hint="eastAsia"/>
              </w:rPr>
              <w:instrText>stop State</w:instrText>
            </w:r>
            <w:r>
              <w:rPr>
                <w:rFonts w:ascii="Calibri" w:eastAsiaTheme="majorEastAsia" w:hAnsi="Calibri" w:cs="Calibri" w:hint="eastAsia"/>
              </w:rPr>
              <w:instrText>‐</w:instrText>
            </w:r>
            <w:r>
              <w:rPr>
                <w:rFonts w:ascii="Calibri" w:eastAsiaTheme="majorEastAsia" w:hAnsi="Calibri" w:cs="Calibri" w:hint="eastAsia"/>
              </w:rPr>
              <w:instrText>wide clinic model in Tasmania, Australia, where 27% of people live in rural/remote areas.\n            \n            \n              Methods\n              A novel single</w:instrText>
            </w:r>
            <w:r>
              <w:rPr>
                <w:rFonts w:ascii="Calibri" w:eastAsiaTheme="majorEastAsia" w:hAnsi="Calibri" w:cs="Calibri" w:hint="eastAsia"/>
              </w:rPr>
              <w:instrText>‐</w:instrText>
            </w:r>
            <w:r>
              <w:rPr>
                <w:rFonts w:ascii="Calibri" w:eastAsiaTheme="majorEastAsia" w:hAnsi="Calibri" w:cs="Calibri" w:hint="eastAsia"/>
              </w:rPr>
              <w:instrText>visit protocol has been developed, comprising interdisciplinary medical and cognitive assessments, research participation, consensus diagnosis and management plan. A cross</w:instrText>
            </w:r>
            <w:r>
              <w:rPr>
                <w:rFonts w:ascii="Calibri" w:eastAsiaTheme="majorEastAsia" w:hAnsi="Calibri" w:cs="Calibri" w:hint="eastAsia"/>
              </w:rPr>
              <w:instrText>‐</w:instrText>
            </w:r>
            <w:r>
              <w:rPr>
                <w:rFonts w:ascii="Calibri" w:eastAsiaTheme="majorEastAsia" w:hAnsi="Calibri" w:cs="Calibri" w:hint="eastAsia"/>
              </w:rPr>
              <w:instrText>sectional evaluation was undertaken using the RE</w:instrText>
            </w:r>
            <w:r>
              <w:rPr>
                <w:rFonts w:ascii="Calibri" w:eastAsiaTheme="majorEastAsia" w:hAnsi="Calibri" w:cs="Calibri" w:hint="eastAsia"/>
              </w:rPr>
              <w:instrText>‐</w:instrText>
            </w:r>
            <w:r>
              <w:rPr>
                <w:rFonts w:ascii="Calibri" w:eastAsiaTheme="majorEastAsia" w:hAnsi="Calibri" w:cs="Calibri" w:hint="eastAsia"/>
              </w:rPr>
              <w:instrText>AIM (reac</w:instrText>
            </w:r>
            <w:r>
              <w:rPr>
                <w:rFonts w:ascii="Calibri" w:eastAsiaTheme="majorEastAsia" w:hAnsi="Calibri" w:cs="Calibri"/>
              </w:rPr>
              <w:instrText>h, effectiveness, adoption, implementation, maintenance) framework and results benchmarked against the national Australian Dementia Network Registry.\n            \n            \n              Results\n              \n                Over the first 52 consecutive weekly clinics:\n                Reach\n                : 130 adults were assessed (mean age [SD] 70.12 years [10.31]; 59.2% female) with 40 (36.8%) from rural/remote areas.\n                Effectiveness\n                : 98.5% (128/130) receiv</w:instrText>
            </w:r>
            <w:r>
              <w:rPr>
                <w:rFonts w:ascii="Calibri" w:eastAsiaTheme="majorEastAsia" w:hAnsi="Calibri" w:cs="Calibri" w:hint="eastAsia"/>
              </w:rPr>
              <w:instrText>ed a same</w:instrText>
            </w:r>
            <w:r>
              <w:rPr>
                <w:rFonts w:ascii="Calibri" w:eastAsiaTheme="majorEastAsia" w:hAnsi="Calibri" w:cs="Calibri" w:hint="eastAsia"/>
              </w:rPr>
              <w:instrText>‐</w:instrText>
            </w:r>
            <w:r>
              <w:rPr>
                <w:rFonts w:ascii="Calibri" w:eastAsiaTheme="majorEastAsia" w:hAnsi="Calibri" w:cs="Calibri" w:hint="eastAsia"/>
              </w:rPr>
              <w:instrText>day diagnosis: 30.1% (n = 40) Subjective Cognitive Decline, 35.4% (46) Mild Cognitive Impairment, 33.1% (43) dementia and one case inconclusive.\n                Adoption\n                : 22.9% (156) of General Practitioners referred patients.</w:instrText>
            </w:r>
            <w:r>
              <w:rPr>
                <w:rFonts w:ascii="Calibri" w:eastAsiaTheme="majorEastAsia" w:hAnsi="Calibri" w:cs="Calibri"/>
              </w:rPr>
              <w:instrText>\n                Implementation\n                : Nearly all ‘ideal’ diagnostic clinical practices were met and &gt;90% of surveyed patients reported ‘good/very good’ clinic experience. The wait from referral to diagnosis was 2 months shorter than other na</w:instrText>
            </w:r>
            <w:r>
              <w:rPr>
                <w:rFonts w:ascii="Calibri" w:eastAsiaTheme="majorEastAsia" w:hAnsi="Calibri" w:cs="Calibri" w:hint="eastAsia"/>
              </w:rPr>
              <w:instrText xml:space="preserve">tional Registry clinics (78 vs. 133 days).\n              \n            \n            \n              Conclusions\n              This </w:instrText>
            </w:r>
            <w:r>
              <w:rPr>
                <w:rFonts w:ascii="Calibri" w:eastAsiaTheme="majorEastAsia" w:hAnsi="Calibri" w:cs="Calibri" w:hint="eastAsia"/>
              </w:rPr>
              <w:instrText>‘</w:instrText>
            </w:r>
            <w:r>
              <w:rPr>
                <w:rFonts w:ascii="Calibri" w:eastAsiaTheme="majorEastAsia" w:hAnsi="Calibri" w:cs="Calibri" w:hint="eastAsia"/>
              </w:rPr>
              <w:instrText>one</w:instrText>
            </w:r>
            <w:r>
              <w:rPr>
                <w:rFonts w:ascii="Calibri" w:eastAsiaTheme="majorEastAsia" w:hAnsi="Calibri" w:cs="Calibri" w:hint="eastAsia"/>
              </w:rPr>
              <w:instrText>‐</w:instrText>
            </w:r>
            <w:r>
              <w:rPr>
                <w:rFonts w:ascii="Calibri" w:eastAsiaTheme="majorEastAsia" w:hAnsi="Calibri" w:cs="Calibri" w:hint="eastAsia"/>
              </w:rPr>
              <w:instrText>stop</w:instrText>
            </w:r>
            <w:r>
              <w:rPr>
                <w:rFonts w:ascii="Calibri" w:eastAsiaTheme="majorEastAsia" w:hAnsi="Calibri" w:cs="Calibri" w:hint="eastAsia"/>
              </w:rPr>
              <w:instrText>’</w:instrText>
            </w:r>
            <w:r>
              <w:rPr>
                <w:rFonts w:ascii="Calibri" w:eastAsiaTheme="majorEastAsia" w:hAnsi="Calibri" w:cs="Calibri" w:hint="eastAsia"/>
              </w:rPr>
              <w:instrText xml:space="preserve"> model provides an interdisciplinary consensus cognitive diagnosis quickly and is well accepted; this may reduc</w:instrText>
            </w:r>
            <w:r>
              <w:rPr>
                <w:rFonts w:ascii="Calibri" w:eastAsiaTheme="majorEastAsia" w:hAnsi="Calibri" w:cs="Calibri"/>
              </w:rPr>
              <w:instrText>e health inequities especially for people living in rural/remote areas. This cognitive clinic model may be of relevance to other centres worldwide and also provides a rich data source for research studies.\n            \n          , \n            Key poin</w:instrText>
            </w:r>
            <w:r>
              <w:rPr>
                <w:rFonts w:ascii="Calibri" w:eastAsiaTheme="majorEastAsia" w:hAnsi="Calibri" w:cs="Calibri" w:hint="eastAsia"/>
              </w:rPr>
              <w:instrText xml:space="preserve">ts\n            \n              \n                \n                  Access to cognitive assessments is unequal, especially for people living in rural areas.\n                \n                \n                  A </w:instrText>
            </w:r>
            <w:r>
              <w:rPr>
                <w:rFonts w:ascii="Calibri" w:eastAsiaTheme="majorEastAsia" w:hAnsi="Calibri" w:cs="Calibri" w:hint="eastAsia"/>
              </w:rPr>
              <w:instrText>‘</w:instrText>
            </w:r>
            <w:r>
              <w:rPr>
                <w:rFonts w:ascii="Calibri" w:eastAsiaTheme="majorEastAsia" w:hAnsi="Calibri" w:cs="Calibri" w:hint="eastAsia"/>
              </w:rPr>
              <w:instrText>one</w:instrText>
            </w:r>
            <w:r>
              <w:rPr>
                <w:rFonts w:ascii="Calibri" w:eastAsiaTheme="majorEastAsia" w:hAnsi="Calibri" w:cs="Calibri" w:hint="eastAsia"/>
              </w:rPr>
              <w:instrText>‐</w:instrText>
            </w:r>
            <w:r>
              <w:rPr>
                <w:rFonts w:ascii="Calibri" w:eastAsiaTheme="majorEastAsia" w:hAnsi="Calibri" w:cs="Calibri" w:hint="eastAsia"/>
              </w:rPr>
              <w:instrText>stop</w:instrText>
            </w:r>
            <w:r>
              <w:rPr>
                <w:rFonts w:ascii="Calibri" w:eastAsiaTheme="majorEastAsia" w:hAnsi="Calibri" w:cs="Calibri" w:hint="eastAsia"/>
              </w:rPr>
              <w:instrText>’</w:instrText>
            </w:r>
            <w:r>
              <w:rPr>
                <w:rFonts w:ascii="Calibri" w:eastAsiaTheme="majorEastAsia" w:hAnsi="Calibri" w:cs="Calibri" w:hint="eastAsia"/>
              </w:rPr>
              <w:instrText xml:space="preserve"> cognitive clinic resulted in 98.5% same</w:instrText>
            </w:r>
            <w:r>
              <w:rPr>
                <w:rFonts w:ascii="Calibri" w:eastAsiaTheme="majorEastAsia" w:hAnsi="Calibri" w:cs="Calibri" w:hint="eastAsia"/>
              </w:rPr>
              <w:instrText>‐</w:instrText>
            </w:r>
            <w:r>
              <w:rPr>
                <w:rFonts w:ascii="Calibri" w:eastAsiaTheme="majorEastAsia" w:hAnsi="Calibri" w:cs="Calibri" w:hint="eastAsia"/>
              </w:rPr>
              <w:instrText>day diagnosis, 2 months earlier than the national average\n                \n                \n                  One</w:instrText>
            </w:r>
            <w:r>
              <w:rPr>
                <w:rFonts w:ascii="Calibri" w:eastAsiaTheme="majorEastAsia" w:hAnsi="Calibri" w:cs="Calibri" w:hint="eastAsia"/>
              </w:rPr>
              <w:instrText>‐</w:instrText>
            </w:r>
            <w:r>
              <w:rPr>
                <w:rFonts w:ascii="Calibri" w:eastAsiaTheme="majorEastAsia" w:hAnsi="Calibri" w:cs="Calibri" w:hint="eastAsia"/>
              </w:rPr>
              <w:instrText>third of people assessed were from rural/remote areas.\n                \n                \n                  This model may i</w:instrText>
            </w:r>
            <w:r>
              <w:rPr>
                <w:rFonts w:ascii="Calibri" w:eastAsiaTheme="majorEastAsia" w:hAnsi="Calibri" w:cs="Calibri"/>
              </w:rPr>
              <w:instrText>nform service design for centres worldwide and provides rich data for research.","container-title":"International Journal of Geriatric Psychiatry","DOI":"10.1002/gps.5988","ISSN":"0885-6230, 1099-1166","issue":"8","journalAbbreviation":"Int J Geriat Psych</w:instrText>
            </w:r>
            <w:r>
              <w:rPr>
                <w:rFonts w:ascii="Calibri" w:eastAsiaTheme="majorEastAsia" w:hAnsi="Calibri" w:cs="Calibri" w:hint="eastAsia"/>
              </w:rPr>
              <w:instrText>iatry","language":"en","page":"e5988","source":"DOI.org (Crossref)","title":"A new one</w:instrText>
            </w:r>
            <w:r>
              <w:rPr>
                <w:rFonts w:ascii="Calibri" w:eastAsiaTheme="majorEastAsia" w:hAnsi="Calibri" w:cs="Calibri" w:hint="eastAsia"/>
              </w:rPr>
              <w:instrText>‐</w:instrText>
            </w:r>
            <w:r>
              <w:rPr>
                <w:rFonts w:ascii="Calibri" w:eastAsiaTheme="majorEastAsia" w:hAnsi="Calibri" w:cs="Calibri" w:hint="eastAsia"/>
              </w:rPr>
              <w:instrText>stop interdisciplinary cognitive clinic model tackles rural health inequality and halves the time to diagnosis: Benchmarked against a national dementia registry","title-short":"A new one</w:instrText>
            </w:r>
            <w:r>
              <w:rPr>
                <w:rFonts w:ascii="Calibri" w:eastAsiaTheme="majorEastAsia" w:hAnsi="Calibri" w:cs="Calibri" w:hint="eastAsia"/>
              </w:rPr>
              <w:instrText>‐</w:instrText>
            </w:r>
            <w:r>
              <w:rPr>
                <w:rFonts w:ascii="Calibri" w:eastAsiaTheme="majorEastAsia" w:hAnsi="Calibri" w:cs="Calibri" w:hint="eastAsia"/>
              </w:rPr>
              <w:instrText>stop interdisciplinary cognitive clinic model tackles rural health inequality and halves the time to diagnosis","volume":"38","author":[{"family":"Alty","given":"Jane"},{"family":"Lawler","given":"Katherine"},{"family":"Salmon","given":"Katharine"},{"family":"McDonald","given":"Scott"},{"family":"Stuart","given":"Kimberley"},{"family":"Cleary","given":"Alison"},{"family":"Ma","given":"Jak"},{"family":"Rudd","given":"Kaylee"},{"family":"Wang","given":"Xinyi"},{"family":"Chiranakorn</w:instrText>
            </w:r>
            <w:r>
              <w:rPr>
                <w:rFonts w:ascii="Calibri" w:eastAsiaTheme="majorEastAsia" w:hAnsi="Calibri" w:cs="Calibri" w:hint="eastAsia"/>
              </w:rPr>
              <w:instrText>‐</w:instrText>
            </w:r>
            <w:r>
              <w:rPr>
                <w:rFonts w:ascii="Calibri" w:eastAsiaTheme="majorEastAsia" w:hAnsi="Calibri" w:cs="Calibri" w:hint="eastAsia"/>
              </w:rPr>
              <w:instrText>Costa</w:instrText>
            </w:r>
            <w:r>
              <w:rPr>
                <w:rFonts w:ascii="Calibri" w:eastAsiaTheme="majorEastAsia" w:hAnsi="Calibri" w:cs="Calibri"/>
              </w:rPr>
              <w:instrText xml:space="preserve">","given":"Sigourney"},{"family":"Collins","given":"Jessica"},{"family":"Merl","given":"Helga"},{"family":"Lin","given":"Xiaoping"},{"family":"Vickers","given":"James C."}],"issued":{"date-parts":[["2023",8]]}}}],"schema":"https://github.com/citation-style-language/schema/raw/master/csl-citation.json"}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(17)</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4014AD7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Pop up memory clinic (the ISLAND clinic), Australia </w:t>
            </w:r>
          </w:p>
        </w:tc>
        <w:tc>
          <w:tcPr>
            <w:tcW w:w="2547" w:type="dxa"/>
            <w:tcBorders>
              <w:top w:val="single" w:sz="6" w:space="0" w:color="auto"/>
              <w:left w:val="single" w:sz="6" w:space="0" w:color="auto"/>
              <w:bottom w:val="single" w:sz="6" w:space="0" w:color="auto"/>
              <w:right w:val="single" w:sz="6" w:space="0" w:color="auto"/>
            </w:tcBorders>
            <w:hideMark/>
          </w:tcPr>
          <w:p w14:paraId="744EAC87"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Adults referred to the clinic by a GP with at least 3 months of cognitive symptoms.</w:t>
            </w:r>
          </w:p>
        </w:tc>
        <w:tc>
          <w:tcPr>
            <w:tcW w:w="2548" w:type="dxa"/>
            <w:tcBorders>
              <w:top w:val="single" w:sz="6" w:space="0" w:color="auto"/>
              <w:left w:val="single" w:sz="6" w:space="0" w:color="auto"/>
              <w:bottom w:val="single" w:sz="6" w:space="0" w:color="auto"/>
              <w:right w:val="single" w:sz="6" w:space="0" w:color="auto"/>
            </w:tcBorders>
            <w:hideMark/>
          </w:tcPr>
          <w:p w14:paraId="093DA72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SCD: Jessen and colleagues’ (2020) criteria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{"citationID":"1CJhR31c","properties":{"formattedCitation":"(7)","plainCitation":"(7)","noteIndex":0},"citationItems":[{"id":"UotwaLRr/Olt5U31d","uris":["http://zotero.org/users/10119464/items/AD38A6RC"],"itemData":{"id":2740,"type":"article-journal","abstract":"A growing awareness about brain health and Alzheimer’s disease in the general population is leading to an increasing number of cognitively unimpaired individuals, who are concerned that they have reduced cognitive function, to approach the medical system for help. The term subjective cognitive decline (SCD) was conceived in 2014 to describe this condition. Epidemiological data provide evidence that the risk for mild cognitive impairment and dementia is increased in individuals with SCD. However, the majority of individuals with SCD will not show progressive cognitive decline. An individually tailored diagnostic process might be reasonable to identify or exclude underlying medical conditions in an individual with SCD who actively seeks medical help. An increasing number of studies are investigating the link between SCD and the very early stages of Alzheimer’s disease and other neurodegenerative diseases.","container-title":"The Lancet. Neurology","DOI":"10.1016/S1474-4422(19)30368-0","ISSN":"1474-4422","issue":"3","journalAbbreviation":"Lancet Neurol","note":"PMID: 31958406\nPMCID: PMC7062546","page":"271-278","source":"PubMed Central","title":"The characterisation of subjective cognitive decline","volume":"19","author":[{"family":"Jessen","given":"Frank"},{"family":"Amariglio","given":"Rebecca E"},{"family":"Buckley","given":"Rachel F"},{"family":"Flier","given":"Wiesje M","non-dropping-particle":"van der"},{"family":"Han","given":"Ying"},{"family":"Molinuevo","given":"José Luis"},{"family":"Rabin","given":"Laura"},{"family":"Rentz","given":"Dorene M"},{"family":"Rodriguez-Gomez","given":"Octavio"},{"family":"Saykin","given":"Andrew J"},{"family":"Sikkes","given":"Sietske A M"},{"family":"Smart","given":"Colette M"},{"family":"Wolfsgruber","given":"Steffen"},{"family":"Wagner","given":"Michael"}],"issued":{"date-parts":[["2020",3]]}}}],"schema":"https://github.com/citation-style-language/schema/raw/master/csl-citation.json"}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(7)</w:t>
            </w:r>
            <w:r w:rsidRPr="00874C50">
              <w:rPr>
                <w:rFonts w:ascii="Calibri" w:eastAsiaTheme="majorEastAsia" w:hAnsi="Calibri" w:cs="Calibri"/>
              </w:rPr>
              <w:fldChar w:fldCharType="end"/>
            </w:r>
            <w:r w:rsidRPr="00874C50">
              <w:rPr>
                <w:rFonts w:ascii="Calibri" w:eastAsiaTheme="majorEastAsia" w:hAnsi="Calibri" w:cs="Calibri"/>
              </w:rPr>
              <w:t>.</w:t>
            </w:r>
          </w:p>
        </w:tc>
        <w:tc>
          <w:tcPr>
            <w:tcW w:w="1349" w:type="dxa"/>
            <w:tcBorders>
              <w:top w:val="single" w:sz="6" w:space="0" w:color="auto"/>
              <w:left w:val="single" w:sz="6" w:space="0" w:color="auto"/>
              <w:bottom w:val="single" w:sz="6" w:space="0" w:color="auto"/>
              <w:right w:val="single" w:sz="6" w:space="0" w:color="auto"/>
            </w:tcBorders>
            <w:hideMark/>
          </w:tcPr>
          <w:p w14:paraId="1D41B95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129</w:t>
            </w:r>
          </w:p>
          <w:p w14:paraId="7D7101D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70.2 (10.3) years</w:t>
            </w:r>
          </w:p>
          <w:p w14:paraId="7360AC3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77 (59.7)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48" w:type="dxa"/>
            <w:tcBorders>
              <w:top w:val="single" w:sz="6" w:space="0" w:color="auto"/>
              <w:left w:val="single" w:sz="6" w:space="0" w:color="auto"/>
              <w:bottom w:val="single" w:sz="6" w:space="0" w:color="auto"/>
              <w:right w:val="single" w:sz="6" w:space="0" w:color="auto"/>
            </w:tcBorders>
            <w:hideMark/>
          </w:tcPr>
          <w:p w14:paraId="5EBC61D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43 (33.3)   </w:t>
            </w:r>
          </w:p>
          <w:p w14:paraId="7C038D6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w:t>
            </w:r>
          </w:p>
          <w:p w14:paraId="2F5405F4" w14:textId="77777777" w:rsidR="00E268AC" w:rsidRPr="00874C50" w:rsidRDefault="00E268AC" w:rsidP="00EA0E24">
            <w:pPr>
              <w:spacing w:after="6" w:line="240" w:lineRule="auto"/>
              <w:rPr>
                <w:rFonts w:ascii="Calibri" w:eastAsiaTheme="majorEastAsia" w:hAnsi="Calibri" w:cs="Calibri"/>
              </w:rPr>
            </w:pPr>
          </w:p>
        </w:tc>
        <w:tc>
          <w:tcPr>
            <w:tcW w:w="749" w:type="dxa"/>
            <w:tcBorders>
              <w:top w:val="single" w:sz="6" w:space="0" w:color="auto"/>
              <w:left w:val="single" w:sz="6" w:space="0" w:color="auto"/>
              <w:bottom w:val="single" w:sz="6" w:space="0" w:color="auto"/>
              <w:right w:val="single" w:sz="6" w:space="0" w:color="auto"/>
            </w:tcBorders>
            <w:hideMark/>
          </w:tcPr>
          <w:p w14:paraId="4575263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lang w:val="fr-FR"/>
              </w:rPr>
              <w:t>46 (35.7)</w:t>
            </w:r>
            <w:r w:rsidRPr="00874C50">
              <w:rPr>
                <w:rFonts w:ascii="Calibri" w:eastAsiaTheme="majorEastAsia" w:hAnsi="Calibri" w:cs="Calibri"/>
              </w:rPr>
              <w:t> </w:t>
            </w:r>
          </w:p>
        </w:tc>
        <w:tc>
          <w:tcPr>
            <w:tcW w:w="749" w:type="dxa"/>
            <w:tcBorders>
              <w:top w:val="single" w:sz="6" w:space="0" w:color="auto"/>
              <w:left w:val="single" w:sz="6" w:space="0" w:color="auto"/>
              <w:bottom w:val="single" w:sz="6" w:space="0" w:color="auto"/>
              <w:right w:val="single" w:sz="6" w:space="0" w:color="auto"/>
            </w:tcBorders>
            <w:hideMark/>
          </w:tcPr>
          <w:p w14:paraId="3A47541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lang w:val="fr-FR"/>
              </w:rPr>
              <w:t>40 (31.0)</w:t>
            </w:r>
            <w:r w:rsidRPr="00874C50">
              <w:rPr>
                <w:rFonts w:ascii="Calibri" w:eastAsiaTheme="majorEastAsia" w:hAnsi="Calibri" w:cs="Calibri"/>
              </w:rPr>
              <w:t> </w:t>
            </w:r>
          </w:p>
        </w:tc>
        <w:tc>
          <w:tcPr>
            <w:tcW w:w="748" w:type="dxa"/>
            <w:tcBorders>
              <w:top w:val="single" w:sz="6" w:space="0" w:color="auto"/>
              <w:left w:val="single" w:sz="6" w:space="0" w:color="auto"/>
              <w:bottom w:val="single" w:sz="6" w:space="0" w:color="auto"/>
              <w:right w:val="single" w:sz="6" w:space="0" w:color="auto"/>
            </w:tcBorders>
            <w:hideMark/>
          </w:tcPr>
          <w:p w14:paraId="5D71968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2098" w:type="dxa"/>
            <w:tcBorders>
              <w:top w:val="single" w:sz="6" w:space="0" w:color="auto"/>
              <w:left w:val="single" w:sz="6" w:space="0" w:color="auto"/>
              <w:bottom w:val="single" w:sz="6" w:space="0" w:color="auto"/>
              <w:right w:val="single" w:sz="6" w:space="0" w:color="auto"/>
            </w:tcBorders>
            <w:hideMark/>
          </w:tcPr>
          <w:p w14:paraId="69A7836A" w14:textId="77777777" w:rsidR="00E268AC" w:rsidRPr="00874C50" w:rsidRDefault="00E268AC" w:rsidP="00EA0E24">
            <w:pPr>
              <w:spacing w:after="6" w:line="240" w:lineRule="auto"/>
              <w:rPr>
                <w:rFonts w:ascii="Calibri" w:eastAsiaTheme="majorEastAsia" w:hAnsi="Calibri" w:cs="Calibri"/>
              </w:rPr>
            </w:pPr>
            <w:proofErr w:type="gramStart"/>
            <w:r w:rsidRPr="00874C50">
              <w:rPr>
                <w:rFonts w:ascii="Calibri" w:eastAsiaTheme="majorEastAsia" w:hAnsi="Calibri" w:cs="Calibri"/>
                <w:lang w:val="fr-FR"/>
              </w:rPr>
              <w:t>n</w:t>
            </w:r>
            <w:proofErr w:type="gramEnd"/>
            <w:r w:rsidRPr="00874C50">
              <w:rPr>
                <w:rFonts w:ascii="Calibri" w:eastAsiaTheme="majorEastAsia" w:hAnsi="Calibri" w:cs="Calibri"/>
                <w:lang w:val="fr-FR"/>
              </w:rPr>
              <w:t>/a</w:t>
            </w:r>
          </w:p>
        </w:tc>
      </w:tr>
      <w:tr w:rsidR="00E268AC" w:rsidRPr="00874C50" w14:paraId="16A7D1ED"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19BA2073" w14:textId="77777777" w:rsidR="00E268AC" w:rsidRPr="00874C50" w:rsidRDefault="00E268AC" w:rsidP="00EA0E24">
            <w:pPr>
              <w:spacing w:after="6" w:line="240" w:lineRule="auto"/>
              <w:rPr>
                <w:rFonts w:ascii="Calibri" w:eastAsiaTheme="majorEastAsia" w:hAnsi="Calibri" w:cs="Calibri"/>
              </w:rPr>
            </w:pPr>
            <w:proofErr w:type="spellStart"/>
            <w:r w:rsidRPr="00874C50">
              <w:rPr>
                <w:rFonts w:ascii="Calibri" w:eastAsiaTheme="majorEastAsia" w:hAnsi="Calibri" w:cs="Calibri"/>
              </w:rPr>
              <w:t>Bloniecki</w:t>
            </w:r>
            <w:proofErr w:type="spellEnd"/>
            <w:r w:rsidRPr="00874C50">
              <w:rPr>
                <w:rFonts w:ascii="Calibri" w:eastAsiaTheme="majorEastAsia" w:hAnsi="Calibri" w:cs="Calibri"/>
              </w:rPr>
              <w:t xml:space="preserve"> et al. 2021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{"citationID":"vr8iMJBG","properties":{"formattedCitation":"(18)","plainCitation":"(18)","noteIndex":0},"citationItems":[{"id":40,"uris":["http://zotero.org/groups/6084669/items/A8CTTNRX"],"itemData":{"id":40,"type":"article-journal","container-title":"The Journal of Prevention of Alzheimer's Disease","DOI":"10.14283/jpad.2021.2","ISSN":"22745807","issue":"2","journalAbbreviation":"The Journal of Prevention of Alzheimer's Disease","language":"en","page":"127-134","source":"DOI.org (Crossref)","title":"Digital Screening for Cognitive Impairment — A Proof of Concept Study","volume":"8","author":[{"family":"Bloniecki","given":"Victor"},{"family":"Hagman","given":"G."},{"family":"Ryden","given":"M."},{"family":"Kivipelto","given":"M."}],"issued":{"date-parts":[["2021",4]]}}}],"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(18)</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147B9B65"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University hospital memory clinic, Sweden </w:t>
            </w:r>
          </w:p>
        </w:tc>
        <w:tc>
          <w:tcPr>
            <w:tcW w:w="2547" w:type="dxa"/>
            <w:tcBorders>
              <w:top w:val="single" w:sz="6" w:space="0" w:color="auto"/>
              <w:left w:val="single" w:sz="6" w:space="0" w:color="auto"/>
              <w:bottom w:val="single" w:sz="6" w:space="0" w:color="auto"/>
              <w:right w:val="single" w:sz="6" w:space="0" w:color="auto"/>
            </w:tcBorders>
            <w:hideMark/>
          </w:tcPr>
          <w:p w14:paraId="65052D55"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referred to memory clinic due to memory complaints and suspicion of cognitive decline.</w:t>
            </w:r>
          </w:p>
        </w:tc>
        <w:tc>
          <w:tcPr>
            <w:tcW w:w="2548" w:type="dxa"/>
            <w:tcBorders>
              <w:top w:val="single" w:sz="6" w:space="0" w:color="auto"/>
              <w:left w:val="single" w:sz="6" w:space="0" w:color="auto"/>
              <w:bottom w:val="single" w:sz="6" w:space="0" w:color="auto"/>
              <w:right w:val="single" w:sz="6" w:space="0" w:color="auto"/>
            </w:tcBorders>
            <w:hideMark/>
          </w:tcPr>
          <w:p w14:paraId="12A9063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SCI: no evidence of neurodegeneration in line with ICD-10 criteria.</w:t>
            </w:r>
          </w:p>
        </w:tc>
        <w:tc>
          <w:tcPr>
            <w:tcW w:w="1349" w:type="dxa"/>
            <w:tcBorders>
              <w:top w:val="single" w:sz="6" w:space="0" w:color="auto"/>
              <w:left w:val="single" w:sz="6" w:space="0" w:color="auto"/>
              <w:bottom w:val="single" w:sz="6" w:space="0" w:color="auto"/>
              <w:right w:val="single" w:sz="6" w:space="0" w:color="auto"/>
            </w:tcBorders>
            <w:hideMark/>
          </w:tcPr>
          <w:p w14:paraId="795F90B7"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98*</w:t>
            </w:r>
          </w:p>
          <w:p w14:paraId="623FB38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58.3 (6.3) years </w:t>
            </w:r>
          </w:p>
          <w:p w14:paraId="40D7A71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51 (52.0) </w:t>
            </w:r>
            <w:proofErr w:type="gramStart"/>
            <w:r w:rsidRPr="00874C50">
              <w:rPr>
                <w:rFonts w:ascii="Calibri" w:eastAsiaTheme="majorEastAsia" w:hAnsi="Calibri" w:cs="Calibri"/>
              </w:rPr>
              <w:t>female</w:t>
            </w:r>
            <w:proofErr w:type="gramEnd"/>
          </w:p>
        </w:tc>
        <w:tc>
          <w:tcPr>
            <w:tcW w:w="1048" w:type="dxa"/>
            <w:tcBorders>
              <w:top w:val="single" w:sz="6" w:space="0" w:color="auto"/>
              <w:left w:val="single" w:sz="6" w:space="0" w:color="auto"/>
              <w:bottom w:val="single" w:sz="6" w:space="0" w:color="auto"/>
              <w:right w:val="single" w:sz="6" w:space="0" w:color="auto"/>
            </w:tcBorders>
            <w:hideMark/>
          </w:tcPr>
          <w:p w14:paraId="2C324E7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11 (10.4) </w:t>
            </w:r>
          </w:p>
          <w:p w14:paraId="20F9D42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w:t>
            </w:r>
          </w:p>
          <w:p w14:paraId="2B4D6FC1" w14:textId="77777777" w:rsidR="00E268AC" w:rsidRPr="00874C50" w:rsidRDefault="00E268AC" w:rsidP="00EA0E24">
            <w:pPr>
              <w:spacing w:after="6" w:line="240" w:lineRule="auto"/>
              <w:rPr>
                <w:rFonts w:ascii="Calibri" w:eastAsiaTheme="majorEastAsia" w:hAnsi="Calibri" w:cs="Calibri"/>
              </w:rPr>
            </w:pPr>
          </w:p>
        </w:tc>
        <w:tc>
          <w:tcPr>
            <w:tcW w:w="749" w:type="dxa"/>
            <w:tcBorders>
              <w:top w:val="single" w:sz="6" w:space="0" w:color="auto"/>
              <w:left w:val="single" w:sz="6" w:space="0" w:color="auto"/>
              <w:bottom w:val="single" w:sz="6" w:space="0" w:color="auto"/>
              <w:right w:val="single" w:sz="6" w:space="0" w:color="auto"/>
            </w:tcBorders>
            <w:hideMark/>
          </w:tcPr>
          <w:p w14:paraId="54C51BC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27 (25.5) </w:t>
            </w:r>
          </w:p>
        </w:tc>
        <w:tc>
          <w:tcPr>
            <w:tcW w:w="749" w:type="dxa"/>
            <w:tcBorders>
              <w:top w:val="single" w:sz="6" w:space="0" w:color="auto"/>
              <w:left w:val="single" w:sz="6" w:space="0" w:color="auto"/>
              <w:bottom w:val="single" w:sz="6" w:space="0" w:color="auto"/>
              <w:right w:val="single" w:sz="6" w:space="0" w:color="auto"/>
            </w:tcBorders>
            <w:hideMark/>
          </w:tcPr>
          <w:p w14:paraId="28C8556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68 (64.2) </w:t>
            </w:r>
          </w:p>
        </w:tc>
        <w:tc>
          <w:tcPr>
            <w:tcW w:w="748" w:type="dxa"/>
            <w:tcBorders>
              <w:top w:val="single" w:sz="6" w:space="0" w:color="auto"/>
              <w:left w:val="single" w:sz="6" w:space="0" w:color="auto"/>
              <w:bottom w:val="single" w:sz="6" w:space="0" w:color="auto"/>
              <w:right w:val="single" w:sz="6" w:space="0" w:color="auto"/>
            </w:tcBorders>
            <w:hideMark/>
          </w:tcPr>
          <w:p w14:paraId="2881004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2098" w:type="dxa"/>
            <w:tcBorders>
              <w:top w:val="single" w:sz="6" w:space="0" w:color="auto"/>
              <w:left w:val="single" w:sz="6" w:space="0" w:color="auto"/>
              <w:bottom w:val="single" w:sz="6" w:space="0" w:color="auto"/>
              <w:right w:val="single" w:sz="6" w:space="0" w:color="auto"/>
            </w:tcBorders>
            <w:hideMark/>
          </w:tcPr>
          <w:p w14:paraId="77F5401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 </w:t>
            </w:r>
          </w:p>
        </w:tc>
      </w:tr>
      <w:tr w:rsidR="00E268AC" w:rsidRPr="00874C50" w14:paraId="45612FD1"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tcPr>
          <w:p w14:paraId="3F2D2D6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Borelli et al. 2022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{"citationID":"g0jdHke3","properties":{"formattedCitation":"(19)","plainCitation":"(19)","noteIndex":0},"citationItems":[{"id":38,"uris":["http://zotero.org/groups/6084669/items/2J9XBYDC"],"itemData":{"id":38,"type":"article-journal","abstract":"Introduction\n              Functional Cognitive Disorder (FCD) is a non-degenerative, common cause of memory complaint in patients with high educational levels. FCD has been insufficiently described in individuals with low education. Here, we investigated the frequency of FCD among individuals with low education.\n            \n            \n              Methods\n              We analyzed retrospectively all new referrals from primary care to a tertiary memory clinic from 2014 to 2021. Final diagnosis, diagnostic work-up, clinical and cognitive testing data were compared between FCD and other diagnoses, grouped as Neurodegenerative Disorders (NDD). A regression model was used to assess the effect of education on the diagnosis. Data is shown in Mean [SD].\n            \n            \n              Results\n              \n                A total of 516 individuals (70.76 [10.3] years) with low educational attainment (4.5 [3.94] years) were divided into FCD (146, 28.3%) and NDD. Compared with NDD, FCD patients showed lower age at presentation (66.2 [9.4] vs. 72.6 [10.2],\n                p\n                &amp;lt; 0.001), higher Mini-Mental State Examination (MMSE) scores (22.4 [6.2] vs. 14.7 [7.8],\n                p\n                &amp;lt; 0.001) and Geriatric Depression Scale (GDS) scores (7.4 [5.4] vs. 5.3 [3.7],\n                p\n                = 0.0001).\n              \n            \n            \n              Discussion\n              Surprisingly, FCD was the most frequent diagnosis in a low educational setting. However, education was not associated with FCD. Individuals presenting FCD showed a distinct clinical profile, including younger age and higher depressive scores. Strategies to identify FCD in primary care settings may benefit both patients and healthcare systems.","container-title":"Frontiers in Aging Neuroscience","DOI":"10.3389/fnagi.2022.789190","ISSN":"1663-4365","journalAbbreviation":"Front. Aging Neurosci.","page":"789190","source":"DOI.org (Crossref)","title":"Functional Cognitive Disorder Presents High Frequency and Distinct Clinical Profile in Patients With Low Education","volume":"14","author":[{"family":"Borelli","given":"Wyllians Vendramini"},{"family":"De Senna","given":"Priscylla Nunes"},{"family":"Brum","given":"Wagner Scheeren"},{"family":"Schumacher-Schuh","given":"Artur Francisco"},{"family":"Zimmer","given":"Eduardo R."},{"family":"Fagundes Chaves","given":"Márcia Lorena"},{"family":"Castilhos","given":"Raphael Machado"}],"issued":{"date-parts":[["2022",3,31]]}}}],"schema":"https://github.com/citation-style-language/schema/raw/master/csl-citation.json"}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(19)</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tcPr>
          <w:p w14:paraId="43341DD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Tertiary memory clinic, Brazil </w:t>
            </w:r>
          </w:p>
        </w:tc>
        <w:tc>
          <w:tcPr>
            <w:tcW w:w="2547" w:type="dxa"/>
            <w:tcBorders>
              <w:top w:val="single" w:sz="6" w:space="0" w:color="auto"/>
              <w:left w:val="single" w:sz="6" w:space="0" w:color="auto"/>
              <w:bottom w:val="single" w:sz="6" w:space="0" w:color="auto"/>
              <w:right w:val="single" w:sz="6" w:space="0" w:color="auto"/>
            </w:tcBorders>
          </w:tcPr>
          <w:p w14:paraId="41689A6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referred from primary care to the clinic as a primary consultation; a low education population.</w:t>
            </w:r>
          </w:p>
        </w:tc>
        <w:tc>
          <w:tcPr>
            <w:tcW w:w="2548" w:type="dxa"/>
            <w:tcBorders>
              <w:top w:val="single" w:sz="6" w:space="0" w:color="auto"/>
              <w:left w:val="single" w:sz="6" w:space="0" w:color="auto"/>
              <w:bottom w:val="single" w:sz="6" w:space="0" w:color="auto"/>
              <w:right w:val="single" w:sz="6" w:space="0" w:color="auto"/>
            </w:tcBorders>
          </w:tcPr>
          <w:p w14:paraId="64F7C265" w14:textId="77777777" w:rsidR="00E268AC" w:rsidRPr="00874C50" w:rsidRDefault="00E268AC" w:rsidP="00EA0E24">
            <w:pPr>
              <w:spacing w:after="6" w:line="240" w:lineRule="auto"/>
              <w:rPr>
                <w:rFonts w:ascii="Calibri" w:eastAsiaTheme="majorEastAsia" w:hAnsi="Calibri" w:cs="Calibri"/>
                <w:lang w:val="en-US"/>
              </w:rPr>
            </w:pPr>
            <w:r w:rsidRPr="00874C50">
              <w:rPr>
                <w:rFonts w:ascii="Calibri" w:eastAsiaTheme="majorEastAsia" w:hAnsi="Calibri" w:cs="Calibri"/>
              </w:rPr>
              <w:t xml:space="preserve">FCD: Ball and colleagues’ (2020) criteria </w:t>
            </w:r>
            <w:r w:rsidRPr="00874C50">
              <w:rPr>
                <w:rFonts w:ascii="Calibri" w:eastAsiaTheme="majorEastAsia" w:hAnsi="Calibri" w:cs="Calibri"/>
              </w:rPr>
              <w:fldChar w:fldCharType="begin"/>
            </w:r>
            <w:r w:rsidRPr="00874C50">
              <w:rPr>
                <w:rFonts w:ascii="Calibri" w:eastAsiaTheme="majorEastAsia" w:hAnsi="Calibri" w:cs="Calibri"/>
              </w:rPr>
              <w:instrText xml:space="preserve"> ADDIN ZOTERO_ITEM CSL_CITATION {"citationID":"hK3J9Odi","properties":{"formattedCitation":"(8)","plainCitation":"(8)","noteIndex":0},"citationItems":[{"id":79,"uris":["http://zotero.org/groups/6084669/items/YX5284WP"],"itemData":{"id":79,"type":"article-journal","abstract":"Abstract\n            An increasing proportion of cognitive difficulties are recognized to have a functional cause, the chief clinical indicator of which is internal inconsistency. When these symptoms are impairing or distressing, and not better explained by other disorders, this can be conceptualized as a cognitive variant of functional neurological disorder, termed functional cognitive disorder (FCD). FCD is likely very common in clinical practice but may be under-diagnosed. Clinicians in many settings make liberal use of the descriptive term mild cognitive impairment (MCI) for those with cognitive difficulties not impairing enough to qualify as dementia. However, MCI is an aetiology-neutral description, which therefore includes patients with a wide range of underlying causes. Consequently, a proportion of MCI cases are due to non-neurodegenerative processes, including FCD. Indeed, significant numbers of patients diagnosed with MCI do not ‘convert’ to dementia. The lack of diagnostic specificity for MCI ‘non-progressors’ is a weakness inherent in framing MCI primarily within a deterministic neurodegenerative pathway. It is recognized that depression, anxiety and behavioural changes can represent a prodrome to neurodegeneration; empirical data are required to explore whether the same might hold for subsets of individuals with FCD. Clinicians and researchers can improve study efficacy and patient outcomes by viewing MCI as a descriptive term with a wide differential diagnosis, including potentially reversible components such as FCD. We present a preliminary definition of functional neurological disorder–cognitive subtype, explain its position in relation to other cognitive diagnoses and emerging biomarkers, highlight clinical features that can lead to positive diagnosis (as opposed to a diagnosis of exclusion), and red flags that should prompt consideration of alternative diagnoses. In the research setting, positive identifiers of FCD will enhance our recognition of individuals who are not in a neurodegenerative prodrome, while greater use of this diagnosis in clinical practice will facilitate personalized interventions.","container-title":"Brain","DOI":"10.1093/brain/awaa224","ISSN":"0006-8950, 1460-2156","issue":"10","language":"en","license":"https://academic.oup.com/journals/pages/open_access/funder_policies/chorus/standard_publication_model","page":"2895-2903","source":"DOI.org (Crossref)","title":"Functional cognitive disorder: dementia’s blind spot","title-short":"Functional cognitive disorder","volume":"143","author":[{"family":"Ball","given":"Harriet A"},{"family":"McWhirter","given":"Laura"},{"family":"Ballard","given":"Clive"},{"family":"Bhome","given":"Rohan"},{"family":"Blackburn","given":"Daniel J"},{"family":"Edwards","given":"Mark J"},{"family":"Fleming","given":"Stephen M"},{"family":"Fox","given":"Nick C"},{"family":"Howard","given":"Robert"},{"family":"Huntley","given":"Jonathan"},{"family":"Isaacs","given":"Jeremy D"},{"family":"Larner","given":"Andrew J"},{"family":"Nicholson","given":"Timothy R"},{"family":"Pennington","given":"Catherine M"},{"family":"Poole","given":"Norman"},{"family":"Price","given":"Gary"},{"family":"Price","given":"Jason P"},{"family":"Reuber","given":"Markus"},{"family":"Ritchie","given":"Craig"},{"family":"Rossor","given":"Martin N"},{"family":"Schott","given":"Jonathan M"},{"family":"Teodoro","given":"Tiago"},{"family":"Venneri","given":"Annalena"},{"family":"Stone","given":"Jon"},{"family":"Carson","given":"Alan J"}],"issued":{"date-parts":[["2020",10,1]]}}}],"schema":"https://github.com/citation-style-language/schema/raw/master/csl-citation.json"}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(8)</w:t>
            </w:r>
            <w:r w:rsidRPr="00874C50">
              <w:rPr>
                <w:rFonts w:ascii="Calibri" w:eastAsiaTheme="majorEastAsia" w:hAnsi="Calibri" w:cs="Calibri"/>
              </w:rPr>
              <w:fldChar w:fldCharType="end"/>
            </w:r>
            <w:r w:rsidRPr="00874C50">
              <w:rPr>
                <w:rFonts w:ascii="Calibri" w:eastAsiaTheme="majorEastAsia" w:hAnsi="Calibri" w:cs="Calibri"/>
              </w:rPr>
              <w:t>.</w:t>
            </w:r>
            <w:r w:rsidRPr="00874C50">
              <w:rPr>
                <w:rFonts w:ascii="Calibri" w:eastAsiaTheme="majorEastAsia" w:hAnsi="Calibri" w:cs="Calibri"/>
                <w:lang w:val="en-US"/>
              </w:rPr>
              <w:t> </w:t>
            </w:r>
          </w:p>
          <w:p w14:paraId="0FE9954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lang w:val="en-US"/>
              </w:rPr>
              <w:t> </w:t>
            </w:r>
          </w:p>
        </w:tc>
        <w:tc>
          <w:tcPr>
            <w:tcW w:w="1349" w:type="dxa"/>
            <w:tcBorders>
              <w:top w:val="single" w:sz="6" w:space="0" w:color="auto"/>
              <w:left w:val="single" w:sz="6" w:space="0" w:color="auto"/>
              <w:bottom w:val="single" w:sz="6" w:space="0" w:color="auto"/>
              <w:right w:val="single" w:sz="6" w:space="0" w:color="auto"/>
            </w:tcBorders>
          </w:tcPr>
          <w:p w14:paraId="0F0F9C0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496</w:t>
            </w:r>
          </w:p>
          <w:p w14:paraId="64E29CD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70.8 (10.3) years</w:t>
            </w:r>
          </w:p>
          <w:p w14:paraId="64A73F6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303 (61.1)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48" w:type="dxa"/>
            <w:tcBorders>
              <w:top w:val="single" w:sz="6" w:space="0" w:color="auto"/>
              <w:left w:val="single" w:sz="6" w:space="0" w:color="auto"/>
              <w:bottom w:val="single" w:sz="6" w:space="0" w:color="auto"/>
              <w:right w:val="single" w:sz="6" w:space="0" w:color="auto"/>
            </w:tcBorders>
          </w:tcPr>
          <w:p w14:paraId="7F37B90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299 (60.3)</w:t>
            </w:r>
          </w:p>
        </w:tc>
        <w:tc>
          <w:tcPr>
            <w:tcW w:w="749" w:type="dxa"/>
            <w:tcBorders>
              <w:top w:val="single" w:sz="6" w:space="0" w:color="auto"/>
              <w:left w:val="single" w:sz="6" w:space="0" w:color="auto"/>
              <w:bottom w:val="single" w:sz="6" w:space="0" w:color="auto"/>
              <w:right w:val="single" w:sz="6" w:space="0" w:color="auto"/>
            </w:tcBorders>
          </w:tcPr>
          <w:p w14:paraId="17C1B88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51 (9.9) </w:t>
            </w:r>
          </w:p>
        </w:tc>
        <w:tc>
          <w:tcPr>
            <w:tcW w:w="749" w:type="dxa"/>
            <w:tcBorders>
              <w:top w:val="single" w:sz="6" w:space="0" w:color="auto"/>
              <w:left w:val="single" w:sz="6" w:space="0" w:color="auto"/>
              <w:bottom w:val="single" w:sz="6" w:space="0" w:color="auto"/>
              <w:right w:val="single" w:sz="6" w:space="0" w:color="auto"/>
            </w:tcBorders>
          </w:tcPr>
          <w:p w14:paraId="7DD1DAD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n/r </w:t>
            </w:r>
          </w:p>
        </w:tc>
        <w:tc>
          <w:tcPr>
            <w:tcW w:w="748" w:type="dxa"/>
            <w:tcBorders>
              <w:top w:val="single" w:sz="6" w:space="0" w:color="auto"/>
              <w:left w:val="single" w:sz="6" w:space="0" w:color="auto"/>
              <w:bottom w:val="single" w:sz="6" w:space="0" w:color="auto"/>
              <w:right w:val="single" w:sz="6" w:space="0" w:color="auto"/>
            </w:tcBorders>
          </w:tcPr>
          <w:p w14:paraId="76C5D10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146 (28.3) </w:t>
            </w:r>
          </w:p>
        </w:tc>
        <w:tc>
          <w:tcPr>
            <w:tcW w:w="2098" w:type="dxa"/>
            <w:tcBorders>
              <w:top w:val="single" w:sz="6" w:space="0" w:color="auto"/>
              <w:left w:val="single" w:sz="6" w:space="0" w:color="auto"/>
              <w:bottom w:val="single" w:sz="6" w:space="0" w:color="auto"/>
              <w:right w:val="single" w:sz="6" w:space="0" w:color="auto"/>
            </w:tcBorders>
          </w:tcPr>
          <w:p w14:paraId="1DF1193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 </w:t>
            </w:r>
          </w:p>
        </w:tc>
      </w:tr>
      <w:tr w:rsidR="00E268AC" w:rsidRPr="00874C50" w14:paraId="04C748F7"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3C7440C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Cook et al. 2022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{"citationID":"Uo2nxaub","properties":{"formattedCitation":"(20)","plainCitation":"(20)","noteIndex":0},"citationItems":[{"id":48,"uris":["http://zotero.org/groups/6084669/items/87V6EC7H"],"itemData":{"id":48,"type":"article-journal","abstract":"Aims and method\n              This paper analyses how practice varied between patients aged &lt;65 and ≥65 years in the 2019 UK national memory service audit.\n            \n            \n              Results\n              \n                Data on 3959 patients were analysed. Those aged &lt;65 (7% of the sample) were less likely than those aged ≥65 to be diagnosed with dementia (23\n                v.\n                67%) and more likely to receive a functional, psychiatric or no diagnosis. Younger patients were more likely to have magnetic resonance imaging; use of dementia biomarkers was low in both groups. Frontotemporal dementia and functional cognitive disorder were diagnosed infrequently. Use of dementia navigators/advisors and carer psychoeducation was similar between groups; younger patients were less likely to be offered but more likely to accept cognitive stimulation therapy.\n              \n            \n            \n              Clinical implications\n              Memory services seeing younger people need expertise in functional cognitive disorder, alongside clinical skills and technologies to diagnose rarer forms of dementia. Further work is needed to understand why cognitive stimulation therapy is less frequently offered to younger people.","container-title":"BJPsych Bulletin","DOI":"10.1192/bjb.2021.104","ISSN":"2056-4694, 2056-4708","issue":"6","journalAbbreviation":"BJPsych Bull","language":"en","page":"315-321","source":"DOI.org (Crossref)","title":"Differences in care between younger and older patients in the 2019 English national memory service audit","volume":"46","author":[{"family":"Cook","given":"Laura D."},{"family":"Souris","given":"Helen"},{"family":"Isaacs","given":"Jeremy D."}],"issued":{"date-parts":[["2022",12]]}}}],"schema":"https://github.com/citation-style-language/schema/raw/master/csl-citation.json"}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(20)</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52E6536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Eighty-five memory clinics across the UK </w:t>
            </w:r>
          </w:p>
        </w:tc>
        <w:tc>
          <w:tcPr>
            <w:tcW w:w="2547" w:type="dxa"/>
            <w:tcBorders>
              <w:top w:val="single" w:sz="6" w:space="0" w:color="auto"/>
              <w:left w:val="single" w:sz="6" w:space="0" w:color="auto"/>
              <w:bottom w:val="single" w:sz="6" w:space="0" w:color="auto"/>
              <w:right w:val="single" w:sz="6" w:space="0" w:color="auto"/>
            </w:tcBorders>
            <w:hideMark/>
          </w:tcPr>
          <w:p w14:paraId="6919B3C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being assessed for cognitive impairment.</w:t>
            </w:r>
          </w:p>
        </w:tc>
        <w:tc>
          <w:tcPr>
            <w:tcW w:w="2548" w:type="dxa"/>
            <w:tcBorders>
              <w:top w:val="single" w:sz="6" w:space="0" w:color="auto"/>
              <w:left w:val="single" w:sz="6" w:space="0" w:color="auto"/>
              <w:bottom w:val="single" w:sz="6" w:space="0" w:color="auto"/>
              <w:right w:val="single" w:sz="6" w:space="0" w:color="auto"/>
            </w:tcBorders>
            <w:hideMark/>
          </w:tcPr>
          <w:p w14:paraId="1A140AE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FCD: Ball and colleagues’ (2020) criteria </w:t>
            </w:r>
            <w:r w:rsidRPr="00874C50">
              <w:rPr>
                <w:rFonts w:ascii="Calibri" w:eastAsiaTheme="majorEastAsia" w:hAnsi="Calibri" w:cs="Calibri"/>
                <w:vertAlign w:val="superscript"/>
              </w:rPr>
              <w:t>a</w:t>
            </w:r>
            <w:r w:rsidRPr="00874C50">
              <w:rPr>
                <w:rFonts w:ascii="Calibri" w:eastAsiaTheme="majorEastAsia" w:hAnsi="Calibri" w:cs="Calibri"/>
              </w:rPr>
              <w:t>.</w:t>
            </w:r>
          </w:p>
          <w:p w14:paraId="0DF31FA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SCI: n/r</w:t>
            </w:r>
          </w:p>
        </w:tc>
        <w:tc>
          <w:tcPr>
            <w:tcW w:w="1349" w:type="dxa"/>
            <w:tcBorders>
              <w:top w:val="single" w:sz="6" w:space="0" w:color="auto"/>
              <w:left w:val="single" w:sz="6" w:space="0" w:color="auto"/>
              <w:bottom w:val="single" w:sz="6" w:space="0" w:color="auto"/>
              <w:right w:val="single" w:sz="6" w:space="0" w:color="auto"/>
            </w:tcBorders>
            <w:hideMark/>
          </w:tcPr>
          <w:p w14:paraId="43130EE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3978*</w:t>
            </w:r>
          </w:p>
          <w:p w14:paraId="4D30AD8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79 years (range: 30-102) </w:t>
            </w:r>
          </w:p>
          <w:p w14:paraId="5F7F0C6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57% female </w:t>
            </w:r>
          </w:p>
        </w:tc>
        <w:tc>
          <w:tcPr>
            <w:tcW w:w="1048" w:type="dxa"/>
            <w:tcBorders>
              <w:top w:val="single" w:sz="6" w:space="0" w:color="auto"/>
              <w:left w:val="single" w:sz="6" w:space="0" w:color="auto"/>
              <w:bottom w:val="single" w:sz="6" w:space="0" w:color="auto"/>
              <w:right w:val="single" w:sz="6" w:space="0" w:color="auto"/>
            </w:tcBorders>
            <w:hideMark/>
          </w:tcPr>
          <w:p w14:paraId="280BDA3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2386 (46) </w:t>
            </w:r>
          </w:p>
        </w:tc>
        <w:tc>
          <w:tcPr>
            <w:tcW w:w="749" w:type="dxa"/>
            <w:tcBorders>
              <w:top w:val="single" w:sz="6" w:space="0" w:color="auto"/>
              <w:left w:val="single" w:sz="6" w:space="0" w:color="auto"/>
              <w:bottom w:val="single" w:sz="6" w:space="0" w:color="auto"/>
              <w:right w:val="single" w:sz="6" w:space="0" w:color="auto"/>
            </w:tcBorders>
            <w:hideMark/>
          </w:tcPr>
          <w:p w14:paraId="69BFEB3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634 (17) </w:t>
            </w:r>
          </w:p>
        </w:tc>
        <w:tc>
          <w:tcPr>
            <w:tcW w:w="749" w:type="dxa"/>
            <w:tcBorders>
              <w:top w:val="single" w:sz="6" w:space="0" w:color="auto"/>
              <w:left w:val="single" w:sz="6" w:space="0" w:color="auto"/>
              <w:bottom w:val="single" w:sz="6" w:space="0" w:color="auto"/>
              <w:right w:val="single" w:sz="6" w:space="0" w:color="auto"/>
            </w:tcBorders>
            <w:hideMark/>
          </w:tcPr>
          <w:p w14:paraId="02AF786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44 (1)</w:t>
            </w:r>
            <w:r w:rsidRPr="00874C50">
              <w:rPr>
                <w:rFonts w:ascii="Calibri" w:eastAsiaTheme="majorEastAsia" w:hAnsi="Calibri" w:cs="Calibri"/>
                <w:vertAlign w:val="superscript"/>
              </w:rPr>
              <w:t>b</w:t>
            </w:r>
            <w:r w:rsidRPr="00874C50">
              <w:rPr>
                <w:rFonts w:ascii="Calibri" w:eastAsiaTheme="majorEastAsia" w:hAnsi="Calibri" w:cs="Calibri"/>
              </w:rPr>
              <w:t> </w:t>
            </w:r>
          </w:p>
        </w:tc>
        <w:tc>
          <w:tcPr>
            <w:tcW w:w="748" w:type="dxa"/>
            <w:tcBorders>
              <w:top w:val="single" w:sz="6" w:space="0" w:color="auto"/>
              <w:left w:val="single" w:sz="6" w:space="0" w:color="auto"/>
              <w:bottom w:val="single" w:sz="6" w:space="0" w:color="auto"/>
              <w:right w:val="single" w:sz="6" w:space="0" w:color="auto"/>
            </w:tcBorders>
            <w:hideMark/>
          </w:tcPr>
          <w:p w14:paraId="20AA853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16 (0.4) </w:t>
            </w:r>
          </w:p>
        </w:tc>
        <w:tc>
          <w:tcPr>
            <w:tcW w:w="2098" w:type="dxa"/>
            <w:tcBorders>
              <w:top w:val="single" w:sz="6" w:space="0" w:color="auto"/>
              <w:left w:val="single" w:sz="6" w:space="0" w:color="auto"/>
              <w:bottom w:val="single" w:sz="6" w:space="0" w:color="auto"/>
              <w:right w:val="single" w:sz="6" w:space="0" w:color="auto"/>
            </w:tcBorders>
            <w:hideMark/>
          </w:tcPr>
          <w:p w14:paraId="48C6917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627 (16.9) other diagnosis/ no diagnosis given</w:t>
            </w:r>
          </w:p>
        </w:tc>
      </w:tr>
      <w:tr w:rsidR="00E268AC" w:rsidRPr="00874C50" w14:paraId="0AE8851F"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6C46F13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Ekman et al. 2020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{"citationID":"g5mY3TQJ","properties":{"formattedCitation":"(21)","plainCitation":"(21)","noteIndex":0},"citationItems":[{"id":52,"uris":["http://zotero.org/groups/6084669/items/SIG8ZS52"],"itemData":{"id":52,"type":"article-journal","abstract":"Abstract\n            \n              Background\n              There remains a lack of large-scale clinical studies of cognitive impairment that aim to increase diagnostic and prognostic accuracy as well as validate previous research findings. The MemClin project will amass large quantities of cross-disciplinary data allowing for the construction of robust models to improve diagnostic accuracy, expand our knowledge on differential diagnostics, strengthen longitudinal prognosis, and harmonise examination protocols across centres. The current article describes the Memory Clinic (MemClin) project’s study-design, materials and methods, and patient characteristics. In addition, we present preliminary descriptive data from the ongoing data collection.\n            \n            \n              Methods\n              Nine out of ten memory clinics in the greater Stockholm area, which largely use the same examination methods, are included. The data collection of patients with different stages of cognitive impairment and dementia is coordinated centrally allowing for efficient and secure large-scale database construction. The MemClin project rest directly on the memory clinics examinations with cognitive measures, health parameters, and biomarkers.\n            \n            \n              Results\n              Currently, the MemClin project has informed consent from 1543 patients. Herein, we present preliminary data from 835 patients with confirmed cognitive diagnosis and neuropsychological test data available. Of those, 239 had dementia, 487 mild cognitive impairment (MCI), and 104 subjective cognitive impairment (SCI). In addition, we present descriptive data on visual ratings of brain atrophy and cerebrospinal fluid markers.\n            \n            \n              Conclusions\n              Based on our current progress and preliminary data, the MemClin project has a high potential to provide a large-scale database of 1200–1500 new patients annually. This coordinated data collection will allow for the construction of improved diagnostic and prognostic models for neurodegenerative disorders and other cognitive conditions in their naturalistic setting.","container-title":"BMC Geriatrics","DOI":"10.1186/s12877-020-1478-3","ISSN":"1471-2318","issue":"1","journalAbbreviation":"BMC Geriatr","language":"en","page":"93","source":"DOI.org (Crossref)","title":"The MemClin project: a prospective multi memory clinics study targeting early stages of cognitive impairment","title-short":"The MemClin project","volume":"20","author":[{"family":"Ekman","given":"Urban"},{"family":"Ferreira","given":"Daniel"},{"family":"Muehlboeck","given":"J-Sebastian"},{"family":"Wallert","given":"John"},{"family":"Rennie","given":"Anna"},{"family":"Eriksdotter","given":"Maria"},{"family":"Wahlund","given":"Lars-Olof"},{"family":"Westman","given":"Eric"}],"issued":{"date-parts":[["2020",12]]}}}],"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(21)</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789FA6E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Nine memory clinics across Sweden involved in the </w:t>
            </w:r>
            <w:proofErr w:type="spellStart"/>
            <w:r w:rsidRPr="00874C50">
              <w:rPr>
                <w:rFonts w:ascii="Calibri" w:eastAsiaTheme="majorEastAsia" w:hAnsi="Calibri" w:cs="Calibri"/>
              </w:rPr>
              <w:t>MemClin</w:t>
            </w:r>
            <w:proofErr w:type="spellEnd"/>
            <w:r w:rsidRPr="00874C50">
              <w:rPr>
                <w:rFonts w:ascii="Calibri" w:eastAsiaTheme="majorEastAsia" w:hAnsi="Calibri" w:cs="Calibri"/>
              </w:rPr>
              <w:t xml:space="preserve"> project.</w:t>
            </w:r>
          </w:p>
        </w:tc>
        <w:tc>
          <w:tcPr>
            <w:tcW w:w="2547" w:type="dxa"/>
            <w:tcBorders>
              <w:top w:val="single" w:sz="6" w:space="0" w:color="auto"/>
              <w:left w:val="single" w:sz="6" w:space="0" w:color="auto"/>
              <w:bottom w:val="single" w:sz="6" w:space="0" w:color="auto"/>
              <w:right w:val="single" w:sz="6" w:space="0" w:color="auto"/>
            </w:tcBorders>
            <w:hideMark/>
          </w:tcPr>
          <w:p w14:paraId="1FD2346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preliminarily examined in primary care, referred onward for further evaluation of cognitive impairment.</w:t>
            </w:r>
          </w:p>
        </w:tc>
        <w:tc>
          <w:tcPr>
            <w:tcW w:w="2548" w:type="dxa"/>
            <w:tcBorders>
              <w:top w:val="single" w:sz="6" w:space="0" w:color="auto"/>
              <w:left w:val="single" w:sz="6" w:space="0" w:color="auto"/>
              <w:bottom w:val="single" w:sz="6" w:space="0" w:color="auto"/>
              <w:right w:val="single" w:sz="6" w:space="0" w:color="auto"/>
            </w:tcBorders>
            <w:hideMark/>
          </w:tcPr>
          <w:p w14:paraId="5E30F01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SCI: no evidence of neurodegeneration in line with ICD-10 criteria </w:t>
            </w:r>
            <w:r w:rsidRPr="00874C50">
              <w:rPr>
                <w:rFonts w:ascii="Calibri" w:eastAsiaTheme="majorEastAsia" w:hAnsi="Calibri" w:cs="Calibri"/>
                <w:vertAlign w:val="superscript"/>
              </w:rPr>
              <w:t>a</w:t>
            </w:r>
            <w:r w:rsidRPr="00874C50">
              <w:rPr>
                <w:rFonts w:ascii="Calibri" w:eastAsiaTheme="majorEastAsia" w:hAnsi="Calibri" w:cs="Calibri"/>
              </w:rPr>
              <w:t>.</w:t>
            </w:r>
          </w:p>
        </w:tc>
        <w:tc>
          <w:tcPr>
            <w:tcW w:w="1349" w:type="dxa"/>
            <w:tcBorders>
              <w:top w:val="single" w:sz="6" w:space="0" w:color="auto"/>
              <w:left w:val="single" w:sz="6" w:space="0" w:color="auto"/>
              <w:bottom w:val="single" w:sz="6" w:space="0" w:color="auto"/>
              <w:right w:val="single" w:sz="6" w:space="0" w:color="auto"/>
            </w:tcBorders>
            <w:hideMark/>
          </w:tcPr>
          <w:p w14:paraId="1678782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830*</w:t>
            </w:r>
          </w:p>
          <w:p w14:paraId="26A748E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77.9 (6.2) years </w:t>
            </w:r>
          </w:p>
          <w:p w14:paraId="7AA5086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414 (49.9)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48" w:type="dxa"/>
            <w:tcBorders>
              <w:top w:val="single" w:sz="6" w:space="0" w:color="auto"/>
              <w:left w:val="single" w:sz="6" w:space="0" w:color="auto"/>
              <w:bottom w:val="single" w:sz="6" w:space="0" w:color="auto"/>
              <w:right w:val="single" w:sz="6" w:space="0" w:color="auto"/>
            </w:tcBorders>
            <w:hideMark/>
          </w:tcPr>
          <w:p w14:paraId="2841527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239 (28.6) </w:t>
            </w:r>
          </w:p>
        </w:tc>
        <w:tc>
          <w:tcPr>
            <w:tcW w:w="749" w:type="dxa"/>
            <w:tcBorders>
              <w:top w:val="single" w:sz="6" w:space="0" w:color="auto"/>
              <w:left w:val="single" w:sz="6" w:space="0" w:color="auto"/>
              <w:bottom w:val="single" w:sz="6" w:space="0" w:color="auto"/>
              <w:right w:val="single" w:sz="6" w:space="0" w:color="auto"/>
            </w:tcBorders>
            <w:hideMark/>
          </w:tcPr>
          <w:p w14:paraId="6D060F8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487 (58.3) </w:t>
            </w:r>
          </w:p>
        </w:tc>
        <w:tc>
          <w:tcPr>
            <w:tcW w:w="749" w:type="dxa"/>
            <w:tcBorders>
              <w:top w:val="single" w:sz="6" w:space="0" w:color="auto"/>
              <w:left w:val="single" w:sz="6" w:space="0" w:color="auto"/>
              <w:bottom w:val="single" w:sz="6" w:space="0" w:color="auto"/>
              <w:right w:val="single" w:sz="6" w:space="0" w:color="auto"/>
            </w:tcBorders>
            <w:hideMark/>
          </w:tcPr>
          <w:p w14:paraId="1C8E7587"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104 (12.5) </w:t>
            </w:r>
          </w:p>
        </w:tc>
        <w:tc>
          <w:tcPr>
            <w:tcW w:w="748" w:type="dxa"/>
            <w:tcBorders>
              <w:top w:val="single" w:sz="6" w:space="0" w:color="auto"/>
              <w:left w:val="single" w:sz="6" w:space="0" w:color="auto"/>
              <w:bottom w:val="single" w:sz="6" w:space="0" w:color="auto"/>
              <w:right w:val="single" w:sz="6" w:space="0" w:color="auto"/>
            </w:tcBorders>
            <w:hideMark/>
          </w:tcPr>
          <w:p w14:paraId="203F7A9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2098" w:type="dxa"/>
            <w:tcBorders>
              <w:top w:val="single" w:sz="6" w:space="0" w:color="auto"/>
              <w:left w:val="single" w:sz="6" w:space="0" w:color="auto"/>
              <w:bottom w:val="single" w:sz="6" w:space="0" w:color="auto"/>
              <w:right w:val="single" w:sz="6" w:space="0" w:color="auto"/>
            </w:tcBorders>
            <w:hideMark/>
          </w:tcPr>
          <w:p w14:paraId="3E4F7FD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 (0.6) psychiatric, behavioural, alcohol related, etc.</w:t>
            </w:r>
          </w:p>
        </w:tc>
      </w:tr>
      <w:tr w:rsidR="00E268AC" w:rsidRPr="00874C50" w14:paraId="008C473C"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1547AF3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Grewal et al. 2023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{"citationID":"eWjLoxDB","properties":{"formattedCitation":"(22)","plainCitation":"(22)","noteIndex":0},"citationItems":[{"id":58,"uris":["http://zotero.org/groups/6084669/items/3LXNQVLT"],"itemData":{"id":58,"type":"article-journal","container-title":"Applied Neuropsychology: Adult","DOI":"10.1080/23279095.2021.1970552","ISSN":"2327-9095, 2327-9109","issue":"6","journalAbbreviation":"Applied Neuropsychology: Adult","language":"en","page":"639-648","source":"DOI.org (Crossref)","title":"Intraindividual variability measured with dispersion across diagnostic groups in a memory clinic sample","volume":"30","author":[{"family":"Grewal","given":"Karl S."},{"family":"O’Connell","given":"Megan E."},{"family":"Kirk","given":"Andrew"},{"family":"MacDonald","given":"Stuart W. S."},{"family":"Morgan","given":"Debra"}],"issued":{"date-parts":[["2023",11,2]]}}}],"schema":"https://github.com/citation-style-language/schema/raw/master/csl-citation.json"}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(22)</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7A195FE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Rural and Remote Memory Clinic, Canada </w:t>
            </w:r>
          </w:p>
        </w:tc>
        <w:tc>
          <w:tcPr>
            <w:tcW w:w="2547" w:type="dxa"/>
            <w:tcBorders>
              <w:top w:val="single" w:sz="6" w:space="0" w:color="auto"/>
              <w:left w:val="single" w:sz="6" w:space="0" w:color="auto"/>
              <w:bottom w:val="single" w:sz="6" w:space="0" w:color="auto"/>
              <w:right w:val="single" w:sz="6" w:space="0" w:color="auto"/>
            </w:tcBorders>
            <w:hideMark/>
          </w:tcPr>
          <w:p w14:paraId="3A808D4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being evaluated for cognitive impairment.</w:t>
            </w:r>
          </w:p>
        </w:tc>
        <w:tc>
          <w:tcPr>
            <w:tcW w:w="2548" w:type="dxa"/>
            <w:tcBorders>
              <w:top w:val="single" w:sz="6" w:space="0" w:color="auto"/>
              <w:left w:val="single" w:sz="6" w:space="0" w:color="auto"/>
              <w:bottom w:val="single" w:sz="6" w:space="0" w:color="auto"/>
              <w:right w:val="single" w:sz="6" w:space="0" w:color="auto"/>
            </w:tcBorders>
            <w:hideMark/>
          </w:tcPr>
          <w:p w14:paraId="70B9133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SCI: Jessen and colleagues’ (2014) criteria </w:t>
            </w:r>
            <w:r w:rsidRPr="00874C50">
              <w:rPr>
                <w:rFonts w:ascii="Calibri" w:eastAsiaTheme="majorEastAsia" w:hAnsi="Calibri" w:cs="Calibri"/>
              </w:rPr>
              <w:fldChar w:fldCharType="begin"/>
            </w:r>
            <w:r w:rsidRPr="00874C50">
              <w:rPr>
                <w:rFonts w:ascii="Calibri" w:eastAsiaTheme="majorEastAsia" w:hAnsi="Calibri" w:cs="Calibri"/>
              </w:rPr>
              <w:instrText xml:space="preserve"> ADDIN ZOTERO_ITEM CSL_CITATION {"citationID":"hMrJQjL2","properties":{"formattedCitation":"(4)","plainCitation":"(4)","noteIndex":0},"citationItems":[{"id":77,"uris":["http://zotero.org/groups/6084669/items/3SGJQPUH"],"itemData":{"id":77,"type":"article-journal","abstract":"Abstract\n            \n              \n              \n                There is increasing evidence that subjective cognitive decline (SCD) in individuals with unimpaired performance on cognitive tests may represent the first symptomatic manifestation of Alzheimer's disease (AD). The research on SCD in early AD, however, is limited by the absence of common standards. The working group of the Subjective Cognitive Decline Initiative (SCD‐I) addressed this deficiency by reaching consensus on terminology and on a conceptual framework for research on SCD in AD. In this publication, research criteria for SCD in pre‐mild cognitive impairment (MCI) are presented. In addition, a list of core features proposed for reporting in SCD studies is provided, which will enable comparability of research across different settings. Finally, a set of features is presented, which in accordance with current knowledge, increases the likelihood of the presence of preclinical AD in individuals with SCD. This list is referred to as SCD\n                plus\n                .","container-title":"Alzheimer's &amp; Dementia","DOI":"10.1016/j.jalz.2014.01.001","ISSN":"1552-5260, 1552-5279","issue":"6","journalAbbreviation":"Alzheimer's &amp; Dementia","language":"en","page":"844-852","source":"DOI.org (Crossref)","title":"A conceptual framework for research on subjective cognitive decline in preclinical Alzheimer's disease","volume":"10","author":[{"family":"Jessen","given":"Frank"},{"family":"Amariglio","given":"Rebecca E."},{"family":"Van Boxtel","given":"Martin"},{"family":"Breteler","given":"Monique"},{"family":"Ceccaldi","given":"Mathieu"},{"family":"Chételat","given":"Gaël"},{"family":"Dubois","given":"Bruno"},{"family":"Dufouil","given":"Carole"},{"family":"Ellis","given":"Kathryn A."},{"family":"Van Der Flier","given":"Wiesje M."},{"family":"Glodzik","given":"Lidia"},{"family":"Van Harten","given":"Argonde C."},{"family":"De Leon","given":"Mony J."},{"family":"McHugh","given":"Pauline"},{"family":"Mielke","given":"Michelle M."},{"family":"Molinuevo","given":"Jose Luis"},{"family":"Mosconi","given":"Lisa"},{"family":"Osorio","given":"Ricardo S."},{"family":"Perrotin","given":"Audrey"},{"family":"Petersen","given":"Ronald C."},{"family":"Rabin","given":"Laura A."},{"family":"Rami","given":"Lorena"},{"family":"Reisberg","given":"Barry"},{"family":"Rentz","given":"Dorene M."},{"family":"Sachdev","given":"Perminder S."},{"family":"De La Sayette","given":"Vincent"},{"family":"Saykin","given":"Andrew J."},{"family":"Scheltens","given":"Philip"},{"family":"Shulman","given":"Melanie B."},{"family":"Slavin","given":"Melissa J."},{"family":"Sperling","given":"Reisa A."},{"family":"Stewart","given":"Robert"},{"family":"Uspenskaya","given":"Olga"},{"family":"Vellas","given":"Bruno"},{"family":"Visser","given":"Pieter Jelle"},{"family":"Wagner","given":"Michael"},{"literal":"Subjective Cognitive Decline Initiative (SCD‐I) Working Group"}],"issued":{"date-parts":[["2014",11]]}}}],"schema":"https://github.com/citation-style-language/schema/raw/master/csl-citation.json"}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(4)</w:t>
            </w:r>
            <w:r w:rsidRPr="00874C50">
              <w:rPr>
                <w:rFonts w:ascii="Calibri" w:eastAsiaTheme="majorEastAsia" w:hAnsi="Calibri" w:cs="Calibri"/>
              </w:rPr>
              <w:fldChar w:fldCharType="end"/>
            </w:r>
            <w:r w:rsidRPr="00874C50">
              <w:rPr>
                <w:rFonts w:ascii="Calibri" w:eastAsiaTheme="majorEastAsia" w:hAnsi="Calibri" w:cs="Calibri"/>
              </w:rPr>
              <w:t>.   </w:t>
            </w:r>
          </w:p>
        </w:tc>
        <w:tc>
          <w:tcPr>
            <w:tcW w:w="1349" w:type="dxa"/>
            <w:tcBorders>
              <w:top w:val="single" w:sz="6" w:space="0" w:color="auto"/>
              <w:left w:val="single" w:sz="6" w:space="0" w:color="auto"/>
              <w:bottom w:val="single" w:sz="6" w:space="0" w:color="auto"/>
              <w:right w:val="single" w:sz="6" w:space="0" w:color="auto"/>
            </w:tcBorders>
            <w:hideMark/>
          </w:tcPr>
          <w:p w14:paraId="072416A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149</w:t>
            </w:r>
          </w:p>
          <w:p w14:paraId="0E86CD15"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66.4 (12.4) years </w:t>
            </w:r>
          </w:p>
          <w:p w14:paraId="6476571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84 (56.4)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48" w:type="dxa"/>
            <w:tcBorders>
              <w:top w:val="single" w:sz="6" w:space="0" w:color="auto"/>
              <w:left w:val="single" w:sz="6" w:space="0" w:color="auto"/>
              <w:bottom w:val="single" w:sz="6" w:space="0" w:color="auto"/>
              <w:right w:val="single" w:sz="6" w:space="0" w:color="auto"/>
            </w:tcBorders>
            <w:hideMark/>
          </w:tcPr>
          <w:p w14:paraId="2AF93ED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AD, 48 (32.2)</w:t>
            </w:r>
          </w:p>
        </w:tc>
        <w:tc>
          <w:tcPr>
            <w:tcW w:w="749" w:type="dxa"/>
            <w:tcBorders>
              <w:top w:val="single" w:sz="6" w:space="0" w:color="auto"/>
              <w:left w:val="single" w:sz="6" w:space="0" w:color="auto"/>
              <w:bottom w:val="single" w:sz="6" w:space="0" w:color="auto"/>
              <w:right w:val="single" w:sz="6" w:space="0" w:color="auto"/>
            </w:tcBorders>
            <w:hideMark/>
          </w:tcPr>
          <w:p w14:paraId="36EBA9C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aMCI, 16 (10.7) </w:t>
            </w:r>
          </w:p>
        </w:tc>
        <w:tc>
          <w:tcPr>
            <w:tcW w:w="749" w:type="dxa"/>
            <w:tcBorders>
              <w:top w:val="single" w:sz="6" w:space="0" w:color="auto"/>
              <w:left w:val="single" w:sz="6" w:space="0" w:color="auto"/>
              <w:bottom w:val="single" w:sz="6" w:space="0" w:color="auto"/>
              <w:right w:val="single" w:sz="6" w:space="0" w:color="auto"/>
            </w:tcBorders>
            <w:hideMark/>
          </w:tcPr>
          <w:p w14:paraId="09DBEBB7"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85 (57) </w:t>
            </w:r>
          </w:p>
        </w:tc>
        <w:tc>
          <w:tcPr>
            <w:tcW w:w="748" w:type="dxa"/>
            <w:tcBorders>
              <w:top w:val="single" w:sz="6" w:space="0" w:color="auto"/>
              <w:left w:val="single" w:sz="6" w:space="0" w:color="auto"/>
              <w:bottom w:val="single" w:sz="6" w:space="0" w:color="auto"/>
              <w:right w:val="single" w:sz="6" w:space="0" w:color="auto"/>
            </w:tcBorders>
            <w:hideMark/>
          </w:tcPr>
          <w:p w14:paraId="54EE917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 </w:t>
            </w:r>
          </w:p>
        </w:tc>
        <w:tc>
          <w:tcPr>
            <w:tcW w:w="2098" w:type="dxa"/>
            <w:tcBorders>
              <w:top w:val="single" w:sz="6" w:space="0" w:color="auto"/>
              <w:left w:val="single" w:sz="6" w:space="0" w:color="auto"/>
              <w:bottom w:val="single" w:sz="6" w:space="0" w:color="auto"/>
              <w:right w:val="single" w:sz="6" w:space="0" w:color="auto"/>
            </w:tcBorders>
            <w:hideMark/>
          </w:tcPr>
          <w:p w14:paraId="5F4F4EB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 </w:t>
            </w:r>
          </w:p>
        </w:tc>
      </w:tr>
      <w:tr w:rsidR="00E268AC" w:rsidRPr="00874C50" w14:paraId="3808A688"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2095807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lastRenderedPageBreak/>
              <w:t>Heikkinen et al. 2024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{"citationID":"0klZGXDC","properties":{"formattedCitation":"(23)","plainCitation":"(23)","noteIndex":0},"citationItems":[{"id":61,"uris":["http://zotero.org/groups/6084669/items/KKSX2EED"],"itemData":{"id":61,"type":"article-journal","abstract":"Background:\n              Although early-onset dementia (EOD) is associated with diagnostic challenges that differ from those of related to late-onset dementia, only limited studies have addressed the neuropsychological and health characteristics or specified the diagnoses underlying early-onset cognitive impairment in a real-world clinical setting.\n            \n            \n              Objective:\n              To investigate the neuropsychological profiles, etiologies, and comorbidities of an unselected cohort of memory clinic patients (≤65 years at symptom onset).\n            \n            \n              Methods:\n              The patients’ ( n = 210) diagnoses were determined based on comprehensive diagnostic workup. Medical comorbidities and neuropsychological profiles were compared between clinically relevant patient groups, namely early-onset dementia ( n = 55), mild cognitive impairment due to vascular or suspected neurodegenerative (MCI-n, n = 35) or non-neurodegenerative (MCI-o, n = 106) etiologies, and subjective cognitive decline ( n = 14).\n            \n            \n              Results:\n              The most prevalent diagnoses were Alzheimer’s disease (AD, 14%) and depression (11%). Multiple prior medical conditions were common (67%); however, EOD patients had fewer other diagnoses ( p = 0.008) than MCI-o patients. Compared to other groups, EOD patients had more severe deficits ( p &lt; 0.001) on immediate and delayed memory, processing speed, symptom awareness, and global cognition. AD patients had weaker memory retention ability but less behavioral symptoms than frontotemporal dementia (FTD) patients ( p≤0.05). Depression was associated with better immediate memory, symptom awareness, and global cognition than AD and FTD ( p &lt; 0.05).\n            \n            \n              Conclusions:\n              EOD is associated with more severe and widespread neuropsychological deficits but fewer prior medical diagnoses than nondegenerative etiologies of cognitive impairment. AD and depression are common etiologies and the neuropsychological profiles are partly overlapping; however, memory, symptom awareness and global cognitive impairment measures may help in the differential diagnosis.","container-title":"Journal of Alzheimer’s Disease","DOI":"10.3233/JAD-230877","ISSN":"1387-2877, 1875-8908","issue":"4","journalAbbreviation":"Journal of Alzheimer’s Disease","language":"en","page":"1765-1776","source":"DOI.org (Crossref)","title":"Neuropsychological Profiles, Etiologies, and Medical Comorbidities in Early-Onset Dementia and Cognitive Impairment: A Memory Outpatient Clinic Cohort Study","title-short":"Neuropsychological Profiles, Etiologies, and Medical Comorbidities in Early-Onset Dementia and Cognitive Impairment","volume":"97","author":[{"family":"Heikkinen","given":"Anna-Leena"},{"family":"Paajanen","given":"Teemu I."},{"family":"Hänninen","given":"Tuomo"},{"family":"Tikkanen","given":"Veera"},{"family":"Hublin","given":"Christer"},{"family":"Koivisto","given":"Anne M."},{"family":"Remes","given":"Anne M."},{"family":"Krüger","given":"Johanna"}],"issued":{"date-parts":[["2024",2,13]]}}}],"schema":"https://github.com/citation-style-language/schema/raw/master/csl-citation.json"}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(23)</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226E53D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Memory outpatient clinics across Finland for people aged &lt;66 years.</w:t>
            </w:r>
          </w:p>
        </w:tc>
        <w:tc>
          <w:tcPr>
            <w:tcW w:w="2547" w:type="dxa"/>
            <w:tcBorders>
              <w:top w:val="single" w:sz="6" w:space="0" w:color="auto"/>
              <w:left w:val="single" w:sz="6" w:space="0" w:color="auto"/>
              <w:bottom w:val="single" w:sz="6" w:space="0" w:color="auto"/>
              <w:right w:val="single" w:sz="6" w:space="0" w:color="auto"/>
            </w:tcBorders>
            <w:hideMark/>
          </w:tcPr>
          <w:p w14:paraId="7D940336" w14:textId="77777777" w:rsidR="00E268AC" w:rsidRPr="00874C50" w:rsidRDefault="00E268AC" w:rsidP="00EA0E24">
            <w:pPr>
              <w:spacing w:after="6" w:line="240" w:lineRule="auto"/>
              <w:rPr>
                <w:rFonts w:ascii="Calibri" w:eastAsiaTheme="majorEastAsia" w:hAnsi="Calibri" w:cs="Calibri"/>
                <w:lang w:val="en-US"/>
              </w:rPr>
            </w:pPr>
            <w:r w:rsidRPr="00874C50">
              <w:rPr>
                <w:rFonts w:ascii="Calibri" w:eastAsiaTheme="majorEastAsia" w:hAnsi="Calibri" w:cs="Calibri"/>
              </w:rPr>
              <w:t>Patients (age ≤65 years) with</w:t>
            </w:r>
          </w:p>
          <w:p w14:paraId="324C207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neuropsychological symptoms referred for diagnostic evaluation.</w:t>
            </w:r>
          </w:p>
        </w:tc>
        <w:tc>
          <w:tcPr>
            <w:tcW w:w="2548" w:type="dxa"/>
            <w:tcBorders>
              <w:top w:val="single" w:sz="6" w:space="0" w:color="auto"/>
              <w:left w:val="single" w:sz="6" w:space="0" w:color="auto"/>
              <w:bottom w:val="single" w:sz="6" w:space="0" w:color="auto"/>
              <w:right w:val="single" w:sz="6" w:space="0" w:color="auto"/>
            </w:tcBorders>
            <w:hideMark/>
          </w:tcPr>
          <w:p w14:paraId="2D8688C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SCD: Jessen and colleagues’ (2014) criteria.</w:t>
            </w:r>
          </w:p>
        </w:tc>
        <w:tc>
          <w:tcPr>
            <w:tcW w:w="1349" w:type="dxa"/>
            <w:tcBorders>
              <w:top w:val="single" w:sz="6" w:space="0" w:color="auto"/>
              <w:left w:val="single" w:sz="6" w:space="0" w:color="auto"/>
              <w:bottom w:val="single" w:sz="6" w:space="0" w:color="auto"/>
              <w:right w:val="single" w:sz="6" w:space="0" w:color="auto"/>
            </w:tcBorders>
            <w:hideMark/>
          </w:tcPr>
          <w:p w14:paraId="1D3993A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210</w:t>
            </w:r>
          </w:p>
          <w:p w14:paraId="44E16BD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57.6 (6.0) years </w:t>
            </w:r>
          </w:p>
          <w:p w14:paraId="16F2131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120 (57.1) </w:t>
            </w:r>
            <w:proofErr w:type="gramStart"/>
            <w:r w:rsidRPr="00874C50">
              <w:rPr>
                <w:rFonts w:ascii="Calibri" w:eastAsiaTheme="majorEastAsia" w:hAnsi="Calibri" w:cs="Calibri"/>
              </w:rPr>
              <w:t>female</w:t>
            </w:r>
            <w:proofErr w:type="gramEnd"/>
          </w:p>
        </w:tc>
        <w:tc>
          <w:tcPr>
            <w:tcW w:w="1048" w:type="dxa"/>
            <w:tcBorders>
              <w:top w:val="single" w:sz="6" w:space="0" w:color="auto"/>
              <w:left w:val="single" w:sz="6" w:space="0" w:color="auto"/>
              <w:bottom w:val="single" w:sz="6" w:space="0" w:color="auto"/>
              <w:right w:val="single" w:sz="6" w:space="0" w:color="auto"/>
            </w:tcBorders>
            <w:hideMark/>
          </w:tcPr>
          <w:p w14:paraId="5FD2E485"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EOD, 55 (26.2) </w:t>
            </w:r>
          </w:p>
        </w:tc>
        <w:tc>
          <w:tcPr>
            <w:tcW w:w="749" w:type="dxa"/>
            <w:tcBorders>
              <w:top w:val="single" w:sz="6" w:space="0" w:color="auto"/>
              <w:left w:val="single" w:sz="6" w:space="0" w:color="auto"/>
              <w:bottom w:val="single" w:sz="6" w:space="0" w:color="auto"/>
              <w:right w:val="single" w:sz="6" w:space="0" w:color="auto"/>
            </w:tcBorders>
            <w:hideMark/>
          </w:tcPr>
          <w:p w14:paraId="38959EA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141 (67.1) </w:t>
            </w:r>
          </w:p>
        </w:tc>
        <w:tc>
          <w:tcPr>
            <w:tcW w:w="749" w:type="dxa"/>
            <w:tcBorders>
              <w:top w:val="single" w:sz="6" w:space="0" w:color="auto"/>
              <w:left w:val="single" w:sz="6" w:space="0" w:color="auto"/>
              <w:bottom w:val="single" w:sz="6" w:space="0" w:color="auto"/>
              <w:right w:val="single" w:sz="6" w:space="0" w:color="auto"/>
            </w:tcBorders>
            <w:hideMark/>
          </w:tcPr>
          <w:p w14:paraId="5EF357E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14 (6.67) </w:t>
            </w:r>
          </w:p>
        </w:tc>
        <w:tc>
          <w:tcPr>
            <w:tcW w:w="748" w:type="dxa"/>
            <w:tcBorders>
              <w:top w:val="single" w:sz="6" w:space="0" w:color="auto"/>
              <w:left w:val="single" w:sz="6" w:space="0" w:color="auto"/>
              <w:bottom w:val="single" w:sz="6" w:space="0" w:color="auto"/>
              <w:right w:val="single" w:sz="6" w:space="0" w:color="auto"/>
            </w:tcBorders>
            <w:hideMark/>
          </w:tcPr>
          <w:p w14:paraId="388156A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2098" w:type="dxa"/>
            <w:tcBorders>
              <w:top w:val="single" w:sz="6" w:space="0" w:color="auto"/>
              <w:left w:val="single" w:sz="6" w:space="0" w:color="auto"/>
              <w:bottom w:val="single" w:sz="6" w:space="0" w:color="auto"/>
              <w:right w:val="single" w:sz="6" w:space="0" w:color="auto"/>
            </w:tcBorders>
            <w:hideMark/>
          </w:tcPr>
          <w:p w14:paraId="54E6DF1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 </w:t>
            </w:r>
          </w:p>
        </w:tc>
      </w:tr>
      <w:tr w:rsidR="00E268AC" w:rsidRPr="00874C50" w14:paraId="34DDE781"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tcPr>
          <w:p w14:paraId="3EE985F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Kao et al. 2019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{"citationID":"ZO7AlD5o","properties":{"formattedCitation":"(24)","plainCitation":"(24)","noteIndex":0},"citationItems":[{"id":64,"uris":["http://zotero.org/groups/6084669/items/ABT6B9HY"],"itemData":{"id":64,"type":"article-journal","abstract":"Objectives\n              To describe the distribution and estimate the mortality risks of degenerative dementias and nondegenerative conditions in a memory clinic.\n            \n            \n              Methods\n              We enrolled 727 consecutive patients with cognitive complaints who visited the memory clinic in Buddhist Tzu Chi General Hospital during 2013 to 2016. Three main diagnostic groups were defined: pure type dementia, in which only one type of dementia was diagnosed, such as Alzheimer disease (AD), vascular dementia (VaD), Parkinson disease with dementia (PDD), dementia with Lewy bodies (DLB), and frontotemporal dementia (FTD); mixed type dementia; and nondegenerative conditions. We described the frequency of different diagnoses and employed Cox proportional hazards regression models to examine the mortality risks for each diagnostic group after adjusting for age, sex, education, and cognitive status. All patients alive on or after September 30, 2018, were cen</w:instrText>
            </w:r>
            <w:r>
              <w:rPr>
                <w:rFonts w:ascii="Calibri" w:eastAsiaTheme="majorEastAsia" w:hAnsi="Calibri" w:cs="Calibri" w:hint="eastAsia"/>
              </w:rPr>
              <w:instrText>sored in the analysis.\n            \n            \n              Results\n              Two</w:instrText>
            </w:r>
            <w:r>
              <w:rPr>
                <w:rFonts w:ascii="Calibri" w:eastAsiaTheme="majorEastAsia" w:hAnsi="Calibri" w:cs="Calibri" w:hint="eastAsia"/>
              </w:rPr>
              <w:instrText>‐</w:instrText>
            </w:r>
            <w:r>
              <w:rPr>
                <w:rFonts w:ascii="Calibri" w:eastAsiaTheme="majorEastAsia" w:hAnsi="Calibri" w:cs="Calibri" w:hint="eastAsia"/>
              </w:rPr>
              <w:instrText>thirds of patients (n = 496, 68.2%) were diagnosed with degenerative dementias. Pure type to mixed type dementia ratio was about 2: 1. AD remained the most common pure dementia subtype, followed by VaD and PDD. Among all nondegenerative conditions, depression/anxiety and subjective cognitive decline were the most common diagnoses. During a mean follow</w:instrText>
            </w:r>
            <w:r>
              <w:rPr>
                <w:rFonts w:ascii="Calibri" w:eastAsiaTheme="majorEastAsia" w:hAnsi="Calibri" w:cs="Calibri" w:hint="eastAsia"/>
              </w:rPr>
              <w:instrText>‐</w:instrText>
            </w:r>
            <w:r>
              <w:rPr>
                <w:rFonts w:ascii="Calibri" w:eastAsiaTheme="majorEastAsia" w:hAnsi="Calibri" w:cs="Calibri" w:hint="eastAsia"/>
              </w:rPr>
              <w:instrText>up of 3.4 years, 150 deaths were documented, and the mortality risk was 61 deaths/1000 person</w:instrText>
            </w:r>
            <w:r>
              <w:rPr>
                <w:rFonts w:ascii="Calibri" w:eastAsiaTheme="majorEastAsia" w:hAnsi="Calibri" w:cs="Calibri" w:hint="eastAsia"/>
              </w:rPr>
              <w:instrText>‐</w:instrText>
            </w:r>
            <w:r>
              <w:rPr>
                <w:rFonts w:ascii="Calibri" w:eastAsiaTheme="majorEastAsia" w:hAnsi="Calibri" w:cs="Calibri" w:hint="eastAsia"/>
              </w:rPr>
              <w:instrText>years. Mortality risks were associated with age, sex, education, and cognitive function at diagnosis but did not differ by diagnostic group.\n            \n            \n              Conclusions\n              Clinical diagnoses for patients with cognitive complaints are diverse, and nearly one</w:instrText>
            </w:r>
            <w:r>
              <w:rPr>
                <w:rFonts w:ascii="Calibri" w:eastAsiaTheme="majorEastAsia" w:hAnsi="Calibri" w:cs="Calibri" w:hint="eastAsia"/>
              </w:rPr>
              <w:instrText>‐</w:instrText>
            </w:r>
            <w:r>
              <w:rPr>
                <w:rFonts w:ascii="Calibri" w:eastAsiaTheme="majorEastAsia" w:hAnsi="Calibri" w:cs="Calibri" w:hint="eastAsia"/>
              </w:rPr>
              <w:instrText>third are of nondegenerative conditions. Baseline cognitive function is a stronger predictor for survival than clinical diagnosis.","container-title":"International Journal of Geriat</w:instrText>
            </w:r>
            <w:r>
              <w:rPr>
                <w:rFonts w:ascii="Calibri" w:eastAsiaTheme="majorEastAsia" w:hAnsi="Calibri" w:cs="Calibri"/>
              </w:rPr>
              <w:instrText>ric Psychiatry","DOI":"10.1002/gps.5207","ISSN":"0885-6230, 1099-1166","issue":"12","journalAbbreviation":"Int J Geriat Psychiatry","language":"en","page":"1900-1906","source":"DOI.org (Crossref)","title":"Diagnostic diversity among patients with cognitiv</w:instrText>
            </w:r>
            <w:r>
              <w:rPr>
                <w:rFonts w:ascii="Calibri" w:eastAsiaTheme="majorEastAsia" w:hAnsi="Calibri" w:cs="Calibri" w:hint="eastAsia"/>
              </w:rPr>
              <w:instrText>e complaints: A 3</w:instrText>
            </w:r>
            <w:r>
              <w:rPr>
                <w:rFonts w:ascii="Calibri" w:eastAsiaTheme="majorEastAsia" w:hAnsi="Calibri" w:cs="Calibri" w:hint="eastAsia"/>
              </w:rPr>
              <w:instrText>‐</w:instrText>
            </w:r>
            <w:r>
              <w:rPr>
                <w:rFonts w:ascii="Calibri" w:eastAsiaTheme="majorEastAsia" w:hAnsi="Calibri" w:cs="Calibri" w:hint="eastAsia"/>
              </w:rPr>
              <w:instrText>year follow</w:instrText>
            </w:r>
            <w:r>
              <w:rPr>
                <w:rFonts w:ascii="Calibri" w:eastAsiaTheme="majorEastAsia" w:hAnsi="Calibri" w:cs="Calibri" w:hint="eastAsia"/>
              </w:rPr>
              <w:instrText>‐</w:instrText>
            </w:r>
            <w:r>
              <w:rPr>
                <w:rFonts w:ascii="Calibri" w:eastAsiaTheme="majorEastAsia" w:hAnsi="Calibri" w:cs="Calibri" w:hint="eastAsia"/>
              </w:rPr>
              <w:instrText>up study in a memory clinic","title-short":"Diagnostic diversity among patients with cognitive complaints","volume":"34","author":[{"family":"Kao","given":"Sheng</w:instrText>
            </w:r>
            <w:r>
              <w:rPr>
                <w:rFonts w:ascii="Calibri" w:eastAsiaTheme="majorEastAsia" w:hAnsi="Calibri" w:cs="Calibri" w:hint="eastAsia"/>
              </w:rPr>
              <w:instrText>‐</w:instrText>
            </w:r>
            <w:r>
              <w:rPr>
                <w:rFonts w:ascii="Calibri" w:eastAsiaTheme="majorEastAsia" w:hAnsi="Calibri" w:cs="Calibri" w:hint="eastAsia"/>
              </w:rPr>
              <w:instrText>Lun"},{"family":"Chen","given":"Shu</w:instrText>
            </w:r>
            <w:r>
              <w:rPr>
                <w:rFonts w:ascii="Calibri" w:eastAsiaTheme="majorEastAsia" w:hAnsi="Calibri" w:cs="Calibri" w:hint="eastAsia"/>
              </w:rPr>
              <w:instrText>‐</w:instrText>
            </w:r>
            <w:r>
              <w:rPr>
                <w:rFonts w:ascii="Calibri" w:eastAsiaTheme="majorEastAsia" w:hAnsi="Calibri" w:cs="Calibri" w:hint="eastAsia"/>
              </w:rPr>
              <w:instrText>Cin"},{"family":"Li","given":"Yu</w:instrText>
            </w:r>
            <w:r>
              <w:rPr>
                <w:rFonts w:ascii="Calibri" w:eastAsiaTheme="majorEastAsia" w:hAnsi="Calibri" w:cs="Calibri" w:hint="eastAsia"/>
              </w:rPr>
              <w:instrText>‐</w:instrText>
            </w:r>
            <w:r>
              <w:rPr>
                <w:rFonts w:ascii="Calibri" w:eastAsiaTheme="majorEastAsia" w:hAnsi="Calibri" w:cs="Calibri" w:hint="eastAsia"/>
              </w:rPr>
              <w:instrText xml:space="preserve">Ying"},{"family":"Lo","given":"Raymond Y."}],"issued":{"date-parts":[["2019",12]]}}}],"schema":"https://github.com/citation-style-language/schema/raw/master/csl-citation.json"}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(24)</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tcPr>
          <w:p w14:paraId="1FC48D4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Memory clinic at Buddhist Tzu Chi General Hospital, Taiwan.</w:t>
            </w:r>
          </w:p>
        </w:tc>
        <w:tc>
          <w:tcPr>
            <w:tcW w:w="2547" w:type="dxa"/>
            <w:tcBorders>
              <w:top w:val="single" w:sz="6" w:space="0" w:color="auto"/>
              <w:left w:val="single" w:sz="6" w:space="0" w:color="auto"/>
              <w:bottom w:val="single" w:sz="6" w:space="0" w:color="auto"/>
              <w:right w:val="single" w:sz="6" w:space="0" w:color="auto"/>
            </w:tcBorders>
          </w:tcPr>
          <w:p w14:paraId="526B9F2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being evaluated for cognitive impairment.</w:t>
            </w:r>
          </w:p>
        </w:tc>
        <w:tc>
          <w:tcPr>
            <w:tcW w:w="2548" w:type="dxa"/>
            <w:tcBorders>
              <w:top w:val="single" w:sz="6" w:space="0" w:color="auto"/>
              <w:left w:val="single" w:sz="6" w:space="0" w:color="auto"/>
              <w:bottom w:val="single" w:sz="6" w:space="0" w:color="auto"/>
              <w:right w:val="single" w:sz="6" w:space="0" w:color="auto"/>
            </w:tcBorders>
          </w:tcPr>
          <w:p w14:paraId="05C558E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SCD: Self‐reported cognitive decline not detected objectively on neuro-psychological testing.</w:t>
            </w:r>
          </w:p>
        </w:tc>
        <w:tc>
          <w:tcPr>
            <w:tcW w:w="1349" w:type="dxa"/>
            <w:tcBorders>
              <w:top w:val="single" w:sz="6" w:space="0" w:color="auto"/>
              <w:left w:val="single" w:sz="6" w:space="0" w:color="auto"/>
              <w:bottom w:val="single" w:sz="6" w:space="0" w:color="auto"/>
              <w:right w:val="single" w:sz="6" w:space="0" w:color="auto"/>
            </w:tcBorders>
          </w:tcPr>
          <w:p w14:paraId="7EF0AFE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727  </w:t>
            </w:r>
          </w:p>
          <w:p w14:paraId="7298C87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72.6 (12.2) years </w:t>
            </w:r>
          </w:p>
          <w:p w14:paraId="6A4E98C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423 (58.2)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48" w:type="dxa"/>
            <w:tcBorders>
              <w:top w:val="single" w:sz="6" w:space="0" w:color="auto"/>
              <w:left w:val="single" w:sz="6" w:space="0" w:color="auto"/>
              <w:bottom w:val="single" w:sz="6" w:space="0" w:color="auto"/>
              <w:right w:val="single" w:sz="6" w:space="0" w:color="auto"/>
            </w:tcBorders>
          </w:tcPr>
          <w:p w14:paraId="6446E7C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496 (68.2) </w:t>
            </w:r>
          </w:p>
          <w:p w14:paraId="0F367199" w14:textId="77777777" w:rsidR="00E268AC" w:rsidRPr="00874C50" w:rsidRDefault="00E268AC" w:rsidP="00EA0E24">
            <w:pPr>
              <w:spacing w:after="6" w:line="240" w:lineRule="auto"/>
              <w:rPr>
                <w:rFonts w:ascii="Calibri" w:eastAsiaTheme="majorEastAsia" w:hAnsi="Calibri" w:cs="Calibri"/>
                <w:lang w:val="en-US"/>
              </w:rPr>
            </w:pPr>
            <w:r w:rsidRPr="00874C50">
              <w:rPr>
                <w:rFonts w:ascii="Calibri" w:eastAsiaTheme="majorEastAsia" w:hAnsi="Calibri" w:cs="Calibri"/>
              </w:rPr>
              <w:t> </w:t>
            </w:r>
          </w:p>
        </w:tc>
        <w:tc>
          <w:tcPr>
            <w:tcW w:w="749" w:type="dxa"/>
            <w:tcBorders>
              <w:top w:val="single" w:sz="6" w:space="0" w:color="auto"/>
              <w:left w:val="single" w:sz="6" w:space="0" w:color="auto"/>
              <w:bottom w:val="single" w:sz="6" w:space="0" w:color="auto"/>
              <w:right w:val="single" w:sz="6" w:space="0" w:color="auto"/>
            </w:tcBorders>
          </w:tcPr>
          <w:p w14:paraId="36B0A5D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749" w:type="dxa"/>
            <w:tcBorders>
              <w:top w:val="single" w:sz="6" w:space="0" w:color="auto"/>
              <w:left w:val="single" w:sz="6" w:space="0" w:color="auto"/>
              <w:bottom w:val="single" w:sz="6" w:space="0" w:color="auto"/>
              <w:right w:val="single" w:sz="6" w:space="0" w:color="auto"/>
            </w:tcBorders>
          </w:tcPr>
          <w:p w14:paraId="31D6155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53 (7.3)  </w:t>
            </w:r>
          </w:p>
        </w:tc>
        <w:tc>
          <w:tcPr>
            <w:tcW w:w="748" w:type="dxa"/>
            <w:tcBorders>
              <w:top w:val="single" w:sz="6" w:space="0" w:color="auto"/>
              <w:left w:val="single" w:sz="6" w:space="0" w:color="auto"/>
              <w:bottom w:val="single" w:sz="6" w:space="0" w:color="auto"/>
              <w:right w:val="single" w:sz="6" w:space="0" w:color="auto"/>
            </w:tcBorders>
          </w:tcPr>
          <w:p w14:paraId="7CFDC9A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2098" w:type="dxa"/>
            <w:tcBorders>
              <w:top w:val="single" w:sz="6" w:space="0" w:color="auto"/>
              <w:left w:val="single" w:sz="6" w:space="0" w:color="auto"/>
              <w:bottom w:val="single" w:sz="6" w:space="0" w:color="auto"/>
              <w:right w:val="single" w:sz="6" w:space="0" w:color="auto"/>
            </w:tcBorders>
          </w:tcPr>
          <w:p w14:paraId="2F2EE397"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178 (24.5) non-degenerative conditions</w:t>
            </w:r>
          </w:p>
        </w:tc>
      </w:tr>
      <w:tr w:rsidR="00E268AC" w:rsidRPr="00874C50" w14:paraId="029003F7"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40071CED" w14:textId="77777777" w:rsidR="00E268AC" w:rsidRPr="00874C50" w:rsidRDefault="00E268AC" w:rsidP="00EA0E24">
            <w:pPr>
              <w:spacing w:after="6" w:line="240" w:lineRule="auto"/>
              <w:rPr>
                <w:rFonts w:ascii="Calibri" w:eastAsiaTheme="majorEastAsia" w:hAnsi="Calibri" w:cs="Calibri"/>
              </w:rPr>
            </w:pPr>
            <w:proofErr w:type="spellStart"/>
            <w:r w:rsidRPr="00874C50">
              <w:rPr>
                <w:rFonts w:ascii="Calibri" w:eastAsiaTheme="majorEastAsia" w:hAnsi="Calibri" w:cs="Calibri"/>
              </w:rPr>
              <w:t>Kosteniuk</w:t>
            </w:r>
            <w:proofErr w:type="spellEnd"/>
            <w:r w:rsidRPr="00874C50">
              <w:rPr>
                <w:rFonts w:ascii="Calibri" w:eastAsiaTheme="majorEastAsia" w:hAnsi="Calibri" w:cs="Calibri"/>
              </w:rPr>
              <w:t xml:space="preserve"> et al. 2023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{"citationID":"2kB6YzBU","properties":{"formattedCitation":"(25)","plainCitation":"(25)","noteIndex":0},"citationItems":[{"id":65,"uris":["http://zotero.org/groups/6084669/items/5PUH9W6B"],"itemData":{"id":65,"type":"article-journal","abstract":"Background\nLimited research exists on the use of specific health services over an extended time among rural persons with dementia. The study objective was to examine health service use over a 10-year period, five years before until five years after diagnosis in the specialist Rural and Remote Memory Clinic (RRMC).\nMethods\nClinical and administrative health data of RRMC patients were linked. Annual health service utilization of the cohort (N = 436) was analyzed for 416 patients pre-index (57.5% female, mean age 71.2 years) and 419 post-index (56.3% female, mean age 70.8 years). Approximately 40% of memory clinic diagnoses were Alzheimer’s disease (AD), 20% non-AD dementia, and 40% mild or subjective cognitive impairment or other condition. Post-index, 188 patients (44.9%) moved to permanent long-term care and were retained in the sample; 121 patients died (28.9%) and were removed yearly.\nResults\nOver the ten-year study period, a significant increase occurred in the average number of FP visits, all-type drug prescriptions, and dementia-specific drug prescriptions (all p &lt;.001). The highest proportion of patients hospitalized was observed one year pre-index, the highest average number of specialist visits was observed one year post-index, and both demonstrated a significant decreasing trend in the five-year post-index period (p = .037). \nConclusions\nA pattern of increasing FP visits and drug prescriptions over an extended period before and after diagnosis in a specialist rural and remote memory clinic highlights a need to support FPs in post-diagnostic management. Further research of longitudinal patterns in health service utilization is merited.","container-title":"Canadian Geriatrics Journal","DOI":"10.5770/cgj.26.653","ISSN":"1925-8348","issue":"3","journalAbbreviation":"Can Geriatr J","license":"https://creativecommons.org/licenses/by-nc-nd/4.0","page":"350-363","source":"DOI.org (Crossref)","title":"Utilization of Health Services Before and After Diagnosis in a Specialist Rural and Remote Memory Clinic","volume":"26","author":[{"family":"Kosteniuk","given":"Julie"},{"family":"Morgan","given":"Debra G."},{"family":"Acan Osman","given":"Beliz"},{"family":"Islam","given":"Naorin"},{"family":"O'Connell","given":"Megan E."},{"family":"Kirk","given":"Andrew"},{"family":"Quail","given":"Jacqueline M."},{"family":"Osman","given":"Meric"}],"issued":{"date-parts":[["2023",9,1]]}}}],"schema":"https://github.com/citation-style-language/schema/raw/master/csl-citation.json"}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(25)</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6BED7A8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Rural and Remote Memory Clinic, Canada </w:t>
            </w:r>
          </w:p>
        </w:tc>
        <w:tc>
          <w:tcPr>
            <w:tcW w:w="2547" w:type="dxa"/>
            <w:tcBorders>
              <w:top w:val="single" w:sz="6" w:space="0" w:color="auto"/>
              <w:left w:val="single" w:sz="6" w:space="0" w:color="auto"/>
              <w:bottom w:val="single" w:sz="6" w:space="0" w:color="auto"/>
              <w:right w:val="single" w:sz="6" w:space="0" w:color="auto"/>
            </w:tcBorders>
            <w:hideMark/>
          </w:tcPr>
          <w:p w14:paraId="1081688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being evaluated for cognitive impairment.</w:t>
            </w:r>
          </w:p>
        </w:tc>
        <w:tc>
          <w:tcPr>
            <w:tcW w:w="2548" w:type="dxa"/>
            <w:tcBorders>
              <w:top w:val="single" w:sz="6" w:space="0" w:color="auto"/>
              <w:left w:val="single" w:sz="6" w:space="0" w:color="auto"/>
              <w:bottom w:val="single" w:sz="6" w:space="0" w:color="auto"/>
              <w:right w:val="single" w:sz="6" w:space="0" w:color="auto"/>
            </w:tcBorders>
            <w:hideMark/>
          </w:tcPr>
          <w:p w14:paraId="4F92D4D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n/r </w:t>
            </w:r>
          </w:p>
        </w:tc>
        <w:tc>
          <w:tcPr>
            <w:tcW w:w="1349" w:type="dxa"/>
            <w:tcBorders>
              <w:top w:val="single" w:sz="6" w:space="0" w:color="auto"/>
              <w:left w:val="single" w:sz="6" w:space="0" w:color="auto"/>
              <w:bottom w:val="single" w:sz="6" w:space="0" w:color="auto"/>
              <w:right w:val="single" w:sz="6" w:space="0" w:color="auto"/>
            </w:tcBorders>
            <w:hideMark/>
          </w:tcPr>
          <w:p w14:paraId="4EFBE38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416</w:t>
            </w:r>
          </w:p>
          <w:p w14:paraId="30542DA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71.2 (11.1) years </w:t>
            </w:r>
          </w:p>
          <w:p w14:paraId="2867117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239 (57.5)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48" w:type="dxa"/>
            <w:tcBorders>
              <w:top w:val="single" w:sz="6" w:space="0" w:color="auto"/>
              <w:left w:val="single" w:sz="6" w:space="0" w:color="auto"/>
              <w:bottom w:val="single" w:sz="6" w:space="0" w:color="auto"/>
              <w:right w:val="single" w:sz="6" w:space="0" w:color="auto"/>
            </w:tcBorders>
            <w:hideMark/>
          </w:tcPr>
          <w:p w14:paraId="1515E0D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246 (59.1) </w:t>
            </w:r>
          </w:p>
          <w:p w14:paraId="036067F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w:t>
            </w:r>
          </w:p>
          <w:p w14:paraId="24801A03" w14:textId="77777777" w:rsidR="00E268AC" w:rsidRPr="00874C50" w:rsidRDefault="00E268AC" w:rsidP="00EA0E24">
            <w:pPr>
              <w:spacing w:after="6" w:line="240" w:lineRule="auto"/>
              <w:rPr>
                <w:rFonts w:ascii="Calibri" w:eastAsiaTheme="majorEastAsia" w:hAnsi="Calibri" w:cs="Calibri"/>
              </w:rPr>
            </w:pPr>
          </w:p>
        </w:tc>
        <w:tc>
          <w:tcPr>
            <w:tcW w:w="749" w:type="dxa"/>
            <w:tcBorders>
              <w:top w:val="single" w:sz="6" w:space="0" w:color="auto"/>
              <w:left w:val="single" w:sz="6" w:space="0" w:color="auto"/>
              <w:bottom w:val="single" w:sz="6" w:space="0" w:color="auto"/>
              <w:right w:val="single" w:sz="6" w:space="0" w:color="auto"/>
            </w:tcBorders>
            <w:hideMark/>
          </w:tcPr>
          <w:p w14:paraId="6172A4E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63 (15.1) </w:t>
            </w:r>
          </w:p>
        </w:tc>
        <w:tc>
          <w:tcPr>
            <w:tcW w:w="749" w:type="dxa"/>
            <w:tcBorders>
              <w:top w:val="single" w:sz="6" w:space="0" w:color="auto"/>
              <w:left w:val="single" w:sz="6" w:space="0" w:color="auto"/>
              <w:bottom w:val="single" w:sz="6" w:space="0" w:color="auto"/>
              <w:right w:val="single" w:sz="6" w:space="0" w:color="auto"/>
            </w:tcBorders>
            <w:hideMark/>
          </w:tcPr>
          <w:p w14:paraId="062E0F0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95 (22.9) </w:t>
            </w:r>
          </w:p>
        </w:tc>
        <w:tc>
          <w:tcPr>
            <w:tcW w:w="748" w:type="dxa"/>
            <w:tcBorders>
              <w:top w:val="single" w:sz="6" w:space="0" w:color="auto"/>
              <w:left w:val="single" w:sz="6" w:space="0" w:color="auto"/>
              <w:bottom w:val="single" w:sz="6" w:space="0" w:color="auto"/>
              <w:right w:val="single" w:sz="6" w:space="0" w:color="auto"/>
            </w:tcBorders>
            <w:hideMark/>
          </w:tcPr>
          <w:p w14:paraId="3002A3A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2098" w:type="dxa"/>
            <w:tcBorders>
              <w:top w:val="single" w:sz="6" w:space="0" w:color="auto"/>
              <w:left w:val="single" w:sz="6" w:space="0" w:color="auto"/>
              <w:bottom w:val="single" w:sz="6" w:space="0" w:color="auto"/>
              <w:right w:val="single" w:sz="6" w:space="0" w:color="auto"/>
            </w:tcBorders>
            <w:hideMark/>
          </w:tcPr>
          <w:p w14:paraId="704E2FE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12 (2.9), other conditions (e.g., PD)/ not reported</w:t>
            </w:r>
          </w:p>
        </w:tc>
      </w:tr>
      <w:tr w:rsidR="00E268AC" w:rsidRPr="00874C50" w14:paraId="4ABD9054"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69F4CECE" w14:textId="77777777" w:rsidR="00E268AC" w:rsidRPr="00874C50" w:rsidRDefault="00E268AC" w:rsidP="00EA0E24">
            <w:pPr>
              <w:spacing w:after="6" w:line="240" w:lineRule="auto"/>
              <w:rPr>
                <w:rFonts w:ascii="Calibri" w:eastAsiaTheme="majorEastAsia" w:hAnsi="Calibri" w:cs="Calibri"/>
              </w:rPr>
            </w:pPr>
            <w:proofErr w:type="spellStart"/>
            <w:r w:rsidRPr="00874C50">
              <w:rPr>
                <w:rFonts w:ascii="Calibri" w:eastAsiaTheme="majorEastAsia" w:hAnsi="Calibri" w:cs="Calibri"/>
              </w:rPr>
              <w:t>Messinis</w:t>
            </w:r>
            <w:proofErr w:type="spellEnd"/>
            <w:r w:rsidRPr="00874C50">
              <w:rPr>
                <w:rFonts w:ascii="Calibri" w:eastAsiaTheme="majorEastAsia" w:hAnsi="Calibri" w:cs="Calibri"/>
              </w:rPr>
              <w:t xml:space="preserve"> et al. 2021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{"citationID":"DmrPvujp","properties":{"formattedCitation":"(26)","plainCitation":"(26)","noteIndex":0},"citationItems":[{"id":69,"uris":["http://zotero.org/groups/6084669/items/6BEGHPFD"],"itemData":{"id":69,"type":"article-journal","abstract":"Abstract\n            \n              Introduction\n              Short cognitive screening instruments (CSIs) are widely used to stratify patients presenting with cognitive symptoms. The Quick Mild Cognitive Impairment (Qmci) screen is a new, brief (&amp;lt;5mins) CSI designed to identify mild cognitive impairment (MCI), which can be used across the spectrum of cognitive decline. Here we present the translation of the Qmci into Greek (Qmci-Gr) and its validation against the widely-used Standardised Mini-Mental State Examination (SMMSE).\n            \n            \n              Methods\n              Consecutive patients aged ≥55 years presenting with cognitive complaints were recruited from two outpatient clinics in Greece. All patients completed the Qmci-Gr and SMMSE and underwent an independent detailed neuropsychological assessment to determine a diagnostic classification.\n            \n            \n              Results\n              In total, 140 patients, median age 75 years, were included; 30 with mild dementia (median SMMSE 23/30), 76 with MCI and 34 with subjective memory complaints (SMC) but normal cognition. The Qmci-Gr had similar accuracy in differentiating SMC from cognitive impairment (MCI &amp; mild dementia) compared with SMMSE, area under the curve (AUC) of 0.84 versus 0.79, respectively; while accuracy was higher for the Qmci-Gr, this finding was not significantly different, (p = .19). Similarly, the Qmci-Gr had similar accuracy in separating SMC from MCI, AUC of 0.79 versus 0.73 (p = .23).\n            \n            \n              Conclusions\n              The Qmci-Gr compared favorably with the SMMSE. Further research with larger samples and comparison with other instruments such as the Montreal Cognitive Assessment is needed to confirm these findings but given its established brevity, it may be a better choice in busy clinical practice in Greece.","container-title":"Archives of Clinical Neuropsychology","DOI":"10.1093/arclin/acaa062","ISSN":"1873-5843","issue":"4","language":"en","license":"https://academic.oup.com/journals/pages/open_access/funder_policies/chorus/standard_publication_model","page":"578-586","source":"DOI.org (Crossref)","title":"Comparison of the Greek Version of the Quick Mild Cognitive Impairment Screen and Standardised Mini-Mental State Examination","volume":"36","author":[{"family":"Messinis","given":"Lambros"},{"family":"O’Donovan","given":"Mark R"},{"family":"Molloy","given":"D William"},{"family":"Mougias","given":"Antonis"},{"family":"Nasios","given":"Grigorios"},{"family":"Papathanasopoulos","given":"Panagiotis"},{"family":"Ntoskou","given":"Aikaterini"},{"family":"O'Caoimh","given":"Rónán"}],"issued":{"date-parts":[["2021",5,21]]}}}],"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(26)</w:t>
            </w:r>
            <w:r w:rsidRPr="00874C50">
              <w:rPr>
                <w:rFonts w:ascii="Calibri" w:eastAsiaTheme="majorEastAsia" w:hAnsi="Calibri" w:cs="Calibri"/>
              </w:rPr>
              <w:fldChar w:fldCharType="end"/>
            </w:r>
            <w:r w:rsidRPr="00874C50">
              <w:rPr>
                <w:rFonts w:ascii="Calibri" w:eastAsiaTheme="majorEastAsia" w:hAnsi="Calibri" w:cs="Calibri"/>
              </w:rPr>
              <w:t> </w:t>
            </w:r>
          </w:p>
          <w:p w14:paraId="6FAE97E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w:t>
            </w:r>
          </w:p>
        </w:tc>
        <w:tc>
          <w:tcPr>
            <w:tcW w:w="2066" w:type="dxa"/>
            <w:tcBorders>
              <w:top w:val="single" w:sz="6" w:space="0" w:color="auto"/>
              <w:left w:val="single" w:sz="6" w:space="0" w:color="auto"/>
              <w:bottom w:val="single" w:sz="6" w:space="0" w:color="auto"/>
              <w:right w:val="single" w:sz="6" w:space="0" w:color="auto"/>
            </w:tcBorders>
            <w:hideMark/>
          </w:tcPr>
          <w:p w14:paraId="1805FB9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Two outpatient memory clinics, Greece </w:t>
            </w:r>
          </w:p>
        </w:tc>
        <w:tc>
          <w:tcPr>
            <w:tcW w:w="2547" w:type="dxa"/>
            <w:tcBorders>
              <w:top w:val="single" w:sz="6" w:space="0" w:color="auto"/>
              <w:left w:val="single" w:sz="6" w:space="0" w:color="auto"/>
              <w:bottom w:val="single" w:sz="6" w:space="0" w:color="auto"/>
              <w:right w:val="single" w:sz="6" w:space="0" w:color="auto"/>
            </w:tcBorders>
            <w:hideMark/>
          </w:tcPr>
          <w:p w14:paraId="3892A48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Greek-speaking patients (age ≥55 years) presenting with cognitive complaints.</w:t>
            </w:r>
          </w:p>
        </w:tc>
        <w:tc>
          <w:tcPr>
            <w:tcW w:w="2548" w:type="dxa"/>
            <w:tcBorders>
              <w:top w:val="single" w:sz="6" w:space="0" w:color="auto"/>
              <w:left w:val="single" w:sz="6" w:space="0" w:color="auto"/>
              <w:bottom w:val="single" w:sz="6" w:space="0" w:color="auto"/>
              <w:right w:val="single" w:sz="6" w:space="0" w:color="auto"/>
            </w:tcBorders>
            <w:hideMark/>
          </w:tcPr>
          <w:p w14:paraId="6CBFB25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SMC: Jessen and colleagues (2014) criteria </w:t>
            </w:r>
            <w:r w:rsidRPr="00874C50">
              <w:rPr>
                <w:rFonts w:ascii="Calibri" w:eastAsiaTheme="majorEastAsia" w:hAnsi="Calibri" w:cs="Calibri"/>
                <w:vertAlign w:val="superscript"/>
              </w:rPr>
              <w:t>a</w:t>
            </w:r>
            <w:r w:rsidRPr="00874C50">
              <w:rPr>
                <w:rFonts w:ascii="Calibri" w:eastAsiaTheme="majorEastAsia" w:hAnsi="Calibri" w:cs="Calibri"/>
              </w:rPr>
              <w:t>. </w:t>
            </w:r>
          </w:p>
        </w:tc>
        <w:tc>
          <w:tcPr>
            <w:tcW w:w="1349" w:type="dxa"/>
            <w:tcBorders>
              <w:top w:val="single" w:sz="6" w:space="0" w:color="auto"/>
              <w:left w:val="single" w:sz="6" w:space="0" w:color="auto"/>
              <w:bottom w:val="single" w:sz="6" w:space="0" w:color="auto"/>
              <w:right w:val="single" w:sz="6" w:space="0" w:color="auto"/>
            </w:tcBorders>
            <w:hideMark/>
          </w:tcPr>
          <w:p w14:paraId="112A0D9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140 </w:t>
            </w:r>
          </w:p>
          <w:p w14:paraId="1557830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Median age: 75 (IQR: 70-79) years </w:t>
            </w:r>
          </w:p>
          <w:p w14:paraId="5949F64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95 (68)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48" w:type="dxa"/>
            <w:tcBorders>
              <w:top w:val="single" w:sz="6" w:space="0" w:color="auto"/>
              <w:left w:val="single" w:sz="6" w:space="0" w:color="auto"/>
              <w:bottom w:val="single" w:sz="6" w:space="0" w:color="auto"/>
              <w:right w:val="single" w:sz="6" w:space="0" w:color="auto"/>
            </w:tcBorders>
            <w:hideMark/>
          </w:tcPr>
          <w:p w14:paraId="057A337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30 (21.4) </w:t>
            </w:r>
          </w:p>
        </w:tc>
        <w:tc>
          <w:tcPr>
            <w:tcW w:w="749" w:type="dxa"/>
            <w:tcBorders>
              <w:top w:val="single" w:sz="6" w:space="0" w:color="auto"/>
              <w:left w:val="single" w:sz="6" w:space="0" w:color="auto"/>
              <w:bottom w:val="single" w:sz="6" w:space="0" w:color="auto"/>
              <w:right w:val="single" w:sz="6" w:space="0" w:color="auto"/>
            </w:tcBorders>
            <w:hideMark/>
          </w:tcPr>
          <w:p w14:paraId="3C148FF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76 (54.3) </w:t>
            </w:r>
          </w:p>
        </w:tc>
        <w:tc>
          <w:tcPr>
            <w:tcW w:w="749" w:type="dxa"/>
            <w:tcBorders>
              <w:top w:val="single" w:sz="6" w:space="0" w:color="auto"/>
              <w:left w:val="single" w:sz="6" w:space="0" w:color="auto"/>
              <w:bottom w:val="single" w:sz="6" w:space="0" w:color="auto"/>
              <w:right w:val="single" w:sz="6" w:space="0" w:color="auto"/>
            </w:tcBorders>
            <w:hideMark/>
          </w:tcPr>
          <w:p w14:paraId="7BE360E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34 (24.3) </w:t>
            </w:r>
          </w:p>
        </w:tc>
        <w:tc>
          <w:tcPr>
            <w:tcW w:w="748" w:type="dxa"/>
            <w:tcBorders>
              <w:top w:val="single" w:sz="6" w:space="0" w:color="auto"/>
              <w:left w:val="single" w:sz="6" w:space="0" w:color="auto"/>
              <w:bottom w:val="single" w:sz="6" w:space="0" w:color="auto"/>
              <w:right w:val="single" w:sz="6" w:space="0" w:color="auto"/>
            </w:tcBorders>
            <w:hideMark/>
          </w:tcPr>
          <w:p w14:paraId="5D0A436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n/a </w:t>
            </w:r>
          </w:p>
        </w:tc>
        <w:tc>
          <w:tcPr>
            <w:tcW w:w="2098" w:type="dxa"/>
            <w:tcBorders>
              <w:top w:val="single" w:sz="6" w:space="0" w:color="auto"/>
              <w:left w:val="single" w:sz="6" w:space="0" w:color="auto"/>
              <w:bottom w:val="single" w:sz="6" w:space="0" w:color="auto"/>
              <w:right w:val="single" w:sz="6" w:space="0" w:color="auto"/>
            </w:tcBorders>
            <w:hideMark/>
          </w:tcPr>
          <w:p w14:paraId="6DC8C86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 </w:t>
            </w:r>
          </w:p>
        </w:tc>
      </w:tr>
      <w:tr w:rsidR="00E268AC" w:rsidRPr="00874C50" w14:paraId="41504AF2"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6556D03D" w14:textId="77777777" w:rsidR="00E268AC" w:rsidRPr="00874C50" w:rsidRDefault="00E268AC" w:rsidP="00EA0E24">
            <w:pPr>
              <w:spacing w:after="6" w:line="240" w:lineRule="auto"/>
              <w:rPr>
                <w:rFonts w:ascii="Calibri" w:eastAsiaTheme="majorEastAsia" w:hAnsi="Calibri" w:cs="Calibri"/>
              </w:rPr>
            </w:pPr>
            <w:proofErr w:type="spellStart"/>
            <w:r w:rsidRPr="00874C50">
              <w:rPr>
                <w:rFonts w:ascii="Calibri" w:eastAsiaTheme="majorEastAsia" w:hAnsi="Calibri" w:cs="Calibri"/>
              </w:rPr>
              <w:t>Messinis</w:t>
            </w:r>
            <w:proofErr w:type="spellEnd"/>
            <w:r w:rsidRPr="00874C50">
              <w:rPr>
                <w:rFonts w:ascii="Calibri" w:eastAsiaTheme="majorEastAsia" w:hAnsi="Calibri" w:cs="Calibri"/>
              </w:rPr>
              <w:t xml:space="preserve"> et al. 2022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{"citationID":"LT7CEIJ9","properties":{"formattedCitation":"(27)","plainCitation":"(27)","noteIndex":0},"citationItems":[{"id":20,"uris":["http://zotero.org/groups/6084669/items/6U487TEL"],"itemData":{"id":20,"type":"article-journal","abstract":"Objective: Cognitive screening instruments (CSIs) are essential for everyday practice. The Quick Mild Cognitive Impairment (Qmci) screen, a short instrument designed to identify mild cognitive impairment, was recently translated into Greek (Qmci-Gr). The present study compared its diagnostic value against the Montreal Cognitive Assessment (MoCA) screen and examined its optimal cutoffs. Method: We recruited consecutive patients aged ≥55 years that presented with cognitive complaints from two outpatient clinics in Greece. The Qmci-Gr and MoCA were completed by all patients. Furthermore, they were assessed independently with a comprehensive flexible neuropsychological battery to establish a diagnostic classification. Results: In the current study, we assessed a total of 145 patients, with a median age of 70 years; 44 were classified as having Subjective Memory Complaints (SMC) but normal cognition, 32 with MCI and 69 with dementia. The Qmci-Gr had a higher accuracy compared to the MoCA in discriminating MCI from dementia, area under the curve (AUC) of 0.81 versus 0.75, respectively; however, this finding was marginally significant (p = 0.08). Its accuracy was marginally higher for distinguishing SMC from dementia, AUC of 0.94 versus 0.89 (p = 0.03). However, Qmci-Gr presented a lower accuracy than MoCa in differentiating SMC from MCI, AUC of 0.76 versus 0.94 (p = 0.006). Conclusions: The Qmci-Gr has comparable diagnostic accuracy to the MoCA regarding MCI and dementia groups. Further research, with larger and more diverse samples, may be necessary to ensure generalizability.","container-title":"Healthcare","DOI":"10.3390/healthcare10050906","ISSN":"2227-9032","issue":"5","journalAbbreviation":"Healthcare","language":"en","license":"https://creativecommons.org/licenses/by/4.0/","page":"906","source":"DOI.org (Crossref)","title":"Comparison of the Greek Version of the Quick Mild Cognitive Impairment Screen and Montreal Cognitive Assessment in Older Adults","volume":"10","author":[{"family":"Messinis","given":"Lambros"},{"family":"Nasios","given":"Grigorios"},{"family":"Mougias","given":"Antonios"},{"family":"Patrikelis","given":"Panayiotis"},{"family":"Malefaki","given":"Sonia"},{"family":"Panagiotopoulos","given":"Vasileios"},{"family":"Ntoskou Messini","given":"Aikaterini"},{"family":"Bakirtzis","given":"Christos"},{"family":"Grigoriadis","given":"Nikolaos"},{"family":"Ioannidis","given":"Panagiotis"},{"family":"Bairami","given":"Stella"},{"family":"Papadopoulou","given":"Valentina"},{"family":"Gourzis","given":"Phillipos"}],"issued":{"date-parts":[["2022",5,13]]}}}],"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(27)</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4E7F995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Two outpatient memory clinics, Greece </w:t>
            </w:r>
          </w:p>
        </w:tc>
        <w:tc>
          <w:tcPr>
            <w:tcW w:w="2547" w:type="dxa"/>
            <w:tcBorders>
              <w:top w:val="single" w:sz="6" w:space="0" w:color="auto"/>
              <w:left w:val="single" w:sz="6" w:space="0" w:color="auto"/>
              <w:bottom w:val="single" w:sz="6" w:space="0" w:color="auto"/>
              <w:right w:val="single" w:sz="6" w:space="0" w:color="auto"/>
            </w:tcBorders>
            <w:hideMark/>
          </w:tcPr>
          <w:p w14:paraId="1029742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Greek-speaking patients (age ≥55 years) presenting with cognitive complaints.</w:t>
            </w:r>
          </w:p>
        </w:tc>
        <w:tc>
          <w:tcPr>
            <w:tcW w:w="2548" w:type="dxa"/>
            <w:tcBorders>
              <w:top w:val="single" w:sz="6" w:space="0" w:color="auto"/>
              <w:left w:val="single" w:sz="6" w:space="0" w:color="auto"/>
              <w:bottom w:val="single" w:sz="6" w:space="0" w:color="auto"/>
              <w:right w:val="single" w:sz="6" w:space="0" w:color="auto"/>
            </w:tcBorders>
            <w:hideMark/>
          </w:tcPr>
          <w:p w14:paraId="2159805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SMC: Jessen and colleagues (2014) criteria </w:t>
            </w:r>
            <w:r w:rsidRPr="00874C50">
              <w:rPr>
                <w:rFonts w:ascii="Calibri" w:eastAsiaTheme="majorEastAsia" w:hAnsi="Calibri" w:cs="Calibri"/>
                <w:vertAlign w:val="superscript"/>
              </w:rPr>
              <w:t>a</w:t>
            </w:r>
            <w:r w:rsidRPr="00874C50">
              <w:rPr>
                <w:rFonts w:ascii="Calibri" w:eastAsiaTheme="majorEastAsia" w:hAnsi="Calibri" w:cs="Calibri"/>
              </w:rPr>
              <w:t>. </w:t>
            </w:r>
          </w:p>
        </w:tc>
        <w:tc>
          <w:tcPr>
            <w:tcW w:w="1349" w:type="dxa"/>
            <w:tcBorders>
              <w:top w:val="single" w:sz="6" w:space="0" w:color="auto"/>
              <w:left w:val="single" w:sz="6" w:space="0" w:color="auto"/>
              <w:bottom w:val="single" w:sz="6" w:space="0" w:color="auto"/>
              <w:right w:val="single" w:sz="6" w:space="0" w:color="auto"/>
            </w:tcBorders>
            <w:hideMark/>
          </w:tcPr>
          <w:p w14:paraId="019E503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145  </w:t>
            </w:r>
          </w:p>
          <w:p w14:paraId="3178456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Median: 70 (IQR: 63-77) years </w:t>
            </w:r>
          </w:p>
          <w:p w14:paraId="6E0BE1E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49% female </w:t>
            </w:r>
          </w:p>
        </w:tc>
        <w:tc>
          <w:tcPr>
            <w:tcW w:w="1048" w:type="dxa"/>
            <w:tcBorders>
              <w:top w:val="single" w:sz="6" w:space="0" w:color="auto"/>
              <w:left w:val="single" w:sz="6" w:space="0" w:color="auto"/>
              <w:bottom w:val="single" w:sz="6" w:space="0" w:color="auto"/>
              <w:right w:val="single" w:sz="6" w:space="0" w:color="auto"/>
            </w:tcBorders>
            <w:hideMark/>
          </w:tcPr>
          <w:p w14:paraId="58E5491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69 (47.6) </w:t>
            </w:r>
          </w:p>
          <w:p w14:paraId="6F310EF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w:t>
            </w:r>
          </w:p>
        </w:tc>
        <w:tc>
          <w:tcPr>
            <w:tcW w:w="749" w:type="dxa"/>
            <w:tcBorders>
              <w:top w:val="single" w:sz="6" w:space="0" w:color="auto"/>
              <w:left w:val="single" w:sz="6" w:space="0" w:color="auto"/>
              <w:bottom w:val="single" w:sz="6" w:space="0" w:color="auto"/>
              <w:right w:val="single" w:sz="6" w:space="0" w:color="auto"/>
            </w:tcBorders>
            <w:hideMark/>
          </w:tcPr>
          <w:p w14:paraId="48188C0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32 (22 </w:t>
            </w:r>
          </w:p>
        </w:tc>
        <w:tc>
          <w:tcPr>
            <w:tcW w:w="749" w:type="dxa"/>
            <w:tcBorders>
              <w:top w:val="single" w:sz="6" w:space="0" w:color="auto"/>
              <w:left w:val="single" w:sz="6" w:space="0" w:color="auto"/>
              <w:bottom w:val="single" w:sz="6" w:space="0" w:color="auto"/>
              <w:right w:val="single" w:sz="6" w:space="0" w:color="auto"/>
            </w:tcBorders>
            <w:hideMark/>
          </w:tcPr>
          <w:p w14:paraId="70C192A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44 (30.3) </w:t>
            </w:r>
          </w:p>
        </w:tc>
        <w:tc>
          <w:tcPr>
            <w:tcW w:w="748" w:type="dxa"/>
            <w:tcBorders>
              <w:top w:val="single" w:sz="6" w:space="0" w:color="auto"/>
              <w:left w:val="single" w:sz="6" w:space="0" w:color="auto"/>
              <w:bottom w:val="single" w:sz="6" w:space="0" w:color="auto"/>
              <w:right w:val="single" w:sz="6" w:space="0" w:color="auto"/>
            </w:tcBorders>
            <w:hideMark/>
          </w:tcPr>
          <w:p w14:paraId="4D2513B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n/r </w:t>
            </w:r>
          </w:p>
        </w:tc>
        <w:tc>
          <w:tcPr>
            <w:tcW w:w="2098" w:type="dxa"/>
            <w:tcBorders>
              <w:top w:val="single" w:sz="6" w:space="0" w:color="auto"/>
              <w:left w:val="single" w:sz="6" w:space="0" w:color="auto"/>
              <w:bottom w:val="single" w:sz="6" w:space="0" w:color="auto"/>
              <w:right w:val="single" w:sz="6" w:space="0" w:color="auto"/>
            </w:tcBorders>
            <w:hideMark/>
          </w:tcPr>
          <w:p w14:paraId="22736E0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 </w:t>
            </w:r>
          </w:p>
        </w:tc>
      </w:tr>
      <w:tr w:rsidR="00E268AC" w:rsidRPr="00874C50" w14:paraId="2F0F1074"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4058084C" w14:textId="77777777" w:rsidR="00E268AC" w:rsidRPr="00874C50" w:rsidRDefault="00E268AC" w:rsidP="00EA0E24">
            <w:pPr>
              <w:spacing w:after="6" w:line="240" w:lineRule="auto"/>
              <w:rPr>
                <w:rFonts w:ascii="Calibri" w:eastAsiaTheme="majorEastAsia" w:hAnsi="Calibri" w:cs="Calibri"/>
              </w:rPr>
            </w:pPr>
            <w:proofErr w:type="spellStart"/>
            <w:r w:rsidRPr="00874C50">
              <w:rPr>
                <w:rFonts w:ascii="Calibri" w:eastAsiaTheme="majorEastAsia" w:hAnsi="Calibri" w:cs="Calibri"/>
              </w:rPr>
              <w:t>Mukaetova-Ladinska</w:t>
            </w:r>
            <w:proofErr w:type="spellEnd"/>
            <w:r w:rsidRPr="00874C50">
              <w:rPr>
                <w:rFonts w:ascii="Calibri" w:eastAsiaTheme="majorEastAsia" w:hAnsi="Calibri" w:cs="Calibri"/>
              </w:rPr>
              <w:t xml:space="preserve"> et al. 2022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{"citationID":"GgW8jJ4q","properties":{"formattedCitation":"(28)","plainCitation":"(28)","noteIndex":0},"citationItems":[{"id":74,"uris":["http://zotero.org/groups/6084669/items/Z5TN5EDD"],"itemData":{"id":74,"type":"article-journal","abstract":"Background: Memory complaints are frequent among young adults presenting in general practice. Many of them will have reversable, functional cognitive impairment that can easily be mistaken for dementia. Its accurate and timely identification is warranted to prevent further escalation to overt dementia syndrome. Objective: To evaluate the recommended primary care screening cognitive tools for dementia for use in younger people. Methods: 2.5 years clinical data were collected during the course of ongoing patient care for all assessed face-to-face patients in a secondary care memory service for younger adults. Cognitive screening and assessment tests used in primary [General Practice Assessment of Cognition (GPCOG)] and secondary [Addenbrooke’s Cognitive Examination-III (ACE-III), Rowland Universal Dementia Assessment Scale (RUDAS), Salzburg Dementia Test Prediction (SDTP)] care were analyzed for their accuracy to identify dementia and memory complaints. Area under the curve in receiver operating characteristic curves was used to measure predictive value of tests for a clinical diagnosis of dementia. Results: 348 young adults were assessed for cognitive impairment. Following comprehensive Memory Clinic assessments, 241 (69.25%) were diagnosed with memory complaints in the absence of relevant neuropathology and 107 with dementia. GPCOG, especially the informant part, and RUDAS had low accuracy to identify dementia (AUC = 0.465 and AUC = 0.698, respectively). In contrast, ACE-III and SDTP demonstrated the highest accuracy (AUC = 0.799 and AUC = 0.809/0.817, respectively). Conclusion: Dementia screening in younger people will benefit from SDTP incorporated as part of the screening cognitive toolset. The national guidance on dementia screening tools, diagnostic pathways, and management should also refer to younger adults.","container-title":"Journal of Alzheimer's Disease","DOI":"10.3233/JAD-215514","ISSN":"13872877, 18758908","issue":"1","journalAbbreviation":"JAD","page":"333-341","source":"DOI.org (Crossref)","title":"Suspected Dementia in Young Adults: Cognitive Screening Tools for Use in Primary Care","title-short":"Suspected Dementia in Young Adults","volume":"86","author":[{"family":"Mukaetova-Ladinska","given":"Elizabeta B."},{"family":"Abdullah","given":"Shahbaz"},{"family":"Critchfield","given":"Mathew"},{"family":"Maltby","given":"John"}],"issued":{"date-parts":[["2022",3,8]]}}}],"schema":"https://github.com/citation-style-language/schema/raw/master/csl-citation.json"}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(28)</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0C43120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Early onset Memory service, UK</w:t>
            </w:r>
          </w:p>
        </w:tc>
        <w:tc>
          <w:tcPr>
            <w:tcW w:w="2547" w:type="dxa"/>
            <w:tcBorders>
              <w:top w:val="single" w:sz="6" w:space="0" w:color="auto"/>
              <w:left w:val="single" w:sz="6" w:space="0" w:color="auto"/>
              <w:bottom w:val="single" w:sz="6" w:space="0" w:color="auto"/>
              <w:right w:val="single" w:sz="6" w:space="0" w:color="auto"/>
            </w:tcBorders>
            <w:hideMark/>
          </w:tcPr>
          <w:p w14:paraId="0417FFF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being evaluated for cognitive impairment. </w:t>
            </w:r>
          </w:p>
        </w:tc>
        <w:tc>
          <w:tcPr>
            <w:tcW w:w="2548" w:type="dxa"/>
            <w:tcBorders>
              <w:top w:val="single" w:sz="6" w:space="0" w:color="auto"/>
              <w:left w:val="single" w:sz="6" w:space="0" w:color="auto"/>
              <w:bottom w:val="single" w:sz="6" w:space="0" w:color="auto"/>
              <w:right w:val="single" w:sz="6" w:space="0" w:color="auto"/>
            </w:tcBorders>
            <w:hideMark/>
          </w:tcPr>
          <w:p w14:paraId="27C2B97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MC: Memory complaints without relevant neuropathology </w:t>
            </w:r>
            <w:r w:rsidRPr="00874C50">
              <w:rPr>
                <w:rFonts w:ascii="Calibri" w:eastAsiaTheme="majorEastAsia" w:hAnsi="Calibri" w:cs="Calibri"/>
                <w:vertAlign w:val="superscript"/>
              </w:rPr>
              <w:t>a</w:t>
            </w:r>
            <w:r w:rsidRPr="00874C50">
              <w:rPr>
                <w:rFonts w:ascii="Calibri" w:eastAsiaTheme="majorEastAsia" w:hAnsi="Calibri" w:cs="Calibri"/>
              </w:rPr>
              <w:t xml:space="preserve">; FCI: Memory complaints without relevant neuropathology due to </w:t>
            </w:r>
            <w:r w:rsidRPr="00874C50">
              <w:rPr>
                <w:rFonts w:ascii="Calibri" w:eastAsiaTheme="majorEastAsia" w:hAnsi="Calibri" w:cs="Calibri"/>
              </w:rPr>
              <w:lastRenderedPageBreak/>
              <w:t xml:space="preserve">mental and physical health problems </w:t>
            </w:r>
            <w:r w:rsidRPr="00874C50">
              <w:rPr>
                <w:rFonts w:ascii="Calibri" w:eastAsiaTheme="majorEastAsia" w:hAnsi="Calibri" w:cs="Calibri"/>
                <w:vertAlign w:val="superscript"/>
              </w:rPr>
              <w:t>a</w:t>
            </w:r>
            <w:r w:rsidRPr="00874C50">
              <w:rPr>
                <w:rFonts w:ascii="Calibri" w:eastAsiaTheme="majorEastAsia" w:hAnsi="Calibri" w:cs="Calibri"/>
              </w:rPr>
              <w:t>.</w:t>
            </w:r>
          </w:p>
        </w:tc>
        <w:tc>
          <w:tcPr>
            <w:tcW w:w="1349" w:type="dxa"/>
            <w:tcBorders>
              <w:top w:val="single" w:sz="6" w:space="0" w:color="auto"/>
              <w:left w:val="single" w:sz="6" w:space="0" w:color="auto"/>
              <w:bottom w:val="single" w:sz="6" w:space="0" w:color="auto"/>
              <w:right w:val="single" w:sz="6" w:space="0" w:color="auto"/>
            </w:tcBorders>
            <w:hideMark/>
          </w:tcPr>
          <w:p w14:paraId="7452AA5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lastRenderedPageBreak/>
              <w:t>N = 348 </w:t>
            </w:r>
          </w:p>
          <w:p w14:paraId="225D420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58.5 (5.6) years </w:t>
            </w:r>
          </w:p>
          <w:p w14:paraId="6EBA63B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173 (49.7)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48" w:type="dxa"/>
            <w:tcBorders>
              <w:top w:val="single" w:sz="6" w:space="0" w:color="auto"/>
              <w:left w:val="single" w:sz="6" w:space="0" w:color="auto"/>
              <w:bottom w:val="single" w:sz="6" w:space="0" w:color="auto"/>
              <w:right w:val="single" w:sz="6" w:space="0" w:color="auto"/>
            </w:tcBorders>
            <w:hideMark/>
          </w:tcPr>
          <w:p w14:paraId="7F8FB87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90 (25.9)</w:t>
            </w:r>
          </w:p>
        </w:tc>
        <w:tc>
          <w:tcPr>
            <w:tcW w:w="749" w:type="dxa"/>
            <w:tcBorders>
              <w:top w:val="single" w:sz="6" w:space="0" w:color="auto"/>
              <w:left w:val="single" w:sz="6" w:space="0" w:color="auto"/>
              <w:bottom w:val="single" w:sz="6" w:space="0" w:color="auto"/>
              <w:right w:val="single" w:sz="6" w:space="0" w:color="auto"/>
            </w:tcBorders>
            <w:hideMark/>
          </w:tcPr>
          <w:p w14:paraId="47A4C9E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 (2.0) </w:t>
            </w:r>
          </w:p>
        </w:tc>
        <w:tc>
          <w:tcPr>
            <w:tcW w:w="749" w:type="dxa"/>
            <w:tcBorders>
              <w:top w:val="single" w:sz="6" w:space="0" w:color="auto"/>
              <w:left w:val="single" w:sz="6" w:space="0" w:color="auto"/>
              <w:bottom w:val="single" w:sz="6" w:space="0" w:color="auto"/>
              <w:right w:val="single" w:sz="6" w:space="0" w:color="auto"/>
            </w:tcBorders>
            <w:hideMark/>
          </w:tcPr>
          <w:p w14:paraId="17E29BE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130 (37.4) </w:t>
            </w:r>
          </w:p>
        </w:tc>
        <w:tc>
          <w:tcPr>
            <w:tcW w:w="748" w:type="dxa"/>
            <w:tcBorders>
              <w:top w:val="single" w:sz="6" w:space="0" w:color="auto"/>
              <w:left w:val="single" w:sz="6" w:space="0" w:color="auto"/>
              <w:bottom w:val="single" w:sz="6" w:space="0" w:color="auto"/>
              <w:right w:val="single" w:sz="6" w:space="0" w:color="auto"/>
            </w:tcBorders>
            <w:hideMark/>
          </w:tcPr>
          <w:p w14:paraId="6B84BA5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93 (26.7) </w:t>
            </w:r>
          </w:p>
        </w:tc>
        <w:tc>
          <w:tcPr>
            <w:tcW w:w="2098" w:type="dxa"/>
            <w:tcBorders>
              <w:top w:val="single" w:sz="6" w:space="0" w:color="auto"/>
              <w:left w:val="single" w:sz="6" w:space="0" w:color="auto"/>
              <w:bottom w:val="single" w:sz="6" w:space="0" w:color="auto"/>
              <w:right w:val="single" w:sz="6" w:space="0" w:color="auto"/>
            </w:tcBorders>
            <w:hideMark/>
          </w:tcPr>
          <w:p w14:paraId="5DEDCDB5"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18 (5.2) learning disability,</w:t>
            </w:r>
          </w:p>
          <w:p w14:paraId="06F98FD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10 (2.9) other (e.g., ADHD, ASD, anticholinergic drug burden, OCD, etc.)  </w:t>
            </w:r>
          </w:p>
        </w:tc>
      </w:tr>
      <w:tr w:rsidR="00E268AC" w:rsidRPr="00874C50" w14:paraId="02BE8F94"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6FF70F9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Palmqvist et al. 2024 (35) </w:t>
            </w:r>
          </w:p>
        </w:tc>
        <w:tc>
          <w:tcPr>
            <w:tcW w:w="2066" w:type="dxa"/>
            <w:tcBorders>
              <w:top w:val="single" w:sz="6" w:space="0" w:color="auto"/>
              <w:left w:val="single" w:sz="6" w:space="0" w:color="auto"/>
              <w:bottom w:val="single" w:sz="6" w:space="0" w:color="auto"/>
              <w:right w:val="single" w:sz="6" w:space="0" w:color="auto"/>
            </w:tcBorders>
            <w:hideMark/>
          </w:tcPr>
          <w:p w14:paraId="741D67A5"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Two memory clinics in Sweden in </w:t>
            </w:r>
            <w:proofErr w:type="spellStart"/>
            <w:r w:rsidRPr="00874C50">
              <w:rPr>
                <w:rFonts w:ascii="Calibri" w:eastAsiaTheme="majorEastAsia" w:hAnsi="Calibri" w:cs="Calibri"/>
              </w:rPr>
              <w:t>BioFINDER</w:t>
            </w:r>
            <w:proofErr w:type="spellEnd"/>
            <w:r w:rsidRPr="00874C50">
              <w:rPr>
                <w:rFonts w:ascii="Calibri" w:eastAsiaTheme="majorEastAsia" w:hAnsi="Calibri" w:cs="Calibri"/>
              </w:rPr>
              <w:t xml:space="preserve"> 2 study. </w:t>
            </w:r>
          </w:p>
        </w:tc>
        <w:tc>
          <w:tcPr>
            <w:tcW w:w="2547" w:type="dxa"/>
            <w:tcBorders>
              <w:top w:val="single" w:sz="6" w:space="0" w:color="auto"/>
              <w:left w:val="single" w:sz="6" w:space="0" w:color="auto"/>
              <w:bottom w:val="single" w:sz="6" w:space="0" w:color="auto"/>
              <w:right w:val="single" w:sz="6" w:space="0" w:color="auto"/>
            </w:tcBorders>
            <w:hideMark/>
          </w:tcPr>
          <w:p w14:paraId="271E1ED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(aged ≥40 years) being evaluated for cognitive impairment. </w:t>
            </w:r>
          </w:p>
        </w:tc>
        <w:tc>
          <w:tcPr>
            <w:tcW w:w="2548" w:type="dxa"/>
            <w:tcBorders>
              <w:top w:val="single" w:sz="6" w:space="0" w:color="auto"/>
              <w:left w:val="single" w:sz="6" w:space="0" w:color="auto"/>
              <w:bottom w:val="single" w:sz="6" w:space="0" w:color="auto"/>
              <w:right w:val="single" w:sz="6" w:space="0" w:color="auto"/>
            </w:tcBorders>
            <w:hideMark/>
          </w:tcPr>
          <w:p w14:paraId="4992590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SCD: seeking help for cognitive symptoms, no objective impairment on assessment </w:t>
            </w:r>
            <w:r w:rsidRPr="00874C50">
              <w:rPr>
                <w:rFonts w:ascii="Calibri" w:eastAsiaTheme="majorEastAsia" w:hAnsi="Calibri" w:cs="Calibri"/>
                <w:vertAlign w:val="superscript"/>
              </w:rPr>
              <w:t>a</w:t>
            </w:r>
            <w:r w:rsidRPr="00874C50">
              <w:rPr>
                <w:rFonts w:ascii="Calibri" w:eastAsiaTheme="majorEastAsia" w:hAnsi="Calibri" w:cs="Calibri"/>
              </w:rPr>
              <w:t>.</w:t>
            </w:r>
          </w:p>
        </w:tc>
        <w:tc>
          <w:tcPr>
            <w:tcW w:w="1349" w:type="dxa"/>
            <w:tcBorders>
              <w:top w:val="single" w:sz="6" w:space="0" w:color="auto"/>
              <w:left w:val="single" w:sz="6" w:space="0" w:color="auto"/>
              <w:bottom w:val="single" w:sz="6" w:space="0" w:color="auto"/>
              <w:right w:val="single" w:sz="6" w:space="0" w:color="auto"/>
            </w:tcBorders>
            <w:hideMark/>
          </w:tcPr>
          <w:p w14:paraId="0E6F28F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698</w:t>
            </w:r>
          </w:p>
          <w:p w14:paraId="5983F62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Median: 74 (IQR: 67-79) years </w:t>
            </w:r>
          </w:p>
          <w:p w14:paraId="36882A1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324 (46)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48" w:type="dxa"/>
            <w:tcBorders>
              <w:top w:val="single" w:sz="6" w:space="0" w:color="auto"/>
              <w:left w:val="single" w:sz="6" w:space="0" w:color="auto"/>
              <w:bottom w:val="single" w:sz="6" w:space="0" w:color="auto"/>
              <w:right w:val="single" w:sz="6" w:space="0" w:color="auto"/>
            </w:tcBorders>
            <w:hideMark/>
          </w:tcPr>
          <w:p w14:paraId="20C4677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255 (36.5) </w:t>
            </w:r>
          </w:p>
          <w:p w14:paraId="29C2EEC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w:t>
            </w:r>
          </w:p>
        </w:tc>
        <w:tc>
          <w:tcPr>
            <w:tcW w:w="749" w:type="dxa"/>
            <w:tcBorders>
              <w:top w:val="single" w:sz="6" w:space="0" w:color="auto"/>
              <w:left w:val="single" w:sz="6" w:space="0" w:color="auto"/>
              <w:bottom w:val="single" w:sz="6" w:space="0" w:color="auto"/>
              <w:right w:val="single" w:sz="6" w:space="0" w:color="auto"/>
            </w:tcBorders>
            <w:hideMark/>
          </w:tcPr>
          <w:p w14:paraId="364FA70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304 (43.6) </w:t>
            </w:r>
          </w:p>
          <w:p w14:paraId="28C89E9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w:t>
            </w:r>
          </w:p>
        </w:tc>
        <w:tc>
          <w:tcPr>
            <w:tcW w:w="749" w:type="dxa"/>
            <w:tcBorders>
              <w:top w:val="single" w:sz="6" w:space="0" w:color="auto"/>
              <w:left w:val="single" w:sz="6" w:space="0" w:color="auto"/>
              <w:bottom w:val="single" w:sz="6" w:space="0" w:color="auto"/>
              <w:right w:val="single" w:sz="6" w:space="0" w:color="auto"/>
            </w:tcBorders>
            <w:hideMark/>
          </w:tcPr>
          <w:p w14:paraId="33793D9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139 (20.0) </w:t>
            </w:r>
          </w:p>
          <w:p w14:paraId="4D3D3DF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w:t>
            </w:r>
          </w:p>
        </w:tc>
        <w:tc>
          <w:tcPr>
            <w:tcW w:w="748" w:type="dxa"/>
            <w:tcBorders>
              <w:top w:val="single" w:sz="6" w:space="0" w:color="auto"/>
              <w:left w:val="single" w:sz="6" w:space="0" w:color="auto"/>
              <w:bottom w:val="single" w:sz="6" w:space="0" w:color="auto"/>
              <w:right w:val="single" w:sz="6" w:space="0" w:color="auto"/>
            </w:tcBorders>
            <w:hideMark/>
          </w:tcPr>
          <w:p w14:paraId="417F4B0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2098" w:type="dxa"/>
            <w:tcBorders>
              <w:top w:val="single" w:sz="6" w:space="0" w:color="auto"/>
              <w:left w:val="single" w:sz="6" w:space="0" w:color="auto"/>
              <w:bottom w:val="single" w:sz="6" w:space="0" w:color="auto"/>
              <w:right w:val="single" w:sz="6" w:space="0" w:color="auto"/>
            </w:tcBorders>
            <w:hideMark/>
          </w:tcPr>
          <w:p w14:paraId="4B6F2A8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r>
      <w:tr w:rsidR="00E268AC" w:rsidRPr="00874C50" w14:paraId="29DAC5BC"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6396C5C7"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Rosenberg et al. 2022 </w:t>
            </w:r>
            <w:r w:rsidRPr="00874C50">
              <w:rPr>
                <w:rFonts w:ascii="Calibri" w:eastAsiaTheme="majorEastAsia" w:hAnsi="Calibri" w:cs="Calibri"/>
              </w:rPr>
              <w:fldChar w:fldCharType="begin"/>
            </w:r>
            <w:r w:rsidRPr="00874C50">
              <w:rPr>
                <w:rFonts w:ascii="Calibri" w:eastAsiaTheme="majorEastAsia" w:hAnsi="Calibri" w:cs="Calibri"/>
              </w:rPr>
              <w:instrText xml:space="preserve"> ADDIN ZOTERO_ITEM CSL_CITATION {"citationID":"CxioXXIn","properties":{"formattedCitation":"(29)","plainCitation":"(29)","noteIndex":0},"citationItems":[{"id":30,"uris":["http://zotero.org/groups/6084669/items/HA4NQ7M4"],"itemData":{"id":30,"type":"article-journal","container-title":"Neurology","DOI":"10.1212/WNL.0000000000201043","ISSN":"0028-3878, 1526-632X","issue":"19","journalAbbreviation":"Neurology","language":"en","source":"DOI.org (Crossref)","title":"β-Amyloid, Tau, Neurodegeneration Classification and Eligibility for Anti-amyloid Treatment in a Memory Clinic Population","URL":"https://www.neurology.org/doi/10.1212/WNL.0000000000201043","volume":"99","author":[{"family":"Rosenberg","given":"Anna"},{"family":"Öhlund-Wistbacka","given":"Ulf"},{"family":"Hall","given":"Anette"},{"family":"Bonnard","given":"Alexandre"},{"family":"Hagman","given":"Göran"},{"family":"Rydén","given":"Marie"},{"family":"Thunborg","given":"Charlotta"},{"family":"Wiggenraad","given":"Fleur"},{"family":"Sandebring-Matton","given":"Anna"},{"family":"Solomon","given":"Alina"},{"family":"Kivipelto","given":"Miia"}],"accessed":{"date-parts":[["2025",8,5]]},"issued":{"date-parts":[["2022",11,8]]}}}],"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(29)</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2A2E592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University Memory clinic, Sweden.</w:t>
            </w:r>
          </w:p>
        </w:tc>
        <w:tc>
          <w:tcPr>
            <w:tcW w:w="2547" w:type="dxa"/>
            <w:tcBorders>
              <w:top w:val="single" w:sz="6" w:space="0" w:color="auto"/>
              <w:left w:val="single" w:sz="6" w:space="0" w:color="auto"/>
              <w:bottom w:val="single" w:sz="6" w:space="0" w:color="auto"/>
              <w:right w:val="single" w:sz="6" w:space="0" w:color="auto"/>
            </w:tcBorders>
            <w:hideMark/>
          </w:tcPr>
          <w:p w14:paraId="4F1F39A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Patients with cognitive complaints referred by GPs. </w:t>
            </w:r>
          </w:p>
        </w:tc>
        <w:tc>
          <w:tcPr>
            <w:tcW w:w="2548" w:type="dxa"/>
            <w:tcBorders>
              <w:top w:val="single" w:sz="6" w:space="0" w:color="auto"/>
              <w:left w:val="single" w:sz="6" w:space="0" w:color="auto"/>
              <w:bottom w:val="single" w:sz="6" w:space="0" w:color="auto"/>
              <w:right w:val="single" w:sz="6" w:space="0" w:color="auto"/>
            </w:tcBorders>
            <w:hideMark/>
          </w:tcPr>
          <w:p w14:paraId="7BF3D1F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SCI: no evidence of neurodegeneration in line with ICD-10 criteria </w:t>
            </w:r>
            <w:r w:rsidRPr="00874C50">
              <w:rPr>
                <w:rFonts w:ascii="Calibri" w:eastAsiaTheme="majorEastAsia" w:hAnsi="Calibri" w:cs="Calibri"/>
                <w:vertAlign w:val="superscript"/>
              </w:rPr>
              <w:t>a</w:t>
            </w:r>
            <w:r w:rsidRPr="00874C50">
              <w:rPr>
                <w:rFonts w:ascii="Calibri" w:eastAsiaTheme="majorEastAsia" w:hAnsi="Calibri" w:cs="Calibri"/>
              </w:rPr>
              <w:t>. </w:t>
            </w:r>
          </w:p>
        </w:tc>
        <w:tc>
          <w:tcPr>
            <w:tcW w:w="1349" w:type="dxa"/>
            <w:tcBorders>
              <w:top w:val="single" w:sz="6" w:space="0" w:color="auto"/>
              <w:left w:val="single" w:sz="6" w:space="0" w:color="auto"/>
              <w:bottom w:val="single" w:sz="6" w:space="0" w:color="auto"/>
              <w:right w:val="single" w:sz="6" w:space="0" w:color="auto"/>
            </w:tcBorders>
            <w:hideMark/>
          </w:tcPr>
          <w:p w14:paraId="53CB258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410</w:t>
            </w:r>
          </w:p>
          <w:p w14:paraId="336BB7C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59 (7) years </w:t>
            </w:r>
          </w:p>
          <w:p w14:paraId="46766AA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56% female </w:t>
            </w:r>
          </w:p>
        </w:tc>
        <w:tc>
          <w:tcPr>
            <w:tcW w:w="1048" w:type="dxa"/>
            <w:tcBorders>
              <w:top w:val="single" w:sz="6" w:space="0" w:color="auto"/>
              <w:left w:val="single" w:sz="6" w:space="0" w:color="auto"/>
              <w:bottom w:val="single" w:sz="6" w:space="0" w:color="auto"/>
              <w:right w:val="single" w:sz="6" w:space="0" w:color="auto"/>
            </w:tcBorders>
            <w:hideMark/>
          </w:tcPr>
          <w:p w14:paraId="47E6008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102 (24.9) </w:t>
            </w:r>
          </w:p>
        </w:tc>
        <w:tc>
          <w:tcPr>
            <w:tcW w:w="749" w:type="dxa"/>
            <w:tcBorders>
              <w:top w:val="single" w:sz="6" w:space="0" w:color="auto"/>
              <w:left w:val="single" w:sz="6" w:space="0" w:color="auto"/>
              <w:bottom w:val="single" w:sz="6" w:space="0" w:color="auto"/>
              <w:right w:val="single" w:sz="6" w:space="0" w:color="auto"/>
            </w:tcBorders>
            <w:hideMark/>
          </w:tcPr>
          <w:p w14:paraId="5DAE100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94 (22.9) </w:t>
            </w:r>
          </w:p>
        </w:tc>
        <w:tc>
          <w:tcPr>
            <w:tcW w:w="749" w:type="dxa"/>
            <w:tcBorders>
              <w:top w:val="single" w:sz="6" w:space="0" w:color="auto"/>
              <w:left w:val="single" w:sz="6" w:space="0" w:color="auto"/>
              <w:bottom w:val="single" w:sz="6" w:space="0" w:color="auto"/>
              <w:right w:val="single" w:sz="6" w:space="0" w:color="auto"/>
            </w:tcBorders>
            <w:hideMark/>
          </w:tcPr>
          <w:p w14:paraId="79AAD5F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214 (52.1) </w:t>
            </w:r>
          </w:p>
        </w:tc>
        <w:tc>
          <w:tcPr>
            <w:tcW w:w="748" w:type="dxa"/>
            <w:tcBorders>
              <w:top w:val="single" w:sz="6" w:space="0" w:color="auto"/>
              <w:left w:val="single" w:sz="6" w:space="0" w:color="auto"/>
              <w:bottom w:val="single" w:sz="6" w:space="0" w:color="auto"/>
              <w:right w:val="single" w:sz="6" w:space="0" w:color="auto"/>
            </w:tcBorders>
            <w:hideMark/>
          </w:tcPr>
          <w:p w14:paraId="29DEEEE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2098" w:type="dxa"/>
            <w:tcBorders>
              <w:top w:val="single" w:sz="6" w:space="0" w:color="auto"/>
              <w:left w:val="single" w:sz="6" w:space="0" w:color="auto"/>
              <w:bottom w:val="single" w:sz="6" w:space="0" w:color="auto"/>
              <w:right w:val="single" w:sz="6" w:space="0" w:color="auto"/>
            </w:tcBorders>
            <w:hideMark/>
          </w:tcPr>
          <w:p w14:paraId="6880A22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 </w:t>
            </w:r>
          </w:p>
        </w:tc>
      </w:tr>
      <w:tr w:rsidR="00E268AC" w:rsidRPr="00874C50" w14:paraId="62DC327A"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hideMark/>
          </w:tcPr>
          <w:p w14:paraId="48E07CE9" w14:textId="77777777" w:rsidR="00E268AC" w:rsidRPr="00874C50" w:rsidRDefault="00E268AC" w:rsidP="00EA0E24">
            <w:pPr>
              <w:spacing w:after="6" w:line="240" w:lineRule="auto"/>
              <w:rPr>
                <w:rFonts w:ascii="Calibri" w:eastAsiaTheme="majorEastAsia" w:hAnsi="Calibri" w:cs="Calibri"/>
              </w:rPr>
            </w:pPr>
            <w:proofErr w:type="spellStart"/>
            <w:r w:rsidRPr="00874C50">
              <w:rPr>
                <w:rFonts w:ascii="Calibri" w:eastAsiaTheme="majorEastAsia" w:hAnsi="Calibri" w:cs="Calibri"/>
              </w:rPr>
              <w:t>Ruchinskas</w:t>
            </w:r>
            <w:proofErr w:type="spellEnd"/>
            <w:r w:rsidRPr="00874C50">
              <w:rPr>
                <w:rFonts w:ascii="Calibri" w:eastAsiaTheme="majorEastAsia" w:hAnsi="Calibri" w:cs="Calibri"/>
              </w:rPr>
              <w:t xml:space="preserve"> 2019 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{"citationID":"G0USuODw","properties":{"formattedCitation":"(30)","plainCitation":"(30)","noteIndex":0},"citationItems":[{"id":32,"uris":["http://zotero.org/groups/6084669/items/XYYHQNNH"],"itemData":{"id":32,"type":"article-journal","container-title":"The Clinical Neuropsychologist","DOI":"10.1080/13854046.2019.1585574","ISSN":"1385-4046, 1744-4144","issue":"8","journalAbbreviation":"The Clinical Neuropsychologist","language":"en","page":"1436-1444","source":"DOI.org (Crossref)","title":"Wechsler adult intelligence scale-4th edition digit span performance in subjective cognitive complaints, amnestic mild cognitive impairment, and probable dementia of the Alzheimer type","volume":"33","author":[{"family":"Ruchinskas","given":"Robert"}],"issued":{"date-parts":[["2019",11,17]]}}}],"schema":"https://github.com/citation-style-language/schema/raw/master/csl-citation.json"}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(30)</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hideMark/>
          </w:tcPr>
          <w:p w14:paraId="6724D8A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Memory disorder clinic in Texas, USA. </w:t>
            </w:r>
          </w:p>
        </w:tc>
        <w:tc>
          <w:tcPr>
            <w:tcW w:w="2547" w:type="dxa"/>
            <w:tcBorders>
              <w:top w:val="single" w:sz="6" w:space="0" w:color="auto"/>
              <w:left w:val="single" w:sz="6" w:space="0" w:color="auto"/>
              <w:bottom w:val="single" w:sz="6" w:space="0" w:color="auto"/>
              <w:right w:val="single" w:sz="6" w:space="0" w:color="auto"/>
            </w:tcBorders>
            <w:hideMark/>
          </w:tcPr>
          <w:p w14:paraId="0B9848A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Patients being evaluated for cognitive impairment. </w:t>
            </w:r>
          </w:p>
          <w:p w14:paraId="6C26E05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w:t>
            </w:r>
          </w:p>
        </w:tc>
        <w:tc>
          <w:tcPr>
            <w:tcW w:w="2548" w:type="dxa"/>
            <w:tcBorders>
              <w:top w:val="single" w:sz="6" w:space="0" w:color="auto"/>
              <w:left w:val="single" w:sz="6" w:space="0" w:color="auto"/>
              <w:bottom w:val="single" w:sz="6" w:space="0" w:color="auto"/>
              <w:right w:val="single" w:sz="6" w:space="0" w:color="auto"/>
            </w:tcBorders>
            <w:hideMark/>
          </w:tcPr>
          <w:p w14:paraId="2A78542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SCC: individuals with no identifiable cognitive </w:t>
            </w:r>
          </w:p>
          <w:p w14:paraId="65401B3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or neurologic abnormalities </w:t>
            </w:r>
            <w:r w:rsidRPr="00874C50">
              <w:rPr>
                <w:rFonts w:ascii="Calibri" w:eastAsiaTheme="majorEastAsia" w:hAnsi="Calibri" w:cs="Calibri"/>
                <w:vertAlign w:val="superscript"/>
              </w:rPr>
              <w:t>a</w:t>
            </w:r>
            <w:r w:rsidRPr="00874C50">
              <w:rPr>
                <w:rFonts w:ascii="Calibri" w:eastAsiaTheme="majorEastAsia" w:hAnsi="Calibri" w:cs="Calibri"/>
              </w:rPr>
              <w:t>.</w:t>
            </w:r>
          </w:p>
        </w:tc>
        <w:tc>
          <w:tcPr>
            <w:tcW w:w="1349" w:type="dxa"/>
            <w:tcBorders>
              <w:top w:val="single" w:sz="6" w:space="0" w:color="auto"/>
              <w:left w:val="single" w:sz="6" w:space="0" w:color="auto"/>
              <w:bottom w:val="single" w:sz="6" w:space="0" w:color="auto"/>
              <w:right w:val="single" w:sz="6" w:space="0" w:color="auto"/>
            </w:tcBorders>
            <w:hideMark/>
          </w:tcPr>
          <w:p w14:paraId="6761647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706*  </w:t>
            </w:r>
          </w:p>
          <w:p w14:paraId="1E585F15"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71.6 (8.8) years </w:t>
            </w:r>
          </w:p>
          <w:p w14:paraId="3F447C6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380 (53.8) </w:t>
            </w:r>
            <w:proofErr w:type="gramStart"/>
            <w:r w:rsidRPr="00874C50">
              <w:rPr>
                <w:rFonts w:ascii="Calibri" w:eastAsiaTheme="majorEastAsia" w:hAnsi="Calibri" w:cs="Calibri"/>
              </w:rPr>
              <w:t>female</w:t>
            </w:r>
            <w:proofErr w:type="gramEnd"/>
          </w:p>
        </w:tc>
        <w:tc>
          <w:tcPr>
            <w:tcW w:w="1048" w:type="dxa"/>
            <w:tcBorders>
              <w:top w:val="single" w:sz="6" w:space="0" w:color="auto"/>
              <w:left w:val="single" w:sz="6" w:space="0" w:color="auto"/>
              <w:bottom w:val="single" w:sz="6" w:space="0" w:color="auto"/>
              <w:right w:val="single" w:sz="6" w:space="0" w:color="auto"/>
            </w:tcBorders>
            <w:hideMark/>
          </w:tcPr>
          <w:p w14:paraId="416531B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290 (25.4) </w:t>
            </w:r>
          </w:p>
        </w:tc>
        <w:tc>
          <w:tcPr>
            <w:tcW w:w="749" w:type="dxa"/>
            <w:tcBorders>
              <w:top w:val="single" w:sz="6" w:space="0" w:color="auto"/>
              <w:left w:val="single" w:sz="6" w:space="0" w:color="auto"/>
              <w:bottom w:val="single" w:sz="6" w:space="0" w:color="auto"/>
              <w:right w:val="single" w:sz="6" w:space="0" w:color="auto"/>
            </w:tcBorders>
            <w:hideMark/>
          </w:tcPr>
          <w:p w14:paraId="623213F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429 (37.6)</w:t>
            </w:r>
          </w:p>
        </w:tc>
        <w:tc>
          <w:tcPr>
            <w:tcW w:w="749" w:type="dxa"/>
            <w:tcBorders>
              <w:top w:val="single" w:sz="6" w:space="0" w:color="auto"/>
              <w:left w:val="single" w:sz="6" w:space="0" w:color="auto"/>
              <w:bottom w:val="single" w:sz="6" w:space="0" w:color="auto"/>
              <w:right w:val="single" w:sz="6" w:space="0" w:color="auto"/>
            </w:tcBorders>
            <w:hideMark/>
          </w:tcPr>
          <w:p w14:paraId="36342785"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161 (14.1) </w:t>
            </w:r>
          </w:p>
        </w:tc>
        <w:tc>
          <w:tcPr>
            <w:tcW w:w="748" w:type="dxa"/>
            <w:tcBorders>
              <w:top w:val="single" w:sz="6" w:space="0" w:color="auto"/>
              <w:left w:val="single" w:sz="6" w:space="0" w:color="auto"/>
              <w:bottom w:val="single" w:sz="6" w:space="0" w:color="auto"/>
              <w:right w:val="single" w:sz="6" w:space="0" w:color="auto"/>
            </w:tcBorders>
            <w:hideMark/>
          </w:tcPr>
          <w:p w14:paraId="09DCF5C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n/r </w:t>
            </w:r>
          </w:p>
        </w:tc>
        <w:tc>
          <w:tcPr>
            <w:tcW w:w="2098" w:type="dxa"/>
            <w:tcBorders>
              <w:top w:val="single" w:sz="6" w:space="0" w:color="auto"/>
              <w:left w:val="single" w:sz="6" w:space="0" w:color="auto"/>
              <w:bottom w:val="single" w:sz="6" w:space="0" w:color="auto"/>
              <w:right w:val="single" w:sz="6" w:space="0" w:color="auto"/>
            </w:tcBorders>
            <w:hideMark/>
          </w:tcPr>
          <w:p w14:paraId="7CCDB2A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204 (17.9) other neurological or psychiatric diagnoses.</w:t>
            </w:r>
          </w:p>
          <w:p w14:paraId="7A4C797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56 (4.9) no consensus diagnosis.</w:t>
            </w:r>
          </w:p>
        </w:tc>
      </w:tr>
      <w:tr w:rsidR="00E268AC" w:rsidRPr="00874C50" w14:paraId="0EA47349" w14:textId="77777777" w:rsidTr="00E268AC">
        <w:trPr>
          <w:trHeight w:val="300"/>
        </w:trPr>
        <w:tc>
          <w:tcPr>
            <w:tcW w:w="1373" w:type="dxa"/>
            <w:tcBorders>
              <w:top w:val="single" w:sz="6" w:space="0" w:color="auto"/>
              <w:left w:val="single" w:sz="6" w:space="0" w:color="auto"/>
              <w:bottom w:val="single" w:sz="6" w:space="0" w:color="auto"/>
              <w:right w:val="single" w:sz="6" w:space="0" w:color="auto"/>
            </w:tcBorders>
          </w:tcPr>
          <w:p w14:paraId="34895C58" w14:textId="77777777" w:rsidR="00E268AC" w:rsidRPr="00874C50" w:rsidRDefault="00E268AC" w:rsidP="00EA0E24">
            <w:pPr>
              <w:spacing w:after="6" w:line="240" w:lineRule="auto"/>
              <w:rPr>
                <w:rFonts w:ascii="Calibri" w:eastAsiaTheme="majorEastAsia" w:hAnsi="Calibri" w:cs="Calibri"/>
              </w:rPr>
            </w:pPr>
            <w:proofErr w:type="spellStart"/>
            <w:r w:rsidRPr="00874C50">
              <w:rPr>
                <w:rFonts w:ascii="Calibri" w:eastAsiaTheme="majorEastAsia" w:hAnsi="Calibri" w:cs="Calibri"/>
              </w:rPr>
              <w:t>Ruchinskas</w:t>
            </w:r>
            <w:proofErr w:type="spellEnd"/>
            <w:r w:rsidRPr="00874C50">
              <w:rPr>
                <w:rFonts w:ascii="Calibri" w:eastAsiaTheme="majorEastAsia" w:hAnsi="Calibri" w:cs="Calibri"/>
              </w:rPr>
              <w:t xml:space="preserve"> &amp; Goette 2021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{"citationID":"axXlm5H9","properties":{"formattedCitation":"(31)","plainCitation":"(31)","noteIndex":0},"citationItems":[{"id":31,"uris":["http://zotero.org/groups/6084669/items/7PQIQTCT"],"itemData":{"id":31,"type":"article-journal","abstract":"Abstract\n            \n              Objective\n              The Reynolds Intellectual Screening Instrument (RIST) and its second edition (RIST-2) are brief intelligence screening instruments that potentially have value in older populations as their norms extend over age 90. This study examined performance on these two instruments in a sample of individuals presenting for evaluation in a memory disorder clinic.\n            \n            \n              Method\n              A sample of 1,145 subjects over the age of 50 was chosen from 1,761 consecutive referrals. Individuals who obtained a consensus diagnosis of Mild Cognitive Impairment (MCI; n = 536), possible dementia of the Alzheimer Type (DAT; n = 400), or those with subjective cognitive complaints (SCC; n = 209) and who completed a neuropsychological battery that included either the RIST (n = 747) or the RIST-2 (n = 398) were included in the sample. No clinically significant demographic or neuropsychological performance differences were found for those taking either version of the RIST.\n            \n            \n              Results\n              Unlike the original version, RIST-2 Total and subtest scores were well below the mean for the DAT group and over 1 SD mean difference was seen for the DAT group when comparing the RIST and RIST-2 Totals. Diagnostic accuracy calculations suggested that the RIST-2 showed greater discrimination between the three groups although both versions achieved greater sensitivity than specificity.\n            \n            \n              Conclusions\n              Performance differences were evident when comparing the RIST and RIST-2, particularly for the DAT group. Although the RIST-2 evidenced greater diagnostic accuracy than its predecessor it should not be utilized in isolation for the clinical determination of DAT or MCI.","container-title":"Archives of Clinical Neuropsychology","DOI":"10.1093/arclin/acaa064","ISSN":"1873-5843","issue":"4","language":"en","license":"https://academic.oup.com/journals/pages/open_access/funder_policies/chorus/standard_publication_model","page":"570-577","source":"DOI.org (Crossref)","title":"Reynolds Intellectual Screening Instrument 1st versus 2nd Edition in a Memory Disorder Sample","volume":"36","author":[{"family":"Ruchinskas","given":"Robert"},{"family":"Goette","given":"William"}],"issued":{"date-parts":[["2021",5,21]]}}}],"schema":"https://github.com/citation-style-language/schema/raw/master/csl-citation.json"}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(31)</w:t>
            </w:r>
            <w:r w:rsidRPr="00874C50">
              <w:rPr>
                <w:rFonts w:ascii="Calibri" w:eastAsiaTheme="majorEastAsia" w:hAnsi="Calibri" w:cs="Calibri"/>
              </w:rPr>
              <w:fldChar w:fldCharType="end"/>
            </w:r>
          </w:p>
        </w:tc>
        <w:tc>
          <w:tcPr>
            <w:tcW w:w="2066" w:type="dxa"/>
            <w:tcBorders>
              <w:top w:val="single" w:sz="6" w:space="0" w:color="auto"/>
              <w:left w:val="single" w:sz="6" w:space="0" w:color="auto"/>
              <w:bottom w:val="single" w:sz="6" w:space="0" w:color="auto"/>
              <w:right w:val="single" w:sz="6" w:space="0" w:color="auto"/>
            </w:tcBorders>
          </w:tcPr>
          <w:p w14:paraId="14A876A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Memory disorder clinic in Texas, USA.</w:t>
            </w:r>
          </w:p>
        </w:tc>
        <w:tc>
          <w:tcPr>
            <w:tcW w:w="2547" w:type="dxa"/>
            <w:tcBorders>
              <w:top w:val="single" w:sz="6" w:space="0" w:color="auto"/>
              <w:left w:val="single" w:sz="6" w:space="0" w:color="auto"/>
              <w:bottom w:val="single" w:sz="6" w:space="0" w:color="auto"/>
              <w:right w:val="single" w:sz="6" w:space="0" w:color="auto"/>
            </w:tcBorders>
          </w:tcPr>
          <w:p w14:paraId="1DDBF67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Patients being evaluated for cognitive impairment. </w:t>
            </w:r>
            <w:r w:rsidRPr="00874C50">
              <w:rPr>
                <w:rFonts w:ascii="Calibri" w:eastAsiaTheme="majorEastAsia" w:hAnsi="Calibri" w:cs="Calibri"/>
                <w:lang w:val="en-US"/>
              </w:rPr>
              <w:t> </w:t>
            </w:r>
          </w:p>
        </w:tc>
        <w:tc>
          <w:tcPr>
            <w:tcW w:w="2548" w:type="dxa"/>
            <w:tcBorders>
              <w:top w:val="single" w:sz="6" w:space="0" w:color="auto"/>
              <w:left w:val="single" w:sz="6" w:space="0" w:color="auto"/>
              <w:bottom w:val="single" w:sz="6" w:space="0" w:color="auto"/>
              <w:right w:val="single" w:sz="6" w:space="0" w:color="auto"/>
            </w:tcBorders>
          </w:tcPr>
          <w:p w14:paraId="1A8A6C3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SCC: Individuals with no current neuropsychological dysfunction </w:t>
            </w:r>
            <w:r w:rsidRPr="00874C50">
              <w:rPr>
                <w:rFonts w:ascii="Calibri" w:eastAsiaTheme="majorEastAsia" w:hAnsi="Calibri" w:cs="Calibri"/>
                <w:vertAlign w:val="superscript"/>
              </w:rPr>
              <w:t>a</w:t>
            </w:r>
            <w:r w:rsidRPr="00874C50">
              <w:rPr>
                <w:rFonts w:ascii="Calibri" w:eastAsiaTheme="majorEastAsia" w:hAnsi="Calibri" w:cs="Calibri"/>
              </w:rPr>
              <w:t>. </w:t>
            </w:r>
          </w:p>
        </w:tc>
        <w:tc>
          <w:tcPr>
            <w:tcW w:w="1349" w:type="dxa"/>
            <w:tcBorders>
              <w:top w:val="single" w:sz="6" w:space="0" w:color="auto"/>
              <w:left w:val="single" w:sz="6" w:space="0" w:color="auto"/>
              <w:bottom w:val="single" w:sz="6" w:space="0" w:color="auto"/>
              <w:right w:val="single" w:sz="6" w:space="0" w:color="auto"/>
            </w:tcBorders>
          </w:tcPr>
          <w:p w14:paraId="4B65B2E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1145*</w:t>
            </w:r>
          </w:p>
          <w:p w14:paraId="178C06C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72.0 (8.0) years </w:t>
            </w:r>
          </w:p>
          <w:p w14:paraId="71EBE99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593 (51.8)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48" w:type="dxa"/>
            <w:tcBorders>
              <w:top w:val="single" w:sz="6" w:space="0" w:color="auto"/>
              <w:left w:val="single" w:sz="6" w:space="0" w:color="auto"/>
              <w:bottom w:val="single" w:sz="6" w:space="0" w:color="auto"/>
              <w:right w:val="single" w:sz="6" w:space="0" w:color="auto"/>
            </w:tcBorders>
          </w:tcPr>
          <w:p w14:paraId="026DFB2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400 (24.1) </w:t>
            </w:r>
          </w:p>
        </w:tc>
        <w:tc>
          <w:tcPr>
            <w:tcW w:w="749" w:type="dxa"/>
            <w:tcBorders>
              <w:top w:val="single" w:sz="6" w:space="0" w:color="auto"/>
              <w:left w:val="single" w:sz="6" w:space="0" w:color="auto"/>
              <w:bottom w:val="single" w:sz="6" w:space="0" w:color="auto"/>
              <w:right w:val="single" w:sz="6" w:space="0" w:color="auto"/>
            </w:tcBorders>
          </w:tcPr>
          <w:p w14:paraId="5049268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536 (32.3) </w:t>
            </w:r>
          </w:p>
        </w:tc>
        <w:tc>
          <w:tcPr>
            <w:tcW w:w="749" w:type="dxa"/>
            <w:tcBorders>
              <w:top w:val="single" w:sz="6" w:space="0" w:color="auto"/>
              <w:left w:val="single" w:sz="6" w:space="0" w:color="auto"/>
              <w:bottom w:val="single" w:sz="6" w:space="0" w:color="auto"/>
              <w:right w:val="single" w:sz="6" w:space="0" w:color="auto"/>
            </w:tcBorders>
          </w:tcPr>
          <w:p w14:paraId="2158636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209 (12.6) </w:t>
            </w:r>
          </w:p>
        </w:tc>
        <w:tc>
          <w:tcPr>
            <w:tcW w:w="748" w:type="dxa"/>
            <w:tcBorders>
              <w:top w:val="single" w:sz="6" w:space="0" w:color="auto"/>
              <w:left w:val="single" w:sz="6" w:space="0" w:color="auto"/>
              <w:bottom w:val="single" w:sz="6" w:space="0" w:color="auto"/>
              <w:right w:val="single" w:sz="6" w:space="0" w:color="auto"/>
            </w:tcBorders>
          </w:tcPr>
          <w:p w14:paraId="56E9A2F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2098" w:type="dxa"/>
            <w:tcBorders>
              <w:top w:val="single" w:sz="6" w:space="0" w:color="auto"/>
              <w:left w:val="single" w:sz="6" w:space="0" w:color="auto"/>
              <w:bottom w:val="single" w:sz="6" w:space="0" w:color="auto"/>
              <w:right w:val="single" w:sz="6" w:space="0" w:color="auto"/>
            </w:tcBorders>
          </w:tcPr>
          <w:p w14:paraId="5C1E651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440 (26.5) other neurological or psychiatric diagnoses.</w:t>
            </w:r>
          </w:p>
          <w:p w14:paraId="1519823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74 (4.5) no consensus diagnosis. </w:t>
            </w:r>
          </w:p>
        </w:tc>
      </w:tr>
    </w:tbl>
    <w:p w14:paraId="55E7770F" w14:textId="77777777" w:rsidR="00E268AC" w:rsidRPr="00874C50" w:rsidRDefault="00E268AC" w:rsidP="00E268AC">
      <w:pPr>
        <w:spacing w:after="6" w:line="240" w:lineRule="auto"/>
        <w:rPr>
          <w:rFonts w:ascii="Calibri" w:eastAsiaTheme="majorEastAsia" w:hAnsi="Calibri" w:cs="Calibri"/>
        </w:rPr>
      </w:pPr>
      <w:r w:rsidRPr="00874C50">
        <w:rPr>
          <w:rFonts w:ascii="Calibri" w:eastAsiaTheme="majorEastAsia" w:hAnsi="Calibri" w:cs="Calibri"/>
          <w:i/>
          <w:iCs/>
        </w:rPr>
        <w:t>Note</w:t>
      </w:r>
      <w:r w:rsidRPr="00874C50">
        <w:rPr>
          <w:rFonts w:ascii="Calibri" w:eastAsiaTheme="majorEastAsia" w:hAnsi="Calibri" w:cs="Calibri"/>
        </w:rPr>
        <w:t xml:space="preserve">. </w:t>
      </w:r>
      <w:r w:rsidRPr="00874C50">
        <w:rPr>
          <w:rFonts w:ascii="Calibri" w:eastAsiaTheme="majorEastAsia" w:hAnsi="Calibri" w:cs="Calibri"/>
          <w:vertAlign w:val="superscript"/>
        </w:rPr>
        <w:t>a</w:t>
      </w:r>
      <w:r w:rsidRPr="00874C50">
        <w:rPr>
          <w:rFonts w:ascii="Calibri" w:eastAsiaTheme="majorEastAsia" w:hAnsi="Calibri" w:cs="Calibri"/>
        </w:rPr>
        <w:t xml:space="preserve"> Patients with psychiatric diagnoses explicitly excluded from SCD groups; </w:t>
      </w:r>
      <w:r w:rsidRPr="00874C50">
        <w:rPr>
          <w:rFonts w:ascii="Calibri" w:eastAsiaTheme="majorEastAsia" w:hAnsi="Calibri" w:cs="Calibri"/>
          <w:vertAlign w:val="superscript"/>
        </w:rPr>
        <w:t xml:space="preserve">b </w:t>
      </w:r>
      <w:r w:rsidRPr="00874C50">
        <w:rPr>
          <w:rFonts w:ascii="Calibri" w:eastAsiaTheme="majorEastAsia" w:hAnsi="Calibri" w:cs="Calibri"/>
        </w:rPr>
        <w:t>Author-provided information; *Sample size used for demographics not equal to sample size used for prevalence estimates.</w:t>
      </w:r>
    </w:p>
    <w:p w14:paraId="2BCF557D" w14:textId="77777777" w:rsidR="00E268AC" w:rsidRPr="00874C50" w:rsidRDefault="00E268AC" w:rsidP="00E268AC">
      <w:pPr>
        <w:spacing w:after="6" w:line="240" w:lineRule="auto"/>
        <w:rPr>
          <w:rFonts w:ascii="Calibri" w:eastAsiaTheme="majorEastAsia" w:hAnsi="Calibri" w:cs="Calibri"/>
        </w:rPr>
      </w:pPr>
      <w:r w:rsidRPr="00874C50">
        <w:rPr>
          <w:rFonts w:ascii="Calibri" w:eastAsiaTheme="majorEastAsia" w:hAnsi="Calibri" w:cs="Calibri"/>
        </w:rPr>
        <w:t xml:space="preserve">Abbreviations: AD = Alzheimer’s disease; ADHD; attention deficit hyperactivity disorder; (a)MCI = (Alzheimer’s variant) mild cognitive impairment; ASD = autism spectrum disorder; </w:t>
      </w:r>
      <w:proofErr w:type="spellStart"/>
      <w:r w:rsidRPr="00874C50">
        <w:rPr>
          <w:rFonts w:ascii="Calibri" w:eastAsiaTheme="majorEastAsia" w:hAnsi="Calibri" w:cs="Calibri"/>
        </w:rPr>
        <w:t>BioFINDER</w:t>
      </w:r>
      <w:proofErr w:type="spellEnd"/>
      <w:r w:rsidRPr="00874C50">
        <w:rPr>
          <w:rFonts w:ascii="Calibri" w:eastAsiaTheme="majorEastAsia" w:hAnsi="Calibri" w:cs="Calibri"/>
        </w:rPr>
        <w:t xml:space="preserve"> = Biomarkers For Identifying Neurodegenerative Disorders Early and Reliably; EOD = early-onset dementia; FCD = functional cognitive disorder; FCI = functional cognitive impairment; GP = general practitioner; ICD-10 = International Classification of Diseases 10</w:t>
      </w:r>
      <w:r w:rsidRPr="00874C50">
        <w:rPr>
          <w:rFonts w:ascii="Calibri" w:eastAsiaTheme="majorEastAsia" w:hAnsi="Calibri" w:cs="Calibri"/>
          <w:vertAlign w:val="superscript"/>
        </w:rPr>
        <w:t>th</w:t>
      </w:r>
      <w:r w:rsidRPr="00874C50">
        <w:rPr>
          <w:rFonts w:ascii="Calibri" w:eastAsiaTheme="majorEastAsia" w:hAnsi="Calibri" w:cs="Calibri"/>
        </w:rPr>
        <w:t xml:space="preserve"> Revision; ISLAND = Island Study Linking Ageing and Neurodegenerative Disease; MoCA = Montreal Cognitive Assessment; OCD = obsessive compulsive disorder; PD = Parkinson’s disease; SCC = subjective cognitive concerns; SCD = subjective cognitive impairment; SCI = Subjective Cognitive Impairment; SD = standard deviation; SMC = subjective memory complaints.</w:t>
      </w:r>
    </w:p>
    <w:p w14:paraId="4C0F6A7C" w14:textId="77777777" w:rsidR="00E268AC" w:rsidRPr="00874C50" w:rsidRDefault="00E268AC" w:rsidP="00E268AC">
      <w:pPr>
        <w:spacing w:after="6" w:line="240" w:lineRule="auto"/>
        <w:rPr>
          <w:rFonts w:ascii="Calibri" w:eastAsiaTheme="majorEastAsia" w:hAnsi="Calibri" w:cs="Calibri"/>
        </w:rPr>
      </w:pPr>
    </w:p>
    <w:p w14:paraId="0674FB3B" w14:textId="77777777" w:rsidR="00E268AC" w:rsidRPr="00874C50" w:rsidRDefault="00E268AC" w:rsidP="00E268AC">
      <w:pPr>
        <w:spacing w:line="240" w:lineRule="auto"/>
        <w:rPr>
          <w:rFonts w:ascii="Calibri" w:eastAsiaTheme="majorEastAsia" w:hAnsi="Calibri" w:cs="Calibri"/>
          <w:b/>
          <w:bCs/>
        </w:rPr>
      </w:pPr>
      <w:r w:rsidRPr="00874C50">
        <w:rPr>
          <w:rFonts w:ascii="Calibri" w:eastAsiaTheme="majorEastAsia" w:hAnsi="Calibri" w:cs="Calibri"/>
          <w:b/>
          <w:bCs/>
        </w:rPr>
        <w:br w:type="page"/>
      </w:r>
    </w:p>
    <w:p w14:paraId="50D6B44A" w14:textId="7F2393AF" w:rsidR="00E268AC" w:rsidRPr="00874C50" w:rsidRDefault="0078341B" w:rsidP="00E268AC">
      <w:pPr>
        <w:spacing w:line="240" w:lineRule="auto"/>
        <w:rPr>
          <w:rFonts w:ascii="Calibri" w:eastAsiaTheme="majorEastAsia" w:hAnsi="Calibri" w:cs="Calibri"/>
        </w:rPr>
      </w:pPr>
      <w:bookmarkStart w:id="3" w:name="_Toc214541300"/>
      <w:r>
        <w:rPr>
          <w:rStyle w:val="Heading1Char"/>
          <w:rFonts w:ascii="Calibri" w:hAnsi="Calibri" w:cs="Calibri"/>
          <w:b/>
          <w:bCs/>
          <w:color w:val="auto"/>
          <w:sz w:val="22"/>
          <w:szCs w:val="22"/>
        </w:rPr>
        <w:lastRenderedPageBreak/>
        <w:t>T</w:t>
      </w:r>
      <w:r w:rsidR="00E268AC" w:rsidRPr="005245A1">
        <w:rPr>
          <w:rStyle w:val="Heading1Char"/>
          <w:rFonts w:ascii="Calibri" w:hAnsi="Calibri" w:cs="Calibri"/>
          <w:b/>
          <w:bCs/>
          <w:color w:val="auto"/>
          <w:sz w:val="22"/>
          <w:szCs w:val="22"/>
        </w:rPr>
        <w:t xml:space="preserve">able </w:t>
      </w:r>
      <w:r>
        <w:rPr>
          <w:rStyle w:val="Heading1Char"/>
          <w:rFonts w:ascii="Calibri" w:hAnsi="Calibri" w:cs="Calibri"/>
          <w:b/>
          <w:bCs/>
          <w:color w:val="auto"/>
          <w:sz w:val="22"/>
          <w:szCs w:val="22"/>
        </w:rPr>
        <w:t>4</w:t>
      </w:r>
      <w:r w:rsidR="005245A1" w:rsidRPr="005245A1">
        <w:rPr>
          <w:rStyle w:val="Heading1Char"/>
          <w:rFonts w:ascii="Calibri" w:hAnsi="Calibri" w:cs="Calibri"/>
          <w:b/>
          <w:bCs/>
          <w:color w:val="auto"/>
          <w:sz w:val="22"/>
          <w:szCs w:val="22"/>
        </w:rPr>
        <w:t>S</w:t>
      </w:r>
      <w:r w:rsidR="00E268AC" w:rsidRPr="005245A1">
        <w:rPr>
          <w:rStyle w:val="Heading1Char"/>
          <w:rFonts w:ascii="Calibri" w:hAnsi="Calibri" w:cs="Calibri"/>
          <w:b/>
          <w:bCs/>
          <w:color w:val="auto"/>
          <w:sz w:val="22"/>
          <w:szCs w:val="22"/>
        </w:rPr>
        <w:t xml:space="preserve">. </w:t>
      </w:r>
      <w:r>
        <w:rPr>
          <w:rStyle w:val="Heading1Char"/>
          <w:rFonts w:ascii="Calibri" w:hAnsi="Calibri" w:cs="Calibri"/>
          <w:b/>
          <w:bCs/>
          <w:color w:val="auto"/>
          <w:sz w:val="22"/>
          <w:szCs w:val="22"/>
        </w:rPr>
        <w:t>Data extracted from s</w:t>
      </w:r>
      <w:r w:rsidR="00E268AC" w:rsidRPr="005245A1">
        <w:rPr>
          <w:rStyle w:val="Heading1Char"/>
          <w:rFonts w:ascii="Calibri" w:hAnsi="Calibri" w:cs="Calibri"/>
          <w:b/>
          <w:bCs/>
          <w:color w:val="auto"/>
          <w:sz w:val="22"/>
          <w:szCs w:val="22"/>
        </w:rPr>
        <w:t>tudies describing prevalence of subjective cognitive concerns among patients presenting to healthcare settings other than primary care or memory services.</w:t>
      </w:r>
      <w:bookmarkEnd w:id="3"/>
      <w:r w:rsidR="00E268AC" w:rsidRPr="005245A1">
        <w:rPr>
          <w:rFonts w:ascii="Calibri" w:eastAsiaTheme="majorEastAsia" w:hAnsi="Calibri" w:cs="Calibri"/>
          <w:b/>
          <w:bCs/>
        </w:rPr>
        <w:t xml:space="preserve"> </w:t>
      </w:r>
      <w:r w:rsidR="00E268AC" w:rsidRPr="00874C50">
        <w:rPr>
          <w:rFonts w:ascii="Calibri" w:eastAsiaTheme="majorEastAsia" w:hAnsi="Calibri" w:cs="Calibri"/>
          <w:b/>
          <w:bCs/>
          <w:i/>
          <w:iCs/>
        </w:rPr>
        <w:t>k</w:t>
      </w:r>
      <w:r w:rsidR="00E268AC" w:rsidRPr="00874C50">
        <w:rPr>
          <w:rFonts w:ascii="Calibri" w:eastAsiaTheme="majorEastAsia" w:hAnsi="Calibri" w:cs="Calibri"/>
          <w:b/>
          <w:bCs/>
        </w:rPr>
        <w:t>=4.</w:t>
      </w:r>
    </w:p>
    <w:tbl>
      <w:tblPr>
        <w:tblW w:w="15343"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088"/>
        <w:gridCol w:w="2036"/>
        <w:gridCol w:w="3290"/>
        <w:gridCol w:w="2350"/>
        <w:gridCol w:w="1880"/>
        <w:gridCol w:w="1097"/>
        <w:gridCol w:w="782"/>
        <w:gridCol w:w="783"/>
        <w:gridCol w:w="2037"/>
      </w:tblGrid>
      <w:tr w:rsidR="00E268AC" w:rsidRPr="00874C50" w14:paraId="35CBAB7B" w14:textId="77777777" w:rsidTr="00E268AC">
        <w:trPr>
          <w:trHeight w:val="301"/>
          <w:tblHeader/>
        </w:trPr>
        <w:tc>
          <w:tcPr>
            <w:tcW w:w="1088" w:type="dxa"/>
            <w:tcBorders>
              <w:top w:val="single" w:sz="6" w:space="0" w:color="auto"/>
              <w:left w:val="single" w:sz="6" w:space="0" w:color="auto"/>
              <w:bottom w:val="single" w:sz="6" w:space="0" w:color="auto"/>
              <w:right w:val="single" w:sz="6" w:space="0" w:color="auto"/>
            </w:tcBorders>
            <w:hideMark/>
          </w:tcPr>
          <w:p w14:paraId="57CF5B0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b/>
                <w:bCs/>
              </w:rPr>
              <w:t>Study</w:t>
            </w:r>
            <w:r w:rsidRPr="00874C50">
              <w:rPr>
                <w:rFonts w:ascii="Calibri" w:eastAsiaTheme="majorEastAsia" w:hAnsi="Calibri" w:cs="Calibri"/>
              </w:rPr>
              <w:t> </w:t>
            </w:r>
          </w:p>
        </w:tc>
        <w:tc>
          <w:tcPr>
            <w:tcW w:w="2036" w:type="dxa"/>
            <w:tcBorders>
              <w:top w:val="single" w:sz="6" w:space="0" w:color="auto"/>
              <w:left w:val="single" w:sz="6" w:space="0" w:color="auto"/>
              <w:bottom w:val="single" w:sz="6" w:space="0" w:color="auto"/>
              <w:right w:val="single" w:sz="6" w:space="0" w:color="auto"/>
            </w:tcBorders>
            <w:hideMark/>
          </w:tcPr>
          <w:p w14:paraId="48E3840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b/>
                <w:bCs/>
              </w:rPr>
              <w:t>Setting</w:t>
            </w:r>
            <w:r w:rsidRPr="00874C50">
              <w:rPr>
                <w:rFonts w:ascii="Calibri" w:eastAsiaTheme="majorEastAsia" w:hAnsi="Calibri" w:cs="Calibri"/>
              </w:rPr>
              <w:t> </w:t>
            </w:r>
          </w:p>
        </w:tc>
        <w:tc>
          <w:tcPr>
            <w:tcW w:w="3290" w:type="dxa"/>
            <w:tcBorders>
              <w:top w:val="single" w:sz="6" w:space="0" w:color="auto"/>
              <w:left w:val="single" w:sz="6" w:space="0" w:color="auto"/>
              <w:bottom w:val="single" w:sz="6" w:space="0" w:color="auto"/>
              <w:right w:val="single" w:sz="6" w:space="0" w:color="auto"/>
            </w:tcBorders>
            <w:hideMark/>
          </w:tcPr>
          <w:p w14:paraId="5B4C65F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b/>
                <w:bCs/>
              </w:rPr>
              <w:t>Population</w:t>
            </w:r>
            <w:r w:rsidRPr="00874C50">
              <w:rPr>
                <w:rFonts w:ascii="Calibri" w:eastAsiaTheme="majorEastAsia" w:hAnsi="Calibri" w:cs="Calibri"/>
              </w:rPr>
              <w:t> </w:t>
            </w:r>
          </w:p>
        </w:tc>
        <w:tc>
          <w:tcPr>
            <w:tcW w:w="2350" w:type="dxa"/>
            <w:tcBorders>
              <w:top w:val="single" w:sz="6" w:space="0" w:color="auto"/>
              <w:left w:val="single" w:sz="6" w:space="0" w:color="auto"/>
              <w:bottom w:val="single" w:sz="6" w:space="0" w:color="auto"/>
              <w:right w:val="single" w:sz="6" w:space="0" w:color="auto"/>
            </w:tcBorders>
            <w:hideMark/>
          </w:tcPr>
          <w:p w14:paraId="1CEFBC4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b/>
                <w:bCs/>
              </w:rPr>
              <w:t>Terminology and definition of SCD and/or FCD</w:t>
            </w:r>
            <w:r w:rsidRPr="00874C50">
              <w:rPr>
                <w:rFonts w:ascii="Calibri" w:eastAsiaTheme="majorEastAsia" w:hAnsi="Calibri" w:cs="Calibri"/>
              </w:rPr>
              <w:t> </w:t>
            </w:r>
          </w:p>
        </w:tc>
        <w:tc>
          <w:tcPr>
            <w:tcW w:w="1880" w:type="dxa"/>
            <w:tcBorders>
              <w:top w:val="single" w:sz="6" w:space="0" w:color="auto"/>
              <w:left w:val="single" w:sz="6" w:space="0" w:color="auto"/>
              <w:bottom w:val="single" w:sz="6" w:space="0" w:color="auto"/>
              <w:right w:val="single" w:sz="6" w:space="0" w:color="auto"/>
            </w:tcBorders>
            <w:hideMark/>
          </w:tcPr>
          <w:p w14:paraId="341593BB"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Sample, N</w:t>
            </w:r>
          </w:p>
          <w:p w14:paraId="3AD1346A" w14:textId="77777777" w:rsidR="00E268AC" w:rsidRPr="00874C50" w:rsidRDefault="00E268AC" w:rsidP="00EA0E24">
            <w:pPr>
              <w:spacing w:after="6" w:line="240" w:lineRule="auto"/>
              <w:rPr>
                <w:rFonts w:ascii="Calibri" w:eastAsiaTheme="majorEastAsia" w:hAnsi="Calibri" w:cs="Calibri"/>
                <w:b/>
                <w:bCs/>
              </w:rPr>
            </w:pPr>
            <w:r w:rsidRPr="00874C50">
              <w:rPr>
                <w:rFonts w:ascii="Calibri" w:eastAsiaTheme="majorEastAsia" w:hAnsi="Calibri" w:cs="Calibri"/>
                <w:b/>
                <w:bCs/>
              </w:rPr>
              <w:t xml:space="preserve">Mean age (SD) </w:t>
            </w:r>
          </w:p>
          <w:p w14:paraId="06D4AB4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b/>
                <w:bCs/>
              </w:rPr>
              <w:t>n (%) female</w:t>
            </w:r>
            <w:r w:rsidRPr="00874C50">
              <w:rPr>
                <w:rFonts w:ascii="Calibri" w:eastAsiaTheme="majorEastAsia" w:hAnsi="Calibri" w:cs="Calibri"/>
              </w:rPr>
              <w:t> </w:t>
            </w:r>
          </w:p>
        </w:tc>
        <w:tc>
          <w:tcPr>
            <w:tcW w:w="1097" w:type="dxa"/>
            <w:tcBorders>
              <w:top w:val="single" w:sz="6" w:space="0" w:color="auto"/>
              <w:left w:val="single" w:sz="6" w:space="0" w:color="auto"/>
              <w:bottom w:val="single" w:sz="6" w:space="0" w:color="auto"/>
              <w:right w:val="single" w:sz="6" w:space="0" w:color="auto"/>
            </w:tcBorders>
            <w:hideMark/>
          </w:tcPr>
          <w:p w14:paraId="27BBF52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b/>
                <w:bCs/>
              </w:rPr>
              <w:t>Dementia, n (%) </w:t>
            </w:r>
            <w:r w:rsidRPr="00874C50">
              <w:rPr>
                <w:rFonts w:ascii="Calibri" w:eastAsiaTheme="majorEastAsia" w:hAnsi="Calibri" w:cs="Calibri"/>
              </w:rPr>
              <w:t> </w:t>
            </w:r>
          </w:p>
        </w:tc>
        <w:tc>
          <w:tcPr>
            <w:tcW w:w="782" w:type="dxa"/>
            <w:tcBorders>
              <w:top w:val="single" w:sz="6" w:space="0" w:color="auto"/>
              <w:left w:val="single" w:sz="6" w:space="0" w:color="auto"/>
              <w:bottom w:val="single" w:sz="6" w:space="0" w:color="auto"/>
              <w:right w:val="single" w:sz="6" w:space="0" w:color="auto"/>
            </w:tcBorders>
            <w:hideMark/>
          </w:tcPr>
          <w:p w14:paraId="70B78BC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b/>
                <w:bCs/>
              </w:rPr>
              <w:t>MCI, n (%) </w:t>
            </w:r>
            <w:r w:rsidRPr="00874C50">
              <w:rPr>
                <w:rFonts w:ascii="Calibri" w:eastAsiaTheme="majorEastAsia" w:hAnsi="Calibri" w:cs="Calibri"/>
              </w:rPr>
              <w:t> </w:t>
            </w:r>
          </w:p>
        </w:tc>
        <w:tc>
          <w:tcPr>
            <w:tcW w:w="783" w:type="dxa"/>
            <w:tcBorders>
              <w:top w:val="single" w:sz="6" w:space="0" w:color="auto"/>
              <w:left w:val="single" w:sz="6" w:space="0" w:color="auto"/>
              <w:bottom w:val="single" w:sz="6" w:space="0" w:color="auto"/>
              <w:right w:val="single" w:sz="6" w:space="0" w:color="auto"/>
            </w:tcBorders>
            <w:hideMark/>
          </w:tcPr>
          <w:p w14:paraId="4C7AA2F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b/>
                <w:bCs/>
              </w:rPr>
              <w:t>SCD, n (%) </w:t>
            </w:r>
            <w:r w:rsidRPr="00874C50">
              <w:rPr>
                <w:rFonts w:ascii="Calibri" w:eastAsiaTheme="majorEastAsia" w:hAnsi="Calibri" w:cs="Calibri"/>
              </w:rPr>
              <w:t> </w:t>
            </w:r>
          </w:p>
        </w:tc>
        <w:tc>
          <w:tcPr>
            <w:tcW w:w="2037" w:type="dxa"/>
            <w:tcBorders>
              <w:top w:val="single" w:sz="6" w:space="0" w:color="auto"/>
              <w:left w:val="single" w:sz="6" w:space="0" w:color="auto"/>
              <w:bottom w:val="single" w:sz="6" w:space="0" w:color="auto"/>
              <w:right w:val="single" w:sz="6" w:space="0" w:color="auto"/>
            </w:tcBorders>
            <w:hideMark/>
          </w:tcPr>
          <w:p w14:paraId="17C9DA6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b/>
                <w:bCs/>
              </w:rPr>
              <w:t>Other, n (%)</w:t>
            </w:r>
            <w:r w:rsidRPr="00874C50">
              <w:rPr>
                <w:rFonts w:ascii="Calibri" w:eastAsiaTheme="majorEastAsia" w:hAnsi="Calibri" w:cs="Calibri"/>
              </w:rPr>
              <w:t> </w:t>
            </w:r>
          </w:p>
        </w:tc>
      </w:tr>
      <w:tr w:rsidR="00E268AC" w:rsidRPr="00874C50" w14:paraId="1E55E528" w14:textId="77777777" w:rsidTr="00E268AC">
        <w:trPr>
          <w:trHeight w:val="301"/>
        </w:trPr>
        <w:tc>
          <w:tcPr>
            <w:tcW w:w="1088" w:type="dxa"/>
            <w:tcBorders>
              <w:top w:val="single" w:sz="6" w:space="0" w:color="auto"/>
              <w:left w:val="single" w:sz="6" w:space="0" w:color="auto"/>
              <w:bottom w:val="single" w:sz="6" w:space="0" w:color="auto"/>
              <w:right w:val="single" w:sz="6" w:space="0" w:color="auto"/>
            </w:tcBorders>
          </w:tcPr>
          <w:p w14:paraId="617E6B4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Diaz et al. 2021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{"citationID":"rSslfPAV","properties":{"formattedCitation":"(32)","plainCitation":"(32)","noteIndex":0},"citationItems":[{"id":50,"uris":["http://zotero.org/groups/6084669/items/D9L2P2VF"],"itemData":{"id":50,"type":"article-journal","abstract":"Background:\n              Reversible etiologies of cognitive impairment are common and treatable, yet the majority of mild cognitive impairment (MCI) and dementia research in Latin America has focused on irreversible, neurodegenerative etiologies.\n            \n            \n              Objective:\n              We sought to determine if thyroid dysfunction and vitamin B12 and folate deficiencies are associated with cognitive disorders among older adults with memory complaints in Lima, Peru.\n            \n            \n              Methods:\n              This was a retrospective review of patients who presented for cognitive evaluations to a multidisciplinary neurology clinic in Lima, Peru from January 2014 to February 2020. We included individuals aged ≥60 years, native Spanish-speakers, with at least a primary school educational level and a complete clinical assessment. Patients had either subjective cognitive decline (SCD), MCI, or dementia. One-way ANOVA and multiple logistic regression analyses were performed.\n            \n            \n              Results:\n              We included 720 patients (330 SCD, 154 MCI, and 236 dementia); the dementia group was significantly older [mean age SCD 69.7 ± 4.1, dementia 72.4 ± 3.7 (\n              p\n              = 0.000)] and had lower folate levels than SCD patients. The MCI group had higher free T3 levels compared with SCD patients. Those with lower TSH had greater dementia risk (OR = 2.91, 95%CI: 1.15–6.86) but not MCI risk in unadjusted models. B12 deficiency or borderline B12 deficiency was present in 34% of the dementia group, yet no clear correlation was seen between neuropsychological test results and B12 levels in our study. There was no association between MCI or dementia and thyroid hormone, B12 nor folate levels in adjusted models.\n            \n            \n              Conclusion:\n              Our findings do not support an association between metabolic and endocrine disorders and cognitive impairment in older Peruvians from Lima despite a high prevalence of B12 deficiency. Future work may determine if cognitive decline is associated with metabolic or endocrine changes in Latin America.","container-title":"Frontiers in Public Health","DOI":"10.3389/fpubh.2021.676518","ISSN":"2296-2565","journalAbbreviation":"Front. Public Health","page":"676518","source":"DOI.org (Crossref)","title":"Thyroid Dysfunction, Vitamin B12, and Folic Acid Deficiencies Are Not Associated With Cognitive Impairment in Older Adults in Lima, Peru","volume":"9","author":[{"family":"Diaz","given":"Monica M."},{"family":"Custodio","given":"Nilton"},{"family":"Montesinos","given":"Rosa"},{"family":"Lira","given":"David"},{"family":"Herrera-Perez","given":"Eder"},{"family":"Pintado-Caipa","given":"Maritza"},{"family":"Cuenca-Alfaro","given":"Jose"},{"family":"Gamboa","given":"Carlos"},{"family":"Lanata","given":"Serggio"}],"issued":{"date-parts":[["2021",9,6]]}}}],"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(32)</w:t>
            </w:r>
            <w:r w:rsidRPr="00874C50">
              <w:rPr>
                <w:rFonts w:ascii="Calibri" w:eastAsiaTheme="majorEastAsia" w:hAnsi="Calibri" w:cs="Calibri"/>
              </w:rPr>
              <w:fldChar w:fldCharType="end"/>
            </w:r>
          </w:p>
        </w:tc>
        <w:tc>
          <w:tcPr>
            <w:tcW w:w="2036" w:type="dxa"/>
            <w:tcBorders>
              <w:top w:val="single" w:sz="6" w:space="0" w:color="auto"/>
              <w:left w:val="single" w:sz="6" w:space="0" w:color="auto"/>
              <w:bottom w:val="single" w:sz="6" w:space="0" w:color="auto"/>
              <w:right w:val="single" w:sz="6" w:space="0" w:color="auto"/>
            </w:tcBorders>
          </w:tcPr>
          <w:p w14:paraId="49E60AE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Neurology clinic, Peru </w:t>
            </w:r>
          </w:p>
        </w:tc>
        <w:tc>
          <w:tcPr>
            <w:tcW w:w="3290" w:type="dxa"/>
            <w:tcBorders>
              <w:top w:val="single" w:sz="6" w:space="0" w:color="auto"/>
              <w:left w:val="single" w:sz="6" w:space="0" w:color="auto"/>
              <w:bottom w:val="single" w:sz="6" w:space="0" w:color="auto"/>
              <w:right w:val="single" w:sz="6" w:space="0" w:color="auto"/>
            </w:tcBorders>
          </w:tcPr>
          <w:p w14:paraId="193C719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(aged ≥60 years) presenting for cognitive evaluations.</w:t>
            </w:r>
          </w:p>
        </w:tc>
        <w:tc>
          <w:tcPr>
            <w:tcW w:w="2350" w:type="dxa"/>
            <w:tcBorders>
              <w:top w:val="single" w:sz="6" w:space="0" w:color="auto"/>
              <w:left w:val="single" w:sz="6" w:space="0" w:color="auto"/>
              <w:bottom w:val="single" w:sz="6" w:space="0" w:color="auto"/>
              <w:right w:val="single" w:sz="6" w:space="0" w:color="auto"/>
            </w:tcBorders>
          </w:tcPr>
          <w:p w14:paraId="3EDF9B5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SCD: Jessen and colleagues’ (2020) criteria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{"citationID":"F2IioNwH","properties":{"formattedCitation":"(7)","plainCitation":"(7)","noteIndex":0},"citationItems":[{"id":"UotwaLRr/Olt5U31d","uris":["http://zotero.org/users/10119464/items/AD38A6RC"],"itemData":{"id":2740,"type":"article-journal","abstract":"A growing awareness about brain health and Alzheimer’s disease in the general population is leading to an increasing number of cognitively unimpaired individuals, who are concerned that they have reduced cognitive function, to approach the medical system for help. The term subjective cognitive decline (SCD) was conceived in 2014 to describe this condition. Epidemiological data provide evidence that the risk for mild cognitive impairment and dementia is increased in individuals with SCD. However, the majority of individuals with SCD will not show progressive cognitive decline. An individually tailored diagnostic process might be reasonable to identify or exclude underlying medical conditions in an individual with SCD who actively seeks medical help. An increasing number of studies are investigating the link between SCD and the very early stages of Alzheimer’s disease and other neurodegenerative diseases.","container-title":"The Lancet. Neurology","DOI":"10.1016/S1474-4422(19)30368-0","ISSN":"1474-4422","issue":"3","journalAbbreviation":"Lancet Neurol","note":"PMID: 31958406\nPMCID: PMC7062546","page":"271-278","source":"PubMed Central","title":"The characterisation of subjective cognitive decline","volume":"19","author":[{"family":"Jessen","given":"Frank"},{"family":"Amariglio","given":"Rebecca E"},{"family":"Buckley","given":"Rachel F"},{"family":"Flier","given":"Wiesje M","non-dropping-particle":"van der"},{"family":"Han","given":"Ying"},{"family":"Molinuevo","given":"José Luis"},{"family":"Rabin","given":"Laura"},{"family":"Rentz","given":"Dorene M"},{"family":"Rodriguez-Gomez","given":"Octavio"},{"family":"Saykin","given":"Andrew J"},{"family":"Sikkes","given":"Sietske A M"},{"family":"Smart","given":"Colette M"},{"family":"Wolfsgruber","given":"Steffen"},{"family":"Wagner","given":"Michael"}],"issued":{"date-parts":[["2020",3]]}}}],"schema":"https://github.com/citation-style-language/schema/raw/master/csl-citation.json"}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(7)</w:t>
            </w:r>
            <w:r w:rsidRPr="00874C50">
              <w:rPr>
                <w:rFonts w:ascii="Calibri" w:eastAsiaTheme="majorEastAsia" w:hAnsi="Calibri" w:cs="Calibri"/>
              </w:rPr>
              <w:fldChar w:fldCharType="end"/>
            </w:r>
            <w:r w:rsidRPr="00874C50">
              <w:rPr>
                <w:rFonts w:ascii="Calibri" w:eastAsiaTheme="majorEastAsia" w:hAnsi="Calibri" w:cs="Calibri"/>
              </w:rPr>
              <w:t>.</w:t>
            </w:r>
          </w:p>
        </w:tc>
        <w:tc>
          <w:tcPr>
            <w:tcW w:w="1880" w:type="dxa"/>
            <w:tcBorders>
              <w:top w:val="single" w:sz="6" w:space="0" w:color="auto"/>
              <w:left w:val="single" w:sz="6" w:space="0" w:color="auto"/>
              <w:bottom w:val="single" w:sz="6" w:space="0" w:color="auto"/>
              <w:right w:val="single" w:sz="6" w:space="0" w:color="auto"/>
            </w:tcBorders>
          </w:tcPr>
          <w:p w14:paraId="2357CD8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720</w:t>
            </w:r>
          </w:p>
          <w:p w14:paraId="7A75456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70.7 (4.0) years</w:t>
            </w:r>
          </w:p>
          <w:p w14:paraId="7FF38C0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366 (50.8)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97" w:type="dxa"/>
            <w:tcBorders>
              <w:top w:val="single" w:sz="6" w:space="0" w:color="auto"/>
              <w:left w:val="single" w:sz="6" w:space="0" w:color="auto"/>
              <w:bottom w:val="single" w:sz="6" w:space="0" w:color="auto"/>
              <w:right w:val="single" w:sz="6" w:space="0" w:color="auto"/>
            </w:tcBorders>
          </w:tcPr>
          <w:p w14:paraId="3D50CBA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236 (32.8) </w:t>
            </w:r>
          </w:p>
        </w:tc>
        <w:tc>
          <w:tcPr>
            <w:tcW w:w="782" w:type="dxa"/>
            <w:tcBorders>
              <w:top w:val="single" w:sz="6" w:space="0" w:color="auto"/>
              <w:left w:val="single" w:sz="6" w:space="0" w:color="auto"/>
              <w:bottom w:val="single" w:sz="6" w:space="0" w:color="auto"/>
              <w:right w:val="single" w:sz="6" w:space="0" w:color="auto"/>
            </w:tcBorders>
          </w:tcPr>
          <w:p w14:paraId="5FA0B18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154 (21.4) </w:t>
            </w:r>
          </w:p>
        </w:tc>
        <w:tc>
          <w:tcPr>
            <w:tcW w:w="783" w:type="dxa"/>
            <w:tcBorders>
              <w:top w:val="single" w:sz="6" w:space="0" w:color="auto"/>
              <w:left w:val="single" w:sz="6" w:space="0" w:color="auto"/>
              <w:bottom w:val="single" w:sz="6" w:space="0" w:color="auto"/>
              <w:right w:val="single" w:sz="6" w:space="0" w:color="auto"/>
            </w:tcBorders>
          </w:tcPr>
          <w:p w14:paraId="32C7AAA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330 (45.8) </w:t>
            </w:r>
          </w:p>
        </w:tc>
        <w:tc>
          <w:tcPr>
            <w:tcW w:w="2037" w:type="dxa"/>
            <w:tcBorders>
              <w:top w:val="single" w:sz="6" w:space="0" w:color="auto"/>
              <w:left w:val="single" w:sz="6" w:space="0" w:color="auto"/>
              <w:bottom w:val="single" w:sz="6" w:space="0" w:color="auto"/>
              <w:right w:val="single" w:sz="6" w:space="0" w:color="auto"/>
            </w:tcBorders>
          </w:tcPr>
          <w:p w14:paraId="30EA0F3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 </w:t>
            </w:r>
          </w:p>
        </w:tc>
      </w:tr>
      <w:tr w:rsidR="00E268AC" w:rsidRPr="00874C50" w14:paraId="3631A222" w14:textId="77777777" w:rsidTr="00E268AC">
        <w:trPr>
          <w:trHeight w:val="301"/>
        </w:trPr>
        <w:tc>
          <w:tcPr>
            <w:tcW w:w="1088" w:type="dxa"/>
            <w:tcBorders>
              <w:top w:val="single" w:sz="6" w:space="0" w:color="auto"/>
              <w:left w:val="single" w:sz="6" w:space="0" w:color="auto"/>
              <w:bottom w:val="single" w:sz="6" w:space="0" w:color="auto"/>
              <w:right w:val="single" w:sz="6" w:space="0" w:color="auto"/>
            </w:tcBorders>
            <w:hideMark/>
          </w:tcPr>
          <w:p w14:paraId="6044E9E6"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Goldstein et al. 2023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{"citationID":"u3wuwuCK","properties":{"formattedCitation":"(33)","plainCitation":"(33)","noteIndex":0},"citationItems":[{"id":54,"uris":["http://zotero.org/groups/6084669/items/5LUJTWBF"],"itemData":{"id":54,"type":"article-journal","container-title":"Brain, Behavior, &amp; Immunity - Health","DOI":"10.1016/j.bbih.2023.100691","ISSN":"26663546","journalAbbreviation":"Brain, Behavior, &amp; Immunity - Health","language":"en","page":"100691","source":"DOI.org (Crossref)","title":"Frequency and correlates of subjective cognitive complaints and objective cognitive screening results in African American adults following COVID-19 infection","volume":"34","author":[{"family":"Goldstein","given":"Felicia C."},{"family":"Hajjar","given":"Ihab"},{"family":"Summers","given":"Aerica"},{"family":"Truong","given":"Alexander D."},{"family":"Lee","given":"F. Frances Eun-Hyung"},{"family":"Han","given":"Jenny E."},{"family":"Walker","given":"Tiffany A."}],"issued":{"date-parts":[["2023",12]]}}}],"schema":"https://github.com/citation-style-language/schema/raw/master/csl-citation.json"}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(33)</w:t>
            </w:r>
            <w:r w:rsidRPr="00874C50">
              <w:rPr>
                <w:rFonts w:ascii="Calibri" w:eastAsiaTheme="majorEastAsia" w:hAnsi="Calibri" w:cs="Calibri"/>
              </w:rPr>
              <w:fldChar w:fldCharType="end"/>
            </w:r>
          </w:p>
        </w:tc>
        <w:tc>
          <w:tcPr>
            <w:tcW w:w="2036" w:type="dxa"/>
            <w:tcBorders>
              <w:top w:val="single" w:sz="6" w:space="0" w:color="auto"/>
              <w:left w:val="single" w:sz="6" w:space="0" w:color="auto"/>
              <w:bottom w:val="single" w:sz="6" w:space="0" w:color="auto"/>
              <w:right w:val="single" w:sz="6" w:space="0" w:color="auto"/>
            </w:tcBorders>
            <w:hideMark/>
          </w:tcPr>
          <w:p w14:paraId="4ECE0980"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PASC Clinic at Grady Memorial Hospital, Georgia USA.</w:t>
            </w:r>
          </w:p>
        </w:tc>
        <w:tc>
          <w:tcPr>
            <w:tcW w:w="3290" w:type="dxa"/>
            <w:tcBorders>
              <w:top w:val="single" w:sz="6" w:space="0" w:color="auto"/>
              <w:left w:val="single" w:sz="6" w:space="0" w:color="auto"/>
              <w:bottom w:val="single" w:sz="6" w:space="0" w:color="auto"/>
              <w:right w:val="single" w:sz="6" w:space="0" w:color="auto"/>
            </w:tcBorders>
            <w:hideMark/>
          </w:tcPr>
          <w:p w14:paraId="514F516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Patients with new or worsening symptoms lasting ≥3 weeks from confirmed SARS-CoV-2 test. </w:t>
            </w:r>
          </w:p>
        </w:tc>
        <w:tc>
          <w:tcPr>
            <w:tcW w:w="2350" w:type="dxa"/>
            <w:tcBorders>
              <w:top w:val="single" w:sz="6" w:space="0" w:color="auto"/>
              <w:left w:val="single" w:sz="6" w:space="0" w:color="auto"/>
              <w:bottom w:val="single" w:sz="6" w:space="0" w:color="auto"/>
              <w:right w:val="single" w:sz="6" w:space="0" w:color="auto"/>
            </w:tcBorders>
            <w:hideMark/>
          </w:tcPr>
          <w:p w14:paraId="6AF20D4B"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SCC: PROMIS-CF-Concerns-Short Form 8a Scale; scored range from 8-40 points.</w:t>
            </w:r>
          </w:p>
        </w:tc>
        <w:tc>
          <w:tcPr>
            <w:tcW w:w="1880" w:type="dxa"/>
            <w:tcBorders>
              <w:top w:val="single" w:sz="6" w:space="0" w:color="auto"/>
              <w:left w:val="single" w:sz="6" w:space="0" w:color="auto"/>
              <w:bottom w:val="single" w:sz="6" w:space="0" w:color="auto"/>
              <w:right w:val="single" w:sz="6" w:space="0" w:color="auto"/>
            </w:tcBorders>
            <w:hideMark/>
          </w:tcPr>
          <w:p w14:paraId="62F4D747"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87</w:t>
            </w:r>
          </w:p>
          <w:p w14:paraId="65F3A15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52.5 (10.5) years </w:t>
            </w:r>
          </w:p>
          <w:p w14:paraId="4E80C185"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75 (86.0)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97" w:type="dxa"/>
            <w:tcBorders>
              <w:top w:val="single" w:sz="6" w:space="0" w:color="auto"/>
              <w:left w:val="single" w:sz="6" w:space="0" w:color="auto"/>
              <w:bottom w:val="single" w:sz="6" w:space="0" w:color="auto"/>
              <w:right w:val="single" w:sz="6" w:space="0" w:color="auto"/>
            </w:tcBorders>
            <w:hideMark/>
          </w:tcPr>
          <w:p w14:paraId="3C8CF96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782" w:type="dxa"/>
            <w:tcBorders>
              <w:top w:val="single" w:sz="6" w:space="0" w:color="auto"/>
              <w:left w:val="single" w:sz="6" w:space="0" w:color="auto"/>
              <w:bottom w:val="single" w:sz="6" w:space="0" w:color="auto"/>
              <w:right w:val="single" w:sz="6" w:space="0" w:color="auto"/>
            </w:tcBorders>
            <w:hideMark/>
          </w:tcPr>
          <w:p w14:paraId="07481E4A"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783" w:type="dxa"/>
            <w:tcBorders>
              <w:top w:val="single" w:sz="6" w:space="0" w:color="auto"/>
              <w:left w:val="single" w:sz="6" w:space="0" w:color="auto"/>
              <w:bottom w:val="single" w:sz="6" w:space="0" w:color="auto"/>
              <w:right w:val="single" w:sz="6" w:space="0" w:color="auto"/>
            </w:tcBorders>
            <w:hideMark/>
          </w:tcPr>
          <w:p w14:paraId="74BEAFC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 (0.6) </w:t>
            </w:r>
          </w:p>
        </w:tc>
        <w:tc>
          <w:tcPr>
            <w:tcW w:w="2037" w:type="dxa"/>
            <w:tcBorders>
              <w:top w:val="single" w:sz="6" w:space="0" w:color="auto"/>
              <w:left w:val="single" w:sz="6" w:space="0" w:color="auto"/>
              <w:bottom w:val="single" w:sz="6" w:space="0" w:color="auto"/>
              <w:right w:val="single" w:sz="6" w:space="0" w:color="auto"/>
            </w:tcBorders>
            <w:hideMark/>
          </w:tcPr>
          <w:p w14:paraId="52698C21"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83 (99.4) without SCC or with objective cognitive impairment. </w:t>
            </w:r>
          </w:p>
        </w:tc>
      </w:tr>
      <w:tr w:rsidR="00E268AC" w:rsidRPr="00874C50" w14:paraId="6AAD7A80" w14:textId="77777777" w:rsidTr="00E268AC">
        <w:trPr>
          <w:trHeight w:val="301"/>
        </w:trPr>
        <w:tc>
          <w:tcPr>
            <w:tcW w:w="1088" w:type="dxa"/>
            <w:tcBorders>
              <w:top w:val="single" w:sz="6" w:space="0" w:color="auto"/>
              <w:left w:val="single" w:sz="6" w:space="0" w:color="auto"/>
              <w:bottom w:val="single" w:sz="6" w:space="0" w:color="auto"/>
              <w:right w:val="single" w:sz="6" w:space="0" w:color="auto"/>
            </w:tcBorders>
          </w:tcPr>
          <w:p w14:paraId="2925CB85"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Xu et al. 2020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{"citationID":"jkKQ7C1g","properties":{"formattedCitation":"(34)","plainCitation":"(34)","noteIndex":0},"citationItems":[{"id":35,"uris":["http://zotero.org/groups/6084669/items/3UZGMRIL"],"itemData":{"id":35,"type":"article-journal","container-title":"Frontiers in Psychology","DOI":"10.3389/fpsyg.2020.00558","ISSN":"1664-1078","journalAbbreviation":"Front. Psychol.","page":"558","source":"DOI.org (Crossref)","title":"Screening for Cognitive Frailty Using Short Cognitive Screening Instruments: Comparison of the Chinese Versions of the MoCA and Qmci Screen","title-short":"Screening for Cognitive Frailty Using Short Cognitive Screening Instruments","volume":"11","author":[{"family":"Xu","given":"Yangfan"},{"family":"Lin","given":"Yangyang"},{"family":"Yi","given":"Lingrong"},{"family":"Li","given":"Zhao"},{"family":"Li","given":"Xian"},{"family":"Yu","given":"Yuying"},{"family":"Guo","given":"Yuxiao"},{"family":"Wang","given":"Yuling"},{"family":"Jiang","given":"Haoying"},{"family":"Chen","given":"Zhuoming"},{"family":"Svendrovski","given":"Anton"},{"family":"Gao","given":"Yang"},{"family":"Molloy","given":"D. William"},{"family":"O’Caoimh","given":"Rónán"}],"issued":{"date-parts":[["2020",4,3]]}}}],"schema":"https://github.com/citation-style-language/schema/raw/master/csl-citation.json"}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(34)</w:t>
            </w:r>
            <w:r w:rsidRPr="00874C50">
              <w:rPr>
                <w:rFonts w:ascii="Calibri" w:eastAsiaTheme="majorEastAsia" w:hAnsi="Calibri" w:cs="Calibri"/>
              </w:rPr>
              <w:fldChar w:fldCharType="end"/>
            </w:r>
          </w:p>
        </w:tc>
        <w:tc>
          <w:tcPr>
            <w:tcW w:w="2036" w:type="dxa"/>
            <w:tcBorders>
              <w:top w:val="single" w:sz="6" w:space="0" w:color="auto"/>
              <w:left w:val="single" w:sz="6" w:space="0" w:color="auto"/>
              <w:bottom w:val="single" w:sz="6" w:space="0" w:color="auto"/>
              <w:right w:val="single" w:sz="6" w:space="0" w:color="auto"/>
            </w:tcBorders>
          </w:tcPr>
          <w:p w14:paraId="29FD66A3"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Two general rehabilitation outpatient clinics in hospitals in China. </w:t>
            </w:r>
          </w:p>
        </w:tc>
        <w:tc>
          <w:tcPr>
            <w:tcW w:w="3290" w:type="dxa"/>
            <w:tcBorders>
              <w:top w:val="single" w:sz="6" w:space="0" w:color="auto"/>
              <w:left w:val="single" w:sz="6" w:space="0" w:color="auto"/>
              <w:bottom w:val="single" w:sz="6" w:space="0" w:color="auto"/>
              <w:right w:val="single" w:sz="6" w:space="0" w:color="auto"/>
            </w:tcBorders>
          </w:tcPr>
          <w:p w14:paraId="79575354" w14:textId="77777777" w:rsidR="00E268AC" w:rsidRPr="00874C50" w:rsidRDefault="00E268AC" w:rsidP="00EA0E24">
            <w:pPr>
              <w:spacing w:after="6" w:line="240" w:lineRule="auto"/>
              <w:rPr>
                <w:rFonts w:ascii="Calibri" w:eastAsiaTheme="majorEastAsia" w:hAnsi="Calibri" w:cs="Calibri"/>
                <w:lang w:val="en-US"/>
              </w:rPr>
            </w:pPr>
            <w:r w:rsidRPr="00874C50">
              <w:rPr>
                <w:rFonts w:ascii="Calibri" w:eastAsiaTheme="majorEastAsia" w:hAnsi="Calibri" w:cs="Calibri"/>
              </w:rPr>
              <w:t>Patients (aged ≥50 years) presenting with symptomatic cognitive symptoms.</w:t>
            </w:r>
          </w:p>
        </w:tc>
        <w:tc>
          <w:tcPr>
            <w:tcW w:w="2350" w:type="dxa"/>
            <w:tcBorders>
              <w:top w:val="single" w:sz="6" w:space="0" w:color="auto"/>
              <w:left w:val="single" w:sz="6" w:space="0" w:color="auto"/>
              <w:bottom w:val="single" w:sz="6" w:space="0" w:color="auto"/>
              <w:right w:val="single" w:sz="6" w:space="0" w:color="auto"/>
            </w:tcBorders>
          </w:tcPr>
          <w:p w14:paraId="2624AEB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SCD: Jessen and colleagues’ (2014) criteria </w:t>
            </w:r>
            <w:r w:rsidRPr="00874C50">
              <w:rPr>
                <w:rFonts w:ascii="Calibri" w:eastAsiaTheme="majorEastAsia" w:hAnsi="Calibri" w:cs="Calibri"/>
              </w:rPr>
              <w:fldChar w:fldCharType="begin"/>
            </w:r>
            <w:r w:rsidRPr="00874C50">
              <w:rPr>
                <w:rFonts w:ascii="Calibri" w:eastAsiaTheme="majorEastAsia" w:hAnsi="Calibri" w:cs="Calibri"/>
              </w:rPr>
              <w:instrText xml:space="preserve"> ADDIN ZOTERO_ITEM CSL_CITATION {"citationID":"GA7uTZ1T","properties":{"formattedCitation":"(4)","plainCitation":"(4)","noteIndex":0},"citationItems":[{"id":77,"uris":["http://zotero.org/groups/6084669/items/3SGJQPUH"],"itemData":{"id":77,"type":"article-journal","abstract":"Abstract\n            \n              \n              \n                There is increasing evidence that subjective cognitive decline (SCD) in individuals with unimpaired performance on cognitive tests may represent the first symptomatic manifestation of Alzheimer's disease (AD). The research on SCD in early AD, however, is limited by the absence of common standards. The working group of the Subjective Cognitive Decline Initiative (SCD‐I) addressed this deficiency by reaching consensus on terminology and on a conceptual framework for research on SCD in AD. In this publication, research criteria for SCD in pre‐mild cognitive impairment (MCI) are presented. In addition, a list of core features proposed for reporting in SCD studies is provided, which will enable comparability of research across different settings. Finally, a set of features is presented, which in accordance with current knowledge, increases the likelihood of the presence of preclinical AD in individuals with SCD. This list is referred to as SCD\n                plus\n                .","container-title":"Alzheimer's &amp; Dementia","DOI":"10.1016/j.jalz.2014.01.001","ISSN":"1552-5260, 1552-5279","issue":"6","journalAbbreviation":"Alzheimer's &amp; Dementia","language":"en","page":"844-852","source":"DOI.org (Crossref)","title":"A conceptual framework for research on subjective cognitive decline in preclinical Alzheimer's disease","volume":"10","author":[{"family":"Jessen","given":"Frank"},{"family":"Amariglio","given":"Rebecca E."},{"family":"Van Boxtel","given":"Martin"},{"family":"Breteler","given":"Monique"},{"family":"Ceccaldi","given":"Mathieu"},{"family":"Chételat","given":"Gaël"},{"family":"Dubois","given":"Bruno"},{"family":"Dufouil","given":"Carole"},{"family":"Ellis","given":"Kathryn A."},{"family":"Van Der Flier","given":"Wiesje M."},{"family":"Glodzik","given":"Lidia"},{"family":"Van Harten","given":"Argonde C."},{"family":"De Leon","given":"Mony J."},{"family":"McHugh","given":"Pauline"},{"family":"Mielke","given":"Michelle M."},{"family":"Molinuevo","given":"Jose Luis"},{"family":"Mosconi","given":"Lisa"},{"family":"Osorio","given":"Ricardo S."},{"family":"Perrotin","given":"Audrey"},{"family":"Petersen","given":"Ronald C."},{"family":"Rabin","given":"Laura A."},{"family":"Rami","given":"Lorena"},{"family":"Reisberg","given":"Barry"},{"family":"Rentz","given":"Dorene M."},{"family":"Sachdev","given":"Perminder S."},{"family":"De La Sayette","given":"Vincent"},{"family":"Saykin","given":"Andrew J."},{"family":"Scheltens","given":"Philip"},{"family":"Shulman","given":"Melanie B."},{"family":"Slavin","given":"Melissa J."},{"family":"Sperling","given":"Reisa A."},{"family":"Stewart","given":"Robert"},{"family":"Uspenskaya","given":"Olga"},{"family":"Vellas","given":"Bruno"},{"family":"Visser","given":"Pieter Jelle"},{"family":"Wagner","given":"Michael"},{"literal":"Subjective Cognitive Decline Initiative (SCD‐I) Working Group"}],"issued":{"date-parts":[["2014",11]]}}}],"schema":"https://github.com/citation-style-language/schema/raw/master/csl-citation.json"}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(4)</w:t>
            </w:r>
            <w:r w:rsidRPr="00874C50">
              <w:rPr>
                <w:rFonts w:ascii="Calibri" w:eastAsiaTheme="majorEastAsia" w:hAnsi="Calibri" w:cs="Calibri"/>
              </w:rPr>
              <w:fldChar w:fldCharType="end"/>
            </w:r>
            <w:r w:rsidRPr="00874C50">
              <w:rPr>
                <w:rFonts w:ascii="Calibri" w:eastAsiaTheme="majorEastAsia" w:hAnsi="Calibri" w:cs="Calibri"/>
              </w:rPr>
              <w:t xml:space="preserve"> </w:t>
            </w:r>
            <w:r w:rsidRPr="00874C50">
              <w:rPr>
                <w:rFonts w:ascii="Calibri" w:eastAsiaTheme="majorEastAsia" w:hAnsi="Calibri" w:cs="Calibri"/>
                <w:vertAlign w:val="superscript"/>
              </w:rPr>
              <w:t>a</w:t>
            </w:r>
            <w:r w:rsidRPr="00874C50">
              <w:rPr>
                <w:rFonts w:ascii="Calibri" w:eastAsiaTheme="majorEastAsia" w:hAnsi="Calibri" w:cs="Calibri"/>
              </w:rPr>
              <w:t>.</w:t>
            </w:r>
          </w:p>
        </w:tc>
        <w:tc>
          <w:tcPr>
            <w:tcW w:w="1880" w:type="dxa"/>
            <w:tcBorders>
              <w:top w:val="single" w:sz="6" w:space="0" w:color="auto"/>
              <w:left w:val="single" w:sz="6" w:space="0" w:color="auto"/>
              <w:bottom w:val="single" w:sz="6" w:space="0" w:color="auto"/>
              <w:right w:val="single" w:sz="6" w:space="0" w:color="auto"/>
            </w:tcBorders>
          </w:tcPr>
          <w:p w14:paraId="6850277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95 </w:t>
            </w:r>
          </w:p>
          <w:p w14:paraId="6606801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62.6 (10.2) years </w:t>
            </w:r>
          </w:p>
          <w:p w14:paraId="226C718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66 (69.5) </w:t>
            </w:r>
            <w:proofErr w:type="gramStart"/>
            <w:r w:rsidRPr="00874C50">
              <w:rPr>
                <w:rFonts w:ascii="Calibri" w:eastAsiaTheme="majorEastAsia" w:hAnsi="Calibri" w:cs="Calibri"/>
              </w:rPr>
              <w:t>female</w:t>
            </w:r>
            <w:proofErr w:type="gramEnd"/>
            <w:r w:rsidRPr="00874C50">
              <w:rPr>
                <w:rFonts w:ascii="Calibri" w:eastAsiaTheme="majorEastAsia" w:hAnsi="Calibri" w:cs="Calibri"/>
              </w:rPr>
              <w:t> </w:t>
            </w:r>
          </w:p>
        </w:tc>
        <w:tc>
          <w:tcPr>
            <w:tcW w:w="1097" w:type="dxa"/>
            <w:tcBorders>
              <w:top w:val="single" w:sz="6" w:space="0" w:color="auto"/>
              <w:left w:val="single" w:sz="6" w:space="0" w:color="auto"/>
              <w:bottom w:val="single" w:sz="6" w:space="0" w:color="auto"/>
              <w:right w:val="single" w:sz="6" w:space="0" w:color="auto"/>
            </w:tcBorders>
          </w:tcPr>
          <w:p w14:paraId="354C4852"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14 (15.0) </w:t>
            </w:r>
          </w:p>
        </w:tc>
        <w:tc>
          <w:tcPr>
            <w:tcW w:w="782" w:type="dxa"/>
            <w:tcBorders>
              <w:top w:val="single" w:sz="6" w:space="0" w:color="auto"/>
              <w:left w:val="single" w:sz="6" w:space="0" w:color="auto"/>
              <w:bottom w:val="single" w:sz="6" w:space="0" w:color="auto"/>
              <w:right w:val="single" w:sz="6" w:space="0" w:color="auto"/>
            </w:tcBorders>
          </w:tcPr>
          <w:p w14:paraId="4A7F4A6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47 (49.0) </w:t>
            </w:r>
          </w:p>
        </w:tc>
        <w:tc>
          <w:tcPr>
            <w:tcW w:w="783" w:type="dxa"/>
            <w:tcBorders>
              <w:top w:val="single" w:sz="6" w:space="0" w:color="auto"/>
              <w:left w:val="single" w:sz="6" w:space="0" w:color="auto"/>
              <w:bottom w:val="single" w:sz="6" w:space="0" w:color="auto"/>
              <w:right w:val="single" w:sz="6" w:space="0" w:color="auto"/>
            </w:tcBorders>
          </w:tcPr>
          <w:p w14:paraId="1057333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34 (36.0) </w:t>
            </w:r>
          </w:p>
        </w:tc>
        <w:tc>
          <w:tcPr>
            <w:tcW w:w="2037" w:type="dxa"/>
            <w:tcBorders>
              <w:top w:val="single" w:sz="6" w:space="0" w:color="auto"/>
              <w:left w:val="single" w:sz="6" w:space="0" w:color="auto"/>
              <w:bottom w:val="single" w:sz="6" w:space="0" w:color="auto"/>
              <w:right w:val="single" w:sz="6" w:space="0" w:color="auto"/>
            </w:tcBorders>
          </w:tcPr>
          <w:p w14:paraId="7C552D0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 </w:t>
            </w:r>
          </w:p>
        </w:tc>
      </w:tr>
      <w:tr w:rsidR="00E268AC" w:rsidRPr="00874C50" w14:paraId="7FFE71F8" w14:textId="77777777" w:rsidTr="00E268AC">
        <w:trPr>
          <w:trHeight w:val="301"/>
        </w:trPr>
        <w:tc>
          <w:tcPr>
            <w:tcW w:w="1088" w:type="dxa"/>
            <w:tcBorders>
              <w:top w:val="single" w:sz="6" w:space="0" w:color="auto"/>
              <w:left w:val="single" w:sz="6" w:space="0" w:color="auto"/>
              <w:bottom w:val="single" w:sz="6" w:space="0" w:color="auto"/>
              <w:right w:val="single" w:sz="6" w:space="0" w:color="auto"/>
            </w:tcBorders>
          </w:tcPr>
          <w:p w14:paraId="1C415E3D"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Yavuz Veizi et al. 2025 </w:t>
            </w:r>
            <w:r w:rsidRPr="00874C50">
              <w:rPr>
                <w:rFonts w:ascii="Calibri" w:eastAsiaTheme="majorEastAsia" w:hAnsi="Calibri" w:cs="Calibri"/>
              </w:rPr>
              <w:fldChar w:fldCharType="begin"/>
            </w:r>
            <w:r>
              <w:rPr>
                <w:rFonts w:ascii="Calibri" w:eastAsiaTheme="majorEastAsia" w:hAnsi="Calibri" w:cs="Calibri"/>
              </w:rPr>
              <w:instrText xml:space="preserve"> ADDIN ZOTERO_ITEM CSL_CITATION {"citationID":"pagDBGnK","properties":{"formattedCitation":"(35)","plainCitation":"(35)","noteIndex":0},"citationItems":[{"id":33,"uris":["http://zotero.org/groups/6084669/items/GYFCLQVL"],"itemData":{"id":33,"type":"article-journal","abstract":"Background\n              Subjective memory complaints (SMC) are common in older adults and may indicate an increased risk of cognitive decline. Polypharmacy and anticholinergic burden have been associated with cognitive impairment, but their specific contribution to SMC remains unclear. The aim of this study was to investigate the association between polypharmacy, anticholinergic burden and SMC in community-dwelling older adults.\n            \n            \n              Methods\n              This cross-sectional study included 652 participants aged 65 years and older from geriatric outpatient clinics. SMC was assessed via a structured clinician-administered question, and cognitive function was evaluated using the Mini-Mental State Examination (MMSE). Polypharmacy was defined as the concomitant use of five or more medications, while anticholinergic burden was determined using the Anticholinergic Burden Classification (ABC). Logistic regression models were used to examine the independent effects of polypharmacy and anticholinergic burden on SMC, adjusting for demographic variables, comorbidities and depressive symptoms.\n            \n            \n              Results\n              \n                SMC was reported by 48% of participants. Polypharmacy (OR = 2.10, 95% CI: 1.43-3.08,\n                P\n                &lt; 0.001) and higher anticholinergic burden (OR = 2.39, 95% CI: 1.72-3.32,\n                P\n                &lt; 0.001) were independently associated with increased SMC. Chronic obstructive pulmonary disease (COPD) was also identified as a significant predictor (OR = 2.90, 95% CI: 1.41-5.98,\n                P\n                = 0.004).\n              \n            \n            \n              Conclusion\n              Polypharmacy and anticholinergic burden are significant risk factors for SMC in older adults. Reducing unnecessary medication use and minimizing anticholinergic burden may help to alleviate cognitive complaints. Future longitudinal studies are needed to determine causal relationships and possible interventions.","container-title":"Journal of Geriatric Psychiatry and Neurology","DOI":"10.1177/08919887251339837","ISSN":"0891-9887, 1552-5708","journalAbbreviation":"J Geriatr Psychiatry Neurol","language":"en","page":"08919887251339837","source":"DOI.org (Crossref)","title":"Subjective Memory Complaints in Older Adults: The Role of Polypharmacy and Anticholinergic Burden","title-short":"Subjective Memory Complaints in Older Adults","author":[{"family":"Yavuz Veizi","given":"Betül Gülsüm"},{"family":"Oğuz","given":"Ekin Oktay"},{"family":"Ilkin Naharci","given":"Mehmet"}],"issued":{"date-parts":[["2025",5]]}}}],"schema":"https://github.com/citation-style-language/schema/raw/master/csl-citation.json"} </w:instrText>
            </w:r>
            <w:r w:rsidRPr="00874C50">
              <w:rPr>
                <w:rFonts w:ascii="Calibri" w:eastAsiaTheme="majorEastAsia" w:hAnsi="Calibri" w:cs="Calibri"/>
              </w:rPr>
              <w:fldChar w:fldCharType="separate"/>
            </w:r>
            <w:r w:rsidRPr="00886DDC">
              <w:rPr>
                <w:rFonts w:ascii="Calibri" w:hAnsi="Calibri" w:cs="Calibri"/>
              </w:rPr>
              <w:t>(35)</w:t>
            </w:r>
            <w:r w:rsidRPr="00874C50">
              <w:rPr>
                <w:rFonts w:ascii="Calibri" w:eastAsiaTheme="majorEastAsia" w:hAnsi="Calibri" w:cs="Calibri"/>
              </w:rPr>
              <w:fldChar w:fldCharType="end"/>
            </w:r>
          </w:p>
        </w:tc>
        <w:tc>
          <w:tcPr>
            <w:tcW w:w="2036" w:type="dxa"/>
            <w:tcBorders>
              <w:top w:val="single" w:sz="6" w:space="0" w:color="auto"/>
              <w:left w:val="single" w:sz="6" w:space="0" w:color="auto"/>
              <w:bottom w:val="single" w:sz="6" w:space="0" w:color="auto"/>
              <w:right w:val="single" w:sz="6" w:space="0" w:color="auto"/>
            </w:tcBorders>
          </w:tcPr>
          <w:p w14:paraId="12C9068E"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Three geriatric outpatient clinics in tertiary hospitals in Turkey </w:t>
            </w:r>
          </w:p>
        </w:tc>
        <w:tc>
          <w:tcPr>
            <w:tcW w:w="3290" w:type="dxa"/>
            <w:tcBorders>
              <w:top w:val="single" w:sz="6" w:space="0" w:color="auto"/>
              <w:left w:val="single" w:sz="6" w:space="0" w:color="auto"/>
              <w:bottom w:val="single" w:sz="6" w:space="0" w:color="auto"/>
              <w:right w:val="single" w:sz="6" w:space="0" w:color="auto"/>
            </w:tcBorders>
          </w:tcPr>
          <w:p w14:paraId="450D387F" w14:textId="77777777" w:rsidR="00E268AC" w:rsidRPr="00874C50" w:rsidRDefault="00E268AC" w:rsidP="00EA0E24">
            <w:pPr>
              <w:spacing w:after="6" w:line="240" w:lineRule="auto"/>
              <w:rPr>
                <w:rFonts w:ascii="Calibri" w:eastAsiaTheme="majorEastAsia" w:hAnsi="Calibri" w:cs="Calibri"/>
                <w:lang w:val="en-US"/>
              </w:rPr>
            </w:pPr>
            <w:r w:rsidRPr="00874C50">
              <w:rPr>
                <w:rFonts w:ascii="Calibri" w:eastAsiaTheme="majorEastAsia" w:hAnsi="Calibri" w:cs="Calibri"/>
              </w:rPr>
              <w:t>Patients (aged ≥65 years) without dementia diagnosis, end-stage disease, cognitive impairment on the MMSE (≤26). </w:t>
            </w:r>
          </w:p>
        </w:tc>
        <w:tc>
          <w:tcPr>
            <w:tcW w:w="2350" w:type="dxa"/>
            <w:tcBorders>
              <w:top w:val="single" w:sz="6" w:space="0" w:color="auto"/>
              <w:left w:val="single" w:sz="6" w:space="0" w:color="auto"/>
              <w:bottom w:val="single" w:sz="6" w:space="0" w:color="auto"/>
              <w:right w:val="single" w:sz="6" w:space="0" w:color="auto"/>
            </w:tcBorders>
          </w:tcPr>
          <w:p w14:paraId="273D41D8"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 xml:space="preserve">SMC: Subjective perception of memory problems </w:t>
            </w:r>
            <w:r w:rsidRPr="00874C50">
              <w:rPr>
                <w:rFonts w:ascii="Calibri" w:eastAsiaTheme="majorEastAsia" w:hAnsi="Calibri" w:cs="Calibri"/>
                <w:vertAlign w:val="superscript"/>
              </w:rPr>
              <w:t>a</w:t>
            </w:r>
            <w:r w:rsidRPr="00874C50">
              <w:rPr>
                <w:rFonts w:ascii="Calibri" w:eastAsiaTheme="majorEastAsia" w:hAnsi="Calibri" w:cs="Calibri"/>
              </w:rPr>
              <w:t>. </w:t>
            </w:r>
          </w:p>
        </w:tc>
        <w:tc>
          <w:tcPr>
            <w:tcW w:w="1880" w:type="dxa"/>
            <w:tcBorders>
              <w:top w:val="single" w:sz="6" w:space="0" w:color="auto"/>
              <w:left w:val="single" w:sz="6" w:space="0" w:color="auto"/>
              <w:bottom w:val="single" w:sz="6" w:space="0" w:color="auto"/>
              <w:right w:val="single" w:sz="6" w:space="0" w:color="auto"/>
            </w:tcBorders>
          </w:tcPr>
          <w:p w14:paraId="7413CFE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 = 652*</w:t>
            </w:r>
          </w:p>
          <w:p w14:paraId="371C12AF"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74.0 (6.4) years </w:t>
            </w:r>
          </w:p>
          <w:p w14:paraId="4B0592E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57.4% female </w:t>
            </w:r>
          </w:p>
        </w:tc>
        <w:tc>
          <w:tcPr>
            <w:tcW w:w="1097" w:type="dxa"/>
            <w:tcBorders>
              <w:top w:val="single" w:sz="6" w:space="0" w:color="auto"/>
              <w:left w:val="single" w:sz="6" w:space="0" w:color="auto"/>
              <w:bottom w:val="single" w:sz="6" w:space="0" w:color="auto"/>
              <w:right w:val="single" w:sz="6" w:space="0" w:color="auto"/>
            </w:tcBorders>
          </w:tcPr>
          <w:p w14:paraId="2FE24F4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64 (8.1)</w:t>
            </w:r>
          </w:p>
        </w:tc>
        <w:tc>
          <w:tcPr>
            <w:tcW w:w="782" w:type="dxa"/>
            <w:tcBorders>
              <w:top w:val="single" w:sz="6" w:space="0" w:color="auto"/>
              <w:left w:val="single" w:sz="6" w:space="0" w:color="auto"/>
              <w:bottom w:val="single" w:sz="6" w:space="0" w:color="auto"/>
              <w:right w:val="single" w:sz="6" w:space="0" w:color="auto"/>
            </w:tcBorders>
          </w:tcPr>
          <w:p w14:paraId="18087E6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n/a</w:t>
            </w:r>
          </w:p>
        </w:tc>
        <w:tc>
          <w:tcPr>
            <w:tcW w:w="783" w:type="dxa"/>
            <w:tcBorders>
              <w:top w:val="single" w:sz="6" w:space="0" w:color="auto"/>
              <w:left w:val="single" w:sz="6" w:space="0" w:color="auto"/>
              <w:bottom w:val="single" w:sz="6" w:space="0" w:color="auto"/>
              <w:right w:val="single" w:sz="6" w:space="0" w:color="auto"/>
            </w:tcBorders>
          </w:tcPr>
          <w:p w14:paraId="18E64249"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313 (39.4)</w:t>
            </w:r>
          </w:p>
        </w:tc>
        <w:tc>
          <w:tcPr>
            <w:tcW w:w="2037" w:type="dxa"/>
            <w:tcBorders>
              <w:top w:val="single" w:sz="6" w:space="0" w:color="auto"/>
              <w:left w:val="single" w:sz="6" w:space="0" w:color="auto"/>
              <w:bottom w:val="single" w:sz="6" w:space="0" w:color="auto"/>
              <w:right w:val="single" w:sz="6" w:space="0" w:color="auto"/>
            </w:tcBorders>
          </w:tcPr>
          <w:p w14:paraId="5489B094"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339 (42.7), SMC absent</w:t>
            </w:r>
          </w:p>
          <w:p w14:paraId="4147F13C" w14:textId="77777777" w:rsidR="00E268AC" w:rsidRPr="00874C50" w:rsidRDefault="00E268AC" w:rsidP="00EA0E24">
            <w:pPr>
              <w:spacing w:after="6" w:line="240" w:lineRule="auto"/>
              <w:rPr>
                <w:rFonts w:ascii="Calibri" w:eastAsiaTheme="majorEastAsia" w:hAnsi="Calibri" w:cs="Calibri"/>
              </w:rPr>
            </w:pPr>
            <w:r w:rsidRPr="00874C50">
              <w:rPr>
                <w:rFonts w:ascii="Calibri" w:eastAsiaTheme="majorEastAsia" w:hAnsi="Calibri" w:cs="Calibri"/>
              </w:rPr>
              <w:t>78 (9.8) terminal illness</w:t>
            </w:r>
          </w:p>
        </w:tc>
      </w:tr>
    </w:tbl>
    <w:p w14:paraId="5F673BDD" w14:textId="77777777" w:rsidR="00E268AC" w:rsidRPr="00874C50" w:rsidRDefault="00E268AC" w:rsidP="00E268AC">
      <w:pPr>
        <w:spacing w:after="6" w:line="240" w:lineRule="auto"/>
        <w:rPr>
          <w:rFonts w:ascii="Calibri" w:eastAsiaTheme="majorEastAsia" w:hAnsi="Calibri" w:cs="Calibri"/>
        </w:rPr>
      </w:pPr>
      <w:r w:rsidRPr="00874C50">
        <w:rPr>
          <w:rFonts w:ascii="Calibri" w:eastAsiaTheme="majorEastAsia" w:hAnsi="Calibri" w:cs="Calibri"/>
          <w:i/>
          <w:iCs/>
        </w:rPr>
        <w:t xml:space="preserve">Note. </w:t>
      </w:r>
      <w:r w:rsidRPr="00874C50">
        <w:rPr>
          <w:rFonts w:ascii="Calibri" w:eastAsiaTheme="majorEastAsia" w:hAnsi="Calibri" w:cs="Calibri"/>
          <w:vertAlign w:val="superscript"/>
        </w:rPr>
        <w:t xml:space="preserve">a </w:t>
      </w:r>
      <w:r w:rsidRPr="00874C50">
        <w:rPr>
          <w:rFonts w:ascii="Calibri" w:eastAsiaTheme="majorEastAsia" w:hAnsi="Calibri" w:cs="Calibri"/>
        </w:rPr>
        <w:t>Patients with psychiatric diagnoses explicitly excluded from SCD groups; *Sample size used for demographics not equal to sample size used for prevalence estimates.</w:t>
      </w:r>
    </w:p>
    <w:p w14:paraId="1E073D32" w14:textId="1F42DBD6" w:rsidR="0078341B" w:rsidRDefault="00E268AC" w:rsidP="00E268AC">
      <w:pPr>
        <w:spacing w:after="6" w:line="240" w:lineRule="auto"/>
        <w:rPr>
          <w:rFonts w:ascii="Calibri" w:eastAsiaTheme="majorEastAsia" w:hAnsi="Calibri" w:cs="Calibri"/>
        </w:rPr>
      </w:pPr>
      <w:r w:rsidRPr="00874C50">
        <w:rPr>
          <w:rFonts w:ascii="Calibri" w:eastAsiaTheme="majorEastAsia" w:hAnsi="Calibri" w:cs="Calibri"/>
        </w:rPr>
        <w:t xml:space="preserve">Abbreviations: FCD = functional cognitive decline; MCI = mild cognitive impairment; PASC = Post-Acute Sequelae of SARS-CoV-2; PROMIS-CF = Patient Reported Outcomes Measurement Information System Cognitive Function-Concerns; SARS-CoV-2 = severe acute respiratory syndrome coronavirus 2; SCC = subjective cognitive concern; SCD = subjective cognitive decline; SCI = subjective cognitive impairment; SD = standard deviation; VCI = vascular cognitive impairment. </w:t>
      </w:r>
    </w:p>
    <w:p w14:paraId="62F85EEE" w14:textId="77777777" w:rsidR="0078341B" w:rsidRDefault="0078341B">
      <w:pPr>
        <w:spacing w:after="160" w:line="259" w:lineRule="auto"/>
        <w:rPr>
          <w:rFonts w:ascii="Calibri" w:eastAsiaTheme="majorEastAsia" w:hAnsi="Calibri" w:cs="Calibri"/>
        </w:rPr>
      </w:pPr>
      <w:r>
        <w:rPr>
          <w:rFonts w:ascii="Calibri" w:eastAsiaTheme="majorEastAsia" w:hAnsi="Calibri" w:cs="Calibri"/>
        </w:rPr>
        <w:br w:type="page"/>
      </w:r>
    </w:p>
    <w:p w14:paraId="6D5EC785" w14:textId="118DD087" w:rsidR="0078341B" w:rsidRPr="00C27954" w:rsidRDefault="0078341B" w:rsidP="0078341B">
      <w:pPr>
        <w:pStyle w:val="Heading1"/>
        <w:rPr>
          <w:rFonts w:ascii="Calibri" w:eastAsia="Calibri" w:hAnsi="Calibri" w:cs="Calibri"/>
          <w:b/>
          <w:bCs/>
          <w:color w:val="auto"/>
          <w:sz w:val="22"/>
          <w:szCs w:val="22"/>
        </w:rPr>
      </w:pPr>
      <w:bookmarkStart w:id="4" w:name="_Toc214541301"/>
      <w:r w:rsidRPr="542899F4">
        <w:rPr>
          <w:rFonts w:ascii="Calibri" w:eastAsia="Calibri" w:hAnsi="Calibri" w:cs="Calibri"/>
          <w:b/>
          <w:bCs/>
          <w:color w:val="auto"/>
          <w:sz w:val="22"/>
          <w:szCs w:val="22"/>
        </w:rPr>
        <w:lastRenderedPageBreak/>
        <w:t xml:space="preserve">Table </w:t>
      </w:r>
      <w:r>
        <w:rPr>
          <w:rFonts w:ascii="Calibri" w:eastAsia="Calibri" w:hAnsi="Calibri" w:cs="Calibri"/>
          <w:b/>
          <w:bCs/>
          <w:color w:val="auto"/>
          <w:sz w:val="22"/>
          <w:szCs w:val="22"/>
        </w:rPr>
        <w:t>5</w:t>
      </w:r>
      <w:r w:rsidRPr="542899F4">
        <w:rPr>
          <w:rFonts w:ascii="Calibri" w:eastAsia="Calibri" w:hAnsi="Calibri" w:cs="Calibri"/>
          <w:b/>
          <w:bCs/>
          <w:color w:val="auto"/>
          <w:sz w:val="22"/>
          <w:szCs w:val="22"/>
        </w:rPr>
        <w:t xml:space="preserve">S Evaluation of Risk of Bias in included studies, using the </w:t>
      </w:r>
      <w:proofErr w:type="spellStart"/>
      <w:r w:rsidRPr="542899F4">
        <w:rPr>
          <w:rFonts w:ascii="Calibri" w:eastAsia="Calibri" w:hAnsi="Calibri" w:cs="Calibri"/>
          <w:b/>
          <w:bCs/>
          <w:color w:val="auto"/>
          <w:sz w:val="22"/>
          <w:szCs w:val="22"/>
        </w:rPr>
        <w:t>RoB-PrevMH</w:t>
      </w:r>
      <w:proofErr w:type="spellEnd"/>
      <w:r w:rsidRPr="542899F4">
        <w:rPr>
          <w:rFonts w:ascii="Calibri" w:eastAsia="Calibri" w:hAnsi="Calibri" w:cs="Calibri"/>
          <w:b/>
          <w:bCs/>
          <w:color w:val="auto"/>
          <w:sz w:val="22"/>
          <w:szCs w:val="22"/>
        </w:rPr>
        <w:t>)</w:t>
      </w:r>
      <w:bookmarkEnd w:id="4"/>
      <w:r w:rsidRPr="542899F4">
        <w:rPr>
          <w:rFonts w:ascii="Calibri" w:eastAsia="Calibri" w:hAnsi="Calibri" w:cs="Calibri"/>
          <w:b/>
          <w:bCs/>
          <w:color w:val="auto"/>
          <w:sz w:val="22"/>
          <w:szCs w:val="22"/>
        </w:rPr>
        <w:t xml:space="preserve"> </w:t>
      </w:r>
    </w:p>
    <w:p w14:paraId="68192B35" w14:textId="77777777" w:rsidR="0078341B" w:rsidRDefault="0078341B" w:rsidP="0078341B">
      <w:pPr>
        <w:rPr>
          <w:rFonts w:ascii="Calibri" w:eastAsia="Calibri" w:hAnsi="Calibri" w:cs="Calibri"/>
        </w:rPr>
      </w:pPr>
      <w:r w:rsidRPr="542899F4">
        <w:rPr>
          <w:rFonts w:ascii="Calibri" w:eastAsia="Calibri" w:hAnsi="Calibri" w:cs="Calibri"/>
        </w:rPr>
        <w:t>Tool developed to evaluate risk of bias in studies measuring the prevalence of mental health disorders.</w:t>
      </w:r>
    </w:p>
    <w:tbl>
      <w:tblPr>
        <w:tblStyle w:val="TableGrid"/>
        <w:tblW w:w="15497"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ayout w:type="fixed"/>
        <w:tblLook w:val="06A0" w:firstRow="1" w:lastRow="0" w:firstColumn="1" w:lastColumn="0" w:noHBand="1" w:noVBand="1"/>
      </w:tblPr>
      <w:tblGrid>
        <w:gridCol w:w="3529"/>
        <w:gridCol w:w="1985"/>
        <w:gridCol w:w="3969"/>
        <w:gridCol w:w="2601"/>
        <w:gridCol w:w="2190"/>
        <w:gridCol w:w="1223"/>
      </w:tblGrid>
      <w:tr w:rsidR="0078341B" w14:paraId="3EDC3C35" w14:textId="77777777" w:rsidTr="00EA0E24">
        <w:trPr>
          <w:trHeight w:val="300"/>
        </w:trPr>
        <w:tc>
          <w:tcPr>
            <w:tcW w:w="3529" w:type="dxa"/>
          </w:tcPr>
          <w:p w14:paraId="289B6DB1" w14:textId="77777777" w:rsidR="0078341B" w:rsidRDefault="0078341B" w:rsidP="00EA0E24">
            <w:pPr>
              <w:rPr>
                <w:rFonts w:ascii="Calibri" w:eastAsia="Calibri" w:hAnsi="Calibri" w:cs="Calibri"/>
                <w:b/>
                <w:bCs/>
              </w:rPr>
            </w:pPr>
            <w:r w:rsidRPr="542899F4">
              <w:rPr>
                <w:rFonts w:ascii="Calibri" w:eastAsia="Calibri" w:hAnsi="Calibri" w:cs="Calibri"/>
                <w:b/>
                <w:bCs/>
              </w:rPr>
              <w:t>Study author, year</w:t>
            </w:r>
          </w:p>
        </w:tc>
        <w:tc>
          <w:tcPr>
            <w:tcW w:w="1985" w:type="dxa"/>
          </w:tcPr>
          <w:p w14:paraId="6DCBE62E" w14:textId="77777777" w:rsidR="0078341B" w:rsidRDefault="0078341B" w:rsidP="00EA0E24">
            <w:pPr>
              <w:rPr>
                <w:rFonts w:ascii="Calibri" w:eastAsia="Calibri" w:hAnsi="Calibri" w:cs="Calibri"/>
                <w:b/>
                <w:bCs/>
              </w:rPr>
            </w:pPr>
            <w:r w:rsidRPr="542899F4">
              <w:rPr>
                <w:rFonts w:ascii="Calibri" w:eastAsia="Calibri" w:hAnsi="Calibri" w:cs="Calibri"/>
                <w:b/>
                <w:bCs/>
              </w:rPr>
              <w:t>Screening: Was the target population clearly defined?</w:t>
            </w:r>
          </w:p>
        </w:tc>
        <w:tc>
          <w:tcPr>
            <w:tcW w:w="3969" w:type="dxa"/>
          </w:tcPr>
          <w:p w14:paraId="424A6C78" w14:textId="77777777" w:rsidR="0078341B" w:rsidRDefault="0078341B" w:rsidP="00EA0E24">
            <w:pPr>
              <w:rPr>
                <w:rFonts w:ascii="Calibri" w:eastAsia="Calibri" w:hAnsi="Calibri" w:cs="Calibri"/>
                <w:b/>
                <w:bCs/>
              </w:rPr>
            </w:pPr>
            <w:proofErr w:type="spellStart"/>
            <w:r w:rsidRPr="542899F4">
              <w:rPr>
                <w:rFonts w:ascii="Calibri" w:eastAsia="Calibri" w:hAnsi="Calibri" w:cs="Calibri"/>
                <w:b/>
                <w:bCs/>
              </w:rPr>
              <w:t>RoB</w:t>
            </w:r>
            <w:proofErr w:type="spellEnd"/>
            <w:r w:rsidRPr="542899F4">
              <w:rPr>
                <w:rFonts w:ascii="Calibri" w:eastAsia="Calibri" w:hAnsi="Calibri" w:cs="Calibri"/>
                <w:b/>
                <w:bCs/>
              </w:rPr>
              <w:t xml:space="preserve"> Question 1: Was the sample invited to participate in the study a true or close representation of the target population?</w:t>
            </w:r>
          </w:p>
        </w:tc>
        <w:tc>
          <w:tcPr>
            <w:tcW w:w="2601" w:type="dxa"/>
          </w:tcPr>
          <w:p w14:paraId="3C3017E1" w14:textId="77777777" w:rsidR="0078341B" w:rsidRDefault="0078341B" w:rsidP="00EA0E24">
            <w:pPr>
              <w:rPr>
                <w:rFonts w:ascii="Calibri" w:eastAsia="Calibri" w:hAnsi="Calibri" w:cs="Calibri"/>
                <w:b/>
                <w:bCs/>
              </w:rPr>
            </w:pPr>
            <w:proofErr w:type="spellStart"/>
            <w:r w:rsidRPr="542899F4">
              <w:rPr>
                <w:rFonts w:ascii="Calibri" w:eastAsia="Calibri" w:hAnsi="Calibri" w:cs="Calibri"/>
                <w:b/>
                <w:bCs/>
              </w:rPr>
              <w:t>RoB</w:t>
            </w:r>
            <w:proofErr w:type="spellEnd"/>
            <w:r w:rsidRPr="542899F4">
              <w:rPr>
                <w:rFonts w:ascii="Calibri" w:eastAsia="Calibri" w:hAnsi="Calibri" w:cs="Calibri"/>
                <w:b/>
                <w:bCs/>
              </w:rPr>
              <w:t xml:space="preserve"> Question 2: How would you rate the risk of non-response bias?</w:t>
            </w:r>
          </w:p>
        </w:tc>
        <w:tc>
          <w:tcPr>
            <w:tcW w:w="2190" w:type="dxa"/>
          </w:tcPr>
          <w:p w14:paraId="1C10D5E0" w14:textId="77777777" w:rsidR="0078341B" w:rsidRDefault="0078341B" w:rsidP="00EA0E24">
            <w:pPr>
              <w:rPr>
                <w:rFonts w:ascii="Calibri" w:eastAsia="Calibri" w:hAnsi="Calibri" w:cs="Calibri"/>
                <w:b/>
                <w:bCs/>
              </w:rPr>
            </w:pPr>
            <w:proofErr w:type="spellStart"/>
            <w:r w:rsidRPr="542899F4">
              <w:rPr>
                <w:rFonts w:ascii="Calibri" w:eastAsia="Calibri" w:hAnsi="Calibri" w:cs="Calibri"/>
                <w:b/>
                <w:bCs/>
              </w:rPr>
              <w:t>RoB</w:t>
            </w:r>
            <w:proofErr w:type="spellEnd"/>
            <w:r w:rsidRPr="542899F4">
              <w:rPr>
                <w:rFonts w:ascii="Calibri" w:eastAsia="Calibri" w:hAnsi="Calibri" w:cs="Calibri"/>
                <w:b/>
                <w:bCs/>
              </w:rPr>
              <w:t xml:space="preserve"> Question 3: How do you judge the risk of information bias?</w:t>
            </w:r>
          </w:p>
        </w:tc>
        <w:tc>
          <w:tcPr>
            <w:tcW w:w="1223" w:type="dxa"/>
          </w:tcPr>
          <w:p w14:paraId="4CE9C29F" w14:textId="77777777" w:rsidR="0078341B" w:rsidRDefault="0078341B" w:rsidP="00EA0E24">
            <w:pPr>
              <w:rPr>
                <w:rFonts w:ascii="Calibri" w:eastAsia="Calibri" w:hAnsi="Calibri" w:cs="Calibri"/>
                <w:b/>
                <w:bCs/>
              </w:rPr>
            </w:pPr>
            <w:r w:rsidRPr="542899F4">
              <w:rPr>
                <w:rFonts w:ascii="Calibri" w:eastAsia="Calibri" w:hAnsi="Calibri" w:cs="Calibri"/>
                <w:b/>
                <w:bCs/>
              </w:rPr>
              <w:t>Overall quality rating</w:t>
            </w:r>
          </w:p>
        </w:tc>
      </w:tr>
      <w:tr w:rsidR="0078341B" w14:paraId="679B88AC" w14:textId="77777777" w:rsidTr="00EA0E24">
        <w:trPr>
          <w:trHeight w:val="300"/>
        </w:trPr>
        <w:tc>
          <w:tcPr>
            <w:tcW w:w="3529" w:type="dxa"/>
          </w:tcPr>
          <w:p w14:paraId="21FE8D0E" w14:textId="77777777" w:rsidR="0078341B" w:rsidRDefault="0078341B" w:rsidP="00EA0E24">
            <w:pPr>
              <w:rPr>
                <w:rFonts w:ascii="Calibri" w:eastAsia="Calibri" w:hAnsi="Calibri" w:cs="Calibri"/>
              </w:rPr>
            </w:pPr>
            <w:r w:rsidRPr="542899F4">
              <w:rPr>
                <w:rFonts w:ascii="Calibri" w:eastAsia="Calibri" w:hAnsi="Calibri" w:cs="Calibri"/>
              </w:rPr>
              <w:t xml:space="preserve">Alty et al., 2023 </w:t>
            </w:r>
            <w:r>
              <w:fldChar w:fldCharType="begin"/>
            </w:r>
            <w:r>
              <w:instrText xml:space="preserve"> ADDIN ZOTERO_ITEM CSL_CITATION {"citationID":"fQKR21ZP","properties":{"formattedCitation":"(1)","plainCitation":"(1)","noteIndex":0},"citationItems":[{"id":43,"uris":["http://zotero.org/groups/6084669/items/SL5NHKXI"],"itemData":{"id":43,"type":"article-journal","abstract":"Abstract\n            \n              Objectives\n              Unequal access to cognitive assessments is a major barrier to timely diagnosis, especially for those living in rural or remote areas. ‘One</w:instrText>
            </w:r>
            <w:r>
              <w:rPr>
                <w:rFonts w:ascii="Cambria Math" w:hAnsi="Cambria Math" w:cs="Cambria Math"/>
              </w:rPr>
              <w:instrText>‐</w:instrText>
            </w:r>
            <w:r>
              <w:instrText>stop’ cognitive clinic models are a proposed solution, but few such clinics exist. We evaluate the implementation of a new one</w:instrText>
            </w:r>
            <w:r>
              <w:rPr>
                <w:rFonts w:ascii="Cambria Math" w:hAnsi="Cambria Math" w:cs="Cambria Math"/>
              </w:rPr>
              <w:instrText>‐</w:instrText>
            </w:r>
            <w:r>
              <w:instrText>stop State</w:instrText>
            </w:r>
            <w:r>
              <w:rPr>
                <w:rFonts w:ascii="Cambria Math" w:hAnsi="Cambria Math" w:cs="Cambria Math"/>
              </w:rPr>
              <w:instrText>‐</w:instrText>
            </w:r>
            <w:r>
              <w:instrText>wide clinic model in Tasmania, Australia, where 27% of people live in rural/remote areas.\n            \n            \n              Methods\n              A novel single</w:instrText>
            </w:r>
            <w:r>
              <w:rPr>
                <w:rFonts w:ascii="Cambria Math" w:hAnsi="Cambria Math" w:cs="Cambria Math"/>
              </w:rPr>
              <w:instrText>‐</w:instrText>
            </w:r>
            <w:r>
              <w:instrText>visit protocol has been developed, comprising interdisciplinary medical and cognitive assessments, research participation, consensus diagnosis and management plan. A cross</w:instrText>
            </w:r>
            <w:r>
              <w:rPr>
                <w:rFonts w:ascii="Cambria Math" w:hAnsi="Cambria Math" w:cs="Cambria Math"/>
              </w:rPr>
              <w:instrText>‐</w:instrText>
            </w:r>
            <w:r>
              <w:instrText>sectional evaluation was undertaken using the RE</w:instrText>
            </w:r>
            <w:r>
              <w:rPr>
                <w:rFonts w:ascii="Cambria Math" w:hAnsi="Cambria Math" w:cs="Cambria Math"/>
              </w:rPr>
              <w:instrText>‐</w:instrText>
            </w:r>
            <w:r>
              <w:instrText>AIM (reach, effectiveness, adoption, implementation, maintenance) framework and results benchmarked against the national Australian Dementia Network Registry.\n            \n            \n              Results\n              \n                Over the first 52 consecutive weekly clinics:\n                Reach\n                : 130 adults were assessed (mean age [SD] 70.12 years [10.31]; 59.2% female) with 40 (36.8%) from rural/remote areas.\n                Effectiveness\n                : 98.5% (128/130) received a same</w:instrText>
            </w:r>
            <w:r>
              <w:rPr>
                <w:rFonts w:ascii="Cambria Math" w:hAnsi="Cambria Math" w:cs="Cambria Math"/>
              </w:rPr>
              <w:instrText>‐</w:instrText>
            </w:r>
            <w:r>
              <w:instrText>day diagnosis: 30.1% (n = 40) Subjective Cognitive Decline, 35.4% (46) Mild Cognitive Impairment, 33.1% (43) dementia and one case inconclusive.\n                Adoption\n                : 22.9% (156) of General Practitioners referred patients.\n                Implementation\n                : Nearly all ‘ideal’ diagnostic clinical practices were met and &gt;90% of surveyed patients reported ‘good/very good’ clinic experience. The wait from referral to diagnosis was 2 months shorter than other national Registry clinics (78 vs. 133 days).\n              \n            \n            \n              Conclusions\n              This ‘one</w:instrText>
            </w:r>
            <w:r>
              <w:rPr>
                <w:rFonts w:ascii="Cambria Math" w:hAnsi="Cambria Math" w:cs="Cambria Math"/>
              </w:rPr>
              <w:instrText>‐</w:instrText>
            </w:r>
            <w:r>
              <w:instrText>stop’ model provides an interdisciplinary consensus cognitive diagnosis quickly and is well accepted; this may reduce health inequities especially for people living in rural/remote areas. This cognitive clinic model may be of relevance to other centres worldwide and also provides a rich data source for research studies.\n            \n          , \n            Key points\n            \n              \n                \n                  Access to cognitive assessments is unequal, especially for people living in rural areas.\n                \n                \n                  A ‘one</w:instrText>
            </w:r>
            <w:r>
              <w:rPr>
                <w:rFonts w:ascii="Cambria Math" w:hAnsi="Cambria Math" w:cs="Cambria Math"/>
              </w:rPr>
              <w:instrText>‐</w:instrText>
            </w:r>
            <w:r>
              <w:instrText>stop’ cognitive clinic resulted in 98.5% same</w:instrText>
            </w:r>
            <w:r>
              <w:rPr>
                <w:rFonts w:ascii="Cambria Math" w:hAnsi="Cambria Math" w:cs="Cambria Math"/>
              </w:rPr>
              <w:instrText>‐</w:instrText>
            </w:r>
            <w:r>
              <w:instrText>day diagnosis, 2 months earlier than the national average\n                \n                \n                  One</w:instrText>
            </w:r>
            <w:r>
              <w:rPr>
                <w:rFonts w:ascii="Cambria Math" w:hAnsi="Cambria Math" w:cs="Cambria Math"/>
              </w:rPr>
              <w:instrText>‐</w:instrText>
            </w:r>
            <w:r>
              <w:instrText>third of people assessed were from rural/remote areas.\n                \n                \n                  This model may inform service design for centres worldwide and provides rich data for research.","container-title":"International Journal of Geriatric Psychiatry","DOI":"10.1002/gps.5988","ISSN":"0885-6230, 1099-1166","issue":"8","journalAbbreviation":"Int J Geriat Psychiatry","language":"en","page":"e5988","source":"DOI.org (Crossref)","title":"A new one</w:instrText>
            </w:r>
            <w:r>
              <w:rPr>
                <w:rFonts w:ascii="Cambria Math" w:hAnsi="Cambria Math" w:cs="Cambria Math"/>
              </w:rPr>
              <w:instrText>‐</w:instrText>
            </w:r>
            <w:r>
              <w:instrText>stop interdisciplinary cognitive clinic model tackles rural health inequality and halves the time to diagnosis: Benchmarked against a national dementia registry","title-short":"A new one</w:instrText>
            </w:r>
            <w:r>
              <w:rPr>
                <w:rFonts w:ascii="Cambria Math" w:hAnsi="Cambria Math" w:cs="Cambria Math"/>
              </w:rPr>
              <w:instrText>‐</w:instrText>
            </w:r>
            <w:r>
              <w:instrText>stop interdisciplinary cognitive clinic model tackles rural health inequality and halves the time to diagnosis","volume":"38","author":[{"family":"Alty","given":"Jane"},{"family":"Lawler","given":"Katherine"},{"family":"Salmon","given":"Katharine"},{"family":"McDonald","given":"Scott"},{"family":"Stuart","given":"Kimberley"},{"family":"Cleary","given":"Alison"},{"family":"Ma","given":"Jak"},{"family":"Rudd","given":"Kaylee"},{"family":"Wang","given":"Xinyi"},{"family":"Chiranakorn</w:instrText>
            </w:r>
            <w:r>
              <w:rPr>
                <w:rFonts w:ascii="Cambria Math" w:hAnsi="Cambria Math" w:cs="Cambria Math"/>
              </w:rPr>
              <w:instrText>‐</w:instrText>
            </w:r>
            <w:r>
              <w:instrText xml:space="preserve">Costa","given":"Sigourney"},{"family":"Collins","given":"Jessica"},{"family":"Merl","given":"Helga"},{"family":"Lin","given":"Xiaoping"},{"family":"Vickers","given":"James C."}],"issued":{"date-parts":[["2023",8]]}}}],"schema":"https://github.com/citation-style-language/schema/raw/master/csl-citation.json"} </w:instrText>
            </w:r>
            <w:r>
              <w:fldChar w:fldCharType="separate"/>
            </w:r>
            <w:r w:rsidRPr="00D239EA">
              <w:rPr>
                <w:sz w:val="20"/>
              </w:rPr>
              <w:t>(1)</w:t>
            </w:r>
            <w:r>
              <w:fldChar w:fldCharType="end"/>
            </w:r>
          </w:p>
        </w:tc>
        <w:tc>
          <w:tcPr>
            <w:tcW w:w="1985" w:type="dxa"/>
          </w:tcPr>
          <w:p w14:paraId="3D7616B9" w14:textId="77777777" w:rsidR="0078341B" w:rsidRDefault="0078341B" w:rsidP="00EA0E24">
            <w:pPr>
              <w:rPr>
                <w:rFonts w:ascii="Calibri" w:eastAsia="Calibri" w:hAnsi="Calibri" w:cs="Calibri"/>
              </w:rPr>
            </w:pPr>
            <w:r w:rsidRPr="542899F4">
              <w:rPr>
                <w:rFonts w:ascii="Calibri" w:eastAsia="Calibri" w:hAnsi="Calibri" w:cs="Calibri"/>
              </w:rPr>
              <w:t xml:space="preserve">Yes </w:t>
            </w:r>
          </w:p>
        </w:tc>
        <w:tc>
          <w:tcPr>
            <w:tcW w:w="3969" w:type="dxa"/>
          </w:tcPr>
          <w:p w14:paraId="7652795E"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5506F3E6"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190" w:type="dxa"/>
          </w:tcPr>
          <w:p w14:paraId="06C79600"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1223" w:type="dxa"/>
          </w:tcPr>
          <w:p w14:paraId="31D23081"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59AD26DA" w14:textId="77777777" w:rsidTr="00EA0E24">
        <w:trPr>
          <w:trHeight w:val="300"/>
        </w:trPr>
        <w:tc>
          <w:tcPr>
            <w:tcW w:w="3529" w:type="dxa"/>
          </w:tcPr>
          <w:p w14:paraId="54D71715" w14:textId="77777777" w:rsidR="0078341B" w:rsidRDefault="0078341B" w:rsidP="00EA0E24">
            <w:pPr>
              <w:rPr>
                <w:rFonts w:ascii="Calibri" w:eastAsia="Calibri" w:hAnsi="Calibri" w:cs="Calibri"/>
              </w:rPr>
            </w:pPr>
            <w:proofErr w:type="spellStart"/>
            <w:r w:rsidRPr="542899F4">
              <w:rPr>
                <w:rFonts w:ascii="Calibri" w:eastAsia="Calibri" w:hAnsi="Calibri" w:cs="Calibri"/>
              </w:rPr>
              <w:t>Bloniecki</w:t>
            </w:r>
            <w:proofErr w:type="spellEnd"/>
            <w:r w:rsidRPr="542899F4">
              <w:rPr>
                <w:rFonts w:ascii="Calibri" w:eastAsia="Calibri" w:hAnsi="Calibri" w:cs="Calibri"/>
              </w:rPr>
              <w:t xml:space="preserve"> et al., 2021</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{"citationID":"2IlE76Ui","properties":{"formattedCitation":"(2)","plainCitation":"(2)","noteIndex":0},"citationItems":[{"id":40,"uris":["http://zotero.org/groups/6084669/items/A8CTTNRX"],"itemData":{"id":40,"type":"article-journal","container-title":"The Journal of Prevention of Alzheimer's Disease","DOI":"10.14283/jpad.2021.2","ISSN":"22745807","issue":"2","journalAbbreviation":"The Journal of Prevention of Alzheimer's Disease","language":"en","page":"127-134","source":"DOI.org (Crossref)","title":"Digital Screening for Cognitive Impairment — A Proof of Concept Study","volume":"8","author":[{"family":"Bloniecki","given":"Victor"},{"family":"Hagman","given":"G."},{"family":"Ryden","given":"M."},{"family":"Kivipelto","given":"M."}],"issued":{"date-parts":[["2021",4]]}}}],"schema":"https://github.com/citation-style-language/schema/raw/master/csl-citation.json"} </w:instrText>
            </w:r>
            <w:r>
              <w:rPr>
                <w:rFonts w:ascii="Calibri" w:eastAsia="Calibri" w:hAnsi="Calibri" w:cs="Calibri"/>
              </w:rPr>
              <w:fldChar w:fldCharType="separate"/>
            </w:r>
            <w:r w:rsidRPr="00D964E2">
              <w:rPr>
                <w:rFonts w:ascii="Calibri" w:hAnsi="Calibri" w:cs="Calibri"/>
              </w:rPr>
              <w:t>(2)</w:t>
            </w:r>
            <w:r>
              <w:rPr>
                <w:rFonts w:ascii="Calibri" w:eastAsia="Calibri" w:hAnsi="Calibri" w:cs="Calibri"/>
              </w:rPr>
              <w:fldChar w:fldCharType="end"/>
            </w:r>
          </w:p>
        </w:tc>
        <w:tc>
          <w:tcPr>
            <w:tcW w:w="1985" w:type="dxa"/>
          </w:tcPr>
          <w:p w14:paraId="5A9D7058"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64EBD980" w14:textId="77777777" w:rsidR="0078341B" w:rsidRDefault="0078341B" w:rsidP="00EA0E24">
            <w:pPr>
              <w:rPr>
                <w:rFonts w:ascii="Calibri" w:eastAsia="Calibri" w:hAnsi="Calibri" w:cs="Calibri"/>
                <w:highlight w:val="yellow"/>
              </w:rPr>
            </w:pPr>
            <w:r w:rsidRPr="542899F4">
              <w:rPr>
                <w:rFonts w:ascii="Calibri" w:eastAsia="Calibri" w:hAnsi="Calibri" w:cs="Calibri"/>
              </w:rPr>
              <w:t xml:space="preserve">Low risk </w:t>
            </w:r>
          </w:p>
        </w:tc>
        <w:tc>
          <w:tcPr>
            <w:tcW w:w="2601" w:type="dxa"/>
          </w:tcPr>
          <w:p w14:paraId="4703F52B"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190" w:type="dxa"/>
          </w:tcPr>
          <w:p w14:paraId="7DE13B26"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44A71A6A" w14:textId="77777777" w:rsidR="0078341B" w:rsidRDefault="0078341B" w:rsidP="00EA0E24">
            <w:pPr>
              <w:rPr>
                <w:rFonts w:ascii="Calibri" w:eastAsia="Calibri" w:hAnsi="Calibri" w:cs="Calibri"/>
                <w:b/>
                <w:bCs/>
              </w:rPr>
            </w:pPr>
            <w:r w:rsidRPr="542899F4">
              <w:rPr>
                <w:rFonts w:ascii="Calibri" w:eastAsia="Calibri" w:hAnsi="Calibri" w:cs="Calibri"/>
                <w:b/>
                <w:bCs/>
              </w:rPr>
              <w:t>High</w:t>
            </w:r>
          </w:p>
        </w:tc>
      </w:tr>
      <w:tr w:rsidR="0078341B" w14:paraId="30194F4A" w14:textId="77777777" w:rsidTr="00EA0E24">
        <w:trPr>
          <w:trHeight w:val="300"/>
        </w:trPr>
        <w:tc>
          <w:tcPr>
            <w:tcW w:w="3529" w:type="dxa"/>
          </w:tcPr>
          <w:p w14:paraId="62B86AEF" w14:textId="77777777" w:rsidR="0078341B" w:rsidRDefault="0078341B" w:rsidP="00EA0E24">
            <w:pPr>
              <w:rPr>
                <w:rFonts w:ascii="Calibri" w:eastAsia="Calibri" w:hAnsi="Calibri" w:cs="Calibri"/>
              </w:rPr>
            </w:pPr>
            <w:r w:rsidRPr="542899F4">
              <w:rPr>
                <w:rFonts w:ascii="Calibri" w:eastAsia="Calibri" w:hAnsi="Calibri" w:cs="Calibri"/>
              </w:rPr>
              <w:t xml:space="preserve">Borelli et al., 2022  </w:t>
            </w:r>
            <w:r>
              <w:rPr>
                <w:rFonts w:ascii="Calibri" w:eastAsia="Calibri" w:hAnsi="Calibri" w:cs="Calibri"/>
              </w:rPr>
              <w:fldChar w:fldCharType="begin"/>
            </w:r>
            <w:r>
              <w:rPr>
                <w:rFonts w:ascii="Calibri" w:eastAsia="Calibri" w:hAnsi="Calibri" w:cs="Calibri"/>
              </w:rPr>
              <w:instrText xml:space="preserve"> ADDIN ZOTERO_ITEM CSL_CITATION {"citationID":"dXZacHse","properties":{"formattedCitation":"(3)","plainCitation":"(3)","noteIndex":0},"citationItems":[{"id":38,"uris":["http://zotero.org/groups/6084669/items/2J9XBYDC"],"itemData":{"id":38,"type":"article-journal","abstract":"Introduction\n              Functional Cognitive Disorder (FCD) is a non-degenerative, common cause of memory complaint in patients with high educational levels. FCD has been insufficiently described in individuals with low education. Here, we investigated the frequency of FCD among individuals with low education.\n            \n            \n              Methods\n              We analyzed retrospectively all new referrals from primary care to a tertiary memory clinic from 2014 to 2021. Final diagnosis, diagnostic work-up, clinical and cognitive testing data were compared between FCD and other diagnoses, grouped as Neurodegenerative Disorders (NDD). A regression model was used to assess the effect of education on the diagnosis. Data is shown in Mean [SD].\n            \n            \n              Results\n              \n                A total of 516 individuals (70.76 [10.3] years) with low educational attainment (4.5 [3.94] years) were divided into FCD (146, 28.3%) and NDD. Compared with NDD, FCD patients showed lower age at presentation (66.2 [9.4] vs. 72.6 [10.2],\n                p\n                &amp;lt; 0.001), higher Mini-Mental State Examination (MMSE) scores (22.4 [6.2] vs. 14.7 [7.8],\n                p\n                &amp;lt; 0.001) and Geriatric Depression Scale (GDS) scores (7.4 [5.4] vs. 5.3 [3.7],\n                p\n                = 0.0001).\n              \n            \n            \n              Discussion\n              Surprisingly, FCD was the most frequent diagnosis in a low educational setting. However, education was not associated with FCD. Individuals presenting FCD showed a distinct clinical profile, including younger age and higher depressive scores. Strategies to identify FCD in primary care settings may benefit both patients and healthcare systems.","container-title":"Frontiers in Aging Neuroscience","DOI":"10.3389/fnagi.2022.789190","ISSN":"1663-4365","journalAbbreviation":"Front. Aging Neurosci.","page":"789190","source":"DOI.org (Crossref)","title":"Functional Cognitive Disorder Presents High Frequency and Distinct Clinical Profile in Patients With Low Education","volume":"14","author":[{"family":"Borelli","given":"Wyllians Vendramini"},{"family":"De Senna","given":"Priscylla Nunes"},{"family":"Brum","given":"Wagner Scheeren"},{"family":"Schumacher-Schuh","given":"Artur Francisco"},{"family":"Zimmer","given":"Eduardo R."},{"family":"Fagundes Chaves","given":"Márcia Lorena"},{"family":"Castilhos","given":"Raphael Machado"}],"issued":{"date-parts":[["2022",3,31]]}}}],"schema":"https://github.com/citation-style-language/schema/raw/master/csl-citation.json"} </w:instrText>
            </w:r>
            <w:r>
              <w:rPr>
                <w:rFonts w:ascii="Calibri" w:eastAsia="Calibri" w:hAnsi="Calibri" w:cs="Calibri"/>
              </w:rPr>
              <w:fldChar w:fldCharType="separate"/>
            </w:r>
            <w:r w:rsidRPr="00720DF5">
              <w:rPr>
                <w:rFonts w:ascii="Calibri" w:hAnsi="Calibri" w:cs="Calibri"/>
              </w:rPr>
              <w:t>(3)</w:t>
            </w:r>
            <w:r>
              <w:rPr>
                <w:rFonts w:ascii="Calibri" w:eastAsia="Calibri" w:hAnsi="Calibri" w:cs="Calibri"/>
              </w:rPr>
              <w:fldChar w:fldCharType="end"/>
            </w:r>
          </w:p>
        </w:tc>
        <w:tc>
          <w:tcPr>
            <w:tcW w:w="1985" w:type="dxa"/>
          </w:tcPr>
          <w:p w14:paraId="57EB48AF"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7850570F"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601" w:type="dxa"/>
          </w:tcPr>
          <w:p w14:paraId="3D28D375"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624516D4"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1223" w:type="dxa"/>
          </w:tcPr>
          <w:p w14:paraId="0F89AF5D" w14:textId="77777777" w:rsidR="0078341B" w:rsidRDefault="0078341B" w:rsidP="00EA0E24">
            <w:pPr>
              <w:rPr>
                <w:rFonts w:ascii="Calibri" w:eastAsia="Calibri" w:hAnsi="Calibri" w:cs="Calibri"/>
                <w:b/>
                <w:bCs/>
              </w:rPr>
            </w:pPr>
            <w:r w:rsidRPr="542899F4">
              <w:rPr>
                <w:rFonts w:ascii="Calibri" w:eastAsia="Calibri" w:hAnsi="Calibri" w:cs="Calibri"/>
                <w:b/>
                <w:bCs/>
              </w:rPr>
              <w:t>High</w:t>
            </w:r>
          </w:p>
        </w:tc>
      </w:tr>
      <w:tr w:rsidR="0078341B" w14:paraId="5EB3EA38" w14:textId="77777777" w:rsidTr="00EA0E24">
        <w:trPr>
          <w:trHeight w:val="300"/>
        </w:trPr>
        <w:tc>
          <w:tcPr>
            <w:tcW w:w="3529" w:type="dxa"/>
          </w:tcPr>
          <w:p w14:paraId="56038ED1" w14:textId="77777777" w:rsidR="0078341B" w:rsidRDefault="0078341B" w:rsidP="00EA0E24">
            <w:pPr>
              <w:rPr>
                <w:rFonts w:ascii="Calibri" w:eastAsia="Calibri" w:hAnsi="Calibri" w:cs="Calibri"/>
              </w:rPr>
            </w:pPr>
            <w:r w:rsidRPr="542899F4">
              <w:rPr>
                <w:rFonts w:ascii="Calibri" w:eastAsia="Calibri" w:hAnsi="Calibri" w:cs="Calibri"/>
              </w:rPr>
              <w:t>Cook et al., 2022</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{"citationID":"IFF9q3EV","properties":{"formattedCitation":"(4)","plainCitation":"(4)","noteIndex":0},"citationItems":[{"id":48,"uris":["http://zotero.org/groups/6084669/items/87V6EC7H"],"itemData":{"id":48,"type":"article-journal","abstract":"Aims and method\n              This paper analyses how practice varied between patients aged &lt;65 and ≥65 years in the 2019 UK national memory service audit.\n            \n            \n              Results\n              \n                Data on 3959 patients were analysed. Those aged &lt;65 (7% of the sample) were less likely than those aged ≥65 to be diagnosed with dementia (23\n                v.\n                67%) and more likely to receive a functional, psychiatric or no diagnosis. Younger patients were more likely to have magnetic resonance imaging; use of dementia biomarkers was low in both groups. Frontotemporal dementia and functional cognitive disorder were diagnosed infrequently. Use of dementia navigators/advisors and carer psychoeducation was similar between groups; younger patients were less likely to be offered but more likely to accept cognitive stimulation therapy.\n              \n            \n            \n              Clinical implications\n              Memory services seeing younger people need expertise in functional cognitive disorder, alongside clinical skills and technologies to diagnose rarer forms of dementia. Further work is needed to understand why cognitive stimulation therapy is less frequently offered to younger people.","container-title":"BJPsych Bulletin","DOI":"10.1192/bjb.2021.104","ISSN":"2056-4694, 2056-4708","issue":"6","journalAbbreviation":"BJPsych Bull","language":"en","page":"315-321","source":"DOI.org (Crossref)","title":"Differences in care between younger and older patients in the 2019 English national memory service audit","volume":"46","author":[{"family":"Cook","given":"Laura D."},{"family":"Souris","given":"Helen"},{"family":"Isaacs","given":"Jeremy D."}],"issued":{"date-parts":[["2022",12]]}}}],"schema":"https://github.com/citation-style-language/schema/raw/master/csl-citation.json"} </w:instrText>
            </w:r>
            <w:r>
              <w:rPr>
                <w:rFonts w:ascii="Calibri" w:eastAsia="Calibri" w:hAnsi="Calibri" w:cs="Calibri"/>
              </w:rPr>
              <w:fldChar w:fldCharType="separate"/>
            </w:r>
            <w:r w:rsidRPr="00720DF5">
              <w:rPr>
                <w:rFonts w:ascii="Calibri" w:hAnsi="Calibri" w:cs="Calibri"/>
              </w:rPr>
              <w:t>(4)</w:t>
            </w:r>
            <w:r>
              <w:rPr>
                <w:rFonts w:ascii="Calibri" w:eastAsia="Calibri" w:hAnsi="Calibri" w:cs="Calibri"/>
              </w:rPr>
              <w:fldChar w:fldCharType="end"/>
            </w:r>
          </w:p>
        </w:tc>
        <w:tc>
          <w:tcPr>
            <w:tcW w:w="1985" w:type="dxa"/>
          </w:tcPr>
          <w:p w14:paraId="618AC5F6"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23D946A2"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601" w:type="dxa"/>
          </w:tcPr>
          <w:p w14:paraId="61778DA4"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190" w:type="dxa"/>
          </w:tcPr>
          <w:p w14:paraId="4281AFC9" w14:textId="77777777" w:rsidR="0078341B" w:rsidRDefault="0078341B" w:rsidP="00EA0E24">
            <w:pPr>
              <w:rPr>
                <w:rFonts w:ascii="Calibri" w:eastAsia="Calibri" w:hAnsi="Calibri" w:cs="Calibri"/>
              </w:rPr>
            </w:pPr>
            <w:r w:rsidRPr="542899F4">
              <w:rPr>
                <w:rFonts w:ascii="Calibri" w:eastAsia="Calibri" w:hAnsi="Calibri" w:cs="Calibri"/>
              </w:rPr>
              <w:t xml:space="preserve">Unclear risk </w:t>
            </w:r>
          </w:p>
        </w:tc>
        <w:tc>
          <w:tcPr>
            <w:tcW w:w="1223" w:type="dxa"/>
          </w:tcPr>
          <w:p w14:paraId="04417862"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6E67F658" w14:textId="77777777" w:rsidTr="00EA0E24">
        <w:trPr>
          <w:trHeight w:val="300"/>
        </w:trPr>
        <w:tc>
          <w:tcPr>
            <w:tcW w:w="3529" w:type="dxa"/>
          </w:tcPr>
          <w:p w14:paraId="372D3D09" w14:textId="77777777" w:rsidR="0078341B" w:rsidRDefault="0078341B" w:rsidP="00EA0E24">
            <w:pPr>
              <w:rPr>
                <w:rFonts w:ascii="Calibri" w:eastAsia="Calibri" w:hAnsi="Calibri" w:cs="Calibri"/>
              </w:rPr>
            </w:pPr>
            <w:r w:rsidRPr="542899F4">
              <w:rPr>
                <w:rFonts w:ascii="Calibri" w:eastAsia="Calibri" w:hAnsi="Calibri" w:cs="Calibri"/>
              </w:rPr>
              <w:t>Diaz et al., 2021</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{"citationID":"BDDQQi1K","properties":{"formattedCitation":"(5)","plainCitation":"(5)","noteIndex":0},"citationItems":[{"id":50,"uris":["http://zotero.org/groups/6084669/items/D9L2P2VF"],"itemData":{"id":50,"type":"article-journal","abstract":"Background:\n              Reversible etiologies of cognitive impairment are common and treatable, yet the majority of mild cognitive impairment (MCI) and dementia research in Latin America has focused on irreversible, neurodegenerative etiologies.\n            \n            \n              Objective:\n              We sought to determine if thyroid dysfunction and vitamin B12 and folate deficiencies are associated with cognitive disorders among older adults with memory complaints in Lima, Peru.\n            \n            \n              Methods:\n              This was a retrospective review of patients who presented for cognitive evaluations to a multidisciplinary neurology clinic in Lima, Peru from January 2014 to February 2020. We included individuals aged ≥60 years, native Spanish-speakers, with at least a primary school educational level and a complete clinical assessment. Patients had either subjective cognitive decline (SCD), MCI, or dementia. One-way ANOVA and multiple logistic regression analyses were performed.\n            \n            \n              Results:\n              We included 720 patients (330 SCD, 154 MCI, and 236 dementia); the dementia group was significantly older [mean age SCD 69.7 ± 4.1, dementia 72.4 ± 3.7 (\n              p\n              = 0.000)] and had lower folate levels than SCD patients. The MCI group had higher free T3 levels compared with SCD patients. Those with lower TSH had greater dementia risk (OR = 2.91, 95%CI: 1.15–6.86) but not MCI risk in unadjusted models. B12 deficiency or borderline B12 deficiency was present in 34% of the dementia group, yet no clear correlation was seen between neuropsychological test results and B12 levels in our study. There was no association between MCI or dementia and thyroid hormone, B12 nor folate levels in adjusted models.\n            \n            \n              Conclusion:\n              Our findings do not support an association between metabolic and endocrine disorders and cognitive impairment in older Peruvians from Lima despite a high prevalence of B12 deficiency. Future work may determine if cognitive decline is associated with metabolic or endocrine changes in Latin America.","container-title":"Frontiers in Public Health","DOI":"10.3389/fpubh.2021.676518","ISSN":"2296-2565","journalAbbreviation":"Front. Public Health","page":"676518","source":"DOI.org (Crossref)","title":"Thyroid Dysfunction, Vitamin B12, and Folic Acid Deficiencies Are Not Associated With Cognitive Impairment in Older Adults in Lima, Peru","volume":"9","author":[{"family":"Diaz","given":"Monica M."},{"family":"Custodio","given":"Nilton"},{"family":"Montesinos","given":"Rosa"},{"family":"Lira","given":"David"},{"family":"Herrera-Perez","given":"Eder"},{"family":"Pintado-Caipa","given":"Maritza"},{"family":"Cuenca-Alfaro","given":"Jose"},{"family":"Gamboa","given":"Carlos"},{"family":"Lanata","given":"Serggio"}],"issued":{"date-parts":[["2021",9,6]]}}}],"schema":"https://github.com/citation-style-language/schema/raw/master/csl-citation.json"} </w:instrText>
            </w:r>
            <w:r>
              <w:rPr>
                <w:rFonts w:ascii="Calibri" w:eastAsia="Calibri" w:hAnsi="Calibri" w:cs="Calibri"/>
              </w:rPr>
              <w:fldChar w:fldCharType="separate"/>
            </w:r>
            <w:r w:rsidRPr="00585146">
              <w:rPr>
                <w:rFonts w:ascii="Calibri" w:hAnsi="Calibri" w:cs="Calibri"/>
              </w:rPr>
              <w:t>(5)</w:t>
            </w:r>
            <w:r>
              <w:rPr>
                <w:rFonts w:ascii="Calibri" w:eastAsia="Calibri" w:hAnsi="Calibri" w:cs="Calibri"/>
              </w:rPr>
              <w:fldChar w:fldCharType="end"/>
            </w:r>
          </w:p>
        </w:tc>
        <w:tc>
          <w:tcPr>
            <w:tcW w:w="1985" w:type="dxa"/>
          </w:tcPr>
          <w:p w14:paraId="5D8B622D"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4742455E"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546C0C00"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50154892"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5B8DEA72"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74A6E536" w14:textId="77777777" w:rsidTr="00EA0E24">
        <w:trPr>
          <w:trHeight w:val="300"/>
        </w:trPr>
        <w:tc>
          <w:tcPr>
            <w:tcW w:w="3529" w:type="dxa"/>
          </w:tcPr>
          <w:p w14:paraId="2562937E" w14:textId="77777777" w:rsidR="0078341B" w:rsidRDefault="0078341B" w:rsidP="00EA0E24">
            <w:pPr>
              <w:rPr>
                <w:rFonts w:ascii="Calibri" w:eastAsia="Calibri" w:hAnsi="Calibri" w:cs="Calibri"/>
              </w:rPr>
            </w:pPr>
            <w:r w:rsidRPr="542899F4">
              <w:rPr>
                <w:rFonts w:ascii="Calibri" w:eastAsia="Calibri" w:hAnsi="Calibri" w:cs="Calibri"/>
              </w:rPr>
              <w:t>Ekman et al., 2020</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{"citationID":"YjU3kBXb","properties":{"formattedCitation":"(6)","plainCitation":"(6)","noteIndex":0},"citationItems":[{"id":52,"uris":["http://zotero.org/groups/6084669/items/SIG8ZS52"],"itemData":{"id":52,"type":"article-journal","abstract":"Abstract\n            \n              Background\n              There remains a lack of large-scale clinical studies of cognitive impairment that aim to increase diagnostic and prognostic accuracy as well as validate previous research findings. The MemClin project will amass large quantities of cross-disciplinary data allowing for the construction of robust models to improve diagnostic accuracy, expand our knowledge on differential diagnostics, strengthen longitudinal prognosis, and harmonise examination protocols across centres. The current article describes the Memory Clinic (MemClin) project’s study-design, materials and methods, and patient characteristics. In addition, we present preliminary descriptive data from the ongoing data collection.\n            \n            \n              Methods\n              Nine out of ten memory clinics in the greater Stockholm area, which largely use the same examination methods, are included. The data collection of patients with different stages of cognitive impairment and dementia is coordinated centrally allowing for efficient and secure large-scale database construction. The MemClin project rest directly on the memory clinics examinations with cognitive measures, health parameters, and biomarkers.\n            \n            \n              Results\n              Currently, the MemClin project has informed consent from 1543 patients. Herein, we present preliminary data from 835 patients with confirmed cognitive diagnosis and neuropsychological test data available. Of those, 239 had dementia, 487 mild cognitive impairment (MCI), and 104 subjective cognitive impairment (SCI). In addition, we present descriptive data on visual ratings of brain atrophy and cerebrospinal fluid markers.\n            \n            \n              Conclusions\n              Based on our current progress and preliminary data, the MemClin project has a high potential to provide a large-scale database of 1200–1500 new patients annually. This coordinated data collection will allow for the construction of improved diagnostic and prognostic models for neurodegenerative disorders and other cognitive conditions in their naturalistic setting.","container-title":"BMC Geriatrics","DOI":"10.1186/s12877-020-1478-3","ISSN":"1471-2318","issue":"1","journalAbbreviation":"BMC Geriatr","language":"en","page":"93","source":"DOI.org (Crossref)","title":"The MemClin project: a prospective multi memory clinics study targeting early stages of cognitive impairment","title-short":"The MemClin project","volume":"20","author":[{"family":"Ekman","given":"Urban"},{"family":"Ferreira","given":"Daniel"},{"family":"Muehlboeck","given":"J-Sebastian"},{"family":"Wallert","given":"John"},{"family":"Rennie","given":"Anna"},{"family":"Eriksdotter","given":"Maria"},{"family":"Wahlund","given":"Lars-Olof"},{"family":"Westman","given":"Eric"}],"issued":{"date-parts":[["2020",12]]}}}],"schema":"https://github.com/citation-style-language/schema/raw/master/csl-citation.json"} </w:instrText>
            </w:r>
            <w:r>
              <w:rPr>
                <w:rFonts w:ascii="Calibri" w:eastAsia="Calibri" w:hAnsi="Calibri" w:cs="Calibri"/>
              </w:rPr>
              <w:fldChar w:fldCharType="separate"/>
            </w:r>
            <w:r w:rsidRPr="00585146">
              <w:rPr>
                <w:rFonts w:ascii="Calibri" w:hAnsi="Calibri" w:cs="Calibri"/>
              </w:rPr>
              <w:t>(6)</w:t>
            </w:r>
            <w:r>
              <w:rPr>
                <w:rFonts w:ascii="Calibri" w:eastAsia="Calibri" w:hAnsi="Calibri" w:cs="Calibri"/>
              </w:rPr>
              <w:fldChar w:fldCharType="end"/>
            </w:r>
          </w:p>
        </w:tc>
        <w:tc>
          <w:tcPr>
            <w:tcW w:w="1985" w:type="dxa"/>
          </w:tcPr>
          <w:p w14:paraId="51C116A0"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778DC765"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152774A4"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190" w:type="dxa"/>
          </w:tcPr>
          <w:p w14:paraId="25B2704D"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1223" w:type="dxa"/>
          </w:tcPr>
          <w:p w14:paraId="498B00B4"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66CD599A" w14:textId="77777777" w:rsidTr="00EA0E24">
        <w:trPr>
          <w:trHeight w:val="300"/>
        </w:trPr>
        <w:tc>
          <w:tcPr>
            <w:tcW w:w="3529" w:type="dxa"/>
          </w:tcPr>
          <w:p w14:paraId="41B43111" w14:textId="77777777" w:rsidR="0078341B" w:rsidRDefault="0078341B" w:rsidP="00EA0E24">
            <w:pPr>
              <w:rPr>
                <w:rFonts w:ascii="Calibri" w:eastAsia="Calibri" w:hAnsi="Calibri" w:cs="Calibri"/>
              </w:rPr>
            </w:pPr>
            <w:r w:rsidRPr="542899F4">
              <w:rPr>
                <w:rFonts w:ascii="Calibri" w:eastAsia="Calibri" w:hAnsi="Calibri" w:cs="Calibri"/>
              </w:rPr>
              <w:t>Goldstein et al., 2023</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{"citationID":"VppSRCUD","properties":{"formattedCitation":"(7)","plainCitation":"(7)","noteIndex":0},"citationItems":[{"id":54,"uris":["http://zotero.org/groups/6084669/items/5LUJTWBF"],"itemData":{"id":54,"type":"article-journal","container-title":"Brain, Behavior, &amp; Immunity - Health","DOI":"10.1016/j.bbih.2023.100691","ISSN":"26663546","journalAbbreviation":"Brain, Behavior, &amp; Immunity - Health","language":"en","page":"100691","source":"DOI.org (Crossref)","title":"Frequency and correlates of subjective cognitive complaints and objective cognitive screening results in African American adults following COVID-19 infection","volume":"34","author":[{"family":"Goldstein","given":"Felicia C."},{"family":"Hajjar","given":"Ihab"},{"family":"Summers","given":"Aerica"},{"family":"Truong","given":"Alexander D."},{"family":"Lee","given":"F. Frances Eun-Hyung"},{"family":"Han","given":"Jenny E."},{"family":"Walker","given":"Tiffany A."}],"issued":{"date-parts":[["2023",12]]}}}],"schema":"https://github.com/citation-style-language/schema/raw/master/csl-citation.json"} </w:instrText>
            </w:r>
            <w:r>
              <w:rPr>
                <w:rFonts w:ascii="Calibri" w:eastAsia="Calibri" w:hAnsi="Calibri" w:cs="Calibri"/>
              </w:rPr>
              <w:fldChar w:fldCharType="separate"/>
            </w:r>
            <w:r w:rsidRPr="00585146">
              <w:rPr>
                <w:rFonts w:ascii="Calibri" w:hAnsi="Calibri" w:cs="Calibri"/>
              </w:rPr>
              <w:t>(7)</w:t>
            </w:r>
            <w:r>
              <w:rPr>
                <w:rFonts w:ascii="Calibri" w:eastAsia="Calibri" w:hAnsi="Calibri" w:cs="Calibri"/>
              </w:rPr>
              <w:fldChar w:fldCharType="end"/>
            </w:r>
          </w:p>
        </w:tc>
        <w:tc>
          <w:tcPr>
            <w:tcW w:w="1985" w:type="dxa"/>
          </w:tcPr>
          <w:p w14:paraId="38CB3B1C"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67A76428"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1BBA3B35"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190" w:type="dxa"/>
          </w:tcPr>
          <w:p w14:paraId="527E3094"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4E1A6CD0"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073C8205" w14:textId="77777777" w:rsidTr="00EA0E24">
        <w:trPr>
          <w:trHeight w:val="300"/>
        </w:trPr>
        <w:tc>
          <w:tcPr>
            <w:tcW w:w="3529" w:type="dxa"/>
          </w:tcPr>
          <w:p w14:paraId="6EF35451" w14:textId="77777777" w:rsidR="0078341B" w:rsidRDefault="0078341B" w:rsidP="00EA0E24">
            <w:pPr>
              <w:rPr>
                <w:rFonts w:ascii="Calibri" w:eastAsia="Calibri" w:hAnsi="Calibri" w:cs="Calibri"/>
              </w:rPr>
            </w:pPr>
            <w:r w:rsidRPr="542899F4">
              <w:rPr>
                <w:rFonts w:ascii="Calibri" w:eastAsia="Calibri" w:hAnsi="Calibri" w:cs="Calibri"/>
              </w:rPr>
              <w:t>Grewal et al., 2023</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{"citationID":"zeU2uUBd","properties":{"formattedCitation":"(8)","plainCitation":"(8)","noteIndex":0},"citationItems":[{"id":58,"uris":["http://zotero.org/groups/6084669/items/3LXNQVLT"],"itemData":{"id":58,"type":"article-journal","container-title":"Applied Neuropsychology: Adult","DOI":"10.1080/23279095.2021.1970552","ISSN":"2327-9095, 2327-9109","issue":"6","journalAbbreviation":"Applied Neuropsychology: Adult","language":"en","page":"639-648","source":"DOI.org (Crossref)","title":"Intraindividual variability measured with dispersion across diagnostic groups in a memory clinic sample","volume":"30","author":[{"family":"Grewal","given":"Karl S."},{"family":"O’Connell","given":"Megan E."},{"family":"Kirk","given":"Andrew"},{"family":"MacDonald","given":"Stuart W. S."},{"family":"Morgan","given":"Debra"}],"issued":{"date-parts":[["2023",11,2]]}}}],"schema":"https://github.com/citation-style-language/schema/raw/master/csl-citation.json"} </w:instrText>
            </w:r>
            <w:r>
              <w:rPr>
                <w:rFonts w:ascii="Calibri" w:eastAsia="Calibri" w:hAnsi="Calibri" w:cs="Calibri"/>
              </w:rPr>
              <w:fldChar w:fldCharType="separate"/>
            </w:r>
            <w:r w:rsidRPr="00585146">
              <w:rPr>
                <w:rFonts w:ascii="Calibri" w:hAnsi="Calibri" w:cs="Calibri"/>
              </w:rPr>
              <w:t>(8)</w:t>
            </w:r>
            <w:r>
              <w:rPr>
                <w:rFonts w:ascii="Calibri" w:eastAsia="Calibri" w:hAnsi="Calibri" w:cs="Calibri"/>
              </w:rPr>
              <w:fldChar w:fldCharType="end"/>
            </w:r>
          </w:p>
        </w:tc>
        <w:tc>
          <w:tcPr>
            <w:tcW w:w="1985" w:type="dxa"/>
          </w:tcPr>
          <w:p w14:paraId="07F68C6F"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18762C1C"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0886E0FA"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39719024"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54B38D31"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27EE089C" w14:textId="77777777" w:rsidTr="00EA0E24">
        <w:trPr>
          <w:trHeight w:val="300"/>
        </w:trPr>
        <w:tc>
          <w:tcPr>
            <w:tcW w:w="3529" w:type="dxa"/>
          </w:tcPr>
          <w:p w14:paraId="3754BEE7" w14:textId="77777777" w:rsidR="0078341B" w:rsidRDefault="0078341B" w:rsidP="00EA0E24">
            <w:pPr>
              <w:rPr>
                <w:rFonts w:ascii="Calibri" w:eastAsia="Calibri" w:hAnsi="Calibri" w:cs="Calibri"/>
              </w:rPr>
            </w:pPr>
            <w:r w:rsidRPr="542899F4">
              <w:rPr>
                <w:rFonts w:ascii="Calibri" w:eastAsia="Calibri" w:hAnsi="Calibri" w:cs="Calibri"/>
              </w:rPr>
              <w:t>Heikkinen et al., 2024</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{"citationID":"68S1cUD1","properties":{"formattedCitation":"(9)","plainCitation":"(9)","noteIndex":0},"citationItems":[{"id":61,"uris":["http://zotero.org/groups/6084669/items/KKSX2EED"],"itemData":{"id":61,"type":"article-journal","abstract":"Background:\n              Although early-onset dementia (EOD) is associated with diagnostic challenges that differ from those of related to late-onset dementia, only limited studies have addressed the neuropsychological and health characteristics or specified the diagnoses underlying early-onset cognitive impairment in a real-world clinical setting.\n            \n            \n              Objective:\n              To investigate the neuropsychological profiles, etiologies, and comorbidities of an unselected cohort of memory clinic patients (≤65 years at symptom onset).\n            \n            \n              Methods:\n              The patients’ ( n = 210) diagnoses were determined based on comprehensive diagnostic workup. Medical comorbidities and neuropsychological profiles were compared between clinically relevant patient groups, namely early-onset dementia ( n = 55), mild cognitive impairment due to vascular or suspected neurodegenerative (MCI-n, n = 35) or non-neurodegenerative (MCI-o, n = 106) etiologies, and subjective cognitive decline ( n = 14).\n            \n            \n              Results:\n              The most prevalent diagnoses were Alzheimer’s disease (AD, 14%) and depression (11%). Multiple prior medical conditions were common (67%); however, EOD patients had fewer other diagnoses ( p = 0.008) than MCI-o patients. Compared to other groups, EOD patients had more severe deficits ( p &lt; 0.001) on immediate and delayed memory, processing speed, symptom awareness, and global cognition. AD patients had weaker memory retention ability but less behavioral symptoms than frontotemporal dementia (FTD) patients ( p≤0.05). Depression was associated with better immediate memory, symptom awareness, and global cognition than AD and FTD ( p &lt; 0.05).\n            \n            \n              Conclusions:\n              EOD is associated with more severe and widespread neuropsychological deficits but fewer prior medical diagnoses than nondegenerative etiologies of cognitive impairment. AD and depression are common etiologies and the neuropsychological profiles are partly overlapping; however, memory, symptom awareness and global cognitive impairment measures may help in the differential diagnosis.","container-title":"Journal of Alzheimer’s Disease","DOI":"10.3233/JAD-230877","ISSN":"1387-2877, 1875-8908","issue":"4","journalAbbreviation":"Journal of Alzheimer’s Disease","language":"en","page":"1765-1776","source":"DOI.org (Crossref)","title":"Neuropsychological Profiles, Etiologies, and Medical Comorbidities in Early-Onset Dementia and Cognitive Impairment: A Memory Outpatient Clinic Cohort Study","title-short":"Neuropsychological Profiles, Etiologies, and Medical Comorbidities in Early-Onset Dementia and Cognitive Impairment","volume":"97","author":[{"family":"Heikkinen","given":"Anna-Leena"},{"family":"Paajanen","given":"Teemu I."},{"family":"Hänninen","given":"Tuomo"},{"family":"Tikkanen","given":"Veera"},{"family":"Hublin","given":"Christer"},{"family":"Koivisto","given":"Anne M."},{"family":"Remes","given":"Anne M."},{"family":"Krüger","given":"Johanna"}],"issued":{"date-parts":[["2024",2,13]]}}}],"schema":"https://github.com/citation-style-language/schema/raw/master/csl-citation.json"} </w:instrText>
            </w:r>
            <w:r>
              <w:rPr>
                <w:rFonts w:ascii="Calibri" w:eastAsia="Calibri" w:hAnsi="Calibri" w:cs="Calibri"/>
              </w:rPr>
              <w:fldChar w:fldCharType="separate"/>
            </w:r>
            <w:r w:rsidRPr="00585146">
              <w:rPr>
                <w:rFonts w:ascii="Calibri" w:hAnsi="Calibri" w:cs="Calibri"/>
              </w:rPr>
              <w:t>(9)</w:t>
            </w:r>
            <w:r>
              <w:rPr>
                <w:rFonts w:ascii="Calibri" w:eastAsia="Calibri" w:hAnsi="Calibri" w:cs="Calibri"/>
              </w:rPr>
              <w:fldChar w:fldCharType="end"/>
            </w:r>
          </w:p>
        </w:tc>
        <w:tc>
          <w:tcPr>
            <w:tcW w:w="1985" w:type="dxa"/>
          </w:tcPr>
          <w:p w14:paraId="492C6987"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47D93011"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7215D5B6"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4AB4A9A4"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0FDCE29B"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640D25EB" w14:textId="77777777" w:rsidTr="00EA0E24">
        <w:trPr>
          <w:trHeight w:val="300"/>
        </w:trPr>
        <w:tc>
          <w:tcPr>
            <w:tcW w:w="3529" w:type="dxa"/>
          </w:tcPr>
          <w:p w14:paraId="71CD1A44" w14:textId="77777777" w:rsidR="0078341B" w:rsidRDefault="0078341B" w:rsidP="00EA0E24">
            <w:pPr>
              <w:rPr>
                <w:rFonts w:ascii="Calibri" w:eastAsia="Calibri" w:hAnsi="Calibri" w:cs="Calibri"/>
              </w:rPr>
            </w:pPr>
            <w:r w:rsidRPr="542899F4">
              <w:rPr>
                <w:rFonts w:ascii="Calibri" w:eastAsia="Calibri" w:hAnsi="Calibri" w:cs="Calibri"/>
              </w:rPr>
              <w:t>Kao et al., 2019</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{"citationID":"XeT4Un31","properties":{"formattedCitation":"(10)","plainCitation":"(10)","noteIndex":0},"citationItems":[{"id":64,"uris":["http://zotero.org/groups/6084669/items/ABT6B9HY"],"itemData":{"id":64,"type":"article-journal","abstract":"Objectives\n              To describe the distribution and estimate the mortality risks of degenerative dementias and nondegenerative conditions in a memory clinic.\n            \n            \n              Methods\n              We enrolled 727 consecutive patients with cognitive complaints who visited the memory clinic in Buddhist Tzu Chi General Hospital during 2013 to 2016. Three main diagnostic groups were defined: pure type dementia, in which only one type of dementia was diagnosed, such as Alzheimer disease (AD), vascular dementia (VaD), Parkinson disease with dementia (PDD), dementia with Lewy bodies (DLB), and frontotemporal dementia (FTD); mixed type dementia; and nondegenerative conditions. We described the frequency of different diagnoses and employed Cox proportional hazards regression models to examine the mortality risks for each diagnostic group after adjusting for age, sex, education, and cognitive status. All patients alive on or after September 30, 2018, were censored in the analysis.\n            \n            \n              Results\n              Two‐thirds of patients (n = 496, 68.2%) were diagnosed with degenerative dementias. Pure type to mixed type dementia ratio was about 2: 1. AD remained the most common pure dementia subtype, followed by VaD and PDD. Among all nondegenerative conditions, depression/anxiety and subjective cognitive decline were the most common diagnoses. During a mean follow‐up of 3.4 years, 150 deaths were documented, and the mortality risk was 61 deaths/1000 person‐years. Mortality risks were associated with age, sex, education, and cognitive function at diagnosis but did not differ by diagnostic group.\n            \n            \n              Conclusions\n              Clinical diagnoses for patients with cognitive complaints are diverse, and nearly one‐third are of nondegenerative conditions. Baseline cognitive function is a stronger predictor for survival than clinical diagnosis.","container-title":"International Journal of Geriatric Psychiatry","DOI":"10.1002/gps.5207","ISSN":"0885-6230, 1099-1166","issue":"12","journalAbbreviation":"Int J Geriat Psychiatry","language":"en","page":"1900-1906","source":"DOI.org (Crossref)","title":"Diagnostic diversity among patients with cognitive complaints: A 3‐year follow‐up study in a memory clinic","title-short":"Diagnostic diversity among patients with cognitive complaints","volume":"34","author":[{"family":"Kao","given":"Sheng‐Lun"},{"family":"Chen","given":"Shu‐Cin"},{"family":"Li","given":"Yu‐Ying"},{"family":"Lo","given":"Raymond Y."}],"issued":{"date-parts":[["2019",12]]}}}],"schema":"https://github.com/citation-style-language/schema/raw/master/csl-citation.json"} </w:instrText>
            </w:r>
            <w:r>
              <w:rPr>
                <w:rFonts w:ascii="Calibri" w:eastAsia="Calibri" w:hAnsi="Calibri" w:cs="Calibri"/>
              </w:rPr>
              <w:fldChar w:fldCharType="separate"/>
            </w:r>
            <w:r w:rsidRPr="00585146">
              <w:rPr>
                <w:rFonts w:ascii="Calibri" w:hAnsi="Calibri" w:cs="Calibri"/>
              </w:rPr>
              <w:t>(10)</w:t>
            </w:r>
            <w:r>
              <w:rPr>
                <w:rFonts w:ascii="Calibri" w:eastAsia="Calibri" w:hAnsi="Calibri" w:cs="Calibri"/>
              </w:rPr>
              <w:fldChar w:fldCharType="end"/>
            </w:r>
          </w:p>
        </w:tc>
        <w:tc>
          <w:tcPr>
            <w:tcW w:w="1985" w:type="dxa"/>
          </w:tcPr>
          <w:p w14:paraId="64759B7C" w14:textId="77777777" w:rsidR="0078341B" w:rsidRDefault="0078341B" w:rsidP="00EA0E24">
            <w:pPr>
              <w:rPr>
                <w:rFonts w:ascii="Calibri" w:eastAsia="Calibri" w:hAnsi="Calibri" w:cs="Calibri"/>
              </w:rPr>
            </w:pPr>
            <w:r w:rsidRPr="542899F4">
              <w:rPr>
                <w:rFonts w:ascii="Calibri" w:eastAsia="Calibri" w:hAnsi="Calibri" w:cs="Calibri"/>
              </w:rPr>
              <w:t xml:space="preserve">Yes </w:t>
            </w:r>
          </w:p>
        </w:tc>
        <w:tc>
          <w:tcPr>
            <w:tcW w:w="3969" w:type="dxa"/>
          </w:tcPr>
          <w:p w14:paraId="0EDADCC2" w14:textId="77777777" w:rsidR="0078341B" w:rsidRDefault="0078341B" w:rsidP="00EA0E24">
            <w:pPr>
              <w:rPr>
                <w:rFonts w:ascii="Calibri" w:eastAsia="Calibri" w:hAnsi="Calibri" w:cs="Calibri"/>
              </w:rPr>
            </w:pPr>
            <w:r w:rsidRPr="542899F4">
              <w:rPr>
                <w:rFonts w:ascii="Calibri" w:eastAsia="Calibri" w:hAnsi="Calibri" w:cs="Calibri"/>
              </w:rPr>
              <w:t xml:space="preserve">Unclear risk </w:t>
            </w:r>
          </w:p>
        </w:tc>
        <w:tc>
          <w:tcPr>
            <w:tcW w:w="2601" w:type="dxa"/>
          </w:tcPr>
          <w:p w14:paraId="7D53C9DA"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190" w:type="dxa"/>
          </w:tcPr>
          <w:p w14:paraId="1273A610"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79B65CA5"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3F6702E0" w14:textId="77777777" w:rsidTr="00EA0E24">
        <w:trPr>
          <w:trHeight w:val="300"/>
        </w:trPr>
        <w:tc>
          <w:tcPr>
            <w:tcW w:w="3529" w:type="dxa"/>
          </w:tcPr>
          <w:p w14:paraId="67748B80" w14:textId="77777777" w:rsidR="0078341B" w:rsidRDefault="0078341B" w:rsidP="00EA0E24">
            <w:pPr>
              <w:rPr>
                <w:rFonts w:ascii="Calibri" w:eastAsia="Calibri" w:hAnsi="Calibri" w:cs="Calibri"/>
              </w:rPr>
            </w:pPr>
            <w:proofErr w:type="spellStart"/>
            <w:r w:rsidRPr="542899F4">
              <w:rPr>
                <w:rFonts w:ascii="Calibri" w:eastAsia="Calibri" w:hAnsi="Calibri" w:cs="Calibri"/>
              </w:rPr>
              <w:t>Kosteniuk</w:t>
            </w:r>
            <w:proofErr w:type="spellEnd"/>
            <w:r w:rsidRPr="542899F4">
              <w:rPr>
                <w:rFonts w:ascii="Calibri" w:eastAsia="Calibri" w:hAnsi="Calibri" w:cs="Calibri"/>
              </w:rPr>
              <w:t xml:space="preserve"> et al., 2023</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{"citationID":"xYcFy2Ox","properties":{"formattedCitation":"(11)","plainCitation":"(11)","noteIndex":0},"citationItems":[{"id":65,"uris":["http://zotero.org/groups/6084669/items/5PUH9W6B"],"itemData":{"id":65,"type":"article-journal","abstract":"Background\nLimited research exists on the use of specific health services over an extended time among rural persons with dementia. The study objective was to examine health service use over a 10-year period, five years before until five years after diagnosis in the specialist Rural and Remote Memory Clinic (RRMC).\nMethods\nClinical and administrative health data of RRMC patients were linked. Annual health service utilization of the cohort (N = 436) was analyzed for 416 patients pre-index (57.5% female, mean age 71.2 years) and 419 post-index (56.3% female, mean age 70.8 years). Approximately 40% of memory clinic diagnoses were Alzheimer’s disease (AD), 20% non-AD dementia, and 40% mild or subjective cognitive impairment or other condition. Post-index, 188 patients (44.9%) moved to permanent long-term care and were retained in the sample; 121 patients died (28.9%) and were removed yearly.\nResults\nOver the ten-year study period, a significant increase occurred in the average number of FP visits, all-type drug prescriptions, and dementia-specific drug prescriptions (all p &lt;.001). The highest proportion of patients hospitalized was observed one year pre-index, the highest average number of specialist visits was observed one year post-index, and both demonstrated a significant decreasing trend in the five-year post-index period (p = .037). \nConclusions\nA pattern of increasing FP visits and drug prescriptions over an extended period before and after diagnosis in a specialist rural and remote memory clinic highlights a need to support FPs in post-diagnostic management. Further research of longitudinal patterns in health service utilization is merited.","container-title":"Canadian Geriatrics Journal","DOI":"10.5770/cgj.26.653","ISSN":"1925-8348","issue":"3","journalAbbreviation":"Can Geriatr J","license":"https://creativecommons.org/licenses/by-nc-nd/4.0","page":"350-363","source":"DOI.org (Crossref)","title":"Utilization of Health Services Before and After Diagnosis in a Specialist Rural and Remote Memory Clinic","volume":"26","author":[{"family":"Kosteniuk","given":"Julie"},{"family":"Morgan","given":"Debra G."},{"family":"Acan Osman","given":"Beliz"},{"family":"Islam","given":"Naorin"},{"family":"O'Connell","given":"Megan E."},{"family":"Kirk","given":"Andrew"},{"family":"Quail","given":"Jacqueline M."},{"family":"Osman","given":"Meric"}],"issued":{"date-parts":[["2023",9,1]]}}}],"schema":"https://github.com/citation-style-language/schema/raw/master/csl-citation.json"} </w:instrText>
            </w:r>
            <w:r>
              <w:rPr>
                <w:rFonts w:ascii="Calibri" w:eastAsia="Calibri" w:hAnsi="Calibri" w:cs="Calibri"/>
              </w:rPr>
              <w:fldChar w:fldCharType="separate"/>
            </w:r>
            <w:r w:rsidRPr="00585146">
              <w:rPr>
                <w:rFonts w:ascii="Calibri" w:hAnsi="Calibri" w:cs="Calibri"/>
              </w:rPr>
              <w:t>(11)</w:t>
            </w:r>
            <w:r>
              <w:rPr>
                <w:rFonts w:ascii="Calibri" w:eastAsia="Calibri" w:hAnsi="Calibri" w:cs="Calibri"/>
              </w:rPr>
              <w:fldChar w:fldCharType="end"/>
            </w:r>
          </w:p>
        </w:tc>
        <w:tc>
          <w:tcPr>
            <w:tcW w:w="1985" w:type="dxa"/>
          </w:tcPr>
          <w:p w14:paraId="7D189340"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32D5F1B7"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54A6CFDF"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1E81886A"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6A5AFB49"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57A9A31E" w14:textId="77777777" w:rsidTr="00EA0E24">
        <w:trPr>
          <w:trHeight w:val="300"/>
        </w:trPr>
        <w:tc>
          <w:tcPr>
            <w:tcW w:w="3529" w:type="dxa"/>
          </w:tcPr>
          <w:p w14:paraId="6DE61FAB" w14:textId="77777777" w:rsidR="0078341B" w:rsidRDefault="0078341B" w:rsidP="00EA0E24">
            <w:pPr>
              <w:rPr>
                <w:rFonts w:ascii="Calibri" w:eastAsia="Calibri" w:hAnsi="Calibri" w:cs="Calibri"/>
              </w:rPr>
            </w:pPr>
            <w:proofErr w:type="spellStart"/>
            <w:r w:rsidRPr="542899F4">
              <w:rPr>
                <w:rFonts w:ascii="Calibri" w:eastAsia="Calibri" w:hAnsi="Calibri" w:cs="Calibri"/>
              </w:rPr>
              <w:t>Messinis</w:t>
            </w:r>
            <w:proofErr w:type="spellEnd"/>
            <w:r w:rsidRPr="542899F4">
              <w:rPr>
                <w:rFonts w:ascii="Calibri" w:eastAsia="Calibri" w:hAnsi="Calibri" w:cs="Calibri"/>
              </w:rPr>
              <w:t xml:space="preserve"> et al., 2021</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{"citationID":"xKRSZ4pY","properties":{"formattedCitation":"(12)","plainCitation":"(12)","noteIndex":0},"citationItems":[{"id":69,"uris":["http://zotero.org/groups/6084669/items/6BEGHPFD"],"itemData":{"id":69,"type":"article-journal","abstract":"Abstract\n            \n              Introduction\n              Short cognitive screening instruments (CSIs) are widely used to stratify patients presenting with cognitive symptoms. The Quick Mild Cognitive Impairment (Qmci) screen is a new, brief (&amp;lt;5mins) CSI designed to identify mild cognitive impairment (MCI), which can be used across the spectrum of cognitive decline. Here we present the translation of the Qmci into Greek (Qmci-Gr) and its validation against the widely-used Standardised Mini-Mental State Examination (SMMSE).\n            \n            \n              Methods\n              Consecutive patients aged ≥55 years presenting with cognitive complaints were recruited from two outpatient clinics in Greece. All patients completed the Qmci-Gr and SMMSE and underwent an independent detailed neuropsychological assessment to determine a diagnostic classification.\n            \n            \n              Results\n              In total, 140 patients, median age 75 years, were included; 30 with mild dementia (median SMMSE 23/30), 76 with MCI and 34 with subjective memory complaints (SMC) but normal cognition. The Qmci-Gr had similar accuracy in differentiating SMC from cognitive impairment (MCI &amp; mild dementia) compared with SMMSE, area under the curve (AUC) of 0.84 versus 0.79, respectively; while accuracy was higher for the Qmci-Gr, this finding was not significantly different, (p = .19). Similarly, the Qmci-Gr had similar accuracy in separating SMC from MCI, AUC of 0.79 versus 0.73 (p = .23).\n            \n            \n              Conclusions\n              The Qmci-Gr compared favorably with the SMMSE. Further research with larger samples and comparison with other instruments such as the Montreal Cognitive Assessment is needed to confirm these findings but given its established brevity, it may be a better choice in busy clinical practice in Greece.","container-title":"Archives of Clinical Neuropsychology","DOI":"10.1093/arclin/acaa062","ISSN":"1873-5843","issue":"4","language":"en","license":"https://academic.oup.com/journals/pages/open_access/funder_policies/chorus/standard_publication_model","page":"578-586","source":"DOI.org (Crossref)","title":"Comparison of the Greek Version of the Quick Mild Cognitive Impairment Screen and Standardised Mini-Mental State Examination","volume":"36","author":[{"family":"Messinis","given":"Lambros"},{"family":"O’Donovan","given":"Mark R"},{"family":"Molloy","given":"D William"},{"family":"Mougias","given":"Antonis"},{"family":"Nasios","given":"Grigorios"},{"family":"Papathanasopoulos","given":"Panagiotis"},{"family":"Ntoskou","given":"Aikaterini"},{"family":"O'Caoimh","given":"Rónán"}],"issued":{"date-parts":[["2021",5,21]]}}}],"schema":"https://github.com/citation-style-language/schema/raw/master/csl-citation.json"} </w:instrText>
            </w:r>
            <w:r>
              <w:rPr>
                <w:rFonts w:ascii="Calibri" w:eastAsia="Calibri" w:hAnsi="Calibri" w:cs="Calibri"/>
              </w:rPr>
              <w:fldChar w:fldCharType="separate"/>
            </w:r>
            <w:r w:rsidRPr="00E87D71">
              <w:rPr>
                <w:rFonts w:ascii="Calibri" w:hAnsi="Calibri" w:cs="Calibri"/>
              </w:rPr>
              <w:t>(12)</w:t>
            </w:r>
            <w:r>
              <w:rPr>
                <w:rFonts w:ascii="Calibri" w:eastAsia="Calibri" w:hAnsi="Calibri" w:cs="Calibri"/>
              </w:rPr>
              <w:fldChar w:fldCharType="end"/>
            </w:r>
          </w:p>
        </w:tc>
        <w:tc>
          <w:tcPr>
            <w:tcW w:w="1985" w:type="dxa"/>
          </w:tcPr>
          <w:p w14:paraId="3059CA39"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7FAFC425"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1504BEAC"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72139071"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73993596"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15C7BDE3" w14:textId="77777777" w:rsidTr="00EA0E24">
        <w:trPr>
          <w:trHeight w:val="300"/>
        </w:trPr>
        <w:tc>
          <w:tcPr>
            <w:tcW w:w="3529" w:type="dxa"/>
          </w:tcPr>
          <w:p w14:paraId="21E397D5" w14:textId="77777777" w:rsidR="0078341B" w:rsidRDefault="0078341B" w:rsidP="00EA0E24">
            <w:pPr>
              <w:rPr>
                <w:rFonts w:ascii="Calibri" w:eastAsia="Calibri" w:hAnsi="Calibri" w:cs="Calibri"/>
              </w:rPr>
            </w:pPr>
            <w:proofErr w:type="spellStart"/>
            <w:r w:rsidRPr="542899F4">
              <w:rPr>
                <w:rFonts w:ascii="Calibri" w:eastAsia="Calibri" w:hAnsi="Calibri" w:cs="Calibri"/>
              </w:rPr>
              <w:t>Messinis</w:t>
            </w:r>
            <w:proofErr w:type="spellEnd"/>
            <w:r w:rsidRPr="542899F4">
              <w:rPr>
                <w:rFonts w:ascii="Calibri" w:eastAsia="Calibri" w:hAnsi="Calibri" w:cs="Calibri"/>
              </w:rPr>
              <w:t xml:space="preserve"> et al., 2022</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{"citationID":"XEGYF25Q","properties":{"formattedCitation":"(13)","plainCitation":"(13)","noteIndex":0},"citationItems":[{"id":20,"uris":["http://zotero.org/groups/6084669/items/6U487TEL"],"itemData":{"id":20,"type":"article-journal","abstract":"Objective: Cognitive screening instruments (CSIs) are essential for everyday practice. The Quick Mild Cognitive Impairment (Qmci) screen, a short instrument designed to identify mild cognitive impairment, was recently translated into Greek (Qmci-Gr). The present study compared its diagnostic value against the Montreal Cognitive Assessment (MoCA) screen and examined its optimal cutoffs. Method: We recruited consecutive patients aged ≥55 years that presented with cognitive complaints from two outpatient clinics in Greece. The Qmci-Gr and MoCA were completed by all patients. Furthermore, they were assessed independently with a comprehensive flexible neuropsychological battery to establish a diagnostic classification. Results: In the current study, we assessed a total of 145 patients, with a median age of 70 years; 44 were classified as having Subjective Memory Complaints (SMC) but normal cognition, 32 with MCI and 69 with dementia. The Qmci-Gr had a higher accuracy compared to the MoCA in discriminating MCI from dementia, area under the curve (AUC) of 0.81 versus 0.75, respectively; however, this finding was marginally significant (p = 0.08). Its accuracy was marginally higher for distinguishing SMC from dementia, AUC of 0.94 versus 0.89 (p = 0.03). However, Qmci-Gr presented a lower accuracy than MoCa in differentiating SMC from MCI, AUC of 0.76 versus 0.94 (p = 0.006). Conclusions: The Qmci-Gr has comparable diagnostic accuracy to the MoCA regarding MCI and dementia groups. Further research, with larger and more diverse samples, may be necessary to ensure generalizability.","container-title":"Healthcare","DOI":"10.3390/healthcare10050906","ISSN":"2227-9032","issue":"5","journalAbbreviation":"Healthcare","language":"en","license":"https://creativecommons.org/licenses/by/4.0/","page":"906","source":"DOI.org (Crossref)","title":"Comparison of the Greek Version of the Quick Mild Cognitive Impairment Screen and Montreal Cognitive Assessment in Older Adults","volume":"10","author":[{"family":"Messinis","given":"Lambros"},{"family":"Nasios","given":"Grigorios"},{"family":"Mougias","given":"Antonios"},{"family":"Patrikelis","given":"Panayiotis"},{"family":"Malefaki","given":"Sonia"},{"family":"Panagiotopoulos","given":"Vasileios"},{"family":"Ntoskou Messini","given":"Aikaterini"},{"family":"Bakirtzis","given":"Christos"},{"family":"Grigoriadis","given":"Nikolaos"},{"family":"Ioannidis","given":"Panagiotis"},{"family":"Bairami","given":"Stella"},{"family":"Papadopoulou","given":"Valentina"},{"family":"Gourzis","given":"Phillipos"}],"issued":{"date-parts":[["2022",5,13]]}}}],"schema":"https://github.com/citation-style-language/schema/raw/master/csl-citation.json"} </w:instrText>
            </w:r>
            <w:r>
              <w:rPr>
                <w:rFonts w:ascii="Calibri" w:eastAsia="Calibri" w:hAnsi="Calibri" w:cs="Calibri"/>
              </w:rPr>
              <w:fldChar w:fldCharType="separate"/>
            </w:r>
            <w:r w:rsidRPr="00E87D71">
              <w:rPr>
                <w:rFonts w:ascii="Calibri" w:hAnsi="Calibri" w:cs="Calibri"/>
              </w:rPr>
              <w:t>(13)</w:t>
            </w:r>
            <w:r>
              <w:rPr>
                <w:rFonts w:ascii="Calibri" w:eastAsia="Calibri" w:hAnsi="Calibri" w:cs="Calibri"/>
              </w:rPr>
              <w:fldChar w:fldCharType="end"/>
            </w:r>
          </w:p>
        </w:tc>
        <w:tc>
          <w:tcPr>
            <w:tcW w:w="1985" w:type="dxa"/>
          </w:tcPr>
          <w:p w14:paraId="3344895E"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67569D75"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00E38832"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33EC8EDA"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15310CE1"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12666336" w14:textId="77777777" w:rsidTr="00EA0E24">
        <w:trPr>
          <w:trHeight w:val="300"/>
        </w:trPr>
        <w:tc>
          <w:tcPr>
            <w:tcW w:w="3529" w:type="dxa"/>
          </w:tcPr>
          <w:p w14:paraId="2ACC7AC1" w14:textId="77777777" w:rsidR="0078341B" w:rsidRDefault="0078341B" w:rsidP="00EA0E24">
            <w:pPr>
              <w:rPr>
                <w:rFonts w:ascii="Calibri" w:eastAsia="Calibri" w:hAnsi="Calibri" w:cs="Calibri"/>
              </w:rPr>
            </w:pPr>
            <w:proofErr w:type="spellStart"/>
            <w:r w:rsidRPr="542899F4">
              <w:rPr>
                <w:rFonts w:ascii="Calibri" w:eastAsia="Calibri" w:hAnsi="Calibri" w:cs="Calibri"/>
              </w:rPr>
              <w:t>Mukaetova-Ladinska</w:t>
            </w:r>
            <w:proofErr w:type="spellEnd"/>
            <w:r w:rsidRPr="542899F4">
              <w:rPr>
                <w:rFonts w:ascii="Calibri" w:eastAsia="Calibri" w:hAnsi="Calibri" w:cs="Calibri"/>
              </w:rPr>
              <w:t xml:space="preserve"> et al., 2022</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{"citationID":"jaugK4Yb","properties":{"formattedCitation":"(14)","plainCitation":"(14)","noteIndex":0},"citationItems":[{"id":74,"uris":["http://zotero.org/groups/6084669/items/Z5TN5EDD"],"itemData":{"id":74,"type":"article-journal","abstract":"Background: Memory complaints are frequent among young adults presenting in general practice. Many of them will have reversable, functional cognitive impairment that can easily be mistaken for dementia. Its accurate and timely identification is warranted to prevent further escalation to overt dementia syndrome. Objective: To evaluate the recommended primary care screening cognitive tools for dementia for use in younger people. Methods: 2.5 years clinical data were collected during the course of ongoing patient care for all assessed face-to-face patients in a secondary care memory service for younger adults. Cognitive screening and assessment tests used in primary [General Practice Assessment of Cognition (GPCOG)] and secondary [Addenbrooke’s Cognitive Examination-III (ACE-III), Rowland Universal Dementia Assessment Scale (RUDAS), Salzburg Dementia Test Prediction (SDTP)] care were analyzed for their accuracy to identify dementia and memory complaints. Area under the curve in receiver operating characteristic curves was used to measure predictive value of tests for a clinical diagnosis of dementia. Results: 348 young adults were assessed for cognitive impairment. Following comprehensive Memory Clinic assessments, 241 (69.25%) were diagnosed with memory complaints in the absence of relevant neuropathology and 107 with dementia. GPCOG, especially the informant part, and RUDAS had low accuracy to identify dementia (AUC = 0.465 and AUC = 0.698, respectively). In contrast, ACE-III and SDTP demonstrated the highest accuracy (AUC = 0.799 and AUC = 0.809/0.817, respectively). Conclusion: Dementia screening in younger people will benefit from SDTP incorporated as part of the screening cognitive toolset. The national guidance on dementia screening tools, diagnostic pathways, and management should also refer to younger adults.","container-title":"Journal of Alzheimer's Disease","DOI":"10.3233/JAD-215514","ISSN":"13872877, 18758908","issue":"1","journalAbbreviation":"JAD","page":"333-341","source":"DOI.org (Crossref)","title":"Suspected Dementia in Young Adults: Cognitive Screening Tools for Use in Primary Care","title-short":"Suspected Dementia in Young Adults","volume":"86","author":[{"family":"Mukaetova-Ladinska","given":"Elizabeta B."},{"family":"Abdullah","given":"Shahbaz"},{"family":"Critchfield","given":"Mathew"},{"family":"Maltby","given":"John"}],"issued":{"date-parts":[["2022",3,8]]}}}],"schema":"https://github.com/citation-style-language/schema/raw/master/csl-citation.json"} </w:instrText>
            </w:r>
            <w:r>
              <w:rPr>
                <w:rFonts w:ascii="Calibri" w:eastAsia="Calibri" w:hAnsi="Calibri" w:cs="Calibri"/>
              </w:rPr>
              <w:fldChar w:fldCharType="separate"/>
            </w:r>
            <w:r w:rsidRPr="00E87D71">
              <w:rPr>
                <w:rFonts w:ascii="Calibri" w:hAnsi="Calibri" w:cs="Calibri"/>
              </w:rPr>
              <w:t>(14)</w:t>
            </w:r>
            <w:r>
              <w:rPr>
                <w:rFonts w:ascii="Calibri" w:eastAsia="Calibri" w:hAnsi="Calibri" w:cs="Calibri"/>
              </w:rPr>
              <w:fldChar w:fldCharType="end"/>
            </w:r>
          </w:p>
        </w:tc>
        <w:tc>
          <w:tcPr>
            <w:tcW w:w="1985" w:type="dxa"/>
          </w:tcPr>
          <w:p w14:paraId="018E12AD"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426F166E"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601" w:type="dxa"/>
          </w:tcPr>
          <w:p w14:paraId="3ABC5629"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190" w:type="dxa"/>
          </w:tcPr>
          <w:p w14:paraId="66424892"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1223" w:type="dxa"/>
          </w:tcPr>
          <w:p w14:paraId="17E6F58A" w14:textId="77777777" w:rsidR="0078341B" w:rsidRDefault="0078341B" w:rsidP="00EA0E24">
            <w:pPr>
              <w:rPr>
                <w:rFonts w:ascii="Calibri" w:eastAsia="Calibri" w:hAnsi="Calibri" w:cs="Calibri"/>
                <w:b/>
                <w:bCs/>
              </w:rPr>
            </w:pPr>
            <w:r w:rsidRPr="542899F4">
              <w:rPr>
                <w:rFonts w:ascii="Calibri" w:eastAsia="Calibri" w:hAnsi="Calibri" w:cs="Calibri"/>
                <w:b/>
                <w:bCs/>
              </w:rPr>
              <w:t>High</w:t>
            </w:r>
          </w:p>
        </w:tc>
      </w:tr>
      <w:tr w:rsidR="0078341B" w14:paraId="212EF729" w14:textId="77777777" w:rsidTr="00EA0E24">
        <w:trPr>
          <w:trHeight w:val="300"/>
        </w:trPr>
        <w:tc>
          <w:tcPr>
            <w:tcW w:w="3529" w:type="dxa"/>
          </w:tcPr>
          <w:p w14:paraId="7CF8CB4E" w14:textId="77777777" w:rsidR="0078341B" w:rsidRDefault="0078341B" w:rsidP="00EA0E24">
            <w:pPr>
              <w:rPr>
                <w:rFonts w:ascii="Calibri" w:eastAsia="Calibri" w:hAnsi="Calibri" w:cs="Calibri"/>
              </w:rPr>
            </w:pPr>
            <w:r w:rsidRPr="542899F4">
              <w:rPr>
                <w:rFonts w:ascii="Calibri" w:eastAsia="Calibri" w:hAnsi="Calibri" w:cs="Calibri"/>
              </w:rPr>
              <w:t>Palmqvist et al., 2024</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{"citationID":"HxtbeCkk","properties":{"formattedCitation":"(15)","plainCitation":"(15)","noteIndex":0},"citationItems":[{"id":17,"uris":["http://zotero.org/groups/6084669/items/M3WDNQBY"],"itemData":{"id":17,"type":"article-journal","abstract":"Importance\n              An accurate blood test for Alzheimer disease (AD) could streamline the diagnostic workup and treatment of AD.\n            \n            \n              Objective\n              To prospectively evaluate a clinically available AD blood test in primary care and secondary care using predefined biomarker cutoff values.\n            \n            \n              Design, Setting, and Participants\n              There were 1213 patients undergoing clinical evaluation due to cognitive symptoms who were examined between February 2020 and January 2024 in Sweden. The biomarker cutoff values had been established in an independent cohort and were applied to a primary care cohort (n = 307) and a secondary care cohort (n = 300); 1 plasma sample per patient was analyzed as part of a single batch for each cohort. The blood test was then evaluated prospectively in the primary care cohort (n = 208) and in the secondary care cohort (n = 398); 1 plasma sample per patient was sent for analysis within 2 weeks of collection.\n            \n            \n              Exposure\n              Blood tests based on plasma analyses by mass spectrometry to determine the ratio of plasma phosphorylated tau 217 (p-tau217) to non–p-tau217 (expressed as percentage of p-tau217) alone and when combined with the amyloid-β 42 and amyloid-β 40 (Aβ42:Aβ40) plasma ratio (the amyloid probability score 2 [APS2]).\n            \n            \n              Main Outcomes and Measures\n              The primary outcome was AD pathology (determined by abnormal cerebrospinal fluid Aβ42:Aβ40 ratio and p-tau217). The secondary outcome was clinical AD. The positive predictive value (PPV), negative predictive value (NPV), diagnostic accuracy, and area under the curve (AUC) values were calculated.\n            \n            \n              Results\n              The mean age was 74.2 years (SD, 8.3 years), 48% were women, 23% had subjective cognitive decline, 44% had mild cognitive impairment, and 33% had dementia. In both the primary care and secondary care assessments, 50% of patients had AD pathology. When the plasma samples were analyzed in a single batch in the primary care cohort, the AUC was 0.97 (95% CI, 0.95-0.99) when the APS2 was used, the PPV was 91% (95% CI, 87%-96%), and the NPV was 92% (95% CI, 87%-96%); in the secondary care cohort, the AUC was 0.96 (95% CI, 0.94-0.98) when the APS2 was used, the PPV was 88% (95% CI, 83%-93%), and the NPV was 87% (95% CI, 82%-93%). When the plasma samples were analyzed prospectively (biweekly) in the primary care cohort, the AUC was 0.96 (95% CI, 0.94-0.98) when the APS2 was used, the PPV was 88% (95% CI, 81%-94%), and the NPV was 90% (95% CI, 84%-96%); in the secondary care cohort, the AUC was 0.97 (95% CI, 0.95-0.98) when the APS2 was used, the PPV was 91% (95% CI, 87%-95%), and the NPV was 91% (95% CI, 87%-95%). The diagnostic accuracy was high in the 4 cohorts (range, 88%-92%). Primary care physicians had a diagnostic accuracy of 61% (95% CI, 53%-69%) for identifying clinical AD after clinical examination, cognitive testing, and a computed tomographic scan vs 91% (95% CI, 86%-96%) using the APS2. Dementia specialists had a diagnostic accuracy of 73% (95% CI, 68%-79%) vs 91% (95% CI, 88%-95%) using the APS2. In the overall population, the diagnostic accuracy using the APS2 (90% [95% CI, 88%-92%]) was not different from the diagnostic accuracy using the percentage of p-tau217 alone (90% [95% CI, 88%-91%]).\n            \n            \n              Conclusions and Relevance\n              The APS2 and percentage of p-tau217 alone had high diagnostic accuracy for identifying AD among individuals with cognitive symptoms in primary and secondary care using predefined cutoff values. Future studies should evaluate how the use of blood tests for these biomarkers influences clinical care.","container-title":"JAMA","DOI":"10.1001/jama.2024.13855","ISSN":"0098-7484","issue":"15","journalAbbreviation":"JAMA","language":"en","page":"1245","source":"DOI.org (Crossref)","title":"Blood Biomarkers to Detect Alzheimer Disease in Primary Care and Secondary Care","volume":"332","author":[{"family":"Palmqvist","given":"Sebastian"},{"family":"Tideman","given":"Pontus"},{"family":"Mattsson-Carlgren","given":"Niklas"},{"family":"Schindler","given":"Suzanne E."},{"family":"Smith","given":"Ruben"},{"family":"Ossenkoppele","given":"Rik"},{"family":"Calling","given":"Susanna"},{"family":"West","given":"Tim"},{"family":"Monane","given":"Mark"},{"family":"Verghese","given":"Philip B."},{"family":"Braunstein","given":"Joel B."},{"family":"Blennow","given":"Kaj"},{"family":"Janelidze","given":"Shorena"},{"family":"Stomrud","given":"Erik"},{"family":"Salvadó","given":"Gemma"},{"family":"Hansson","given":"Oskar"}],"issued":{"date-parts":[["2024",10,15]]}}}],"schema":"https://github.com/citation-style-language/schema/raw/master/csl-citation.json"} </w:instrText>
            </w:r>
            <w:r>
              <w:rPr>
                <w:rFonts w:ascii="Calibri" w:eastAsia="Calibri" w:hAnsi="Calibri" w:cs="Calibri"/>
              </w:rPr>
              <w:fldChar w:fldCharType="separate"/>
            </w:r>
            <w:r w:rsidRPr="00E87D71">
              <w:rPr>
                <w:rFonts w:ascii="Calibri" w:hAnsi="Calibri" w:cs="Calibri"/>
              </w:rPr>
              <w:t>(15)</w:t>
            </w:r>
            <w:r>
              <w:rPr>
                <w:rFonts w:ascii="Calibri" w:eastAsia="Calibri" w:hAnsi="Calibri" w:cs="Calibri"/>
              </w:rPr>
              <w:fldChar w:fldCharType="end"/>
            </w:r>
          </w:p>
        </w:tc>
        <w:tc>
          <w:tcPr>
            <w:tcW w:w="1985" w:type="dxa"/>
          </w:tcPr>
          <w:p w14:paraId="6F9C747B"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602D8A58" w14:textId="77777777" w:rsidR="0078341B" w:rsidRDefault="0078341B" w:rsidP="00EA0E24">
            <w:pPr>
              <w:rPr>
                <w:rFonts w:ascii="Calibri" w:eastAsia="Calibri" w:hAnsi="Calibri" w:cs="Calibri"/>
              </w:rPr>
            </w:pPr>
            <w:r w:rsidRPr="542899F4">
              <w:rPr>
                <w:rFonts w:ascii="Calibri" w:eastAsia="Calibri" w:hAnsi="Calibri" w:cs="Calibri"/>
              </w:rPr>
              <w:t xml:space="preserve">Unclear risk </w:t>
            </w:r>
          </w:p>
        </w:tc>
        <w:tc>
          <w:tcPr>
            <w:tcW w:w="2601" w:type="dxa"/>
          </w:tcPr>
          <w:p w14:paraId="4E212EF4"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6A133070"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7D3624CE" w14:textId="77777777" w:rsidR="0078341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4551DA4E" w14:textId="77777777" w:rsidTr="00EA0E24">
        <w:trPr>
          <w:trHeight w:val="300"/>
        </w:trPr>
        <w:tc>
          <w:tcPr>
            <w:tcW w:w="3529" w:type="dxa"/>
          </w:tcPr>
          <w:p w14:paraId="21CCB158" w14:textId="77777777" w:rsidR="0078341B" w:rsidRDefault="0078341B" w:rsidP="00EA0E24">
            <w:pPr>
              <w:rPr>
                <w:rFonts w:ascii="Calibri" w:eastAsia="Calibri" w:hAnsi="Calibri" w:cs="Calibri"/>
              </w:rPr>
            </w:pPr>
            <w:r w:rsidRPr="542899F4">
              <w:rPr>
                <w:rFonts w:ascii="Calibri" w:eastAsia="Calibri" w:hAnsi="Calibri" w:cs="Calibri"/>
              </w:rPr>
              <w:t xml:space="preserve">Pereira et al., 2021  </w:t>
            </w:r>
            <w:r>
              <w:rPr>
                <w:rFonts w:ascii="Calibri" w:eastAsia="Calibri" w:hAnsi="Calibri" w:cs="Calibri"/>
              </w:rPr>
              <w:fldChar w:fldCharType="begin"/>
            </w:r>
            <w:r>
              <w:rPr>
                <w:rFonts w:ascii="Calibri" w:eastAsia="Calibri" w:hAnsi="Calibri" w:cs="Calibri"/>
              </w:rPr>
              <w:instrText xml:space="preserve"> ADDIN ZOTERO_ITEM CSL_CITATION {"citationID":"SaluWZPb","properties":{"formattedCitation":"(16)","plainCitation":"(16)","noteIndex":0},"citationItems":[{"id":26,"uris":["http://zotero.org/groups/6084669/items/3RL6BM2L"],"itemData":{"id":26,"type":"article-journal","abstract":"ABSTRACT. There are different causes of memory complaints in the elderly, such as subjective cognitive decline (SCD), mild cognitive impairment (MCI) or dementia.  Objective: 1) To characterize individuals with memory complaints in a mid-sized city in Brazil, through clinical, cognitive and functional assessment; 2) to compare SCD individuals with MCI and dementia patients in terms of clinical and cognitive variables.  Methods: We consecutively included individuals aged ≥50 years, with memory complaints (spontaneous or inquired). Subjects who scored ≥25 on the Memory Complaint Questionnaire or who had spontaneous memory complaints were selected. Participants underwent a semi-structured interview, the Mini-Mental State Examination, Figure Memory Test for visual episodic memory, Clock Drawing Test, Category Fluency (Animals), Neuropsychiatric Inventory, and functional assessment. Individuals were classified as SCD, MCI or dementia. We did not include individuals with previous diagnosis of dementia.  Results: The final sample consisted of 91 subjects (73.6% women; mean age 67.6±9.8 years): 14.3% had spontaneous complaints and 85.7% had inquired complaints. The most common comorbidities were hypertension (69.2%), diabetes (36.3%), and dyslipidemia (24.2%). Low levels of vitamin B12 and hypothyroidism were found in 26.4 and 16.5%, respectively. Regarding cognitive diagnosis, 16.5% of the sample were classified as SCD, 49.4% as MCI and 34.1% as dementia. MCI and dementia were identified in five (38.5%) and seven (53.4%) patients with spontaneous complaint, respectively.  Conclusions: MCI and dementia are frequently underdiagnosed. Potential reversible causes of cognitive decline are common. The diagnosis of dementia is highly frequent among individuals with spontaneous memory complaints.\n          , \n            RESUMO. Há diferentes causas de queixas de memória nos idosos, como declínio cognitivo subjetivo (DCS), comprometimento cognitivo leve (CCL) ou demências.  Objetivo: 1) Caracterizar indivíduos com queixa de memória em uma cidade de médio porte do Brasil, por meio de avaliação clínica, cognitiva e funcional; 2) comparar indivíduos com DCS, com CCL e pacientes com demência em termos de variáveis clínicas e cognitivas.  Métodos: Incluiu-se, de modo consecutivo, indivíduos com idade ≥50 anos, com queixas de memória (espontânea ou inquirida). Foram selecionados participantes que pontuaram ≥25 no Questionário de Queixa de Memória ou que apresentaram queixa de memória espontânea. Todos foram submetidos à entrevista semiestruturada, Miniexame do Estado Mental, Teste de Figuras (teste de memória episódica visual), Teste do Desenho do Relógio, Fluência Semântica (Animais), Inventário Neuropsiquiátrico e avaliação funcional. Os indivíduos foram classificados em declínio cognitivo subjetivo (DCS), CCL e demência.  Resultados: A amostra final foi composta por 91 indivíduos (73,6% mulheres; média de idade 67,6±9,8 anos); 14,3% apresentaram queixa espontânea e 85,7%, queixa inquirida. As comorbidades mais comuns foram hipertensão (69,2%), diabetes (36,3%) e dislipidemia (24,2%). Baixos níveis de vitamina B12 e hipotireoidismo foram encontrados em 26,4 e 16,5%, respectivamente. Quanto ao diagnóstico cognitivo, 16,5% foram classificados como DCS, 49,4% como CCL e 34,1% como demência. CCL e demência foram respectivamente identificados em cinco (38,5%) e sete (53,4%) pacientes com queixa espontânea de memória.  Conclusões: CCL e demência são frequentemente subdiagnosticados. Causas potencialmente reversíveis de declínio cognitivo foram frequentes na amostra. O diagnóstico de demência foi muito frequente entre indivíduos com queixas espontâneas de memória.","container-title":"Dementia &amp; Neuropsychologia","DOI":"10.1590/1980-57642021dn15-010009","ISSN":"1980-5764, 1980-5764","issue":"1","journalAbbreviation":"Dement. neuropsychol.","license":"http://creativecommons.org/licenses/by/4.0/","page":"88-97","source":"DOI.org (Crossref)","title":"Memory complaints at primary care in a middle-income country: clinical and neuropsychological characterization","title-short":"Memory complaints at primary care in a middle-income country","volume":"15","author":[{"family":"Pereira","given":"Marcos Leandro"},{"family":"Vasconcelos","given":"Thiago Henrique Ferreira De"},{"family":"Oliveira","given":"Amanda Aparecida Rocha De"},{"family":"Campagnolo","given":"Sarah Bárbara"},{"family":"Figueiredo","given":"Sarah De Oliveira"},{"family":"Guimarães","given":"Ana Flávia Bereta Coelho"},{"family":"Barbosa","given":"Maira Tonidandel"},{"family":"Miranda","given":"Luís Felipe José Ravic De"},{"family":"Caramelli","given":"Paulo"},{"family":"Souza","given":"Leonardo Cruz De"}],"issued":{"date-parts":[["2021",3]]}}}],"schema":"https://github.com/citation-style-language/schema/raw/master/csl-citation.json"} </w:instrText>
            </w:r>
            <w:r>
              <w:rPr>
                <w:rFonts w:ascii="Calibri" w:eastAsia="Calibri" w:hAnsi="Calibri" w:cs="Calibri"/>
              </w:rPr>
              <w:fldChar w:fldCharType="separate"/>
            </w:r>
            <w:r w:rsidRPr="00E87D71">
              <w:rPr>
                <w:rFonts w:ascii="Calibri" w:hAnsi="Calibri" w:cs="Calibri"/>
              </w:rPr>
              <w:t>(16)</w:t>
            </w:r>
            <w:r>
              <w:rPr>
                <w:rFonts w:ascii="Calibri" w:eastAsia="Calibri" w:hAnsi="Calibri" w:cs="Calibri"/>
              </w:rPr>
              <w:fldChar w:fldCharType="end"/>
            </w:r>
          </w:p>
        </w:tc>
        <w:tc>
          <w:tcPr>
            <w:tcW w:w="1985" w:type="dxa"/>
          </w:tcPr>
          <w:p w14:paraId="44BC4174"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0527D9BC" w14:textId="77777777" w:rsidR="0078341B" w:rsidRDefault="0078341B" w:rsidP="00EA0E24">
            <w:pPr>
              <w:rPr>
                <w:rFonts w:ascii="Calibri" w:eastAsia="Calibri" w:hAnsi="Calibri" w:cs="Calibri"/>
              </w:rPr>
            </w:pPr>
            <w:r w:rsidRPr="542899F4">
              <w:rPr>
                <w:rFonts w:ascii="Calibri" w:eastAsia="Calibri" w:hAnsi="Calibri" w:cs="Calibri"/>
              </w:rPr>
              <w:t xml:space="preserve">Unclear risk </w:t>
            </w:r>
          </w:p>
        </w:tc>
        <w:tc>
          <w:tcPr>
            <w:tcW w:w="2601" w:type="dxa"/>
          </w:tcPr>
          <w:p w14:paraId="64D8A58F"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66545BDA"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4D54B288" w14:textId="77777777" w:rsidR="0078341B" w:rsidRPr="0B7B249A"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3D96A52C" w14:textId="77777777" w:rsidTr="00EA0E24">
        <w:trPr>
          <w:trHeight w:val="300"/>
        </w:trPr>
        <w:tc>
          <w:tcPr>
            <w:tcW w:w="3529" w:type="dxa"/>
          </w:tcPr>
          <w:p w14:paraId="7030C670" w14:textId="77777777" w:rsidR="0078341B" w:rsidRDefault="0078341B" w:rsidP="00EA0E24">
            <w:pPr>
              <w:rPr>
                <w:rFonts w:ascii="Calibri" w:eastAsia="Calibri" w:hAnsi="Calibri" w:cs="Calibri"/>
              </w:rPr>
            </w:pPr>
            <w:r w:rsidRPr="542899F4">
              <w:rPr>
                <w:rFonts w:ascii="Calibri" w:eastAsia="Calibri" w:hAnsi="Calibri" w:cs="Calibri"/>
              </w:rPr>
              <w:t>Rosenberg et al., 2022</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1DoYoccD","properties":{"formattedCitation":"(17)","plainCitation":"(17)","noteIndex":0},"citationItems":[{"id":30,"uris":["http://zotero.org/groups/6084669/items/HA4NQ7M4"],"itemData":{"id":30,"type":"article-journal","container-title":"Neurology","DOI":"10.1212/WNL.0000000000201043","ISSN":"0028-3878, 1526-632X","issue":"19","journalAbbreviation":"Neurology","language":"en","source":"DOI.org (Crossref)","title":"β-Amyloid, Tau, Neurodegeneration Classification and Eligibility for Anti-amyloid Treatment in a Memory Clinic Population","URL":"https://www.neurology.org/doi/10.1212/WNL.0000000000201043","volume":"99","author":[{"family":"Rosenberg","given":"Anna"},{"family":"Öhlund-Wistbacka","given":"Ulf"},{"family":"Hall","given":"Anette"},{"family":"Bonnard","given":"Alexandre"},{"family":"Hagman","given":"Göran"},{"family":"Rydén","given":"Marie"},{"family":"Thunborg","given":"Charlotta"},{"family":"Wiggenraad","given":"Fleur"},{"family":"Sandebring-Matton","given":"Anna"},{"family":"Solomon","given":"Alina"},{"family":"Kivipelto","given":"Miia"}],"accessed":{"date-parts":[["2025",8,5]]},"issued":{"date-parts":[["2022",11,8]]}}}],"schema":"https://github.com/citation-style-language/schema/raw/master/csl-citation.json"} </w:instrText>
            </w:r>
            <w:r>
              <w:rPr>
                <w:rFonts w:ascii="Calibri" w:eastAsia="Calibri" w:hAnsi="Calibri" w:cs="Calibri"/>
              </w:rPr>
              <w:fldChar w:fldCharType="separate"/>
            </w:r>
            <w:r w:rsidRPr="00E87D71">
              <w:rPr>
                <w:rFonts w:ascii="Calibri" w:hAnsi="Calibri" w:cs="Calibri"/>
              </w:rPr>
              <w:t>(17)</w:t>
            </w:r>
            <w:r>
              <w:rPr>
                <w:rFonts w:ascii="Calibri" w:eastAsia="Calibri" w:hAnsi="Calibri" w:cs="Calibri"/>
              </w:rPr>
              <w:fldChar w:fldCharType="end"/>
            </w:r>
          </w:p>
        </w:tc>
        <w:tc>
          <w:tcPr>
            <w:tcW w:w="1985" w:type="dxa"/>
          </w:tcPr>
          <w:p w14:paraId="1A39AA4E"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3147304E"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1314DC22"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224DB5E2"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1A47550D" w14:textId="77777777" w:rsidR="0078341B" w:rsidRPr="5EEE487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680032D4" w14:textId="77777777" w:rsidTr="00EA0E24">
        <w:trPr>
          <w:trHeight w:val="300"/>
        </w:trPr>
        <w:tc>
          <w:tcPr>
            <w:tcW w:w="3529" w:type="dxa"/>
          </w:tcPr>
          <w:p w14:paraId="574B4D78" w14:textId="77777777" w:rsidR="0078341B" w:rsidRDefault="0078341B" w:rsidP="00EA0E24">
            <w:pPr>
              <w:rPr>
                <w:rFonts w:ascii="Calibri" w:eastAsia="Calibri" w:hAnsi="Calibri" w:cs="Calibri"/>
              </w:rPr>
            </w:pPr>
            <w:proofErr w:type="spellStart"/>
            <w:r w:rsidRPr="542899F4">
              <w:rPr>
                <w:rFonts w:ascii="Calibri" w:eastAsia="Calibri" w:hAnsi="Calibri" w:cs="Calibri"/>
              </w:rPr>
              <w:t>Ruchinskas</w:t>
            </w:r>
            <w:proofErr w:type="spellEnd"/>
            <w:r>
              <w:rPr>
                <w:rFonts w:ascii="Calibri" w:eastAsia="Calibri" w:hAnsi="Calibri" w:cs="Calibri"/>
              </w:rPr>
              <w:t xml:space="preserve">, </w:t>
            </w:r>
            <w:r w:rsidRPr="542899F4">
              <w:rPr>
                <w:rFonts w:ascii="Calibri" w:eastAsia="Calibri" w:hAnsi="Calibri" w:cs="Calibri"/>
              </w:rPr>
              <w:t>2019</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{"citationID":"vpcmiYsS","properties":{"formattedCitation":"(18)","plainCitation":"(18)","noteIndex":0},"citationItems":[{"id":32,"uris":["http://zotero.org/groups/6084669/items/XYYHQNNH"],"itemData":{"id":32,"type":"article-journal","container-title":"The Clinical Neuropsychologist","DOI":"10.1080/13854046.2019.1585574","ISSN":"1385-4046, 1744-4144","issue":"8","journalAbbreviation":"The Clinical Neuropsychologist","language":"en","page":"1436-1444","source":"DOI.org (Crossref)","title":"Wechsler adult intelligence scale-4th edition digit span performance in subjective cognitive complaints, amnestic mild cognitive impairment, and probable dementia of the Alzheimer type","volume":"33","author":[{"family":"Ruchinskas","given":"Robert"}],"issued":{"date-parts":[["2019",11,17]]}}}],"schema":"https://github.com/citation-style-language/schema/raw/master/csl-citation.json"} </w:instrText>
            </w:r>
            <w:r>
              <w:rPr>
                <w:rFonts w:ascii="Calibri" w:eastAsia="Calibri" w:hAnsi="Calibri" w:cs="Calibri"/>
              </w:rPr>
              <w:fldChar w:fldCharType="separate"/>
            </w:r>
            <w:r w:rsidRPr="00E87D71">
              <w:rPr>
                <w:rFonts w:ascii="Calibri" w:hAnsi="Calibri" w:cs="Calibri"/>
              </w:rPr>
              <w:t>(18)</w:t>
            </w:r>
            <w:r>
              <w:rPr>
                <w:rFonts w:ascii="Calibri" w:eastAsia="Calibri" w:hAnsi="Calibri" w:cs="Calibri"/>
              </w:rPr>
              <w:fldChar w:fldCharType="end"/>
            </w:r>
          </w:p>
        </w:tc>
        <w:tc>
          <w:tcPr>
            <w:tcW w:w="1985" w:type="dxa"/>
          </w:tcPr>
          <w:p w14:paraId="7EE7CF2E" w14:textId="77777777" w:rsidR="0078341B" w:rsidRDefault="0078341B" w:rsidP="00EA0E24">
            <w:pPr>
              <w:rPr>
                <w:rFonts w:ascii="Calibri" w:eastAsia="Calibri" w:hAnsi="Calibri" w:cs="Calibri"/>
              </w:rPr>
            </w:pPr>
            <w:r w:rsidRPr="542899F4">
              <w:rPr>
                <w:rFonts w:ascii="Calibri" w:eastAsia="Calibri" w:hAnsi="Calibri" w:cs="Calibri"/>
              </w:rPr>
              <w:t xml:space="preserve">Yes </w:t>
            </w:r>
          </w:p>
        </w:tc>
        <w:tc>
          <w:tcPr>
            <w:tcW w:w="3969" w:type="dxa"/>
          </w:tcPr>
          <w:p w14:paraId="1E0408B5"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601" w:type="dxa"/>
          </w:tcPr>
          <w:p w14:paraId="1BCEB7EF"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190" w:type="dxa"/>
          </w:tcPr>
          <w:p w14:paraId="64731DCB"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2F4AEA03" w14:textId="77777777" w:rsidR="0078341B" w:rsidRPr="5EEE487B" w:rsidRDefault="0078341B" w:rsidP="00EA0E24">
            <w:pPr>
              <w:rPr>
                <w:rFonts w:ascii="Calibri" w:eastAsia="Calibri" w:hAnsi="Calibri" w:cs="Calibri"/>
                <w:b/>
                <w:bCs/>
              </w:rPr>
            </w:pPr>
            <w:r w:rsidRPr="542899F4">
              <w:rPr>
                <w:rFonts w:ascii="Calibri" w:eastAsia="Calibri" w:hAnsi="Calibri" w:cs="Calibri"/>
                <w:b/>
                <w:bCs/>
              </w:rPr>
              <w:t>High</w:t>
            </w:r>
          </w:p>
        </w:tc>
      </w:tr>
      <w:tr w:rsidR="0078341B" w14:paraId="1B5BCAC5" w14:textId="77777777" w:rsidTr="00EA0E24">
        <w:trPr>
          <w:trHeight w:val="300"/>
        </w:trPr>
        <w:tc>
          <w:tcPr>
            <w:tcW w:w="3529" w:type="dxa"/>
          </w:tcPr>
          <w:p w14:paraId="6AAAE2A1" w14:textId="77777777" w:rsidR="0078341B" w:rsidRDefault="0078341B" w:rsidP="00EA0E24">
            <w:pPr>
              <w:rPr>
                <w:rFonts w:ascii="Calibri" w:eastAsia="Calibri" w:hAnsi="Calibri" w:cs="Calibri"/>
              </w:rPr>
            </w:pPr>
            <w:proofErr w:type="spellStart"/>
            <w:r w:rsidRPr="542899F4">
              <w:rPr>
                <w:rFonts w:ascii="Calibri" w:eastAsia="Calibri" w:hAnsi="Calibri" w:cs="Calibri"/>
              </w:rPr>
              <w:t>Ruchinskas</w:t>
            </w:r>
            <w:proofErr w:type="spellEnd"/>
            <w:r w:rsidRPr="542899F4">
              <w:rPr>
                <w:rFonts w:ascii="Calibri" w:eastAsia="Calibri" w:hAnsi="Calibri" w:cs="Calibri"/>
              </w:rPr>
              <w:t xml:space="preserve"> </w:t>
            </w:r>
            <w:r>
              <w:rPr>
                <w:rFonts w:ascii="Calibri" w:eastAsia="Calibri" w:hAnsi="Calibri" w:cs="Calibri"/>
              </w:rPr>
              <w:t>&amp; Goette,</w:t>
            </w:r>
            <w:r w:rsidRPr="542899F4">
              <w:rPr>
                <w:rFonts w:ascii="Calibri" w:eastAsia="Calibri" w:hAnsi="Calibri" w:cs="Calibri"/>
              </w:rPr>
              <w:t xml:space="preserve"> 2021 </w:t>
            </w:r>
            <w:r>
              <w:rPr>
                <w:rFonts w:ascii="Calibri" w:eastAsia="Calibri" w:hAnsi="Calibri" w:cs="Calibri"/>
              </w:rPr>
              <w:fldChar w:fldCharType="begin"/>
            </w:r>
            <w:r>
              <w:rPr>
                <w:rFonts w:ascii="Calibri" w:eastAsia="Calibri" w:hAnsi="Calibri" w:cs="Calibri"/>
              </w:rPr>
              <w:instrText xml:space="preserve"> ADDIN ZOTERO_ITEM CSL_CITATION {"citationID":"AgIUj1Iv","properties":{"formattedCitation":"(19)","plainCitation":"(19)","noteIndex":0},"citationItems":[{"id":31,"uris":["http://zotero.org/groups/6084669/items/7PQIQTCT"],"itemData":{"id":31,"type":"article-journal","abstract":"Abstract\n            \n              Objective\n              The Reynolds Intellectual Screening Instrument (RIST) and its second edition (RIST-2) are brief intelligence screening instruments that potentially have value in older populations as their norms extend over age 90. This study examined performance on these two instruments in a sample of individuals presenting for evaluation in a memory disorder clinic.\n            \n            \n              Method\n              A sample of 1,145 subjects over the age of 50 was chosen from 1,761 consecutive referrals. Individuals who obtained a consensus diagnosis of Mild Cognitive Impairment (MCI; n = 536), possible dementia of the Alzheimer Type (DAT; n = 400), or those with subjective cognitive complaints (SCC; n = 209) and who completed a neuropsychological battery that included either the RIST (n = 747) or the RIST-2 (n = 398) were included in the sample. No clinically significant demographic or neuropsychological performance differences were found for those taking either version of the RIST.\n            \n            \n              Results\n              Unlike the original version, RIST-2 Total and subtest scores were well below the mean for the DAT group and over 1 SD mean difference was seen for the DAT group when comparing the RIST and RIST-2 Totals. Diagnostic accuracy calculations suggested that the RIST-2 showed greater discrimination between the three groups although both versions achieved greater sensitivity than specificity.\n            \n            \n              Conclusions\n              Performance differences were evident when comparing the RIST and RIST-2, particularly for the DAT group. Although the RIST-2 evidenced greater diagnostic accuracy than its predecessor it should not be utilized in isolation for the clinical determination of DAT or MCI.","container-title":"Archives of Clinical Neuropsychology","DOI":"10.1093/arclin/acaa064","ISSN":"1873-5843","issue":"4","language":"en","license":"https://academic.oup.com/journals/pages/open_access/funder_policies/chorus/standard_publication_model","page":"570-577","source":"DOI.org (Crossref)","title":"Reynolds Intellectual Screening Instrument 1st versus 2nd Edition in a Memory Disorder Sample","volume":"36","author":[{"family":"Ruchinskas","given":"Robert"},{"family":"Goette","given":"William"}],"issued":{"date-parts":[["2021",5,21]]}}}],"schema":"https://github.com/citation-style-language/schema/raw/master/csl-citation.json"} </w:instrText>
            </w:r>
            <w:r>
              <w:rPr>
                <w:rFonts w:ascii="Calibri" w:eastAsia="Calibri" w:hAnsi="Calibri" w:cs="Calibri"/>
              </w:rPr>
              <w:fldChar w:fldCharType="separate"/>
            </w:r>
            <w:r w:rsidRPr="00E87D71">
              <w:rPr>
                <w:rFonts w:ascii="Calibri" w:hAnsi="Calibri" w:cs="Calibri"/>
              </w:rPr>
              <w:t>(19)</w:t>
            </w:r>
            <w:r>
              <w:rPr>
                <w:rFonts w:ascii="Calibri" w:eastAsia="Calibri" w:hAnsi="Calibri" w:cs="Calibri"/>
              </w:rPr>
              <w:fldChar w:fldCharType="end"/>
            </w:r>
          </w:p>
        </w:tc>
        <w:tc>
          <w:tcPr>
            <w:tcW w:w="1985" w:type="dxa"/>
          </w:tcPr>
          <w:p w14:paraId="38C51EBE"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7D393A35"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601" w:type="dxa"/>
          </w:tcPr>
          <w:p w14:paraId="177B05A2"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6593CD6C"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723CA390" w14:textId="77777777" w:rsidR="0078341B" w:rsidRDefault="0078341B" w:rsidP="00EA0E24">
            <w:pPr>
              <w:rPr>
                <w:rFonts w:ascii="Calibri" w:eastAsia="Calibri" w:hAnsi="Calibri" w:cs="Calibri"/>
                <w:b/>
                <w:bCs/>
              </w:rPr>
            </w:pPr>
            <w:r w:rsidRPr="542899F4">
              <w:rPr>
                <w:rFonts w:ascii="Calibri" w:eastAsia="Calibri" w:hAnsi="Calibri" w:cs="Calibri"/>
                <w:b/>
                <w:bCs/>
              </w:rPr>
              <w:t>High</w:t>
            </w:r>
          </w:p>
        </w:tc>
      </w:tr>
      <w:tr w:rsidR="0078341B" w14:paraId="5EBD9A28" w14:textId="77777777" w:rsidTr="00EA0E24">
        <w:trPr>
          <w:trHeight w:val="300"/>
        </w:trPr>
        <w:tc>
          <w:tcPr>
            <w:tcW w:w="3529" w:type="dxa"/>
          </w:tcPr>
          <w:p w14:paraId="2B7E99FF" w14:textId="77777777" w:rsidR="0078341B" w:rsidRDefault="0078341B" w:rsidP="00EA0E24">
            <w:pPr>
              <w:rPr>
                <w:rFonts w:ascii="Calibri" w:eastAsia="Calibri" w:hAnsi="Calibri" w:cs="Calibri"/>
              </w:rPr>
            </w:pPr>
            <w:r w:rsidRPr="542899F4">
              <w:rPr>
                <w:rFonts w:ascii="Calibri" w:eastAsia="Calibri" w:hAnsi="Calibri" w:cs="Calibri"/>
              </w:rPr>
              <w:t>Xu et al., 2020</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{"citationID":"iG1LDUCQ","properties":{"formattedCitation":"(20)","plainCitation":"(20)","noteIndex":0},"citationItems":[{"id":35,"uris":["http://zotero.org/groups/6084669/items/3UZGMRIL"],"itemData":{"id":35,"type":"article-journal","container-title":"Frontiers in Psychology","DOI":"10.3389/fpsyg.2020.00558","ISSN":"1664-1078","journalAbbreviation":"Front. Psychol.","page":"558","source":"DOI.org (Crossref)","title":"Screening for Cognitive Frailty Using Short Cognitive Screening Instruments: Comparison of the Chinese Versions of the MoCA and Qmci Screen","title-short":"Screening for Cognitive Frailty Using Short Cognitive Screening Instruments","volume":"11","author":[{"family":"Xu","given":"Yangfan"},{"family":"Lin","given":"Yangyang"},{"family":"Yi","given":"Lingrong"},{"family":"Li","given":"Zhao"},{"family":"Li","given":"Xian"},{"family":"Yu","given":"Yuying"},{"family":"Guo","given":"Yuxiao"},{"family":"Wang","given":"Yuling"},{"family":"Jiang","given":"Haoying"},{"family":"Chen","given":"Zhuoming"},{"family":"Svendrovski","given":"Anton"},{"family":"Gao","given":"Yang"},{"family":"Molloy","given":"D. William"},{"family":"O’Caoimh","given":"Rónán"}],"issued":{"date-parts":[["2020",4,3]]}}}],"schema":"https://github.com/citation-style-language/schema/raw/master/csl-citation.json"} </w:instrText>
            </w:r>
            <w:r>
              <w:rPr>
                <w:rFonts w:ascii="Calibri" w:eastAsia="Calibri" w:hAnsi="Calibri" w:cs="Calibri"/>
              </w:rPr>
              <w:fldChar w:fldCharType="separate"/>
            </w:r>
            <w:r w:rsidRPr="00E87D71">
              <w:rPr>
                <w:rFonts w:ascii="Calibri" w:hAnsi="Calibri" w:cs="Calibri"/>
              </w:rPr>
              <w:t>(20)</w:t>
            </w:r>
            <w:r>
              <w:rPr>
                <w:rFonts w:ascii="Calibri" w:eastAsia="Calibri" w:hAnsi="Calibri" w:cs="Calibri"/>
              </w:rPr>
              <w:fldChar w:fldCharType="end"/>
            </w:r>
          </w:p>
        </w:tc>
        <w:tc>
          <w:tcPr>
            <w:tcW w:w="1985" w:type="dxa"/>
          </w:tcPr>
          <w:p w14:paraId="32E6887B" w14:textId="77777777" w:rsidR="0078341B" w:rsidRDefault="0078341B" w:rsidP="00EA0E24">
            <w:pPr>
              <w:rPr>
                <w:rFonts w:ascii="Calibri" w:eastAsia="Calibri" w:hAnsi="Calibri" w:cs="Calibri"/>
              </w:rPr>
            </w:pPr>
            <w:r w:rsidRPr="542899F4">
              <w:rPr>
                <w:rFonts w:ascii="Calibri" w:eastAsia="Calibri" w:hAnsi="Calibri" w:cs="Calibri"/>
              </w:rPr>
              <w:t>Yes</w:t>
            </w:r>
          </w:p>
        </w:tc>
        <w:tc>
          <w:tcPr>
            <w:tcW w:w="3969" w:type="dxa"/>
          </w:tcPr>
          <w:p w14:paraId="510E9D0A" w14:textId="77777777" w:rsidR="0078341B" w:rsidRDefault="0078341B" w:rsidP="00EA0E24">
            <w:pPr>
              <w:rPr>
                <w:rFonts w:ascii="Calibri" w:eastAsia="Calibri" w:hAnsi="Calibri" w:cs="Calibri"/>
              </w:rPr>
            </w:pPr>
            <w:r w:rsidRPr="542899F4">
              <w:rPr>
                <w:rFonts w:ascii="Calibri" w:eastAsia="Calibri" w:hAnsi="Calibri" w:cs="Calibri"/>
              </w:rPr>
              <w:t>Unclear risk</w:t>
            </w:r>
          </w:p>
        </w:tc>
        <w:tc>
          <w:tcPr>
            <w:tcW w:w="2601" w:type="dxa"/>
          </w:tcPr>
          <w:p w14:paraId="38AB77FA"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2190" w:type="dxa"/>
          </w:tcPr>
          <w:p w14:paraId="25268884"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524FE97F" w14:textId="77777777" w:rsidR="0078341B" w:rsidRPr="5EEE487B" w:rsidRDefault="0078341B" w:rsidP="00EA0E24">
            <w:pPr>
              <w:rPr>
                <w:rFonts w:ascii="Calibri" w:eastAsia="Calibri" w:hAnsi="Calibri" w:cs="Calibri"/>
                <w:b/>
                <w:bCs/>
              </w:rPr>
            </w:pPr>
            <w:r w:rsidRPr="542899F4">
              <w:rPr>
                <w:rFonts w:ascii="Calibri" w:eastAsia="Calibri" w:hAnsi="Calibri" w:cs="Calibri"/>
                <w:b/>
                <w:bCs/>
              </w:rPr>
              <w:t>Moderate</w:t>
            </w:r>
          </w:p>
        </w:tc>
      </w:tr>
      <w:tr w:rsidR="0078341B" w14:paraId="6378DD72" w14:textId="77777777" w:rsidTr="00EA0E24">
        <w:trPr>
          <w:trHeight w:val="300"/>
        </w:trPr>
        <w:tc>
          <w:tcPr>
            <w:tcW w:w="3529" w:type="dxa"/>
          </w:tcPr>
          <w:p w14:paraId="2ACFD563" w14:textId="77777777" w:rsidR="0078341B" w:rsidRDefault="0078341B" w:rsidP="00EA0E24">
            <w:pPr>
              <w:rPr>
                <w:rFonts w:ascii="Calibri" w:eastAsia="Calibri" w:hAnsi="Calibri" w:cs="Calibri"/>
              </w:rPr>
            </w:pPr>
            <w:r w:rsidRPr="542899F4">
              <w:rPr>
                <w:rFonts w:ascii="Calibri" w:eastAsia="Calibri" w:hAnsi="Calibri" w:cs="Calibri"/>
              </w:rPr>
              <w:t>Yavuz Veizi et al., 2025</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ZOTERO_ITEM CSL_CITATION {"citationID":"qh4EMLqp","properties":{"formattedCitation":"(21)","plainCitation":"(21)","noteIndex":0},"citationItems":[{"id":33,"uris":["http://zotero.org/groups/6084669/items/GYFCLQVL"],"itemData":{"id":33,"type":"article-journal","abstract":"Background\n              Subjective memory complaints (SMC) are common in older adults and may indicate an increased risk of cognitive decline. Polypharmacy and anticholinergic burden have been associated with cognitive impairment, but their specific contribution to SMC remains unclear. The aim of this study was to investigate the association between polypharmacy, anticholinergic burden and SMC in community-dwelling older adults.\n            \n            \n              Methods\n              This cross-sectional study included 652 participants aged 65 years and older from geriatric outpatient clinics. SMC was assessed via a structured clinician-administered question, and cognitive function was evaluated using the Mini-Mental State Examination (MMSE). Polypharmacy was defined as the concomitant use of five or more medications, while anticholinergic burden was determined using the Anticholinergic Burden Classification (ABC). Logistic regression models were used to examine the independent effects of polypharmacy and anticholinergic burden on SMC, adjusting for demographic variables, comorbidities and depressive symptoms.\n            \n            \n              Results\n              \n                SMC was reported by 48% of participants. Polypharmacy (OR = 2.10, 95% CI: 1.43-3.08,\n                P\n                &lt; 0.001) and higher anticholinergic burden (OR = 2.39, 95% CI: 1.72-3.32,\n                P\n                &lt; 0.001) were independently associated with increased SMC. Chronic obstructive pulmonary disease (COPD) was also identified as a significant predictor (OR = 2.90, 95% CI: 1.41-5.98,\n                P\n                = 0.004).\n              \n            \n            \n              Conclusion\n              Polypharmacy and anticholinergic burden are significant risk factors for SMC in older adults. Reducing unnecessary medication use and minimizing anticholinergic burden may help to alleviate cognitive complaints. Future longitudinal studies are needed to determine causal relationships and possible interventions.","container-title":"Journal of Geriatric Psychiatry and Neurology","DOI":"10.1177/08919887251339837","ISSN":"0891-9887, 1552-5708","journalAbbreviation":"J Geriatr Psychiatry Neurol","language":"en","page":"08919887251339837","source":"DOI.org (Crossref)","title":"Subjective Memory Complaints in Older Adults: The Role of Polypharmacy and Anticholinergic Burden","title-short":"Subjective Memory Complaints in Older Adults","author":[{"family":"Yavuz Veizi","given":"Betül Gülsüm"},{"family":"Oğuz","given":"Ekin Oktay"},{"family":"Ilkin Naharci","given":"Mehmet"}],"issued":{"date-parts":[["2025",5]]}}}],"schema":"https://github.com/citation-style-language/schema/raw/master/csl-citation.json"} </w:instrText>
            </w:r>
            <w:r>
              <w:rPr>
                <w:rFonts w:ascii="Calibri" w:eastAsia="Calibri" w:hAnsi="Calibri" w:cs="Calibri"/>
              </w:rPr>
              <w:fldChar w:fldCharType="separate"/>
            </w:r>
            <w:r w:rsidRPr="00E87D71">
              <w:rPr>
                <w:rFonts w:ascii="Calibri" w:hAnsi="Calibri" w:cs="Calibri"/>
              </w:rPr>
              <w:t>(21)</w:t>
            </w:r>
            <w:r>
              <w:rPr>
                <w:rFonts w:ascii="Calibri" w:eastAsia="Calibri" w:hAnsi="Calibri" w:cs="Calibri"/>
              </w:rPr>
              <w:fldChar w:fldCharType="end"/>
            </w:r>
          </w:p>
        </w:tc>
        <w:tc>
          <w:tcPr>
            <w:tcW w:w="1985" w:type="dxa"/>
          </w:tcPr>
          <w:p w14:paraId="0239FD2D" w14:textId="77777777" w:rsidR="0078341B" w:rsidRDefault="0078341B" w:rsidP="00EA0E24">
            <w:pPr>
              <w:rPr>
                <w:rFonts w:ascii="Calibri" w:eastAsia="Calibri" w:hAnsi="Calibri" w:cs="Calibri"/>
              </w:rPr>
            </w:pPr>
            <w:r w:rsidRPr="542899F4">
              <w:rPr>
                <w:rFonts w:ascii="Calibri" w:eastAsia="Calibri" w:hAnsi="Calibri" w:cs="Calibri"/>
              </w:rPr>
              <w:t xml:space="preserve">Yes </w:t>
            </w:r>
          </w:p>
        </w:tc>
        <w:tc>
          <w:tcPr>
            <w:tcW w:w="3969" w:type="dxa"/>
          </w:tcPr>
          <w:p w14:paraId="05B26265" w14:textId="77777777" w:rsidR="0078341B" w:rsidRDefault="0078341B" w:rsidP="00EA0E24">
            <w:pPr>
              <w:rPr>
                <w:rFonts w:ascii="Calibri" w:eastAsia="Calibri" w:hAnsi="Calibri" w:cs="Calibri"/>
              </w:rPr>
            </w:pPr>
            <w:r w:rsidRPr="542899F4">
              <w:rPr>
                <w:rFonts w:ascii="Calibri" w:eastAsia="Calibri" w:hAnsi="Calibri" w:cs="Calibri"/>
              </w:rPr>
              <w:t xml:space="preserve">Low risk </w:t>
            </w:r>
          </w:p>
        </w:tc>
        <w:tc>
          <w:tcPr>
            <w:tcW w:w="2601" w:type="dxa"/>
          </w:tcPr>
          <w:p w14:paraId="27757544" w14:textId="77777777" w:rsidR="0078341B" w:rsidRDefault="0078341B" w:rsidP="00EA0E24">
            <w:pPr>
              <w:rPr>
                <w:rFonts w:ascii="Calibri" w:eastAsia="Calibri" w:hAnsi="Calibri" w:cs="Calibri"/>
              </w:rPr>
            </w:pPr>
            <w:r w:rsidRPr="542899F4">
              <w:rPr>
                <w:rFonts w:ascii="Calibri" w:eastAsia="Calibri" w:hAnsi="Calibri" w:cs="Calibri"/>
              </w:rPr>
              <w:t xml:space="preserve">Unclear risk </w:t>
            </w:r>
          </w:p>
        </w:tc>
        <w:tc>
          <w:tcPr>
            <w:tcW w:w="2190" w:type="dxa"/>
          </w:tcPr>
          <w:p w14:paraId="6020817E" w14:textId="77777777" w:rsidR="0078341B" w:rsidRDefault="0078341B" w:rsidP="00EA0E24">
            <w:pPr>
              <w:rPr>
                <w:rFonts w:ascii="Calibri" w:eastAsia="Calibri" w:hAnsi="Calibri" w:cs="Calibri"/>
              </w:rPr>
            </w:pPr>
            <w:r w:rsidRPr="542899F4">
              <w:rPr>
                <w:rFonts w:ascii="Calibri" w:eastAsia="Calibri" w:hAnsi="Calibri" w:cs="Calibri"/>
              </w:rPr>
              <w:t>Low risk</w:t>
            </w:r>
          </w:p>
        </w:tc>
        <w:tc>
          <w:tcPr>
            <w:tcW w:w="1223" w:type="dxa"/>
          </w:tcPr>
          <w:p w14:paraId="5A149A86" w14:textId="77777777" w:rsidR="0078341B" w:rsidRPr="5EEE487B" w:rsidRDefault="0078341B" w:rsidP="00EA0E24">
            <w:pPr>
              <w:rPr>
                <w:rFonts w:ascii="Calibri" w:eastAsia="Calibri" w:hAnsi="Calibri" w:cs="Calibri"/>
                <w:b/>
                <w:bCs/>
              </w:rPr>
            </w:pPr>
            <w:r w:rsidRPr="542899F4">
              <w:rPr>
                <w:rFonts w:ascii="Calibri" w:eastAsia="Calibri" w:hAnsi="Calibri" w:cs="Calibri"/>
                <w:b/>
                <w:bCs/>
              </w:rPr>
              <w:t>Moderate</w:t>
            </w:r>
          </w:p>
        </w:tc>
      </w:tr>
    </w:tbl>
    <w:p w14:paraId="5EEF5954" w14:textId="36ADC541" w:rsidR="00E268AC" w:rsidRPr="0078341B" w:rsidRDefault="0078341B" w:rsidP="0078341B">
      <w:pPr>
        <w:rPr>
          <w:rFonts w:ascii="Calibri" w:eastAsia="Calibri" w:hAnsi="Calibri" w:cs="Calibri"/>
        </w:rPr>
        <w:sectPr w:rsidR="00E268AC" w:rsidRPr="0078341B" w:rsidSect="00AB10E9">
          <w:pgSz w:w="16834" w:h="11909" w:orient="landscape"/>
          <w:pgMar w:top="720" w:right="720" w:bottom="720" w:left="720" w:header="720" w:footer="720" w:gutter="0"/>
          <w:cols w:space="720"/>
          <w:docGrid w:linePitch="299"/>
        </w:sectPr>
      </w:pPr>
      <w:r w:rsidRPr="542899F4">
        <w:rPr>
          <w:rFonts w:ascii="Calibri" w:eastAsia="Calibri" w:hAnsi="Calibri" w:cs="Calibri"/>
          <w:i/>
          <w:iCs/>
        </w:rPr>
        <w:t xml:space="preserve">Note. </w:t>
      </w:r>
      <w:proofErr w:type="spellStart"/>
      <w:r w:rsidRPr="542899F4">
        <w:rPr>
          <w:rFonts w:ascii="Calibri" w:eastAsia="Calibri" w:hAnsi="Calibri" w:cs="Calibri"/>
        </w:rPr>
        <w:t>RoB</w:t>
      </w:r>
      <w:proofErr w:type="spellEnd"/>
      <w:r w:rsidRPr="542899F4">
        <w:rPr>
          <w:rFonts w:ascii="Calibri" w:eastAsia="Calibri" w:hAnsi="Calibri" w:cs="Calibri"/>
        </w:rPr>
        <w:t xml:space="preserve"> = risk of bias.</w:t>
      </w:r>
      <w:r w:rsidRPr="542899F4">
        <w:rPr>
          <w:rFonts w:ascii="Calibri" w:eastAsia="Calibri" w:hAnsi="Calibri" w:cs="Calibri"/>
          <w:i/>
          <w:iCs/>
        </w:rPr>
        <w:t xml:space="preserve"> </w:t>
      </w:r>
      <w:r w:rsidRPr="542899F4">
        <w:rPr>
          <w:rFonts w:ascii="Calibri" w:eastAsia="Calibri" w:hAnsi="Calibri" w:cs="Calibri"/>
        </w:rPr>
        <w:t xml:space="preserve">Overall ratings were “high” if low risk was found across all three </w:t>
      </w:r>
      <w:proofErr w:type="spellStart"/>
      <w:r w:rsidRPr="542899F4">
        <w:rPr>
          <w:rFonts w:ascii="Calibri" w:eastAsia="Calibri" w:hAnsi="Calibri" w:cs="Calibri"/>
        </w:rPr>
        <w:t>RoB</w:t>
      </w:r>
      <w:proofErr w:type="spellEnd"/>
      <w:r w:rsidRPr="542899F4">
        <w:rPr>
          <w:rFonts w:ascii="Calibri" w:eastAsia="Calibri" w:hAnsi="Calibri" w:cs="Calibri"/>
        </w:rPr>
        <w:t xml:space="preserve"> questions, and “moderate” if unclear risk was found across any of the three </w:t>
      </w:r>
      <w:proofErr w:type="spellStart"/>
      <w:r w:rsidRPr="542899F4">
        <w:rPr>
          <w:rFonts w:ascii="Calibri" w:eastAsia="Calibri" w:hAnsi="Calibri" w:cs="Calibri"/>
        </w:rPr>
        <w:t>RoB</w:t>
      </w:r>
      <w:proofErr w:type="spellEnd"/>
      <w:r w:rsidRPr="542899F4">
        <w:rPr>
          <w:rFonts w:ascii="Calibri" w:eastAsia="Calibri" w:hAnsi="Calibri" w:cs="Calibri"/>
        </w:rPr>
        <w:t xml:space="preserve"> questions.</w:t>
      </w:r>
    </w:p>
    <w:p w14:paraId="0A5E86B1" w14:textId="7A8578D6" w:rsidR="00CF5E80" w:rsidRPr="00E1165B" w:rsidRDefault="1CEEEB62" w:rsidP="00E1165B">
      <w:pPr>
        <w:rPr>
          <w:rFonts w:ascii="Calibri" w:hAnsi="Calibri" w:cs="Calibri"/>
          <w:b/>
          <w:bCs/>
        </w:rPr>
      </w:pPr>
      <w:bookmarkStart w:id="5" w:name="_Toc214541302"/>
      <w:r w:rsidRPr="00E1165B">
        <w:rPr>
          <w:rStyle w:val="Heading1Char"/>
          <w:rFonts w:ascii="Calibri" w:hAnsi="Calibri" w:cs="Calibri"/>
          <w:b/>
          <w:bCs/>
          <w:color w:val="auto"/>
          <w:sz w:val="22"/>
          <w:szCs w:val="22"/>
        </w:rPr>
        <w:lastRenderedPageBreak/>
        <w:t xml:space="preserve">Figure </w:t>
      </w:r>
      <w:r w:rsidR="0078341B">
        <w:rPr>
          <w:rStyle w:val="Heading1Char"/>
          <w:rFonts w:ascii="Calibri" w:hAnsi="Calibri" w:cs="Calibri"/>
          <w:b/>
          <w:bCs/>
          <w:color w:val="auto"/>
          <w:sz w:val="22"/>
          <w:szCs w:val="22"/>
        </w:rPr>
        <w:t>1</w:t>
      </w:r>
      <w:r w:rsidRPr="00E1165B">
        <w:rPr>
          <w:rStyle w:val="Heading1Char"/>
          <w:rFonts w:ascii="Calibri" w:hAnsi="Calibri" w:cs="Calibri"/>
          <w:b/>
          <w:bCs/>
          <w:color w:val="auto"/>
          <w:sz w:val="22"/>
          <w:szCs w:val="22"/>
        </w:rPr>
        <w:t>S. Funnel plot of publication bias.</w:t>
      </w:r>
      <w:bookmarkEnd w:id="5"/>
      <w:r w:rsidR="00CF5E80" w:rsidRPr="00E1165B">
        <w:rPr>
          <w:rFonts w:ascii="Calibri" w:hAnsi="Calibri" w:cs="Calibri"/>
          <w:b/>
          <w:bCs/>
        </w:rPr>
        <w:t xml:space="preserve"> </w:t>
      </w:r>
      <w:r w:rsidR="00123975">
        <w:rPr>
          <w:rFonts w:ascii="Calibri" w:hAnsi="Calibri" w:cs="Calibri"/>
          <w:b/>
          <w:bCs/>
          <w:i/>
          <w:iCs/>
        </w:rPr>
        <w:t>k</w:t>
      </w:r>
      <w:r w:rsidR="00CF5E80" w:rsidRPr="00E1165B">
        <w:rPr>
          <w:rFonts w:ascii="Calibri" w:hAnsi="Calibri" w:cs="Calibri"/>
          <w:b/>
          <w:bCs/>
        </w:rPr>
        <w:t>=21 studies.</w:t>
      </w:r>
    </w:p>
    <w:p w14:paraId="46FBED70" w14:textId="021057F2" w:rsidR="00EA26A0" w:rsidRPr="00EA26A0" w:rsidRDefault="00EA26A0" w:rsidP="00EA26A0">
      <w:pPr>
        <w:spacing w:after="6"/>
      </w:pPr>
      <w:r w:rsidRPr="00EA26A0">
        <w:rPr>
          <w:noProof/>
        </w:rPr>
        <w:drawing>
          <wp:inline distT="0" distB="0" distL="0" distR="0" wp14:anchorId="49B52FEA" wp14:editId="62F27743">
            <wp:extent cx="5731510" cy="3439160"/>
            <wp:effectExtent l="0" t="0" r="2540" b="8890"/>
            <wp:docPr id="426102554" name="Picture 2" descr="A graph of funnel pl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102554" name="Picture 2" descr="A graph of funnel plot&#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439160"/>
                    </a:xfrm>
                    <a:prstGeom prst="rect">
                      <a:avLst/>
                    </a:prstGeom>
                    <a:noFill/>
                    <a:ln>
                      <a:noFill/>
                    </a:ln>
                  </pic:spPr>
                </pic:pic>
              </a:graphicData>
            </a:graphic>
          </wp:inline>
        </w:drawing>
      </w:r>
    </w:p>
    <w:p w14:paraId="54F9376D" w14:textId="6154C7D6" w:rsidR="00B65642" w:rsidRDefault="1CEEEB62" w:rsidP="00B22821">
      <w:pPr>
        <w:spacing w:after="6"/>
        <w:rPr>
          <w:rFonts w:asciiTheme="majorHAnsi" w:eastAsiaTheme="majorEastAsia" w:hAnsiTheme="majorHAnsi" w:cstheme="majorBidi"/>
        </w:rPr>
      </w:pPr>
      <w:r w:rsidRPr="542899F4">
        <w:rPr>
          <w:rFonts w:asciiTheme="majorHAnsi" w:eastAsiaTheme="majorEastAsia" w:hAnsiTheme="majorHAnsi" w:cstheme="majorBidi"/>
          <w:i/>
          <w:iCs/>
        </w:rPr>
        <w:t xml:space="preserve">Note. </w:t>
      </w:r>
      <w:r w:rsidRPr="542899F4">
        <w:rPr>
          <w:rFonts w:asciiTheme="majorHAnsi" w:eastAsiaTheme="majorEastAsia" w:hAnsiTheme="majorHAnsi" w:cstheme="majorBidi"/>
        </w:rPr>
        <w:t>CI = confidence interval. This figure is based on the prevalence estimates (Freeman-Tukey's p) of SCD and FCD combined.</w:t>
      </w:r>
    </w:p>
    <w:p w14:paraId="4B46CD1B" w14:textId="77777777" w:rsidR="00063116" w:rsidRDefault="00063116" w:rsidP="00B22821">
      <w:pPr>
        <w:spacing w:after="6"/>
        <w:rPr>
          <w:rFonts w:asciiTheme="majorHAnsi" w:eastAsiaTheme="majorEastAsia" w:hAnsiTheme="majorHAnsi" w:cstheme="majorBidi"/>
        </w:rPr>
      </w:pPr>
    </w:p>
    <w:p w14:paraId="4494F5FC" w14:textId="77777777" w:rsidR="00063116" w:rsidRDefault="00063116" w:rsidP="00B22821">
      <w:pPr>
        <w:spacing w:after="6"/>
        <w:rPr>
          <w:rFonts w:asciiTheme="majorHAnsi" w:eastAsiaTheme="majorEastAsia" w:hAnsiTheme="majorHAnsi" w:cstheme="majorBidi"/>
        </w:rPr>
      </w:pPr>
    </w:p>
    <w:p w14:paraId="5D971029" w14:textId="77777777" w:rsidR="00E74EED" w:rsidRDefault="00E74EED" w:rsidP="00B22821">
      <w:pPr>
        <w:spacing w:after="6"/>
        <w:rPr>
          <w:rFonts w:asciiTheme="majorHAnsi" w:eastAsiaTheme="majorEastAsia" w:hAnsiTheme="majorHAnsi" w:cstheme="majorBidi"/>
        </w:rPr>
      </w:pPr>
    </w:p>
    <w:p w14:paraId="592BB1E3" w14:textId="6F233E8A" w:rsidR="00E74EED" w:rsidRPr="00E1165B" w:rsidRDefault="00E74EED" w:rsidP="00E74EED">
      <w:pPr>
        <w:rPr>
          <w:rFonts w:ascii="Calibri" w:hAnsi="Calibri" w:cs="Calibri"/>
          <w:b/>
          <w:bCs/>
          <w:lang w:eastAsia="en-US"/>
        </w:rPr>
      </w:pPr>
      <w:bookmarkStart w:id="6" w:name="_Toc214541303"/>
      <w:r w:rsidRPr="00E1165B">
        <w:rPr>
          <w:rStyle w:val="Heading1Char"/>
          <w:rFonts w:ascii="Calibri" w:hAnsi="Calibri" w:cs="Calibri"/>
          <w:b/>
          <w:bCs/>
          <w:color w:val="auto"/>
          <w:sz w:val="22"/>
          <w:szCs w:val="22"/>
        </w:rPr>
        <w:t xml:space="preserve">Table </w:t>
      </w:r>
      <w:r w:rsidR="0078341B">
        <w:rPr>
          <w:rStyle w:val="Heading1Char"/>
          <w:rFonts w:ascii="Calibri" w:hAnsi="Calibri" w:cs="Calibri"/>
          <w:b/>
          <w:bCs/>
          <w:color w:val="auto"/>
          <w:sz w:val="22"/>
          <w:szCs w:val="22"/>
        </w:rPr>
        <w:t>6</w:t>
      </w:r>
      <w:r w:rsidRPr="00E1165B">
        <w:rPr>
          <w:rStyle w:val="Heading1Char"/>
          <w:rFonts w:ascii="Calibri" w:hAnsi="Calibri" w:cs="Calibri"/>
          <w:b/>
          <w:bCs/>
          <w:color w:val="auto"/>
          <w:sz w:val="22"/>
          <w:szCs w:val="22"/>
        </w:rPr>
        <w:t xml:space="preserve">S: Matrix of terms and methods used to define the </w:t>
      </w:r>
      <w:r>
        <w:rPr>
          <w:rStyle w:val="Heading1Char"/>
          <w:rFonts w:ascii="Calibri" w:hAnsi="Calibri" w:cs="Calibri"/>
          <w:b/>
          <w:bCs/>
          <w:color w:val="auto"/>
          <w:sz w:val="22"/>
          <w:szCs w:val="22"/>
        </w:rPr>
        <w:t>groups</w:t>
      </w:r>
      <w:r w:rsidRPr="00E1165B">
        <w:rPr>
          <w:rStyle w:val="Heading1Char"/>
          <w:rFonts w:ascii="Calibri" w:hAnsi="Calibri" w:cs="Calibri"/>
          <w:b/>
          <w:bCs/>
          <w:color w:val="auto"/>
          <w:sz w:val="22"/>
          <w:szCs w:val="22"/>
        </w:rPr>
        <w:t xml:space="preserve"> of</w:t>
      </w:r>
      <w:r>
        <w:rPr>
          <w:rStyle w:val="Heading1Char"/>
          <w:rFonts w:ascii="Calibri" w:hAnsi="Calibri" w:cs="Calibri"/>
          <w:b/>
          <w:bCs/>
          <w:color w:val="auto"/>
          <w:sz w:val="22"/>
          <w:szCs w:val="22"/>
        </w:rPr>
        <w:t xml:space="preserve"> people with</w:t>
      </w:r>
      <w:r w:rsidRPr="00E1165B">
        <w:rPr>
          <w:rStyle w:val="Heading1Char"/>
          <w:rFonts w:ascii="Calibri" w:hAnsi="Calibri" w:cs="Calibri"/>
          <w:b/>
          <w:bCs/>
          <w:color w:val="auto"/>
          <w:sz w:val="22"/>
          <w:szCs w:val="22"/>
        </w:rPr>
        <w:t xml:space="preserve"> subjective </w:t>
      </w:r>
      <w:r>
        <w:rPr>
          <w:rStyle w:val="Heading1Char"/>
          <w:rFonts w:ascii="Calibri" w:hAnsi="Calibri" w:cs="Calibri"/>
          <w:b/>
          <w:bCs/>
          <w:color w:val="auto"/>
          <w:sz w:val="22"/>
          <w:szCs w:val="22"/>
        </w:rPr>
        <w:t xml:space="preserve">or functional </w:t>
      </w:r>
      <w:r w:rsidRPr="00E1165B">
        <w:rPr>
          <w:rStyle w:val="Heading1Char"/>
          <w:rFonts w:ascii="Calibri" w:hAnsi="Calibri" w:cs="Calibri"/>
          <w:b/>
          <w:bCs/>
          <w:color w:val="auto"/>
          <w:sz w:val="22"/>
          <w:szCs w:val="22"/>
        </w:rPr>
        <w:t>cognitive symptoms.</w:t>
      </w:r>
      <w:bookmarkEnd w:id="6"/>
      <w:r w:rsidRPr="00E1165B">
        <w:rPr>
          <w:rFonts w:ascii="Calibri" w:hAnsi="Calibri" w:cs="Calibri"/>
          <w:b/>
          <w:bCs/>
        </w:rPr>
        <w:t xml:space="preserve"> </w:t>
      </w:r>
      <w:r w:rsidR="00123975">
        <w:rPr>
          <w:rFonts w:ascii="Calibri" w:hAnsi="Calibri" w:cs="Calibri"/>
          <w:b/>
          <w:bCs/>
          <w:i/>
          <w:iCs/>
        </w:rPr>
        <w:t>k</w:t>
      </w:r>
      <w:r w:rsidRPr="00E1165B">
        <w:rPr>
          <w:rFonts w:ascii="Calibri" w:hAnsi="Calibri" w:cs="Calibri"/>
          <w:b/>
          <w:bCs/>
        </w:rPr>
        <w:t>=21 studies</w:t>
      </w:r>
    </w:p>
    <w:tbl>
      <w:tblPr>
        <w:tblStyle w:val="TableGrid"/>
        <w:tblW w:w="0" w:type="auto"/>
        <w:tblLook w:val="06A0" w:firstRow="1" w:lastRow="0" w:firstColumn="1" w:lastColumn="0" w:noHBand="1" w:noVBand="1"/>
      </w:tblPr>
      <w:tblGrid>
        <w:gridCol w:w="3701"/>
        <w:gridCol w:w="927"/>
        <w:gridCol w:w="927"/>
        <w:gridCol w:w="927"/>
        <w:gridCol w:w="872"/>
        <w:gridCol w:w="822"/>
        <w:gridCol w:w="822"/>
      </w:tblGrid>
      <w:tr w:rsidR="00E74EED" w14:paraId="7CA99B05" w14:textId="77777777" w:rsidTr="00A35448">
        <w:trPr>
          <w:trHeight w:val="300"/>
        </w:trPr>
        <w:tc>
          <w:tcPr>
            <w:tcW w:w="3701" w:type="dxa"/>
            <w:vMerge w:val="restart"/>
          </w:tcPr>
          <w:p w14:paraId="7C543245" w14:textId="77777777" w:rsidR="00E74EED" w:rsidRDefault="00E74EED" w:rsidP="00A35448">
            <w:pPr>
              <w:rPr>
                <w:rFonts w:ascii="Calibri" w:eastAsia="Calibri" w:hAnsi="Calibri" w:cs="Calibri"/>
                <w:b/>
                <w:bCs/>
              </w:rPr>
            </w:pPr>
            <w:r w:rsidRPr="542899F4">
              <w:rPr>
                <w:rFonts w:ascii="Calibri" w:eastAsia="Calibri" w:hAnsi="Calibri" w:cs="Calibri"/>
                <w:b/>
                <w:bCs/>
              </w:rPr>
              <w:t>How the group was defined</w:t>
            </w:r>
          </w:p>
        </w:tc>
        <w:tc>
          <w:tcPr>
            <w:tcW w:w="5297" w:type="dxa"/>
            <w:gridSpan w:val="6"/>
          </w:tcPr>
          <w:p w14:paraId="451974FB" w14:textId="77777777" w:rsidR="00E74EED" w:rsidRDefault="00E74EED" w:rsidP="00A35448">
            <w:pPr>
              <w:jc w:val="center"/>
              <w:rPr>
                <w:rFonts w:ascii="Calibri" w:eastAsia="Calibri" w:hAnsi="Calibri" w:cs="Calibri"/>
                <w:b/>
                <w:bCs/>
              </w:rPr>
            </w:pPr>
            <w:r w:rsidRPr="542899F4">
              <w:rPr>
                <w:rFonts w:ascii="Calibri" w:eastAsia="Calibri" w:hAnsi="Calibri" w:cs="Calibri"/>
                <w:b/>
                <w:bCs/>
              </w:rPr>
              <w:t>Term used</w:t>
            </w:r>
          </w:p>
        </w:tc>
      </w:tr>
      <w:tr w:rsidR="00E74EED" w14:paraId="74781C60" w14:textId="77777777" w:rsidTr="00A35448">
        <w:trPr>
          <w:trHeight w:val="300"/>
        </w:trPr>
        <w:tc>
          <w:tcPr>
            <w:tcW w:w="3701" w:type="dxa"/>
            <w:vMerge/>
          </w:tcPr>
          <w:p w14:paraId="11AD06DB" w14:textId="77777777" w:rsidR="00E74EED" w:rsidRDefault="00E74EED" w:rsidP="00A35448"/>
        </w:tc>
        <w:tc>
          <w:tcPr>
            <w:tcW w:w="3653" w:type="dxa"/>
            <w:gridSpan w:val="4"/>
          </w:tcPr>
          <w:p w14:paraId="35ECB2BC" w14:textId="77777777" w:rsidR="00E74EED" w:rsidRDefault="00E74EED" w:rsidP="00A35448">
            <w:pPr>
              <w:jc w:val="center"/>
              <w:rPr>
                <w:rFonts w:ascii="Calibri" w:eastAsia="Calibri" w:hAnsi="Calibri" w:cs="Calibri"/>
                <w:b/>
                <w:bCs/>
              </w:rPr>
            </w:pPr>
            <w:r w:rsidRPr="542899F4">
              <w:rPr>
                <w:rFonts w:ascii="Calibri" w:eastAsia="Calibri" w:hAnsi="Calibri" w:cs="Calibri"/>
                <w:b/>
                <w:bCs/>
                <w:i/>
                <w:iCs/>
              </w:rPr>
              <w:t>k</w:t>
            </w:r>
            <w:r w:rsidRPr="542899F4">
              <w:rPr>
                <w:rFonts w:ascii="Calibri" w:eastAsia="Calibri" w:hAnsi="Calibri" w:cs="Calibri"/>
                <w:b/>
                <w:bCs/>
              </w:rPr>
              <w:t>=2</w:t>
            </w:r>
            <w:r>
              <w:rPr>
                <w:rFonts w:ascii="Calibri" w:eastAsia="Calibri" w:hAnsi="Calibri" w:cs="Calibri"/>
                <w:b/>
                <w:bCs/>
              </w:rPr>
              <w:t>1</w:t>
            </w:r>
          </w:p>
        </w:tc>
        <w:tc>
          <w:tcPr>
            <w:tcW w:w="1644" w:type="dxa"/>
            <w:gridSpan w:val="2"/>
          </w:tcPr>
          <w:p w14:paraId="5491B275" w14:textId="77777777" w:rsidR="00E74EED" w:rsidRDefault="00E74EED" w:rsidP="00A35448">
            <w:pPr>
              <w:jc w:val="center"/>
              <w:rPr>
                <w:rFonts w:ascii="Calibri" w:eastAsia="Calibri" w:hAnsi="Calibri" w:cs="Calibri"/>
                <w:b/>
                <w:bCs/>
              </w:rPr>
            </w:pPr>
            <w:r w:rsidRPr="542899F4">
              <w:rPr>
                <w:rFonts w:ascii="Calibri" w:eastAsia="Calibri" w:hAnsi="Calibri" w:cs="Calibri"/>
                <w:b/>
                <w:bCs/>
                <w:i/>
                <w:iCs/>
              </w:rPr>
              <w:t>k</w:t>
            </w:r>
            <w:r w:rsidRPr="542899F4">
              <w:rPr>
                <w:rFonts w:ascii="Calibri" w:eastAsia="Calibri" w:hAnsi="Calibri" w:cs="Calibri"/>
                <w:b/>
                <w:bCs/>
              </w:rPr>
              <w:t>=3</w:t>
            </w:r>
          </w:p>
        </w:tc>
      </w:tr>
      <w:tr w:rsidR="00E74EED" w14:paraId="4B8130B5" w14:textId="77777777" w:rsidTr="00A35448">
        <w:trPr>
          <w:trHeight w:val="300"/>
        </w:trPr>
        <w:tc>
          <w:tcPr>
            <w:tcW w:w="3701" w:type="dxa"/>
            <w:vMerge/>
          </w:tcPr>
          <w:p w14:paraId="3EE581F7" w14:textId="77777777" w:rsidR="00E74EED" w:rsidRDefault="00E74EED" w:rsidP="00A35448"/>
        </w:tc>
        <w:tc>
          <w:tcPr>
            <w:tcW w:w="927" w:type="dxa"/>
          </w:tcPr>
          <w:p w14:paraId="05B7BA93" w14:textId="77777777" w:rsidR="00E74EED" w:rsidRDefault="00E74EED" w:rsidP="00A35448">
            <w:pPr>
              <w:jc w:val="center"/>
              <w:rPr>
                <w:rFonts w:ascii="Calibri" w:eastAsia="Calibri" w:hAnsi="Calibri" w:cs="Calibri"/>
                <w:b/>
                <w:bCs/>
              </w:rPr>
            </w:pPr>
            <w:r w:rsidRPr="542899F4">
              <w:rPr>
                <w:rFonts w:ascii="Calibri" w:eastAsia="Calibri" w:hAnsi="Calibri" w:cs="Calibri"/>
                <w:b/>
                <w:bCs/>
              </w:rPr>
              <w:t>SCD</w:t>
            </w:r>
          </w:p>
        </w:tc>
        <w:tc>
          <w:tcPr>
            <w:tcW w:w="927" w:type="dxa"/>
          </w:tcPr>
          <w:p w14:paraId="747D44B5" w14:textId="77777777" w:rsidR="00E74EED" w:rsidRDefault="00E74EED" w:rsidP="00A35448">
            <w:pPr>
              <w:jc w:val="center"/>
              <w:rPr>
                <w:rFonts w:ascii="Calibri" w:eastAsia="Calibri" w:hAnsi="Calibri" w:cs="Calibri"/>
                <w:b/>
                <w:bCs/>
              </w:rPr>
            </w:pPr>
            <w:r w:rsidRPr="542899F4">
              <w:rPr>
                <w:rFonts w:ascii="Calibri" w:eastAsia="Calibri" w:hAnsi="Calibri" w:cs="Calibri"/>
                <w:b/>
                <w:bCs/>
              </w:rPr>
              <w:t>SCC</w:t>
            </w:r>
          </w:p>
        </w:tc>
        <w:tc>
          <w:tcPr>
            <w:tcW w:w="927" w:type="dxa"/>
          </w:tcPr>
          <w:p w14:paraId="04C1D383" w14:textId="77777777" w:rsidR="00E74EED" w:rsidRDefault="00E74EED" w:rsidP="00A35448">
            <w:pPr>
              <w:jc w:val="center"/>
              <w:rPr>
                <w:rFonts w:ascii="Calibri" w:eastAsia="Calibri" w:hAnsi="Calibri" w:cs="Calibri"/>
                <w:b/>
                <w:bCs/>
              </w:rPr>
            </w:pPr>
            <w:r w:rsidRPr="542899F4">
              <w:rPr>
                <w:rFonts w:ascii="Calibri" w:eastAsia="Calibri" w:hAnsi="Calibri" w:cs="Calibri"/>
                <w:b/>
                <w:bCs/>
              </w:rPr>
              <w:t>SCI</w:t>
            </w:r>
          </w:p>
        </w:tc>
        <w:tc>
          <w:tcPr>
            <w:tcW w:w="872" w:type="dxa"/>
          </w:tcPr>
          <w:p w14:paraId="1ADBF087" w14:textId="77777777" w:rsidR="00E74EED" w:rsidRDefault="00E74EED" w:rsidP="00A35448">
            <w:pPr>
              <w:jc w:val="center"/>
              <w:rPr>
                <w:rFonts w:ascii="Calibri" w:eastAsia="Calibri" w:hAnsi="Calibri" w:cs="Calibri"/>
                <w:b/>
                <w:bCs/>
              </w:rPr>
            </w:pPr>
            <w:r w:rsidRPr="542899F4">
              <w:rPr>
                <w:rFonts w:ascii="Calibri" w:eastAsia="Calibri" w:hAnsi="Calibri" w:cs="Calibri"/>
                <w:b/>
                <w:bCs/>
              </w:rPr>
              <w:t>SMC</w:t>
            </w:r>
          </w:p>
        </w:tc>
        <w:tc>
          <w:tcPr>
            <w:tcW w:w="822" w:type="dxa"/>
          </w:tcPr>
          <w:p w14:paraId="02A73DC5" w14:textId="77777777" w:rsidR="00E74EED" w:rsidRDefault="00E74EED" w:rsidP="00A35448">
            <w:pPr>
              <w:jc w:val="center"/>
              <w:rPr>
                <w:rFonts w:ascii="Calibri" w:eastAsia="Calibri" w:hAnsi="Calibri" w:cs="Calibri"/>
                <w:b/>
                <w:bCs/>
              </w:rPr>
            </w:pPr>
            <w:r w:rsidRPr="542899F4">
              <w:rPr>
                <w:rFonts w:ascii="Calibri" w:eastAsia="Calibri" w:hAnsi="Calibri" w:cs="Calibri"/>
                <w:b/>
                <w:bCs/>
              </w:rPr>
              <w:t>FCD</w:t>
            </w:r>
          </w:p>
        </w:tc>
        <w:tc>
          <w:tcPr>
            <w:tcW w:w="822" w:type="dxa"/>
          </w:tcPr>
          <w:p w14:paraId="64F9500F" w14:textId="77777777" w:rsidR="00E74EED" w:rsidRDefault="00E74EED" w:rsidP="00A35448">
            <w:pPr>
              <w:jc w:val="center"/>
              <w:rPr>
                <w:rFonts w:ascii="Calibri" w:eastAsia="Calibri" w:hAnsi="Calibri" w:cs="Calibri"/>
                <w:b/>
                <w:bCs/>
              </w:rPr>
            </w:pPr>
            <w:r w:rsidRPr="542899F4">
              <w:rPr>
                <w:rFonts w:ascii="Calibri" w:eastAsia="Calibri" w:hAnsi="Calibri" w:cs="Calibri"/>
                <w:b/>
                <w:bCs/>
              </w:rPr>
              <w:t>FCI</w:t>
            </w:r>
          </w:p>
        </w:tc>
      </w:tr>
      <w:tr w:rsidR="00E74EED" w14:paraId="25924937" w14:textId="77777777" w:rsidTr="00A35448">
        <w:trPr>
          <w:trHeight w:val="300"/>
        </w:trPr>
        <w:tc>
          <w:tcPr>
            <w:tcW w:w="3701" w:type="dxa"/>
          </w:tcPr>
          <w:p w14:paraId="363677C1" w14:textId="77777777" w:rsidR="00E74EED" w:rsidRDefault="00E74EED" w:rsidP="00A35448">
            <w:pPr>
              <w:rPr>
                <w:rFonts w:ascii="Calibri" w:eastAsia="Calibri" w:hAnsi="Calibri" w:cs="Calibri"/>
                <w:b/>
                <w:bCs/>
              </w:rPr>
            </w:pPr>
            <w:r w:rsidRPr="542899F4">
              <w:rPr>
                <w:rFonts w:ascii="Calibri" w:eastAsia="Calibri" w:hAnsi="Calibri" w:cs="Calibri"/>
                <w:b/>
                <w:bCs/>
              </w:rPr>
              <w:t>Existing diagnosis used</w:t>
            </w:r>
          </w:p>
        </w:tc>
        <w:tc>
          <w:tcPr>
            <w:tcW w:w="927" w:type="dxa"/>
          </w:tcPr>
          <w:p w14:paraId="629D0572" w14:textId="77777777" w:rsidR="00E74EED" w:rsidRDefault="00E74EED" w:rsidP="00A35448">
            <w:pPr>
              <w:jc w:val="center"/>
              <w:rPr>
                <w:rFonts w:ascii="Calibri" w:eastAsia="Calibri" w:hAnsi="Calibri" w:cs="Calibri"/>
              </w:rPr>
            </w:pPr>
            <w:r>
              <w:rPr>
                <w:rFonts w:ascii="Calibri" w:eastAsia="Calibri" w:hAnsi="Calibri" w:cs="Calibri"/>
              </w:rPr>
              <w:t>5</w:t>
            </w:r>
          </w:p>
        </w:tc>
        <w:tc>
          <w:tcPr>
            <w:tcW w:w="927" w:type="dxa"/>
          </w:tcPr>
          <w:p w14:paraId="3CE6DA8E" w14:textId="77777777" w:rsidR="00E74EED" w:rsidRDefault="00E74EED" w:rsidP="00A35448">
            <w:pPr>
              <w:jc w:val="center"/>
              <w:rPr>
                <w:rFonts w:ascii="Calibri" w:eastAsia="Calibri" w:hAnsi="Calibri" w:cs="Calibri"/>
              </w:rPr>
            </w:pPr>
            <w:r w:rsidRPr="542899F4">
              <w:rPr>
                <w:rFonts w:ascii="Calibri" w:eastAsia="Calibri" w:hAnsi="Calibri" w:cs="Calibri"/>
              </w:rPr>
              <w:t>2</w:t>
            </w:r>
          </w:p>
        </w:tc>
        <w:tc>
          <w:tcPr>
            <w:tcW w:w="927" w:type="dxa"/>
          </w:tcPr>
          <w:p w14:paraId="7F5B41E3" w14:textId="77777777" w:rsidR="00E74EED" w:rsidRDefault="00E74EED" w:rsidP="00A35448">
            <w:pPr>
              <w:jc w:val="center"/>
              <w:rPr>
                <w:rFonts w:ascii="Calibri" w:eastAsia="Calibri" w:hAnsi="Calibri" w:cs="Calibri"/>
              </w:rPr>
            </w:pPr>
            <w:r w:rsidRPr="542899F4">
              <w:rPr>
                <w:rFonts w:ascii="Calibri" w:eastAsia="Calibri" w:hAnsi="Calibri" w:cs="Calibri"/>
              </w:rPr>
              <w:t>4</w:t>
            </w:r>
          </w:p>
        </w:tc>
        <w:tc>
          <w:tcPr>
            <w:tcW w:w="872" w:type="dxa"/>
          </w:tcPr>
          <w:p w14:paraId="6AFBAC88" w14:textId="77777777" w:rsidR="00E74EED" w:rsidRDefault="00E74EED" w:rsidP="00A35448">
            <w:pPr>
              <w:jc w:val="center"/>
              <w:rPr>
                <w:rFonts w:ascii="Calibri" w:eastAsia="Calibri" w:hAnsi="Calibri" w:cs="Calibri"/>
              </w:rPr>
            </w:pPr>
            <w:r w:rsidRPr="542899F4">
              <w:rPr>
                <w:rFonts w:ascii="Calibri" w:eastAsia="Calibri" w:hAnsi="Calibri" w:cs="Calibri"/>
              </w:rPr>
              <w:t>0</w:t>
            </w:r>
          </w:p>
        </w:tc>
        <w:tc>
          <w:tcPr>
            <w:tcW w:w="822" w:type="dxa"/>
          </w:tcPr>
          <w:p w14:paraId="5416BC0A" w14:textId="77777777" w:rsidR="00E74EED" w:rsidRDefault="00E74EED" w:rsidP="00A35448">
            <w:pPr>
              <w:jc w:val="center"/>
              <w:rPr>
                <w:rFonts w:ascii="Calibri" w:eastAsia="Calibri" w:hAnsi="Calibri" w:cs="Calibri"/>
              </w:rPr>
            </w:pPr>
            <w:r w:rsidRPr="542899F4">
              <w:rPr>
                <w:rFonts w:ascii="Calibri" w:eastAsia="Calibri" w:hAnsi="Calibri" w:cs="Calibri"/>
              </w:rPr>
              <w:t>1</w:t>
            </w:r>
          </w:p>
        </w:tc>
        <w:tc>
          <w:tcPr>
            <w:tcW w:w="822" w:type="dxa"/>
          </w:tcPr>
          <w:p w14:paraId="0738B55C" w14:textId="77777777" w:rsidR="00E74EED" w:rsidRDefault="00E74EED" w:rsidP="00A35448">
            <w:pPr>
              <w:jc w:val="center"/>
              <w:rPr>
                <w:rFonts w:ascii="Calibri" w:eastAsia="Calibri" w:hAnsi="Calibri" w:cs="Calibri"/>
              </w:rPr>
            </w:pPr>
            <w:r w:rsidRPr="542899F4">
              <w:rPr>
                <w:rFonts w:ascii="Calibri" w:eastAsia="Calibri" w:hAnsi="Calibri" w:cs="Calibri"/>
              </w:rPr>
              <w:t>0</w:t>
            </w:r>
          </w:p>
        </w:tc>
      </w:tr>
      <w:tr w:rsidR="00E74EED" w14:paraId="30FF4D8C" w14:textId="77777777" w:rsidTr="00A35448">
        <w:trPr>
          <w:trHeight w:val="300"/>
        </w:trPr>
        <w:tc>
          <w:tcPr>
            <w:tcW w:w="3701" w:type="dxa"/>
          </w:tcPr>
          <w:p w14:paraId="780F7EB2" w14:textId="77777777" w:rsidR="00E74EED" w:rsidRDefault="00E74EED" w:rsidP="00A35448">
            <w:pPr>
              <w:rPr>
                <w:rFonts w:ascii="Calibri" w:eastAsia="Calibri" w:hAnsi="Calibri" w:cs="Calibri"/>
                <w:b/>
                <w:bCs/>
              </w:rPr>
            </w:pPr>
            <w:r w:rsidRPr="542899F4">
              <w:rPr>
                <w:rFonts w:ascii="Calibri" w:eastAsia="Calibri" w:hAnsi="Calibri" w:cs="Calibri"/>
                <w:b/>
                <w:bCs/>
              </w:rPr>
              <w:t>Clinical investigation</w:t>
            </w:r>
          </w:p>
        </w:tc>
        <w:tc>
          <w:tcPr>
            <w:tcW w:w="927" w:type="dxa"/>
          </w:tcPr>
          <w:p w14:paraId="057C69F4" w14:textId="77777777" w:rsidR="00E74EED" w:rsidRDefault="00E74EED" w:rsidP="00A35448">
            <w:pPr>
              <w:jc w:val="center"/>
              <w:rPr>
                <w:rFonts w:ascii="Calibri" w:eastAsia="Calibri" w:hAnsi="Calibri" w:cs="Calibri"/>
              </w:rPr>
            </w:pPr>
            <w:r w:rsidRPr="542899F4">
              <w:rPr>
                <w:rFonts w:ascii="Calibri" w:eastAsia="Calibri" w:hAnsi="Calibri" w:cs="Calibri"/>
              </w:rPr>
              <w:t>2</w:t>
            </w:r>
          </w:p>
        </w:tc>
        <w:tc>
          <w:tcPr>
            <w:tcW w:w="927" w:type="dxa"/>
          </w:tcPr>
          <w:p w14:paraId="10F96FB7" w14:textId="77777777" w:rsidR="00E74EED" w:rsidRDefault="00E74EED" w:rsidP="00A35448">
            <w:pPr>
              <w:jc w:val="center"/>
              <w:rPr>
                <w:rFonts w:ascii="Calibri" w:eastAsia="Calibri" w:hAnsi="Calibri" w:cs="Calibri"/>
              </w:rPr>
            </w:pPr>
            <w:r w:rsidRPr="542899F4">
              <w:rPr>
                <w:rFonts w:ascii="Calibri" w:eastAsia="Calibri" w:hAnsi="Calibri" w:cs="Calibri"/>
              </w:rPr>
              <w:t>0</w:t>
            </w:r>
          </w:p>
        </w:tc>
        <w:tc>
          <w:tcPr>
            <w:tcW w:w="927" w:type="dxa"/>
          </w:tcPr>
          <w:p w14:paraId="4C3F6A30" w14:textId="77777777" w:rsidR="00E74EED" w:rsidRDefault="00E74EED" w:rsidP="00A35448">
            <w:pPr>
              <w:jc w:val="center"/>
              <w:rPr>
                <w:rFonts w:ascii="Calibri" w:eastAsia="Calibri" w:hAnsi="Calibri" w:cs="Calibri"/>
              </w:rPr>
            </w:pPr>
            <w:r w:rsidRPr="542899F4">
              <w:rPr>
                <w:rFonts w:ascii="Calibri" w:eastAsia="Calibri" w:hAnsi="Calibri" w:cs="Calibri"/>
              </w:rPr>
              <w:t>2</w:t>
            </w:r>
          </w:p>
        </w:tc>
        <w:tc>
          <w:tcPr>
            <w:tcW w:w="872" w:type="dxa"/>
          </w:tcPr>
          <w:p w14:paraId="37D9A1CF" w14:textId="77777777" w:rsidR="00E74EED" w:rsidRDefault="00E74EED" w:rsidP="00A35448">
            <w:pPr>
              <w:jc w:val="center"/>
              <w:rPr>
                <w:rFonts w:ascii="Calibri" w:eastAsia="Calibri" w:hAnsi="Calibri" w:cs="Calibri"/>
              </w:rPr>
            </w:pPr>
            <w:r w:rsidRPr="542899F4">
              <w:rPr>
                <w:rFonts w:ascii="Calibri" w:eastAsia="Calibri" w:hAnsi="Calibri" w:cs="Calibri"/>
              </w:rPr>
              <w:t>3</w:t>
            </w:r>
          </w:p>
        </w:tc>
        <w:tc>
          <w:tcPr>
            <w:tcW w:w="822" w:type="dxa"/>
          </w:tcPr>
          <w:p w14:paraId="33214B08" w14:textId="77777777" w:rsidR="00E74EED" w:rsidRDefault="00E74EED" w:rsidP="00A35448">
            <w:pPr>
              <w:jc w:val="center"/>
              <w:rPr>
                <w:rFonts w:ascii="Calibri" w:eastAsia="Calibri" w:hAnsi="Calibri" w:cs="Calibri"/>
              </w:rPr>
            </w:pPr>
            <w:r w:rsidRPr="542899F4">
              <w:rPr>
                <w:rFonts w:ascii="Calibri" w:eastAsia="Calibri" w:hAnsi="Calibri" w:cs="Calibri"/>
              </w:rPr>
              <w:t>1</w:t>
            </w:r>
          </w:p>
        </w:tc>
        <w:tc>
          <w:tcPr>
            <w:tcW w:w="822" w:type="dxa"/>
          </w:tcPr>
          <w:p w14:paraId="1F483AAA" w14:textId="77777777" w:rsidR="00E74EED" w:rsidRDefault="00E74EED" w:rsidP="00A35448">
            <w:pPr>
              <w:jc w:val="center"/>
              <w:rPr>
                <w:rFonts w:ascii="Calibri" w:eastAsia="Calibri" w:hAnsi="Calibri" w:cs="Calibri"/>
              </w:rPr>
            </w:pPr>
            <w:r w:rsidRPr="542899F4">
              <w:rPr>
                <w:rFonts w:ascii="Calibri" w:eastAsia="Calibri" w:hAnsi="Calibri" w:cs="Calibri"/>
              </w:rPr>
              <w:t>1</w:t>
            </w:r>
          </w:p>
        </w:tc>
      </w:tr>
      <w:tr w:rsidR="00E74EED" w14:paraId="09179C8C" w14:textId="77777777" w:rsidTr="00A35448">
        <w:trPr>
          <w:trHeight w:val="300"/>
        </w:trPr>
        <w:tc>
          <w:tcPr>
            <w:tcW w:w="3701" w:type="dxa"/>
            <w:tcBorders>
              <w:bottom w:val="single" w:sz="4" w:space="0" w:color="auto"/>
            </w:tcBorders>
          </w:tcPr>
          <w:p w14:paraId="4D4EB9C4" w14:textId="77777777" w:rsidR="00E74EED" w:rsidRDefault="00E74EED" w:rsidP="00A35448">
            <w:pPr>
              <w:rPr>
                <w:rFonts w:ascii="Calibri" w:eastAsia="Calibri" w:hAnsi="Calibri" w:cs="Calibri"/>
                <w:b/>
                <w:bCs/>
              </w:rPr>
            </w:pPr>
            <w:r w:rsidRPr="542899F4">
              <w:rPr>
                <w:rFonts w:ascii="Calibri" w:eastAsia="Calibri" w:hAnsi="Calibri" w:cs="Calibri"/>
                <w:b/>
                <w:bCs/>
              </w:rPr>
              <w:t>Standardised testing only</w:t>
            </w:r>
          </w:p>
        </w:tc>
        <w:tc>
          <w:tcPr>
            <w:tcW w:w="927" w:type="dxa"/>
            <w:tcBorders>
              <w:bottom w:val="single" w:sz="4" w:space="0" w:color="auto"/>
            </w:tcBorders>
          </w:tcPr>
          <w:p w14:paraId="60398019" w14:textId="77777777" w:rsidR="00E74EED" w:rsidRDefault="00E74EED" w:rsidP="00A35448">
            <w:pPr>
              <w:jc w:val="center"/>
              <w:rPr>
                <w:rFonts w:ascii="Calibri" w:eastAsia="Calibri" w:hAnsi="Calibri" w:cs="Calibri"/>
              </w:rPr>
            </w:pPr>
            <w:r w:rsidRPr="542899F4">
              <w:rPr>
                <w:rFonts w:ascii="Calibri" w:eastAsia="Calibri" w:hAnsi="Calibri" w:cs="Calibri"/>
              </w:rPr>
              <w:t>1</w:t>
            </w:r>
          </w:p>
        </w:tc>
        <w:tc>
          <w:tcPr>
            <w:tcW w:w="927" w:type="dxa"/>
            <w:tcBorders>
              <w:bottom w:val="single" w:sz="4" w:space="0" w:color="auto"/>
            </w:tcBorders>
          </w:tcPr>
          <w:p w14:paraId="18F42E81" w14:textId="77777777" w:rsidR="00E74EED" w:rsidRDefault="00E74EED" w:rsidP="00A35448">
            <w:pPr>
              <w:jc w:val="center"/>
              <w:rPr>
                <w:rFonts w:ascii="Calibri" w:eastAsia="Calibri" w:hAnsi="Calibri" w:cs="Calibri"/>
              </w:rPr>
            </w:pPr>
            <w:r w:rsidRPr="542899F4">
              <w:rPr>
                <w:rFonts w:ascii="Calibri" w:eastAsia="Calibri" w:hAnsi="Calibri" w:cs="Calibri"/>
              </w:rPr>
              <w:t>1</w:t>
            </w:r>
          </w:p>
        </w:tc>
        <w:tc>
          <w:tcPr>
            <w:tcW w:w="927" w:type="dxa"/>
            <w:tcBorders>
              <w:bottom w:val="single" w:sz="4" w:space="0" w:color="auto"/>
            </w:tcBorders>
          </w:tcPr>
          <w:p w14:paraId="6AA8C228" w14:textId="77777777" w:rsidR="00E74EED" w:rsidRDefault="00E74EED" w:rsidP="00A35448">
            <w:pPr>
              <w:jc w:val="center"/>
              <w:rPr>
                <w:rFonts w:ascii="Calibri" w:eastAsia="Calibri" w:hAnsi="Calibri" w:cs="Calibri"/>
              </w:rPr>
            </w:pPr>
            <w:r w:rsidRPr="542899F4">
              <w:rPr>
                <w:rFonts w:ascii="Calibri" w:eastAsia="Calibri" w:hAnsi="Calibri" w:cs="Calibri"/>
              </w:rPr>
              <w:t>0</w:t>
            </w:r>
          </w:p>
        </w:tc>
        <w:tc>
          <w:tcPr>
            <w:tcW w:w="872" w:type="dxa"/>
            <w:tcBorders>
              <w:bottom w:val="single" w:sz="4" w:space="0" w:color="auto"/>
            </w:tcBorders>
          </w:tcPr>
          <w:p w14:paraId="672D7AAE" w14:textId="77777777" w:rsidR="00E74EED" w:rsidRDefault="00E74EED" w:rsidP="00A35448">
            <w:pPr>
              <w:jc w:val="center"/>
              <w:rPr>
                <w:rFonts w:ascii="Calibri" w:eastAsia="Calibri" w:hAnsi="Calibri" w:cs="Calibri"/>
              </w:rPr>
            </w:pPr>
            <w:r w:rsidRPr="542899F4">
              <w:rPr>
                <w:rFonts w:ascii="Calibri" w:eastAsia="Calibri" w:hAnsi="Calibri" w:cs="Calibri"/>
              </w:rPr>
              <w:t>1</w:t>
            </w:r>
          </w:p>
        </w:tc>
        <w:tc>
          <w:tcPr>
            <w:tcW w:w="822" w:type="dxa"/>
            <w:tcBorders>
              <w:bottom w:val="single" w:sz="4" w:space="0" w:color="auto"/>
            </w:tcBorders>
          </w:tcPr>
          <w:p w14:paraId="56C8529B" w14:textId="77777777" w:rsidR="00E74EED" w:rsidRDefault="00E74EED" w:rsidP="00A35448">
            <w:pPr>
              <w:jc w:val="center"/>
              <w:rPr>
                <w:rFonts w:ascii="Calibri" w:eastAsia="Calibri" w:hAnsi="Calibri" w:cs="Calibri"/>
              </w:rPr>
            </w:pPr>
            <w:r w:rsidRPr="542899F4">
              <w:rPr>
                <w:rFonts w:ascii="Calibri" w:eastAsia="Calibri" w:hAnsi="Calibri" w:cs="Calibri"/>
              </w:rPr>
              <w:t>0</w:t>
            </w:r>
          </w:p>
        </w:tc>
        <w:tc>
          <w:tcPr>
            <w:tcW w:w="822" w:type="dxa"/>
            <w:tcBorders>
              <w:bottom w:val="single" w:sz="4" w:space="0" w:color="auto"/>
            </w:tcBorders>
          </w:tcPr>
          <w:p w14:paraId="5E15E5A4" w14:textId="77777777" w:rsidR="00E74EED" w:rsidRDefault="00E74EED" w:rsidP="00A35448">
            <w:pPr>
              <w:jc w:val="center"/>
              <w:rPr>
                <w:rFonts w:ascii="Calibri" w:eastAsia="Calibri" w:hAnsi="Calibri" w:cs="Calibri"/>
              </w:rPr>
            </w:pPr>
            <w:r w:rsidRPr="542899F4">
              <w:rPr>
                <w:rFonts w:ascii="Calibri" w:eastAsia="Calibri" w:hAnsi="Calibri" w:cs="Calibri"/>
              </w:rPr>
              <w:t>0</w:t>
            </w:r>
          </w:p>
        </w:tc>
      </w:tr>
      <w:tr w:rsidR="00E74EED" w14:paraId="1DDDE7ED" w14:textId="77777777" w:rsidTr="00A35448">
        <w:trPr>
          <w:trHeight w:val="300"/>
        </w:trPr>
        <w:tc>
          <w:tcPr>
            <w:tcW w:w="3701" w:type="dxa"/>
            <w:tcBorders>
              <w:bottom w:val="single" w:sz="4" w:space="0" w:color="auto"/>
            </w:tcBorders>
            <w:shd w:val="clear" w:color="auto" w:fill="F2F2F2" w:themeFill="background1" w:themeFillShade="F2"/>
          </w:tcPr>
          <w:p w14:paraId="69DD63C6" w14:textId="77777777" w:rsidR="00E74EED" w:rsidRDefault="00E74EED" w:rsidP="00A35448">
            <w:pPr>
              <w:rPr>
                <w:rFonts w:ascii="Calibri" w:eastAsia="Calibri" w:hAnsi="Calibri" w:cs="Calibri"/>
                <w:b/>
                <w:bCs/>
              </w:rPr>
            </w:pPr>
            <w:r w:rsidRPr="542899F4">
              <w:rPr>
                <w:rFonts w:ascii="Calibri" w:eastAsia="Calibri" w:hAnsi="Calibri" w:cs="Calibri"/>
                <w:b/>
                <w:bCs/>
              </w:rPr>
              <w:t>TOTAL</w:t>
            </w:r>
          </w:p>
        </w:tc>
        <w:tc>
          <w:tcPr>
            <w:tcW w:w="927" w:type="dxa"/>
            <w:tcBorders>
              <w:bottom w:val="single" w:sz="4" w:space="0" w:color="auto"/>
            </w:tcBorders>
            <w:shd w:val="clear" w:color="auto" w:fill="F2F2F2" w:themeFill="background1" w:themeFillShade="F2"/>
          </w:tcPr>
          <w:p w14:paraId="6D49969E" w14:textId="77777777" w:rsidR="00E74EED" w:rsidRDefault="00E74EED" w:rsidP="00A35448">
            <w:pPr>
              <w:jc w:val="center"/>
              <w:rPr>
                <w:rFonts w:ascii="Calibri" w:eastAsia="Calibri" w:hAnsi="Calibri" w:cs="Calibri"/>
              </w:rPr>
            </w:pPr>
            <w:r>
              <w:rPr>
                <w:rFonts w:ascii="Calibri" w:eastAsia="Calibri" w:hAnsi="Calibri" w:cs="Calibri"/>
              </w:rPr>
              <w:t>8</w:t>
            </w:r>
          </w:p>
        </w:tc>
        <w:tc>
          <w:tcPr>
            <w:tcW w:w="927" w:type="dxa"/>
            <w:tcBorders>
              <w:bottom w:val="single" w:sz="4" w:space="0" w:color="auto"/>
            </w:tcBorders>
            <w:shd w:val="clear" w:color="auto" w:fill="F2F2F2" w:themeFill="background1" w:themeFillShade="F2"/>
          </w:tcPr>
          <w:p w14:paraId="3B24169F" w14:textId="77777777" w:rsidR="00E74EED" w:rsidRDefault="00E74EED" w:rsidP="00A35448">
            <w:pPr>
              <w:jc w:val="center"/>
              <w:rPr>
                <w:rFonts w:ascii="Calibri" w:eastAsia="Calibri" w:hAnsi="Calibri" w:cs="Calibri"/>
              </w:rPr>
            </w:pPr>
            <w:r w:rsidRPr="542899F4">
              <w:rPr>
                <w:rFonts w:ascii="Calibri" w:eastAsia="Calibri" w:hAnsi="Calibri" w:cs="Calibri"/>
              </w:rPr>
              <w:t>3</w:t>
            </w:r>
          </w:p>
        </w:tc>
        <w:tc>
          <w:tcPr>
            <w:tcW w:w="927" w:type="dxa"/>
            <w:tcBorders>
              <w:bottom w:val="single" w:sz="4" w:space="0" w:color="auto"/>
            </w:tcBorders>
            <w:shd w:val="clear" w:color="auto" w:fill="F2F2F2" w:themeFill="background1" w:themeFillShade="F2"/>
          </w:tcPr>
          <w:p w14:paraId="7284A8E7" w14:textId="77777777" w:rsidR="00E74EED" w:rsidRDefault="00E74EED" w:rsidP="00A35448">
            <w:pPr>
              <w:jc w:val="center"/>
              <w:rPr>
                <w:rFonts w:ascii="Calibri" w:eastAsia="Calibri" w:hAnsi="Calibri" w:cs="Calibri"/>
              </w:rPr>
            </w:pPr>
            <w:r w:rsidRPr="542899F4">
              <w:rPr>
                <w:rFonts w:ascii="Calibri" w:eastAsia="Calibri" w:hAnsi="Calibri" w:cs="Calibri"/>
              </w:rPr>
              <w:t>6</w:t>
            </w:r>
          </w:p>
        </w:tc>
        <w:tc>
          <w:tcPr>
            <w:tcW w:w="872" w:type="dxa"/>
            <w:tcBorders>
              <w:bottom w:val="single" w:sz="4" w:space="0" w:color="auto"/>
            </w:tcBorders>
            <w:shd w:val="clear" w:color="auto" w:fill="F2F2F2" w:themeFill="background1" w:themeFillShade="F2"/>
          </w:tcPr>
          <w:p w14:paraId="66508945" w14:textId="77777777" w:rsidR="00E74EED" w:rsidRDefault="00E74EED" w:rsidP="00A35448">
            <w:pPr>
              <w:jc w:val="center"/>
              <w:rPr>
                <w:rFonts w:ascii="Calibri" w:eastAsia="Calibri" w:hAnsi="Calibri" w:cs="Calibri"/>
              </w:rPr>
            </w:pPr>
            <w:r w:rsidRPr="542899F4">
              <w:rPr>
                <w:rFonts w:ascii="Calibri" w:eastAsia="Calibri" w:hAnsi="Calibri" w:cs="Calibri"/>
              </w:rPr>
              <w:t>4</w:t>
            </w:r>
          </w:p>
        </w:tc>
        <w:tc>
          <w:tcPr>
            <w:tcW w:w="822" w:type="dxa"/>
            <w:tcBorders>
              <w:bottom w:val="single" w:sz="4" w:space="0" w:color="auto"/>
            </w:tcBorders>
            <w:shd w:val="clear" w:color="auto" w:fill="F2F2F2" w:themeFill="background1" w:themeFillShade="F2"/>
          </w:tcPr>
          <w:p w14:paraId="3AAF16E0" w14:textId="77777777" w:rsidR="00E74EED" w:rsidRDefault="00E74EED" w:rsidP="00A35448">
            <w:pPr>
              <w:jc w:val="center"/>
              <w:rPr>
                <w:rFonts w:ascii="Calibri" w:eastAsia="Calibri" w:hAnsi="Calibri" w:cs="Calibri"/>
              </w:rPr>
            </w:pPr>
            <w:r w:rsidRPr="542899F4">
              <w:rPr>
                <w:rFonts w:ascii="Calibri" w:eastAsia="Calibri" w:hAnsi="Calibri" w:cs="Calibri"/>
              </w:rPr>
              <w:t>2</w:t>
            </w:r>
          </w:p>
        </w:tc>
        <w:tc>
          <w:tcPr>
            <w:tcW w:w="822" w:type="dxa"/>
            <w:tcBorders>
              <w:bottom w:val="single" w:sz="4" w:space="0" w:color="auto"/>
            </w:tcBorders>
            <w:shd w:val="clear" w:color="auto" w:fill="F2F2F2" w:themeFill="background1" w:themeFillShade="F2"/>
          </w:tcPr>
          <w:p w14:paraId="6A0D5E0C" w14:textId="77777777" w:rsidR="00E74EED" w:rsidRDefault="00E74EED" w:rsidP="00A35448">
            <w:pPr>
              <w:jc w:val="center"/>
              <w:rPr>
                <w:rFonts w:ascii="Calibri" w:eastAsia="Calibri" w:hAnsi="Calibri" w:cs="Calibri"/>
              </w:rPr>
            </w:pPr>
            <w:r w:rsidRPr="542899F4">
              <w:rPr>
                <w:rFonts w:ascii="Calibri" w:eastAsia="Calibri" w:hAnsi="Calibri" w:cs="Calibri"/>
              </w:rPr>
              <w:t>1</w:t>
            </w:r>
          </w:p>
        </w:tc>
      </w:tr>
    </w:tbl>
    <w:p w14:paraId="19AB3C0E" w14:textId="3A5A5553" w:rsidR="00E74EED" w:rsidRPr="00063116" w:rsidRDefault="00E74EED" w:rsidP="00B22821">
      <w:pPr>
        <w:spacing w:after="6"/>
        <w:rPr>
          <w:rFonts w:ascii="Calibri" w:eastAsia="Calibri" w:hAnsi="Calibri" w:cs="Calibri"/>
        </w:rPr>
      </w:pPr>
      <w:r w:rsidRPr="542899F4">
        <w:rPr>
          <w:rFonts w:ascii="Calibri" w:eastAsia="Calibri" w:hAnsi="Calibri" w:cs="Calibri"/>
          <w:i/>
          <w:iCs/>
        </w:rPr>
        <w:t xml:space="preserve">Note. </w:t>
      </w:r>
      <w:r>
        <w:rPr>
          <w:rFonts w:ascii="Calibri" w:eastAsia="Calibri" w:hAnsi="Calibri" w:cs="Calibri"/>
        </w:rPr>
        <w:t xml:space="preserve">Abbreviations: </w:t>
      </w:r>
      <w:r w:rsidRPr="542899F4">
        <w:rPr>
          <w:rFonts w:ascii="Calibri" w:eastAsia="Calibri" w:hAnsi="Calibri" w:cs="Calibri"/>
        </w:rPr>
        <w:t>FCD = functional cognitive disorder; FCI = functional cognitive impairment</w:t>
      </w:r>
      <w:r>
        <w:rPr>
          <w:rFonts w:ascii="Calibri" w:eastAsia="Calibri" w:hAnsi="Calibri" w:cs="Calibri"/>
        </w:rPr>
        <w:t xml:space="preserve">; </w:t>
      </w:r>
      <w:r w:rsidRPr="542899F4">
        <w:rPr>
          <w:rFonts w:ascii="Calibri" w:eastAsia="Calibri" w:hAnsi="Calibri" w:cs="Calibri"/>
        </w:rPr>
        <w:t>SCC = subjective cognitive concern; SCD = subjective cognitive decline; SCI = subjective cognitive impairment; SMC = subjective memory complaints</w:t>
      </w:r>
      <w:r>
        <w:rPr>
          <w:rFonts w:ascii="Calibri" w:eastAsia="Calibri" w:hAnsi="Calibri" w:cs="Calibri"/>
        </w:rPr>
        <w:t>.</w:t>
      </w:r>
    </w:p>
    <w:p w14:paraId="5FCD8FE5" w14:textId="22E2B310" w:rsidR="00B65642" w:rsidRDefault="00B65642" w:rsidP="00B65642">
      <w:r>
        <w:br w:type="page"/>
      </w:r>
    </w:p>
    <w:p w14:paraId="499806DD" w14:textId="22B1A657" w:rsidR="00B65642" w:rsidRDefault="00B65642" w:rsidP="542899F4">
      <w:pPr>
        <w:pStyle w:val="Heading1"/>
        <w:rPr>
          <w:rFonts w:ascii="Calibri" w:eastAsia="Calibri" w:hAnsi="Calibri" w:cs="Calibri"/>
          <w:b/>
          <w:bCs/>
          <w:color w:val="auto"/>
          <w:sz w:val="22"/>
          <w:szCs w:val="22"/>
        </w:rPr>
      </w:pPr>
      <w:bookmarkStart w:id="7" w:name="_Toc214541304"/>
      <w:r w:rsidRPr="542899F4">
        <w:rPr>
          <w:rFonts w:ascii="Calibri" w:eastAsia="Calibri" w:hAnsi="Calibri" w:cs="Calibri"/>
          <w:b/>
          <w:bCs/>
          <w:color w:val="auto"/>
          <w:sz w:val="22"/>
          <w:szCs w:val="22"/>
        </w:rPr>
        <w:lastRenderedPageBreak/>
        <w:t>Appendix: Sensitivity analyses</w:t>
      </w:r>
      <w:bookmarkEnd w:id="7"/>
    </w:p>
    <w:p w14:paraId="684C1A5C" w14:textId="77777777" w:rsidR="00B65642" w:rsidRDefault="00B65642" w:rsidP="542899F4">
      <w:pPr>
        <w:rPr>
          <w:rFonts w:ascii="Calibri" w:eastAsia="Calibri" w:hAnsi="Calibri" w:cs="Calibri"/>
          <w:b/>
          <w:bCs/>
        </w:rPr>
      </w:pPr>
    </w:p>
    <w:p w14:paraId="4A9C1F9A" w14:textId="3A205292" w:rsidR="00B65642" w:rsidRDefault="00B65642" w:rsidP="542899F4">
      <w:pPr>
        <w:rPr>
          <w:rFonts w:ascii="Calibri" w:eastAsia="Calibri" w:hAnsi="Calibri" w:cs="Calibri"/>
        </w:rPr>
      </w:pPr>
      <w:r w:rsidRPr="542899F4">
        <w:rPr>
          <w:rFonts w:ascii="Calibri" w:eastAsia="Calibri" w:hAnsi="Calibri" w:cs="Calibri"/>
        </w:rPr>
        <w:t xml:space="preserve">After excluding the median ages provided by </w:t>
      </w:r>
      <w:r w:rsidR="00FE4B16">
        <w:rPr>
          <w:rFonts w:ascii="Calibri" w:eastAsia="Calibri" w:hAnsi="Calibri" w:cs="Calibri"/>
        </w:rPr>
        <w:t>two</w:t>
      </w:r>
      <w:r w:rsidR="51B8B4DB" w:rsidRPr="542899F4">
        <w:rPr>
          <w:rFonts w:ascii="Calibri" w:eastAsia="Calibri" w:hAnsi="Calibri" w:cs="Calibri"/>
        </w:rPr>
        <w:t xml:space="preserve"> </w:t>
      </w:r>
      <w:r w:rsidR="00CC4758" w:rsidRPr="542899F4">
        <w:rPr>
          <w:rFonts w:ascii="Calibri" w:eastAsia="Calibri" w:hAnsi="Calibri" w:cs="Calibri"/>
        </w:rPr>
        <w:t>studies</w:t>
      </w:r>
      <w:r w:rsidR="67939408" w:rsidRPr="542899F4">
        <w:rPr>
          <w:rFonts w:ascii="Calibri" w:eastAsia="Calibri" w:hAnsi="Calibri" w:cs="Calibri"/>
        </w:rPr>
        <w:t>,</w:t>
      </w:r>
      <w:r w:rsidR="00CC4758" w:rsidRPr="542899F4">
        <w:rPr>
          <w:rFonts w:ascii="Calibri" w:eastAsia="Calibri" w:hAnsi="Calibri" w:cs="Calibri"/>
        </w:rPr>
        <w:t xml:space="preserve"> </w:t>
      </w:r>
      <w:r w:rsidRPr="542899F4">
        <w:rPr>
          <w:rFonts w:ascii="Calibri" w:eastAsia="Calibri" w:hAnsi="Calibri" w:cs="Calibri"/>
        </w:rPr>
        <w:t xml:space="preserve">the weighted pooled mean age across the </w:t>
      </w:r>
      <w:r w:rsidR="0A8C8D61" w:rsidRPr="542899F4">
        <w:rPr>
          <w:rFonts w:ascii="Calibri" w:eastAsia="Calibri" w:hAnsi="Calibri" w:cs="Calibri"/>
        </w:rPr>
        <w:t>1</w:t>
      </w:r>
      <w:r w:rsidR="00FE4B16">
        <w:rPr>
          <w:rFonts w:ascii="Calibri" w:eastAsia="Calibri" w:hAnsi="Calibri" w:cs="Calibri"/>
        </w:rPr>
        <w:t>9</w:t>
      </w:r>
      <w:r w:rsidR="0A8C8D61" w:rsidRPr="542899F4">
        <w:rPr>
          <w:rFonts w:ascii="Calibri" w:eastAsia="Calibri" w:hAnsi="Calibri" w:cs="Calibri"/>
        </w:rPr>
        <w:t xml:space="preserve"> </w:t>
      </w:r>
      <w:r w:rsidRPr="542899F4">
        <w:rPr>
          <w:rFonts w:ascii="Calibri" w:eastAsia="Calibri" w:hAnsi="Calibri" w:cs="Calibri"/>
        </w:rPr>
        <w:t>studies</w:t>
      </w:r>
      <w:r w:rsidR="002F7B21" w:rsidRPr="542899F4">
        <w:rPr>
          <w:rFonts w:ascii="Calibri" w:eastAsia="Calibri" w:hAnsi="Calibri" w:cs="Calibri"/>
        </w:rPr>
        <w:t xml:space="preserve"> (</w:t>
      </w:r>
      <w:r w:rsidR="002F7B21" w:rsidRPr="00377273">
        <w:rPr>
          <w:rFonts w:ascii="Calibri" w:eastAsia="Calibri" w:hAnsi="Calibri" w:cs="Calibri"/>
          <w:i/>
          <w:iCs/>
        </w:rPr>
        <w:t>n</w:t>
      </w:r>
      <w:r w:rsidR="002F7B21" w:rsidRPr="542899F4">
        <w:rPr>
          <w:rFonts w:ascii="Calibri" w:eastAsia="Calibri" w:hAnsi="Calibri" w:cs="Calibri"/>
        </w:rPr>
        <w:t>=</w:t>
      </w:r>
      <w:r w:rsidR="00377273">
        <w:rPr>
          <w:rFonts w:ascii="Calibri" w:eastAsia="Calibri" w:hAnsi="Calibri" w:cs="Calibri"/>
        </w:rPr>
        <w:t>12,500</w:t>
      </w:r>
      <w:r w:rsidR="453B71DE" w:rsidRPr="542899F4">
        <w:rPr>
          <w:rFonts w:ascii="Calibri" w:eastAsia="Calibri" w:hAnsi="Calibri" w:cs="Calibri"/>
        </w:rPr>
        <w:t>)</w:t>
      </w:r>
      <w:r w:rsidRPr="542899F4">
        <w:rPr>
          <w:rFonts w:ascii="Calibri" w:eastAsia="Calibri" w:hAnsi="Calibri" w:cs="Calibri"/>
        </w:rPr>
        <w:t xml:space="preserve"> was </w:t>
      </w:r>
      <w:r w:rsidR="002A42FA" w:rsidRPr="542899F4">
        <w:rPr>
          <w:rFonts w:ascii="Calibri" w:eastAsia="Calibri" w:hAnsi="Calibri" w:cs="Calibri"/>
        </w:rPr>
        <w:t>7</w:t>
      </w:r>
      <w:r w:rsidR="00954365">
        <w:rPr>
          <w:rFonts w:ascii="Calibri" w:eastAsia="Calibri" w:hAnsi="Calibri" w:cs="Calibri"/>
        </w:rPr>
        <w:t>3</w:t>
      </w:r>
      <w:r w:rsidR="5CF32360" w:rsidRPr="542899F4">
        <w:rPr>
          <w:rFonts w:ascii="Calibri" w:eastAsia="Calibri" w:hAnsi="Calibri" w:cs="Calibri"/>
        </w:rPr>
        <w:t>.</w:t>
      </w:r>
      <w:r w:rsidR="00954365">
        <w:rPr>
          <w:rFonts w:ascii="Calibri" w:eastAsia="Calibri" w:hAnsi="Calibri" w:cs="Calibri"/>
        </w:rPr>
        <w:t>3</w:t>
      </w:r>
      <w:r w:rsidR="003D1533" w:rsidRPr="542899F4">
        <w:rPr>
          <w:rFonts w:ascii="Calibri" w:eastAsia="Calibri" w:hAnsi="Calibri" w:cs="Calibri"/>
        </w:rPr>
        <w:t xml:space="preserve"> y</w:t>
      </w:r>
      <w:r w:rsidR="00681A4F" w:rsidRPr="542899F4">
        <w:rPr>
          <w:rFonts w:ascii="Calibri" w:eastAsia="Calibri" w:hAnsi="Calibri" w:cs="Calibri"/>
        </w:rPr>
        <w:t xml:space="preserve">ears </w:t>
      </w:r>
      <w:r w:rsidRPr="542899F4">
        <w:rPr>
          <w:rFonts w:ascii="Calibri" w:eastAsia="Calibri" w:hAnsi="Calibri" w:cs="Calibri"/>
        </w:rPr>
        <w:t>(SD=</w:t>
      </w:r>
      <w:r w:rsidR="00954365">
        <w:rPr>
          <w:rFonts w:ascii="Calibri" w:eastAsia="Calibri" w:hAnsi="Calibri" w:cs="Calibri"/>
        </w:rPr>
        <w:t>6.</w:t>
      </w:r>
      <w:r w:rsidR="00377273">
        <w:rPr>
          <w:rFonts w:ascii="Calibri" w:eastAsia="Calibri" w:hAnsi="Calibri" w:cs="Calibri"/>
        </w:rPr>
        <w:t>9</w:t>
      </w:r>
      <w:r w:rsidR="003D1533" w:rsidRPr="542899F4">
        <w:rPr>
          <w:rFonts w:ascii="Calibri" w:eastAsia="Calibri" w:hAnsi="Calibri" w:cs="Calibri"/>
        </w:rPr>
        <w:t>)</w:t>
      </w:r>
      <w:r w:rsidRPr="542899F4">
        <w:rPr>
          <w:rFonts w:ascii="Calibri" w:eastAsia="Calibri" w:hAnsi="Calibri" w:cs="Calibri"/>
        </w:rPr>
        <w:t xml:space="preserve">. </w:t>
      </w:r>
    </w:p>
    <w:p w14:paraId="62752B2A" w14:textId="77777777" w:rsidR="00B65642" w:rsidRDefault="00B65642" w:rsidP="542899F4">
      <w:pPr>
        <w:rPr>
          <w:rFonts w:ascii="Calibri" w:eastAsia="Calibri" w:hAnsi="Calibri" w:cs="Calibri"/>
        </w:rPr>
      </w:pPr>
    </w:p>
    <w:p w14:paraId="4405CA64" w14:textId="379A7504" w:rsidR="00B65642" w:rsidRDefault="573CCEDB" w:rsidP="542899F4">
      <w:pPr>
        <w:rPr>
          <w:rFonts w:ascii="Calibri" w:eastAsia="Calibri" w:hAnsi="Calibri" w:cs="Calibri"/>
        </w:rPr>
      </w:pPr>
      <w:r w:rsidRPr="542899F4">
        <w:rPr>
          <w:rFonts w:ascii="Calibri" w:eastAsia="Calibri" w:hAnsi="Calibri" w:cs="Calibri"/>
        </w:rPr>
        <w:t>W</w:t>
      </w:r>
      <w:r w:rsidR="00B65642" w:rsidRPr="542899F4">
        <w:rPr>
          <w:rFonts w:ascii="Calibri" w:eastAsia="Calibri" w:hAnsi="Calibri" w:cs="Calibri"/>
        </w:rPr>
        <w:t xml:space="preserve">e conducted </w:t>
      </w:r>
      <w:r w:rsidR="66E15B46" w:rsidRPr="542899F4">
        <w:rPr>
          <w:rFonts w:ascii="Calibri" w:eastAsia="Calibri" w:hAnsi="Calibri" w:cs="Calibri"/>
        </w:rPr>
        <w:t>random</w:t>
      </w:r>
      <w:r w:rsidR="00B65642" w:rsidRPr="542899F4">
        <w:rPr>
          <w:rFonts w:ascii="Calibri" w:eastAsia="Calibri" w:hAnsi="Calibri" w:cs="Calibri"/>
        </w:rPr>
        <w:t xml:space="preserve"> effects models of all p</w:t>
      </w:r>
      <w:r w:rsidR="02BBA2A8" w:rsidRPr="542899F4">
        <w:rPr>
          <w:rFonts w:ascii="Calibri" w:eastAsia="Calibri" w:hAnsi="Calibri" w:cs="Calibri"/>
        </w:rPr>
        <w:t>ooled prevalence estimates in our report</w:t>
      </w:r>
      <w:r w:rsidR="00B65642" w:rsidRPr="542899F4">
        <w:rPr>
          <w:rFonts w:ascii="Calibri" w:eastAsia="Calibri" w:hAnsi="Calibri" w:cs="Calibri"/>
        </w:rPr>
        <w:t xml:space="preserve"> (see table a).</w:t>
      </w:r>
    </w:p>
    <w:p w14:paraId="2D3239E4" w14:textId="77777777" w:rsidR="00B65642" w:rsidRDefault="00B65642" w:rsidP="542899F4">
      <w:pPr>
        <w:rPr>
          <w:rFonts w:ascii="Calibri" w:eastAsia="Calibri" w:hAnsi="Calibri" w:cs="Calibri"/>
          <w:b/>
          <w:bCs/>
        </w:rPr>
      </w:pPr>
    </w:p>
    <w:p w14:paraId="7AE3B851" w14:textId="13E701F0" w:rsidR="00B65642" w:rsidRPr="00FA48ED" w:rsidRDefault="00B65642" w:rsidP="00FA48ED">
      <w:pPr>
        <w:pStyle w:val="Heading2"/>
        <w:rPr>
          <w:rFonts w:ascii="Calibri" w:eastAsia="Calibri" w:hAnsi="Calibri" w:cs="Calibri"/>
          <w:b/>
          <w:bCs/>
          <w:color w:val="auto"/>
          <w:sz w:val="22"/>
          <w:szCs w:val="22"/>
        </w:rPr>
      </w:pPr>
      <w:bookmarkStart w:id="8" w:name="_Toc214541305"/>
      <w:r w:rsidRPr="00FA48ED">
        <w:rPr>
          <w:rFonts w:ascii="Calibri" w:eastAsia="Calibri" w:hAnsi="Calibri" w:cs="Calibri"/>
          <w:b/>
          <w:bCs/>
          <w:color w:val="auto"/>
          <w:sz w:val="22"/>
          <w:szCs w:val="22"/>
        </w:rPr>
        <w:t xml:space="preserve">Table </w:t>
      </w:r>
      <w:r w:rsidR="0078341B">
        <w:rPr>
          <w:rFonts w:ascii="Calibri" w:eastAsia="Calibri" w:hAnsi="Calibri" w:cs="Calibri"/>
          <w:b/>
          <w:bCs/>
          <w:color w:val="auto"/>
          <w:sz w:val="22"/>
          <w:szCs w:val="22"/>
        </w:rPr>
        <w:t>7</w:t>
      </w:r>
      <w:r w:rsidR="00B35124">
        <w:rPr>
          <w:rFonts w:ascii="Calibri" w:eastAsia="Calibri" w:hAnsi="Calibri" w:cs="Calibri"/>
          <w:b/>
          <w:bCs/>
          <w:color w:val="auto"/>
          <w:sz w:val="22"/>
          <w:szCs w:val="22"/>
        </w:rPr>
        <w:t>S</w:t>
      </w:r>
      <w:r w:rsidRPr="00FA48ED">
        <w:rPr>
          <w:rFonts w:ascii="Calibri" w:eastAsia="Calibri" w:hAnsi="Calibri" w:cs="Calibri"/>
          <w:b/>
          <w:bCs/>
          <w:color w:val="auto"/>
          <w:sz w:val="22"/>
          <w:szCs w:val="22"/>
        </w:rPr>
        <w:t xml:space="preserve">. </w:t>
      </w:r>
      <w:r w:rsidR="33C863A2" w:rsidRPr="00FA48ED">
        <w:rPr>
          <w:rFonts w:ascii="Calibri" w:eastAsia="Calibri" w:hAnsi="Calibri" w:cs="Calibri"/>
          <w:b/>
          <w:bCs/>
          <w:color w:val="auto"/>
          <w:sz w:val="22"/>
          <w:szCs w:val="22"/>
        </w:rPr>
        <w:t>Random</w:t>
      </w:r>
      <w:r w:rsidRPr="00FA48ED">
        <w:rPr>
          <w:rFonts w:ascii="Calibri" w:eastAsia="Calibri" w:hAnsi="Calibri" w:cs="Calibri"/>
          <w:b/>
          <w:bCs/>
          <w:color w:val="auto"/>
          <w:sz w:val="22"/>
          <w:szCs w:val="22"/>
        </w:rPr>
        <w:t xml:space="preserve"> effects</w:t>
      </w:r>
      <w:r w:rsidR="58CB710D" w:rsidRPr="00FA48ED">
        <w:rPr>
          <w:rFonts w:ascii="Calibri" w:eastAsia="Calibri" w:hAnsi="Calibri" w:cs="Calibri"/>
          <w:b/>
          <w:bCs/>
          <w:color w:val="auto"/>
          <w:sz w:val="22"/>
          <w:szCs w:val="22"/>
        </w:rPr>
        <w:t xml:space="preserve"> prevalence</w:t>
      </w:r>
      <w:r w:rsidRPr="00FA48ED">
        <w:rPr>
          <w:rFonts w:ascii="Calibri" w:eastAsia="Calibri" w:hAnsi="Calibri" w:cs="Calibri"/>
          <w:b/>
          <w:bCs/>
          <w:color w:val="auto"/>
          <w:sz w:val="22"/>
          <w:szCs w:val="22"/>
        </w:rPr>
        <w:t xml:space="preserve"> </w:t>
      </w:r>
      <w:r w:rsidR="43C64201" w:rsidRPr="00FA48ED">
        <w:rPr>
          <w:rFonts w:ascii="Calibri" w:eastAsia="Calibri" w:hAnsi="Calibri" w:cs="Calibri"/>
          <w:b/>
          <w:bCs/>
          <w:color w:val="auto"/>
          <w:sz w:val="22"/>
          <w:szCs w:val="22"/>
        </w:rPr>
        <w:t xml:space="preserve">meta-analysis </w:t>
      </w:r>
      <w:r w:rsidRPr="00FA48ED">
        <w:rPr>
          <w:rFonts w:ascii="Calibri" w:eastAsia="Calibri" w:hAnsi="Calibri" w:cs="Calibri"/>
          <w:b/>
          <w:bCs/>
          <w:color w:val="auto"/>
          <w:sz w:val="22"/>
          <w:szCs w:val="22"/>
        </w:rPr>
        <w:t>models</w:t>
      </w:r>
      <w:r w:rsidR="5929FE07" w:rsidRPr="00FA48ED">
        <w:rPr>
          <w:rFonts w:ascii="Calibri" w:eastAsia="Calibri" w:hAnsi="Calibri" w:cs="Calibri"/>
          <w:b/>
          <w:bCs/>
          <w:color w:val="auto"/>
          <w:sz w:val="22"/>
          <w:szCs w:val="22"/>
        </w:rPr>
        <w:t xml:space="preserve"> of su</w:t>
      </w:r>
      <w:r w:rsidR="0135CE1E" w:rsidRPr="00FA48ED">
        <w:rPr>
          <w:rFonts w:ascii="Calibri" w:eastAsia="Calibri" w:hAnsi="Calibri" w:cs="Calibri"/>
          <w:b/>
          <w:bCs/>
          <w:color w:val="auto"/>
          <w:sz w:val="22"/>
          <w:szCs w:val="22"/>
        </w:rPr>
        <w:t>b-group analyses.</w:t>
      </w:r>
      <w:bookmarkEnd w:id="8"/>
      <w:r w:rsidR="0135CE1E" w:rsidRPr="00FA48ED">
        <w:rPr>
          <w:rFonts w:ascii="Calibri" w:eastAsia="Calibri" w:hAnsi="Calibri" w:cs="Calibri"/>
          <w:b/>
          <w:bCs/>
          <w:color w:val="auto"/>
          <w:sz w:val="22"/>
          <w:szCs w:val="22"/>
        </w:rPr>
        <w:t xml:space="preserve"> </w:t>
      </w:r>
    </w:p>
    <w:tbl>
      <w:tblPr>
        <w:tblStyle w:val="TableGrid"/>
        <w:tblW w:w="912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V w:val="single" w:sz="12" w:space="0" w:color="FFFFFF" w:themeColor="background1"/>
        </w:tblBorders>
        <w:tblLayout w:type="fixed"/>
        <w:tblLook w:val="06A0" w:firstRow="1" w:lastRow="0" w:firstColumn="1" w:lastColumn="0" w:noHBand="1" w:noVBand="1"/>
      </w:tblPr>
      <w:tblGrid>
        <w:gridCol w:w="4815"/>
        <w:gridCol w:w="850"/>
        <w:gridCol w:w="1560"/>
        <w:gridCol w:w="1134"/>
        <w:gridCol w:w="769"/>
      </w:tblGrid>
      <w:tr w:rsidR="00B65642" w14:paraId="6491B812" w14:textId="77777777" w:rsidTr="00CE6472">
        <w:trPr>
          <w:trHeight w:val="300"/>
        </w:trPr>
        <w:tc>
          <w:tcPr>
            <w:tcW w:w="4815" w:type="dxa"/>
            <w:tcBorders>
              <w:top w:val="single" w:sz="4" w:space="0" w:color="000000" w:themeColor="text1"/>
              <w:left w:val="single" w:sz="4" w:space="0" w:color="FFFFFF" w:themeColor="background1"/>
              <w:bottom w:val="single" w:sz="4" w:space="0" w:color="000000" w:themeColor="text1"/>
              <w:right w:val="single" w:sz="4" w:space="0" w:color="FFFFFF" w:themeColor="background1"/>
            </w:tcBorders>
          </w:tcPr>
          <w:p w14:paraId="0D22E920" w14:textId="77777777" w:rsidR="00B65642" w:rsidRDefault="00B65642" w:rsidP="542899F4">
            <w:pPr>
              <w:rPr>
                <w:rFonts w:ascii="Calibri" w:eastAsia="Calibri" w:hAnsi="Calibri" w:cs="Calibri"/>
              </w:rPr>
            </w:pPr>
          </w:p>
        </w:tc>
        <w:tc>
          <w:tcPr>
            <w:tcW w:w="850" w:type="dxa"/>
            <w:tcBorders>
              <w:top w:val="single" w:sz="4" w:space="0" w:color="000000" w:themeColor="text1"/>
              <w:left w:val="single" w:sz="4" w:space="0" w:color="FFFFFF" w:themeColor="background1"/>
              <w:bottom w:val="single" w:sz="4" w:space="0" w:color="000000" w:themeColor="text1"/>
              <w:right w:val="single" w:sz="4" w:space="0" w:color="FFFFFF" w:themeColor="background1"/>
            </w:tcBorders>
          </w:tcPr>
          <w:p w14:paraId="0F56211B" w14:textId="77777777" w:rsidR="00B65642" w:rsidRDefault="00B65642" w:rsidP="542899F4">
            <w:pPr>
              <w:jc w:val="center"/>
              <w:rPr>
                <w:rFonts w:ascii="Calibri" w:eastAsia="Calibri" w:hAnsi="Calibri" w:cs="Calibri"/>
              </w:rPr>
            </w:pPr>
            <w:r w:rsidRPr="542899F4">
              <w:rPr>
                <w:rFonts w:ascii="Calibri" w:eastAsia="Calibri" w:hAnsi="Calibri" w:cs="Calibri"/>
              </w:rPr>
              <w:t>N</w:t>
            </w:r>
          </w:p>
        </w:tc>
        <w:tc>
          <w:tcPr>
            <w:tcW w:w="1560" w:type="dxa"/>
            <w:tcBorders>
              <w:top w:val="single" w:sz="4" w:space="0" w:color="000000" w:themeColor="text1"/>
              <w:left w:val="single" w:sz="4" w:space="0" w:color="FFFFFF" w:themeColor="background1"/>
              <w:bottom w:val="single" w:sz="4" w:space="0" w:color="000000" w:themeColor="text1"/>
              <w:right w:val="single" w:sz="4" w:space="0" w:color="FFFFFF" w:themeColor="background1"/>
            </w:tcBorders>
          </w:tcPr>
          <w:p w14:paraId="7640D04A" w14:textId="77777777" w:rsidR="00B65642" w:rsidRDefault="00B65642" w:rsidP="542899F4">
            <w:pPr>
              <w:jc w:val="center"/>
              <w:rPr>
                <w:rFonts w:ascii="Calibri" w:eastAsia="Calibri" w:hAnsi="Calibri" w:cs="Calibri"/>
              </w:rPr>
            </w:pPr>
            <w:r w:rsidRPr="542899F4">
              <w:rPr>
                <w:rFonts w:ascii="Calibri" w:eastAsia="Calibri" w:hAnsi="Calibri" w:cs="Calibri"/>
              </w:rPr>
              <w:t>Prevalence (%)</w:t>
            </w:r>
          </w:p>
        </w:tc>
        <w:tc>
          <w:tcPr>
            <w:tcW w:w="1134" w:type="dxa"/>
            <w:tcBorders>
              <w:top w:val="single" w:sz="4" w:space="0" w:color="000000" w:themeColor="text1"/>
              <w:left w:val="single" w:sz="4" w:space="0" w:color="FFFFFF" w:themeColor="background1"/>
              <w:bottom w:val="single" w:sz="4" w:space="0" w:color="000000" w:themeColor="text1"/>
              <w:right w:val="single" w:sz="4" w:space="0" w:color="FFFFFF" w:themeColor="background1"/>
            </w:tcBorders>
          </w:tcPr>
          <w:p w14:paraId="2F838BAA" w14:textId="77777777" w:rsidR="00B65642" w:rsidRDefault="00B65642" w:rsidP="542899F4">
            <w:pPr>
              <w:jc w:val="center"/>
              <w:rPr>
                <w:rFonts w:ascii="Calibri" w:eastAsia="Calibri" w:hAnsi="Calibri" w:cs="Calibri"/>
              </w:rPr>
            </w:pPr>
            <w:r w:rsidRPr="542899F4">
              <w:rPr>
                <w:rFonts w:ascii="Calibri" w:eastAsia="Calibri" w:hAnsi="Calibri" w:cs="Calibri"/>
              </w:rPr>
              <w:t>95% CI</w:t>
            </w:r>
          </w:p>
        </w:tc>
        <w:tc>
          <w:tcPr>
            <w:tcW w:w="769" w:type="dxa"/>
            <w:tcBorders>
              <w:top w:val="single" w:sz="4" w:space="0" w:color="000000" w:themeColor="text1"/>
              <w:left w:val="single" w:sz="4" w:space="0" w:color="FFFFFF" w:themeColor="background1"/>
              <w:bottom w:val="single" w:sz="4" w:space="0" w:color="000000" w:themeColor="text1"/>
              <w:right w:val="single" w:sz="4" w:space="0" w:color="FFFFFF" w:themeColor="background1"/>
            </w:tcBorders>
          </w:tcPr>
          <w:p w14:paraId="1A02AD18" w14:textId="019FEFE3" w:rsidR="310AF364" w:rsidRDefault="310AF364" w:rsidP="542899F4">
            <w:pPr>
              <w:jc w:val="center"/>
              <w:rPr>
                <w:rFonts w:ascii="Calibri" w:eastAsia="Calibri" w:hAnsi="Calibri" w:cs="Calibri"/>
              </w:rPr>
            </w:pPr>
            <w:r w:rsidRPr="542899F4">
              <w:rPr>
                <w:rFonts w:ascii="Calibri" w:eastAsia="Calibri" w:hAnsi="Calibri" w:cs="Calibri"/>
              </w:rPr>
              <w:t>I</w:t>
            </w:r>
            <w:r w:rsidRPr="542899F4">
              <w:rPr>
                <w:rFonts w:ascii="Calibri" w:eastAsia="Calibri" w:hAnsi="Calibri" w:cs="Calibri"/>
                <w:vertAlign w:val="superscript"/>
              </w:rPr>
              <w:t xml:space="preserve">2 </w:t>
            </w:r>
            <w:r w:rsidRPr="542899F4">
              <w:rPr>
                <w:rFonts w:ascii="Calibri" w:eastAsia="Calibri" w:hAnsi="Calibri" w:cs="Calibri"/>
              </w:rPr>
              <w:t>(%)</w:t>
            </w:r>
          </w:p>
        </w:tc>
      </w:tr>
      <w:tr w:rsidR="00B65642" w14:paraId="3F7D229F" w14:textId="77777777" w:rsidTr="00CE6472">
        <w:trPr>
          <w:trHeight w:val="300"/>
        </w:trPr>
        <w:tc>
          <w:tcPr>
            <w:tcW w:w="4815" w:type="dxa"/>
            <w:tcBorders>
              <w:top w:val="single" w:sz="4" w:space="0" w:color="000000" w:themeColor="text1"/>
              <w:bottom w:val="single" w:sz="4" w:space="0" w:color="FFFFFF" w:themeColor="background1"/>
            </w:tcBorders>
          </w:tcPr>
          <w:p w14:paraId="1BF83283" w14:textId="30F31E8C" w:rsidR="00B65642" w:rsidRDefault="3D91267A" w:rsidP="542899F4">
            <w:pPr>
              <w:rPr>
                <w:rFonts w:ascii="Calibri" w:eastAsia="Calibri" w:hAnsi="Calibri" w:cs="Calibri"/>
              </w:rPr>
            </w:pPr>
            <w:r w:rsidRPr="542899F4">
              <w:rPr>
                <w:rFonts w:ascii="Calibri" w:eastAsia="Calibri" w:hAnsi="Calibri" w:cs="Calibri"/>
              </w:rPr>
              <w:t>General clinical p</w:t>
            </w:r>
            <w:r w:rsidR="7768DE23" w:rsidRPr="542899F4">
              <w:rPr>
                <w:rFonts w:ascii="Calibri" w:eastAsia="Calibri" w:hAnsi="Calibri" w:cs="Calibri"/>
              </w:rPr>
              <w:t>opulations presenting to m</w:t>
            </w:r>
            <w:r w:rsidR="75CADC39" w:rsidRPr="542899F4">
              <w:rPr>
                <w:rFonts w:ascii="Calibri" w:eastAsia="Calibri" w:hAnsi="Calibri" w:cs="Calibri"/>
              </w:rPr>
              <w:t>emory clinic</w:t>
            </w:r>
            <w:r w:rsidR="00B65642" w:rsidRPr="542899F4">
              <w:rPr>
                <w:rFonts w:ascii="Calibri" w:eastAsia="Calibri" w:hAnsi="Calibri" w:cs="Calibri"/>
              </w:rPr>
              <w:t xml:space="preserve"> settings</w:t>
            </w:r>
            <w:r w:rsidR="7768DE23" w:rsidRPr="542899F4">
              <w:rPr>
                <w:rFonts w:ascii="Calibri" w:eastAsia="Calibri" w:hAnsi="Calibri" w:cs="Calibri"/>
              </w:rPr>
              <w:t xml:space="preserve">; excluding those with </w:t>
            </w:r>
            <w:r w:rsidR="1B98B793" w:rsidRPr="542899F4">
              <w:rPr>
                <w:rFonts w:ascii="Calibri" w:eastAsia="Calibri" w:hAnsi="Calibri" w:cs="Calibri"/>
              </w:rPr>
              <w:t xml:space="preserve">psychiatric illness </w:t>
            </w:r>
            <w:r w:rsidR="00B65642" w:rsidRPr="542899F4">
              <w:rPr>
                <w:rFonts w:ascii="Calibri" w:eastAsia="Calibri" w:hAnsi="Calibri" w:cs="Calibri"/>
              </w:rPr>
              <w:t>(</w:t>
            </w:r>
            <w:r w:rsidR="69811606" w:rsidRPr="542899F4">
              <w:rPr>
                <w:rFonts w:ascii="Calibri" w:eastAsia="Calibri" w:hAnsi="Calibri" w:cs="Calibri"/>
              </w:rPr>
              <w:t>3</w:t>
            </w:r>
            <w:r w:rsidR="36759591" w:rsidRPr="542899F4">
              <w:rPr>
                <w:rFonts w:ascii="Calibri" w:eastAsia="Calibri" w:hAnsi="Calibri" w:cs="Calibri"/>
              </w:rPr>
              <w:t xml:space="preserve"> high-quality </w:t>
            </w:r>
            <w:r w:rsidR="00B65642" w:rsidRPr="542899F4">
              <w:rPr>
                <w:rFonts w:ascii="Calibri" w:eastAsia="Calibri" w:hAnsi="Calibri" w:cs="Calibri"/>
              </w:rPr>
              <w:t>studies)</w:t>
            </w:r>
          </w:p>
        </w:tc>
        <w:tc>
          <w:tcPr>
            <w:tcW w:w="850" w:type="dxa"/>
            <w:tcBorders>
              <w:top w:val="single" w:sz="4" w:space="0" w:color="000000" w:themeColor="text1"/>
              <w:bottom w:val="single" w:sz="4" w:space="0" w:color="FFFFFF" w:themeColor="background1"/>
            </w:tcBorders>
          </w:tcPr>
          <w:p w14:paraId="1BB68C41" w14:textId="38BC7388" w:rsidR="00B65642" w:rsidRDefault="00995671" w:rsidP="542899F4">
            <w:pPr>
              <w:jc w:val="center"/>
              <w:rPr>
                <w:rFonts w:ascii="Calibri" w:eastAsia="Calibri" w:hAnsi="Calibri" w:cs="Calibri"/>
              </w:rPr>
            </w:pPr>
            <w:r>
              <w:rPr>
                <w:rFonts w:ascii="Calibri" w:eastAsia="Calibri" w:hAnsi="Calibri" w:cs="Calibri"/>
              </w:rPr>
              <w:t>3,</w:t>
            </w:r>
            <w:r w:rsidR="00306EC8">
              <w:rPr>
                <w:rFonts w:ascii="Calibri" w:eastAsia="Calibri" w:hAnsi="Calibri" w:cs="Calibri"/>
              </w:rPr>
              <w:t>295</w:t>
            </w:r>
          </w:p>
        </w:tc>
        <w:tc>
          <w:tcPr>
            <w:tcW w:w="1560" w:type="dxa"/>
            <w:tcBorders>
              <w:top w:val="single" w:sz="4" w:space="0" w:color="000000" w:themeColor="text1"/>
              <w:bottom w:val="single" w:sz="4" w:space="0" w:color="FFFFFF" w:themeColor="background1"/>
            </w:tcBorders>
          </w:tcPr>
          <w:p w14:paraId="452F6A16" w14:textId="2686E6B3" w:rsidR="00B65642" w:rsidRDefault="073A1346" w:rsidP="542899F4">
            <w:pPr>
              <w:jc w:val="center"/>
              <w:rPr>
                <w:rFonts w:ascii="Calibri" w:eastAsia="Calibri" w:hAnsi="Calibri" w:cs="Calibri"/>
              </w:rPr>
            </w:pPr>
            <w:r w:rsidRPr="542899F4">
              <w:rPr>
                <w:rFonts w:ascii="Calibri" w:eastAsia="Calibri" w:hAnsi="Calibri" w:cs="Calibri"/>
              </w:rPr>
              <w:t>1</w:t>
            </w:r>
            <w:r w:rsidR="002D4B5B">
              <w:rPr>
                <w:rFonts w:ascii="Calibri" w:eastAsia="Calibri" w:hAnsi="Calibri" w:cs="Calibri"/>
              </w:rPr>
              <w:t>2.7</w:t>
            </w:r>
          </w:p>
        </w:tc>
        <w:tc>
          <w:tcPr>
            <w:tcW w:w="1134" w:type="dxa"/>
            <w:tcBorders>
              <w:top w:val="single" w:sz="4" w:space="0" w:color="000000" w:themeColor="text1"/>
              <w:bottom w:val="single" w:sz="4" w:space="0" w:color="FFFFFF" w:themeColor="background1"/>
            </w:tcBorders>
          </w:tcPr>
          <w:p w14:paraId="4705AAFA" w14:textId="36E5827D" w:rsidR="00B65642" w:rsidRDefault="073A1346" w:rsidP="542899F4">
            <w:pPr>
              <w:jc w:val="center"/>
              <w:rPr>
                <w:rFonts w:ascii="Calibri" w:eastAsia="Calibri" w:hAnsi="Calibri" w:cs="Calibri"/>
              </w:rPr>
            </w:pPr>
            <w:r w:rsidRPr="542899F4">
              <w:rPr>
                <w:rFonts w:ascii="Calibri" w:eastAsia="Calibri" w:hAnsi="Calibri" w:cs="Calibri"/>
              </w:rPr>
              <w:t>0.</w:t>
            </w:r>
            <w:r w:rsidR="1D644F35" w:rsidRPr="542899F4">
              <w:rPr>
                <w:rFonts w:ascii="Calibri" w:eastAsia="Calibri" w:hAnsi="Calibri" w:cs="Calibri"/>
              </w:rPr>
              <w:t>1</w:t>
            </w:r>
            <w:r w:rsidR="002D4B5B">
              <w:rPr>
                <w:rFonts w:ascii="Calibri" w:eastAsia="Calibri" w:hAnsi="Calibri" w:cs="Calibri"/>
              </w:rPr>
              <w:t>1</w:t>
            </w:r>
            <w:r w:rsidRPr="542899F4">
              <w:rPr>
                <w:rFonts w:ascii="Calibri" w:eastAsia="Calibri" w:hAnsi="Calibri" w:cs="Calibri"/>
              </w:rPr>
              <w:t>, 0.1</w:t>
            </w:r>
            <w:r w:rsidR="002D4B5B">
              <w:rPr>
                <w:rFonts w:ascii="Calibri" w:eastAsia="Calibri" w:hAnsi="Calibri" w:cs="Calibri"/>
              </w:rPr>
              <w:t>4</w:t>
            </w:r>
          </w:p>
        </w:tc>
        <w:tc>
          <w:tcPr>
            <w:tcW w:w="769" w:type="dxa"/>
            <w:tcBorders>
              <w:top w:val="single" w:sz="4" w:space="0" w:color="000000" w:themeColor="text1"/>
              <w:bottom w:val="single" w:sz="4" w:space="0" w:color="FFFFFF" w:themeColor="background1"/>
            </w:tcBorders>
          </w:tcPr>
          <w:p w14:paraId="771C1E09" w14:textId="23E8FBD5" w:rsidR="0C7F9377" w:rsidRDefault="0C7F9377" w:rsidP="542899F4">
            <w:pPr>
              <w:jc w:val="center"/>
              <w:rPr>
                <w:rFonts w:ascii="Calibri" w:eastAsia="Calibri" w:hAnsi="Calibri" w:cs="Calibri"/>
              </w:rPr>
            </w:pPr>
            <w:r w:rsidRPr="542899F4">
              <w:rPr>
                <w:rFonts w:ascii="Calibri" w:eastAsia="Calibri" w:hAnsi="Calibri" w:cs="Calibri"/>
              </w:rPr>
              <w:t>4</w:t>
            </w:r>
            <w:r w:rsidR="002D4B5B">
              <w:rPr>
                <w:rFonts w:ascii="Calibri" w:eastAsia="Calibri" w:hAnsi="Calibri" w:cs="Calibri"/>
              </w:rPr>
              <w:t>5.9</w:t>
            </w:r>
          </w:p>
        </w:tc>
      </w:tr>
      <w:tr w:rsidR="00B65642" w14:paraId="52D0E267" w14:textId="77777777" w:rsidTr="00CE6472">
        <w:trPr>
          <w:trHeight w:val="300"/>
        </w:trPr>
        <w:tc>
          <w:tcPr>
            <w:tcW w:w="4815"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3EA5F385" w14:textId="18BE21B1" w:rsidR="00B65642" w:rsidRDefault="7768DE23" w:rsidP="542899F4">
            <w:pPr>
              <w:rPr>
                <w:rFonts w:ascii="Calibri" w:eastAsia="Calibri" w:hAnsi="Calibri" w:cs="Calibri"/>
              </w:rPr>
            </w:pPr>
            <w:r w:rsidRPr="542899F4">
              <w:rPr>
                <w:rFonts w:ascii="Calibri" w:eastAsia="Calibri" w:hAnsi="Calibri" w:cs="Calibri"/>
              </w:rPr>
              <w:t>Populations presenting to</w:t>
            </w:r>
            <w:r w:rsidR="534139C8" w:rsidRPr="542899F4">
              <w:rPr>
                <w:rFonts w:ascii="Calibri" w:eastAsia="Calibri" w:hAnsi="Calibri" w:cs="Calibri"/>
              </w:rPr>
              <w:t xml:space="preserve"> secondary care settings not specifically intended </w:t>
            </w:r>
            <w:r w:rsidR="4308E71E" w:rsidRPr="542899F4">
              <w:rPr>
                <w:rFonts w:ascii="Calibri" w:eastAsia="Calibri" w:hAnsi="Calibri" w:cs="Calibri"/>
              </w:rPr>
              <w:t>to address</w:t>
            </w:r>
            <w:r w:rsidR="534139C8" w:rsidRPr="542899F4">
              <w:rPr>
                <w:rFonts w:ascii="Calibri" w:eastAsia="Calibri" w:hAnsi="Calibri" w:cs="Calibri"/>
              </w:rPr>
              <w:t xml:space="preserve"> memory</w:t>
            </w:r>
            <w:r w:rsidR="48FE9747" w:rsidRPr="542899F4">
              <w:rPr>
                <w:rFonts w:ascii="Calibri" w:eastAsia="Calibri" w:hAnsi="Calibri" w:cs="Calibri"/>
              </w:rPr>
              <w:t xml:space="preserve"> </w:t>
            </w:r>
            <w:r w:rsidR="3FE09ED2" w:rsidRPr="542899F4">
              <w:rPr>
                <w:rFonts w:ascii="Calibri" w:eastAsia="Calibri" w:hAnsi="Calibri" w:cs="Calibri"/>
              </w:rPr>
              <w:t xml:space="preserve">concerns </w:t>
            </w:r>
            <w:r w:rsidR="48FE9747" w:rsidRPr="542899F4">
              <w:rPr>
                <w:rFonts w:ascii="Calibri" w:eastAsia="Calibri" w:hAnsi="Calibri" w:cs="Calibri"/>
              </w:rPr>
              <w:t>(</w:t>
            </w:r>
            <w:r w:rsidR="7F10CA55" w:rsidRPr="542899F4">
              <w:rPr>
                <w:rFonts w:ascii="Calibri" w:eastAsia="Calibri" w:hAnsi="Calibri" w:cs="Calibri"/>
              </w:rPr>
              <w:t>3 moderate-</w:t>
            </w:r>
            <w:r w:rsidR="48FE9747" w:rsidRPr="542899F4">
              <w:rPr>
                <w:rFonts w:ascii="Calibri" w:eastAsia="Calibri" w:hAnsi="Calibri" w:cs="Calibri"/>
              </w:rPr>
              <w:t>quality studies)</w:t>
            </w:r>
          </w:p>
        </w:tc>
        <w:tc>
          <w:tcPr>
            <w:tcW w:w="850"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7F7C1346" w14:textId="33B9A2BB" w:rsidR="00B65642" w:rsidRDefault="2FE95C4F" w:rsidP="542899F4">
            <w:pPr>
              <w:jc w:val="center"/>
              <w:rPr>
                <w:rFonts w:ascii="Calibri" w:eastAsia="Calibri" w:hAnsi="Calibri" w:cs="Calibri"/>
              </w:rPr>
            </w:pPr>
            <w:r w:rsidRPr="542899F4">
              <w:rPr>
                <w:rFonts w:ascii="Calibri" w:eastAsia="Calibri" w:hAnsi="Calibri" w:cs="Calibri"/>
              </w:rPr>
              <w:t>1,609</w:t>
            </w:r>
          </w:p>
        </w:tc>
        <w:tc>
          <w:tcPr>
            <w:tcW w:w="1560"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55FC5C17" w14:textId="3A332E67" w:rsidR="00B65642" w:rsidRDefault="2FE95C4F" w:rsidP="542899F4">
            <w:pPr>
              <w:jc w:val="center"/>
              <w:rPr>
                <w:rFonts w:ascii="Calibri" w:eastAsia="Calibri" w:hAnsi="Calibri" w:cs="Calibri"/>
              </w:rPr>
            </w:pPr>
            <w:r w:rsidRPr="542899F4">
              <w:rPr>
                <w:rFonts w:ascii="Calibri" w:eastAsia="Calibri" w:hAnsi="Calibri" w:cs="Calibri"/>
              </w:rPr>
              <w:t>41.3</w:t>
            </w:r>
          </w:p>
        </w:tc>
        <w:tc>
          <w:tcPr>
            <w:tcW w:w="1134"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4D65BB57" w14:textId="5AA94282" w:rsidR="00B65642" w:rsidRDefault="52B7C548" w:rsidP="542899F4">
            <w:pPr>
              <w:jc w:val="center"/>
              <w:rPr>
                <w:rFonts w:ascii="Calibri" w:eastAsia="Calibri" w:hAnsi="Calibri" w:cs="Calibri"/>
              </w:rPr>
            </w:pPr>
            <w:r w:rsidRPr="542899F4">
              <w:rPr>
                <w:rFonts w:ascii="Calibri" w:eastAsia="Calibri" w:hAnsi="Calibri" w:cs="Calibri"/>
              </w:rPr>
              <w:t>0.</w:t>
            </w:r>
            <w:r w:rsidR="5C716A3B" w:rsidRPr="542899F4">
              <w:rPr>
                <w:rFonts w:ascii="Calibri" w:eastAsia="Calibri" w:hAnsi="Calibri" w:cs="Calibri"/>
              </w:rPr>
              <w:t>36</w:t>
            </w:r>
            <w:r w:rsidRPr="542899F4">
              <w:rPr>
                <w:rFonts w:ascii="Calibri" w:eastAsia="Calibri" w:hAnsi="Calibri" w:cs="Calibri"/>
              </w:rPr>
              <w:t>, 0.</w:t>
            </w:r>
            <w:r w:rsidR="780480D5" w:rsidRPr="542899F4">
              <w:rPr>
                <w:rFonts w:ascii="Calibri" w:eastAsia="Calibri" w:hAnsi="Calibri" w:cs="Calibri"/>
              </w:rPr>
              <w:t>47</w:t>
            </w:r>
          </w:p>
        </w:tc>
        <w:tc>
          <w:tcPr>
            <w:tcW w:w="769" w:type="dxa"/>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tcPr>
          <w:p w14:paraId="3F42C814" w14:textId="64EC63A6" w:rsidR="780480D5" w:rsidRDefault="780480D5" w:rsidP="542899F4">
            <w:pPr>
              <w:jc w:val="center"/>
              <w:rPr>
                <w:rFonts w:ascii="Calibri" w:eastAsia="Calibri" w:hAnsi="Calibri" w:cs="Calibri"/>
              </w:rPr>
            </w:pPr>
            <w:r w:rsidRPr="542899F4">
              <w:rPr>
                <w:rFonts w:ascii="Calibri" w:eastAsia="Calibri" w:hAnsi="Calibri" w:cs="Calibri"/>
              </w:rPr>
              <w:t>74.4</w:t>
            </w:r>
          </w:p>
        </w:tc>
      </w:tr>
    </w:tbl>
    <w:p w14:paraId="66CBDA8E" w14:textId="3689D540" w:rsidR="00B65642" w:rsidRDefault="00B65642" w:rsidP="542899F4">
      <w:pPr>
        <w:rPr>
          <w:rFonts w:ascii="Calibri" w:eastAsia="Calibri" w:hAnsi="Calibri" w:cs="Calibri"/>
        </w:rPr>
      </w:pPr>
      <w:r w:rsidRPr="542899F4">
        <w:rPr>
          <w:rFonts w:ascii="Calibri" w:eastAsia="Calibri" w:hAnsi="Calibri" w:cs="Calibri"/>
          <w:i/>
          <w:iCs/>
        </w:rPr>
        <w:t>Note.</w:t>
      </w:r>
      <w:r w:rsidR="00CE6472">
        <w:rPr>
          <w:rFonts w:ascii="Calibri" w:eastAsia="Calibri" w:hAnsi="Calibri" w:cs="Calibri"/>
        </w:rPr>
        <w:t xml:space="preserve"> Abbreviations:</w:t>
      </w:r>
      <w:r w:rsidR="00A61631" w:rsidRPr="542899F4">
        <w:rPr>
          <w:rFonts w:ascii="Calibri" w:eastAsia="Calibri" w:hAnsi="Calibri" w:cs="Calibri"/>
          <w:i/>
          <w:iCs/>
        </w:rPr>
        <w:t xml:space="preserve"> </w:t>
      </w:r>
      <w:r w:rsidRPr="542899F4">
        <w:rPr>
          <w:rFonts w:ascii="Calibri" w:eastAsia="Calibri" w:hAnsi="Calibri" w:cs="Calibri"/>
        </w:rPr>
        <w:t>CI = confidence interval</w:t>
      </w:r>
      <w:r w:rsidR="00A61631" w:rsidRPr="542899F4">
        <w:rPr>
          <w:rFonts w:ascii="Calibri" w:eastAsia="Calibri" w:hAnsi="Calibri" w:cs="Calibri"/>
        </w:rPr>
        <w:t xml:space="preserve">; </w:t>
      </w:r>
      <w:r w:rsidR="00C9442D" w:rsidRPr="542899F4">
        <w:rPr>
          <w:rFonts w:ascii="Calibri" w:eastAsia="Calibri" w:hAnsi="Calibri" w:cs="Calibri"/>
        </w:rPr>
        <w:t>FCD = functional cognitive disorder.</w:t>
      </w:r>
    </w:p>
    <w:p w14:paraId="358C6FF9" w14:textId="77777777" w:rsidR="00B65642" w:rsidRDefault="00B65642" w:rsidP="542899F4">
      <w:pPr>
        <w:rPr>
          <w:rFonts w:ascii="Calibri" w:eastAsia="Calibri" w:hAnsi="Calibri" w:cs="Calibri"/>
          <w:b/>
          <w:bCs/>
        </w:rPr>
      </w:pPr>
    </w:p>
    <w:p w14:paraId="45401BFF" w14:textId="477ECFBE" w:rsidR="00CE6472" w:rsidRDefault="00CE6472">
      <w:pPr>
        <w:spacing w:after="160" w:line="259" w:lineRule="auto"/>
        <w:rPr>
          <w:rFonts w:ascii="Calibri" w:eastAsia="Calibri" w:hAnsi="Calibri" w:cs="Calibri"/>
          <w:b/>
          <w:bCs/>
        </w:rPr>
      </w:pPr>
      <w:r>
        <w:rPr>
          <w:rFonts w:ascii="Calibri" w:eastAsia="Calibri" w:hAnsi="Calibri" w:cs="Calibri"/>
          <w:b/>
          <w:bCs/>
        </w:rPr>
        <w:br w:type="page"/>
      </w:r>
    </w:p>
    <w:p w14:paraId="66F47826" w14:textId="52EA9D20" w:rsidR="00CE6472" w:rsidRPr="0064746D" w:rsidRDefault="00CE6472" w:rsidP="0064746D">
      <w:pPr>
        <w:pStyle w:val="Heading1"/>
        <w:rPr>
          <w:rFonts w:ascii="Calibri" w:eastAsia="Calibri" w:hAnsi="Calibri" w:cs="Calibri"/>
          <w:b/>
          <w:bCs/>
          <w:color w:val="auto"/>
          <w:sz w:val="22"/>
          <w:szCs w:val="22"/>
        </w:rPr>
      </w:pPr>
      <w:bookmarkStart w:id="9" w:name="_Toc214541306"/>
      <w:r w:rsidRPr="0064746D">
        <w:rPr>
          <w:rFonts w:ascii="Calibri" w:eastAsia="Calibri" w:hAnsi="Calibri" w:cs="Calibri"/>
          <w:b/>
          <w:bCs/>
          <w:color w:val="auto"/>
          <w:sz w:val="22"/>
          <w:szCs w:val="22"/>
        </w:rPr>
        <w:lastRenderedPageBreak/>
        <w:t>Supplementary references</w:t>
      </w:r>
      <w:bookmarkEnd w:id="9"/>
    </w:p>
    <w:p w14:paraId="2B8144DF" w14:textId="77777777" w:rsidR="00CE6472" w:rsidRDefault="00CE6472" w:rsidP="542899F4">
      <w:pPr>
        <w:rPr>
          <w:rFonts w:ascii="Calibri" w:eastAsia="Calibri" w:hAnsi="Calibri" w:cs="Calibri"/>
          <w:b/>
          <w:bCs/>
        </w:rPr>
      </w:pPr>
    </w:p>
    <w:p w14:paraId="0D19B2D4" w14:textId="77777777" w:rsidR="00CE6472" w:rsidRPr="00CE6472" w:rsidRDefault="00CE6472" w:rsidP="00CE6472">
      <w:pPr>
        <w:pStyle w:val="Bibliography"/>
        <w:rPr>
          <w:rFonts w:ascii="Calibri" w:hAnsi="Calibri" w:cs="Calibri"/>
        </w:rPr>
      </w:pPr>
      <w:r>
        <w:rPr>
          <w:rFonts w:ascii="Calibri" w:eastAsia="Calibri" w:hAnsi="Calibri" w:cs="Calibri"/>
        </w:rPr>
        <w:fldChar w:fldCharType="begin"/>
      </w:r>
      <w:r>
        <w:rPr>
          <w:rFonts w:ascii="Calibri" w:eastAsia="Calibri" w:hAnsi="Calibri" w:cs="Calibri"/>
        </w:rPr>
        <w:instrText xml:space="preserve"> ADDIN ZOTERO_BIBL {"uncited":[],"omitted":[],"custom":[]} CSL_BIBLIOGRAPHY </w:instrText>
      </w:r>
      <w:r>
        <w:rPr>
          <w:rFonts w:ascii="Calibri" w:eastAsia="Calibri" w:hAnsi="Calibri" w:cs="Calibri"/>
        </w:rPr>
        <w:fldChar w:fldCharType="separate"/>
      </w:r>
      <w:r w:rsidRPr="00CE6472">
        <w:rPr>
          <w:rFonts w:ascii="Calibri" w:hAnsi="Calibri" w:cs="Calibri"/>
        </w:rPr>
        <w:t>1.</w:t>
      </w:r>
      <w:r w:rsidRPr="00CE6472">
        <w:rPr>
          <w:rFonts w:ascii="Calibri" w:hAnsi="Calibri" w:cs="Calibri"/>
        </w:rPr>
        <w:tab/>
        <w:t xml:space="preserve">Alty J, Lawler K, Salmon K, McDonald S, Stuart K, Cleary A, et al. A new one‐stop interdisciplinary cognitive clinic model tackles rural health inequality and halves the time to diagnosis: Benchmarked against a national dementia registry. Int J Geriat Psychiatry. 2023 Aug;38(8):e5988. </w:t>
      </w:r>
    </w:p>
    <w:p w14:paraId="2DEE38E5" w14:textId="77777777" w:rsidR="00CE6472" w:rsidRPr="00CE6472" w:rsidRDefault="00CE6472" w:rsidP="00CE6472">
      <w:pPr>
        <w:pStyle w:val="Bibliography"/>
        <w:rPr>
          <w:rFonts w:ascii="Calibri" w:hAnsi="Calibri" w:cs="Calibri"/>
        </w:rPr>
      </w:pPr>
      <w:r w:rsidRPr="00CE6472">
        <w:rPr>
          <w:rFonts w:ascii="Calibri" w:hAnsi="Calibri" w:cs="Calibri"/>
        </w:rPr>
        <w:t>2.</w:t>
      </w:r>
      <w:r w:rsidRPr="00CE6472">
        <w:rPr>
          <w:rFonts w:ascii="Calibri" w:hAnsi="Calibri" w:cs="Calibri"/>
        </w:rPr>
        <w:tab/>
        <w:t xml:space="preserve">Bloniecki V, Hagman G, Ryden M, Kivipelto M. Digital Screening for Cognitive Impairment — A Proof of Concept Study. The Journal of Prevention of Alzheimer’s Disease. 2021 Apr;8(2):127–34. </w:t>
      </w:r>
    </w:p>
    <w:p w14:paraId="270986C7" w14:textId="77777777" w:rsidR="00CE6472" w:rsidRPr="00CE6472" w:rsidRDefault="00CE6472" w:rsidP="00CE6472">
      <w:pPr>
        <w:pStyle w:val="Bibliography"/>
        <w:rPr>
          <w:rFonts w:ascii="Calibri" w:hAnsi="Calibri" w:cs="Calibri"/>
        </w:rPr>
      </w:pPr>
      <w:r w:rsidRPr="00CE6472">
        <w:rPr>
          <w:rFonts w:ascii="Calibri" w:hAnsi="Calibri" w:cs="Calibri"/>
        </w:rPr>
        <w:t>3.</w:t>
      </w:r>
      <w:r w:rsidRPr="00CE6472">
        <w:rPr>
          <w:rFonts w:ascii="Calibri" w:hAnsi="Calibri" w:cs="Calibri"/>
        </w:rPr>
        <w:tab/>
        <w:t xml:space="preserve">Borelli WV, De Senna PN, Brum WS, Schumacher-Schuh AF, Zimmer ER, Fagundes Chaves ML, et al. Functional Cognitive Disorder Presents High Frequency and Distinct Clinical Profile in Patients With Low Education. Front Aging Neurosci. 2022 Mar 31;14:789190. </w:t>
      </w:r>
    </w:p>
    <w:p w14:paraId="3384551D" w14:textId="77777777" w:rsidR="00CE6472" w:rsidRPr="00CE6472" w:rsidRDefault="00CE6472" w:rsidP="00CE6472">
      <w:pPr>
        <w:pStyle w:val="Bibliography"/>
        <w:rPr>
          <w:rFonts w:ascii="Calibri" w:hAnsi="Calibri" w:cs="Calibri"/>
        </w:rPr>
      </w:pPr>
      <w:r w:rsidRPr="00CE6472">
        <w:rPr>
          <w:rFonts w:ascii="Calibri" w:hAnsi="Calibri" w:cs="Calibri"/>
        </w:rPr>
        <w:t>4.</w:t>
      </w:r>
      <w:r w:rsidRPr="00CE6472">
        <w:rPr>
          <w:rFonts w:ascii="Calibri" w:hAnsi="Calibri" w:cs="Calibri"/>
        </w:rPr>
        <w:tab/>
        <w:t xml:space="preserve">Cook LD, Souris H, Isaacs JD. Differences in care between younger and older patients in the 2019 English national memory service audit. BJPsych Bull. 2022 Dec;46(6):315–21. </w:t>
      </w:r>
    </w:p>
    <w:p w14:paraId="76C204AF" w14:textId="77777777" w:rsidR="00CE6472" w:rsidRPr="00CE6472" w:rsidRDefault="00CE6472" w:rsidP="00CE6472">
      <w:pPr>
        <w:pStyle w:val="Bibliography"/>
        <w:rPr>
          <w:rFonts w:ascii="Calibri" w:hAnsi="Calibri" w:cs="Calibri"/>
        </w:rPr>
      </w:pPr>
      <w:r w:rsidRPr="00CE6472">
        <w:rPr>
          <w:rFonts w:ascii="Calibri" w:hAnsi="Calibri" w:cs="Calibri"/>
        </w:rPr>
        <w:t>5.</w:t>
      </w:r>
      <w:r w:rsidRPr="00CE6472">
        <w:rPr>
          <w:rFonts w:ascii="Calibri" w:hAnsi="Calibri" w:cs="Calibri"/>
        </w:rPr>
        <w:tab/>
        <w:t xml:space="preserve">Diaz MM, Custodio N, Montesinos R, Lira D, Herrera-Perez E, Pintado-Caipa M, et al. Thyroid Dysfunction, Vitamin B12, and Folic Acid Deficiencies Are Not Associated With Cognitive Impairment in Older Adults in Lima, Peru. Front Public Health. 2021 Sept 6;9:676518. </w:t>
      </w:r>
    </w:p>
    <w:p w14:paraId="0C3AB4E6" w14:textId="77777777" w:rsidR="00CE6472" w:rsidRPr="00CE6472" w:rsidRDefault="00CE6472" w:rsidP="00CE6472">
      <w:pPr>
        <w:pStyle w:val="Bibliography"/>
        <w:rPr>
          <w:rFonts w:ascii="Calibri" w:hAnsi="Calibri" w:cs="Calibri"/>
        </w:rPr>
      </w:pPr>
      <w:r w:rsidRPr="00CE6472">
        <w:rPr>
          <w:rFonts w:ascii="Calibri" w:hAnsi="Calibri" w:cs="Calibri"/>
        </w:rPr>
        <w:t>6.</w:t>
      </w:r>
      <w:r w:rsidRPr="00CE6472">
        <w:rPr>
          <w:rFonts w:ascii="Calibri" w:hAnsi="Calibri" w:cs="Calibri"/>
        </w:rPr>
        <w:tab/>
        <w:t xml:space="preserve">Ekman U, Ferreira D, Muehlboeck JS, Wallert J, Rennie A, Eriksdotter M, et al. The MemClin project: a prospective multi memory clinics study targeting early stages of cognitive impairment. BMC Geriatr. 2020 Dec;20(1):93. </w:t>
      </w:r>
    </w:p>
    <w:p w14:paraId="433A90D4" w14:textId="77777777" w:rsidR="00CE6472" w:rsidRPr="00CE6472" w:rsidRDefault="00CE6472" w:rsidP="00CE6472">
      <w:pPr>
        <w:pStyle w:val="Bibliography"/>
        <w:rPr>
          <w:rFonts w:ascii="Calibri" w:hAnsi="Calibri" w:cs="Calibri"/>
        </w:rPr>
      </w:pPr>
      <w:r w:rsidRPr="00CE6472">
        <w:rPr>
          <w:rFonts w:ascii="Calibri" w:hAnsi="Calibri" w:cs="Calibri"/>
        </w:rPr>
        <w:t>7.</w:t>
      </w:r>
      <w:r w:rsidRPr="00CE6472">
        <w:rPr>
          <w:rFonts w:ascii="Calibri" w:hAnsi="Calibri" w:cs="Calibri"/>
        </w:rPr>
        <w:tab/>
        <w:t xml:space="preserve">Goldstein FC, Hajjar I, Summers A, Truong AD, Lee FFEH, Han JE, et al. Frequency and correlates of subjective cognitive complaints and objective cognitive screening results in African American adults following COVID-19 infection. Brain, Behavior, &amp; Immunity - Health. 2023 Dec;34:100691. </w:t>
      </w:r>
    </w:p>
    <w:p w14:paraId="38D2F47A" w14:textId="77777777" w:rsidR="00CE6472" w:rsidRPr="00CE6472" w:rsidRDefault="00CE6472" w:rsidP="00CE6472">
      <w:pPr>
        <w:pStyle w:val="Bibliography"/>
        <w:rPr>
          <w:rFonts w:ascii="Calibri" w:hAnsi="Calibri" w:cs="Calibri"/>
        </w:rPr>
      </w:pPr>
      <w:r w:rsidRPr="00CE6472">
        <w:rPr>
          <w:rFonts w:ascii="Calibri" w:hAnsi="Calibri" w:cs="Calibri"/>
        </w:rPr>
        <w:t>8.</w:t>
      </w:r>
      <w:r w:rsidRPr="00CE6472">
        <w:rPr>
          <w:rFonts w:ascii="Calibri" w:hAnsi="Calibri" w:cs="Calibri"/>
        </w:rPr>
        <w:tab/>
        <w:t xml:space="preserve">Grewal KS, O’Connell ME, Kirk A, MacDonald SWS, Morgan D. Intraindividual variability measured with dispersion across diagnostic groups in a memory clinic sample. Applied Neuropsychology: Adult. 2023 Nov 2;30(6):639–48. </w:t>
      </w:r>
    </w:p>
    <w:p w14:paraId="0FF9AF89" w14:textId="77777777" w:rsidR="00CE6472" w:rsidRPr="00CE6472" w:rsidRDefault="00CE6472" w:rsidP="00CE6472">
      <w:pPr>
        <w:pStyle w:val="Bibliography"/>
        <w:rPr>
          <w:rFonts w:ascii="Calibri" w:hAnsi="Calibri" w:cs="Calibri"/>
        </w:rPr>
      </w:pPr>
      <w:r w:rsidRPr="00CE6472">
        <w:rPr>
          <w:rFonts w:ascii="Calibri" w:hAnsi="Calibri" w:cs="Calibri"/>
        </w:rPr>
        <w:t>9.</w:t>
      </w:r>
      <w:r w:rsidRPr="00CE6472">
        <w:rPr>
          <w:rFonts w:ascii="Calibri" w:hAnsi="Calibri" w:cs="Calibri"/>
        </w:rPr>
        <w:tab/>
        <w:t xml:space="preserve">Heikkinen AL, Paajanen TI, Hänninen T, Tikkanen V, Hublin C, Koivisto AM, et al. Neuropsychological Profiles, Etiologies, and Medical Comorbidities in Early-Onset Dementia and Cognitive Impairment: A Memory Outpatient Clinic Cohort Study. Journal of Alzheimer’s Disease. 2024 Feb 13;97(4):1765–76. </w:t>
      </w:r>
    </w:p>
    <w:p w14:paraId="78CFCB9F" w14:textId="77777777" w:rsidR="00CE6472" w:rsidRPr="00CE6472" w:rsidRDefault="00CE6472" w:rsidP="00CE6472">
      <w:pPr>
        <w:pStyle w:val="Bibliography"/>
        <w:rPr>
          <w:rFonts w:ascii="Calibri" w:hAnsi="Calibri" w:cs="Calibri"/>
        </w:rPr>
      </w:pPr>
      <w:r w:rsidRPr="00CE6472">
        <w:rPr>
          <w:rFonts w:ascii="Calibri" w:hAnsi="Calibri" w:cs="Calibri"/>
        </w:rPr>
        <w:t>10.</w:t>
      </w:r>
      <w:r w:rsidRPr="00CE6472">
        <w:rPr>
          <w:rFonts w:ascii="Calibri" w:hAnsi="Calibri" w:cs="Calibri"/>
        </w:rPr>
        <w:tab/>
        <w:t xml:space="preserve">Kao S, Chen S, Li Y, Lo RY. Diagnostic diversity among patients with cognitive complaints: A 3‐year follow‐up study in a memory clinic. Int J Geriat Psychiatry. 2019 Dec;34(12):1900–6. </w:t>
      </w:r>
    </w:p>
    <w:p w14:paraId="56C37D15" w14:textId="77777777" w:rsidR="00CE6472" w:rsidRPr="00CE6472" w:rsidRDefault="00CE6472" w:rsidP="00CE6472">
      <w:pPr>
        <w:pStyle w:val="Bibliography"/>
        <w:rPr>
          <w:rFonts w:ascii="Calibri" w:hAnsi="Calibri" w:cs="Calibri"/>
        </w:rPr>
      </w:pPr>
      <w:r w:rsidRPr="00CE6472">
        <w:rPr>
          <w:rFonts w:ascii="Calibri" w:hAnsi="Calibri" w:cs="Calibri"/>
        </w:rPr>
        <w:t>11.</w:t>
      </w:r>
      <w:r w:rsidRPr="00CE6472">
        <w:rPr>
          <w:rFonts w:ascii="Calibri" w:hAnsi="Calibri" w:cs="Calibri"/>
        </w:rPr>
        <w:tab/>
        <w:t xml:space="preserve">Kosteniuk J, Morgan DG, Acan Osman B, Islam N, O’Connell ME, Kirk A, et al. Utilization of Health Services Before and After Diagnosis in a Specialist Rural and Remote Memory Clinic. Can Geriatr J. 2023 Sept 1;26(3):350–63. </w:t>
      </w:r>
    </w:p>
    <w:p w14:paraId="24A2853E" w14:textId="77777777" w:rsidR="00CE6472" w:rsidRPr="00CE6472" w:rsidRDefault="00CE6472" w:rsidP="00CE6472">
      <w:pPr>
        <w:pStyle w:val="Bibliography"/>
        <w:rPr>
          <w:rFonts w:ascii="Calibri" w:hAnsi="Calibri" w:cs="Calibri"/>
        </w:rPr>
      </w:pPr>
      <w:r w:rsidRPr="00CE6472">
        <w:rPr>
          <w:rFonts w:ascii="Calibri" w:hAnsi="Calibri" w:cs="Calibri"/>
        </w:rPr>
        <w:t>12.</w:t>
      </w:r>
      <w:r w:rsidRPr="00CE6472">
        <w:rPr>
          <w:rFonts w:ascii="Calibri" w:hAnsi="Calibri" w:cs="Calibri"/>
        </w:rPr>
        <w:tab/>
        <w:t xml:space="preserve">Messinis L, O’Donovan MR, Molloy DW, Mougias A, Nasios G, Papathanasopoulos P, et al. Comparison of the Greek Version of the Quick Mild Cognitive Impairment Screen and Standardised Mini-Mental State Examination. Archives of Clinical Neuropsychology. 2021 May 21;36(4):578–86. </w:t>
      </w:r>
    </w:p>
    <w:p w14:paraId="09DE639C" w14:textId="77777777" w:rsidR="00CE6472" w:rsidRPr="00CE6472" w:rsidRDefault="00CE6472" w:rsidP="00CE6472">
      <w:pPr>
        <w:pStyle w:val="Bibliography"/>
        <w:rPr>
          <w:rFonts w:ascii="Calibri" w:hAnsi="Calibri" w:cs="Calibri"/>
        </w:rPr>
      </w:pPr>
      <w:r w:rsidRPr="00CE6472">
        <w:rPr>
          <w:rFonts w:ascii="Calibri" w:hAnsi="Calibri" w:cs="Calibri"/>
        </w:rPr>
        <w:t>13.</w:t>
      </w:r>
      <w:r w:rsidRPr="00CE6472">
        <w:rPr>
          <w:rFonts w:ascii="Calibri" w:hAnsi="Calibri" w:cs="Calibri"/>
        </w:rPr>
        <w:tab/>
        <w:t xml:space="preserve">Messinis L, Nasios G, Mougias A, Patrikelis P, Malefaki S, Panagiotopoulos V, et al. Comparison of the Greek Version of the Quick Mild Cognitive Impairment Screen and Montreal Cognitive Assessment in Older Adults. Healthcare. 2022 May 13;10(5):906. </w:t>
      </w:r>
    </w:p>
    <w:p w14:paraId="33A0011C" w14:textId="77777777" w:rsidR="00CE6472" w:rsidRPr="00CE6472" w:rsidRDefault="00CE6472" w:rsidP="00CE6472">
      <w:pPr>
        <w:pStyle w:val="Bibliography"/>
        <w:rPr>
          <w:rFonts w:ascii="Calibri" w:hAnsi="Calibri" w:cs="Calibri"/>
        </w:rPr>
      </w:pPr>
      <w:r w:rsidRPr="00CE6472">
        <w:rPr>
          <w:rFonts w:ascii="Calibri" w:hAnsi="Calibri" w:cs="Calibri"/>
        </w:rPr>
        <w:t>14.</w:t>
      </w:r>
      <w:r w:rsidRPr="00CE6472">
        <w:rPr>
          <w:rFonts w:ascii="Calibri" w:hAnsi="Calibri" w:cs="Calibri"/>
        </w:rPr>
        <w:tab/>
        <w:t xml:space="preserve">Mukaetova-Ladinska EB, Abdullah S, Critchfield M, Maltby J. Suspected Dementia in Young Adults: Cognitive Screening Tools for Use in Primary Care. JAD. 2022 Mar 8;86(1):333–41. </w:t>
      </w:r>
    </w:p>
    <w:p w14:paraId="1C5753CF" w14:textId="77777777" w:rsidR="00CE6472" w:rsidRPr="00CE6472" w:rsidRDefault="00CE6472" w:rsidP="00CE6472">
      <w:pPr>
        <w:pStyle w:val="Bibliography"/>
        <w:rPr>
          <w:rFonts w:ascii="Calibri" w:hAnsi="Calibri" w:cs="Calibri"/>
        </w:rPr>
      </w:pPr>
      <w:r w:rsidRPr="00CE6472">
        <w:rPr>
          <w:rFonts w:ascii="Calibri" w:hAnsi="Calibri" w:cs="Calibri"/>
        </w:rPr>
        <w:lastRenderedPageBreak/>
        <w:t>15.</w:t>
      </w:r>
      <w:r w:rsidRPr="00CE6472">
        <w:rPr>
          <w:rFonts w:ascii="Calibri" w:hAnsi="Calibri" w:cs="Calibri"/>
        </w:rPr>
        <w:tab/>
        <w:t xml:space="preserve">Palmqvist S, Tideman P, Mattsson-Carlgren N, Schindler SE, Smith R, Ossenkoppele R, et al. Blood Biomarkers to Detect Alzheimer Disease in Primary Care and Secondary Care. JAMA. 2024 Oct 15;332(15):1245. </w:t>
      </w:r>
    </w:p>
    <w:p w14:paraId="5D36EE5C" w14:textId="77777777" w:rsidR="00CE6472" w:rsidRPr="00CE6472" w:rsidRDefault="00CE6472" w:rsidP="00CE6472">
      <w:pPr>
        <w:pStyle w:val="Bibliography"/>
        <w:rPr>
          <w:rFonts w:ascii="Calibri" w:hAnsi="Calibri" w:cs="Calibri"/>
        </w:rPr>
      </w:pPr>
      <w:r w:rsidRPr="00CE6472">
        <w:rPr>
          <w:rFonts w:ascii="Calibri" w:hAnsi="Calibri" w:cs="Calibri"/>
        </w:rPr>
        <w:t>16.</w:t>
      </w:r>
      <w:r w:rsidRPr="00CE6472">
        <w:rPr>
          <w:rFonts w:ascii="Calibri" w:hAnsi="Calibri" w:cs="Calibri"/>
        </w:rPr>
        <w:tab/>
        <w:t xml:space="preserve">Pereira ML, Vasconcelos THFD, Oliveira AARD, Campagnolo SB, Figueiredo SDO, Guimarães AFBC, et al. Memory complaints at primary care in a middle-income country: clinical and neuropsychological characterization. Dement neuropsychol. 2021 Mar;15(1):88–97. </w:t>
      </w:r>
    </w:p>
    <w:p w14:paraId="1F63282D" w14:textId="77777777" w:rsidR="00CE6472" w:rsidRPr="00CE6472" w:rsidRDefault="00CE6472" w:rsidP="00CE6472">
      <w:pPr>
        <w:pStyle w:val="Bibliography"/>
        <w:rPr>
          <w:rFonts w:ascii="Calibri" w:hAnsi="Calibri" w:cs="Calibri"/>
        </w:rPr>
      </w:pPr>
      <w:r w:rsidRPr="00CE6472">
        <w:rPr>
          <w:rFonts w:ascii="Calibri" w:hAnsi="Calibri" w:cs="Calibri"/>
        </w:rPr>
        <w:t>17.</w:t>
      </w:r>
      <w:r w:rsidRPr="00CE6472">
        <w:rPr>
          <w:rFonts w:ascii="Calibri" w:hAnsi="Calibri" w:cs="Calibri"/>
        </w:rPr>
        <w:tab/>
        <w:t>Rosenberg A, Öhlund-Wistbacka U, Hall A, Bonnard A, Hagman G, Rydén M, et al. β-Amyloid, Tau, Neurodegeneration Classification and Eligibility for Anti-amyloid Treatment in a Memory Clinic Population. Neurology [Internet]. 2022 Nov 8 [cited 2025 Aug 5];99(19). Available from: https://www.neurology.org/doi/10.1212/WNL.0000000000201043</w:t>
      </w:r>
    </w:p>
    <w:p w14:paraId="3A08F747" w14:textId="77777777" w:rsidR="00CE6472" w:rsidRPr="00CE6472" w:rsidRDefault="00CE6472" w:rsidP="00CE6472">
      <w:pPr>
        <w:pStyle w:val="Bibliography"/>
        <w:rPr>
          <w:rFonts w:ascii="Calibri" w:hAnsi="Calibri" w:cs="Calibri"/>
        </w:rPr>
      </w:pPr>
      <w:r w:rsidRPr="00CE6472">
        <w:rPr>
          <w:rFonts w:ascii="Calibri" w:hAnsi="Calibri" w:cs="Calibri"/>
        </w:rPr>
        <w:t>18.</w:t>
      </w:r>
      <w:r w:rsidRPr="00CE6472">
        <w:rPr>
          <w:rFonts w:ascii="Calibri" w:hAnsi="Calibri" w:cs="Calibri"/>
        </w:rPr>
        <w:tab/>
        <w:t xml:space="preserve">Ruchinskas R. Wechsler adult intelligence scale-4th edition digit span performance in subjective cognitive complaints, amnestic mild cognitive impairment, and probable dementia of the Alzheimer type. The Clinical Neuropsychologist. 2019 Nov 17;33(8):1436–44. </w:t>
      </w:r>
    </w:p>
    <w:p w14:paraId="050329BA" w14:textId="77777777" w:rsidR="00CE6472" w:rsidRPr="00CE6472" w:rsidRDefault="00CE6472" w:rsidP="00CE6472">
      <w:pPr>
        <w:pStyle w:val="Bibliography"/>
        <w:rPr>
          <w:rFonts w:ascii="Calibri" w:hAnsi="Calibri" w:cs="Calibri"/>
        </w:rPr>
      </w:pPr>
      <w:r w:rsidRPr="00CE6472">
        <w:rPr>
          <w:rFonts w:ascii="Calibri" w:hAnsi="Calibri" w:cs="Calibri"/>
        </w:rPr>
        <w:t>19.</w:t>
      </w:r>
      <w:r w:rsidRPr="00CE6472">
        <w:rPr>
          <w:rFonts w:ascii="Calibri" w:hAnsi="Calibri" w:cs="Calibri"/>
        </w:rPr>
        <w:tab/>
        <w:t xml:space="preserve">Ruchinskas R, Goette W. Reynolds Intellectual Screening Instrument 1st versus 2nd Edition in a Memory Disorder Sample. Archives of Clinical Neuropsychology. 2021 May 21;36(4):570–7. </w:t>
      </w:r>
    </w:p>
    <w:p w14:paraId="65646A42" w14:textId="77777777" w:rsidR="00CE6472" w:rsidRPr="00CE6472" w:rsidRDefault="00CE6472" w:rsidP="00CE6472">
      <w:pPr>
        <w:pStyle w:val="Bibliography"/>
        <w:rPr>
          <w:rFonts w:ascii="Calibri" w:hAnsi="Calibri" w:cs="Calibri"/>
        </w:rPr>
      </w:pPr>
      <w:r w:rsidRPr="00CE6472">
        <w:rPr>
          <w:rFonts w:ascii="Calibri" w:hAnsi="Calibri" w:cs="Calibri"/>
        </w:rPr>
        <w:t>20.</w:t>
      </w:r>
      <w:r w:rsidRPr="00CE6472">
        <w:rPr>
          <w:rFonts w:ascii="Calibri" w:hAnsi="Calibri" w:cs="Calibri"/>
        </w:rPr>
        <w:tab/>
        <w:t xml:space="preserve">Xu Y, Lin Y, Yi L, Li Z, Li X, Yu Y, et al. Screening for Cognitive Frailty Using Short Cognitive Screening Instruments: Comparison of the Chinese Versions of the MoCA and Qmci Screen. Front Psychol. 2020 Apr 3;11:558. </w:t>
      </w:r>
    </w:p>
    <w:p w14:paraId="584D4DD3" w14:textId="77777777" w:rsidR="00CE6472" w:rsidRPr="00CE6472" w:rsidRDefault="00CE6472" w:rsidP="00CE6472">
      <w:pPr>
        <w:pStyle w:val="Bibliography"/>
        <w:rPr>
          <w:rFonts w:ascii="Calibri" w:hAnsi="Calibri" w:cs="Calibri"/>
        </w:rPr>
      </w:pPr>
      <w:r w:rsidRPr="00CE6472">
        <w:rPr>
          <w:rFonts w:ascii="Calibri" w:hAnsi="Calibri" w:cs="Calibri"/>
        </w:rPr>
        <w:t>21.</w:t>
      </w:r>
      <w:r w:rsidRPr="00CE6472">
        <w:rPr>
          <w:rFonts w:ascii="Calibri" w:hAnsi="Calibri" w:cs="Calibri"/>
        </w:rPr>
        <w:tab/>
        <w:t xml:space="preserve">Yavuz Veizi BG, Oğuz EO, Ilkin Naharci M. Subjective Memory Complaints in Older Adults: The Role of Polypharmacy and Anticholinergic Burden. J Geriatr Psychiatry Neurol. 2025 May;08919887251339837. </w:t>
      </w:r>
    </w:p>
    <w:p w14:paraId="560D514B" w14:textId="378C589A" w:rsidR="00CE6472" w:rsidRPr="00CE6472" w:rsidRDefault="00CE6472" w:rsidP="542899F4">
      <w:pPr>
        <w:rPr>
          <w:rFonts w:ascii="Calibri" w:eastAsia="Calibri" w:hAnsi="Calibri" w:cs="Calibri"/>
        </w:rPr>
      </w:pPr>
      <w:r>
        <w:rPr>
          <w:rFonts w:ascii="Calibri" w:eastAsia="Calibri" w:hAnsi="Calibri" w:cs="Calibri"/>
        </w:rPr>
        <w:fldChar w:fldCharType="end"/>
      </w:r>
    </w:p>
    <w:sectPr w:rsidR="00CE6472" w:rsidRPr="00CE647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45F343" w14:textId="77777777" w:rsidR="00A212E3" w:rsidRDefault="00A212E3">
      <w:pPr>
        <w:spacing w:line="240" w:lineRule="auto"/>
      </w:pPr>
      <w:r>
        <w:separator/>
      </w:r>
    </w:p>
  </w:endnote>
  <w:endnote w:type="continuationSeparator" w:id="0">
    <w:p w14:paraId="2DCF1512" w14:textId="77777777" w:rsidR="00A212E3" w:rsidRDefault="00A212E3">
      <w:pPr>
        <w:spacing w:line="240" w:lineRule="auto"/>
      </w:pPr>
      <w:r>
        <w:continuationSeparator/>
      </w:r>
    </w:p>
  </w:endnote>
  <w:endnote w:type="continuationNotice" w:id="1">
    <w:p w14:paraId="3FA541D2" w14:textId="77777777" w:rsidR="00A212E3" w:rsidRDefault="00A212E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hAnsi="Calibri" w:cs="Calibri"/>
      </w:rPr>
      <w:id w:val="-680350789"/>
      <w:docPartObj>
        <w:docPartGallery w:val="Page Numbers (Bottom of Page)"/>
        <w:docPartUnique/>
      </w:docPartObj>
    </w:sdtPr>
    <w:sdtEndPr>
      <w:rPr>
        <w:noProof/>
      </w:rPr>
    </w:sdtEndPr>
    <w:sdtContent>
      <w:p w14:paraId="3F5DFB72" w14:textId="61A400A7" w:rsidR="0082098A" w:rsidRPr="005245A1" w:rsidRDefault="0082098A">
        <w:pPr>
          <w:pStyle w:val="Footer"/>
          <w:jc w:val="center"/>
          <w:rPr>
            <w:rFonts w:ascii="Calibri" w:hAnsi="Calibri" w:cs="Calibri"/>
          </w:rPr>
        </w:pPr>
        <w:r w:rsidRPr="005245A1">
          <w:rPr>
            <w:rFonts w:ascii="Calibri" w:hAnsi="Calibri" w:cs="Calibri"/>
          </w:rPr>
          <w:fldChar w:fldCharType="begin"/>
        </w:r>
        <w:r w:rsidRPr="005245A1">
          <w:rPr>
            <w:rFonts w:ascii="Calibri" w:hAnsi="Calibri" w:cs="Calibri"/>
          </w:rPr>
          <w:instrText xml:space="preserve"> PAGE   \* MERGEFORMAT </w:instrText>
        </w:r>
        <w:r w:rsidRPr="005245A1">
          <w:rPr>
            <w:rFonts w:ascii="Calibri" w:hAnsi="Calibri" w:cs="Calibri"/>
          </w:rPr>
          <w:fldChar w:fldCharType="separate"/>
        </w:r>
        <w:r w:rsidRPr="005245A1">
          <w:rPr>
            <w:rFonts w:ascii="Calibri" w:hAnsi="Calibri" w:cs="Calibri"/>
            <w:noProof/>
          </w:rPr>
          <w:t>2</w:t>
        </w:r>
        <w:r w:rsidRPr="005245A1">
          <w:rPr>
            <w:rFonts w:ascii="Calibri" w:hAnsi="Calibri" w:cs="Calibri"/>
            <w:noProof/>
          </w:rPr>
          <w:fldChar w:fldCharType="end"/>
        </w:r>
      </w:p>
    </w:sdtContent>
  </w:sdt>
  <w:p w14:paraId="1C79241E" w14:textId="77777777" w:rsidR="00337A75" w:rsidRDefault="00337A75" w:rsidP="00B44E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AFFBF" w14:textId="77777777" w:rsidR="00A212E3" w:rsidRDefault="00A212E3">
      <w:pPr>
        <w:spacing w:line="240" w:lineRule="auto"/>
      </w:pPr>
      <w:r>
        <w:separator/>
      </w:r>
    </w:p>
  </w:footnote>
  <w:footnote w:type="continuationSeparator" w:id="0">
    <w:p w14:paraId="0075FF81" w14:textId="77777777" w:rsidR="00A212E3" w:rsidRDefault="00A212E3">
      <w:pPr>
        <w:spacing w:line="240" w:lineRule="auto"/>
      </w:pPr>
      <w:r>
        <w:continuationSeparator/>
      </w:r>
    </w:p>
  </w:footnote>
  <w:footnote w:type="continuationNotice" w:id="1">
    <w:p w14:paraId="6EE0FC4A" w14:textId="77777777" w:rsidR="00A212E3" w:rsidRDefault="00A212E3">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EEyPo/SFO03sgP" int2:id="t9FS99v0">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E9382"/>
    <w:multiLevelType w:val="hybridMultilevel"/>
    <w:tmpl w:val="8AE033EE"/>
    <w:lvl w:ilvl="0" w:tplc="B896E318">
      <w:start w:val="1"/>
      <w:numFmt w:val="bullet"/>
      <w:lvlText w:val="-"/>
      <w:lvlJc w:val="left"/>
      <w:pPr>
        <w:ind w:left="720" w:hanging="360"/>
      </w:pPr>
      <w:rPr>
        <w:rFonts w:ascii="Aptos" w:hAnsi="Aptos" w:hint="default"/>
      </w:rPr>
    </w:lvl>
    <w:lvl w:ilvl="1" w:tplc="BB286A18">
      <w:start w:val="1"/>
      <w:numFmt w:val="bullet"/>
      <w:lvlText w:val="o"/>
      <w:lvlJc w:val="left"/>
      <w:pPr>
        <w:ind w:left="1440" w:hanging="360"/>
      </w:pPr>
      <w:rPr>
        <w:rFonts w:ascii="Courier New" w:hAnsi="Courier New" w:hint="default"/>
      </w:rPr>
    </w:lvl>
    <w:lvl w:ilvl="2" w:tplc="B4E2CD5C">
      <w:start w:val="1"/>
      <w:numFmt w:val="bullet"/>
      <w:lvlText w:val=""/>
      <w:lvlJc w:val="left"/>
      <w:pPr>
        <w:ind w:left="2160" w:hanging="360"/>
      </w:pPr>
      <w:rPr>
        <w:rFonts w:ascii="Wingdings" w:hAnsi="Wingdings" w:hint="default"/>
      </w:rPr>
    </w:lvl>
    <w:lvl w:ilvl="3" w:tplc="DA44FDB0">
      <w:start w:val="1"/>
      <w:numFmt w:val="bullet"/>
      <w:lvlText w:val=""/>
      <w:lvlJc w:val="left"/>
      <w:pPr>
        <w:ind w:left="2880" w:hanging="360"/>
      </w:pPr>
      <w:rPr>
        <w:rFonts w:ascii="Symbol" w:hAnsi="Symbol" w:hint="default"/>
      </w:rPr>
    </w:lvl>
    <w:lvl w:ilvl="4" w:tplc="E2127DFC">
      <w:start w:val="1"/>
      <w:numFmt w:val="bullet"/>
      <w:lvlText w:val="o"/>
      <w:lvlJc w:val="left"/>
      <w:pPr>
        <w:ind w:left="3600" w:hanging="360"/>
      </w:pPr>
      <w:rPr>
        <w:rFonts w:ascii="Courier New" w:hAnsi="Courier New" w:hint="default"/>
      </w:rPr>
    </w:lvl>
    <w:lvl w:ilvl="5" w:tplc="9258E524">
      <w:start w:val="1"/>
      <w:numFmt w:val="bullet"/>
      <w:lvlText w:val=""/>
      <w:lvlJc w:val="left"/>
      <w:pPr>
        <w:ind w:left="4320" w:hanging="360"/>
      </w:pPr>
      <w:rPr>
        <w:rFonts w:ascii="Wingdings" w:hAnsi="Wingdings" w:hint="default"/>
      </w:rPr>
    </w:lvl>
    <w:lvl w:ilvl="6" w:tplc="2E362986">
      <w:start w:val="1"/>
      <w:numFmt w:val="bullet"/>
      <w:lvlText w:val=""/>
      <w:lvlJc w:val="left"/>
      <w:pPr>
        <w:ind w:left="5040" w:hanging="360"/>
      </w:pPr>
      <w:rPr>
        <w:rFonts w:ascii="Symbol" w:hAnsi="Symbol" w:hint="default"/>
      </w:rPr>
    </w:lvl>
    <w:lvl w:ilvl="7" w:tplc="40EC17CC">
      <w:start w:val="1"/>
      <w:numFmt w:val="bullet"/>
      <w:lvlText w:val="o"/>
      <w:lvlJc w:val="left"/>
      <w:pPr>
        <w:ind w:left="5760" w:hanging="360"/>
      </w:pPr>
      <w:rPr>
        <w:rFonts w:ascii="Courier New" w:hAnsi="Courier New" w:hint="default"/>
      </w:rPr>
    </w:lvl>
    <w:lvl w:ilvl="8" w:tplc="532E6FE0">
      <w:start w:val="1"/>
      <w:numFmt w:val="bullet"/>
      <w:lvlText w:val=""/>
      <w:lvlJc w:val="left"/>
      <w:pPr>
        <w:ind w:left="6480" w:hanging="360"/>
      </w:pPr>
      <w:rPr>
        <w:rFonts w:ascii="Wingdings" w:hAnsi="Wingdings" w:hint="default"/>
      </w:rPr>
    </w:lvl>
  </w:abstractNum>
  <w:abstractNum w:abstractNumId="1" w15:restartNumberingAfterBreak="0">
    <w:nsid w:val="3CD4D2D7"/>
    <w:multiLevelType w:val="hybridMultilevel"/>
    <w:tmpl w:val="932A255A"/>
    <w:lvl w:ilvl="0" w:tplc="3AA64F04">
      <w:start w:val="1"/>
      <w:numFmt w:val="bullet"/>
      <w:lvlText w:val=""/>
      <w:lvlJc w:val="left"/>
      <w:pPr>
        <w:ind w:left="720" w:hanging="360"/>
      </w:pPr>
      <w:rPr>
        <w:rFonts w:ascii="Symbol" w:hAnsi="Symbol" w:hint="default"/>
      </w:rPr>
    </w:lvl>
    <w:lvl w:ilvl="1" w:tplc="D5A22116">
      <w:start w:val="1"/>
      <w:numFmt w:val="bullet"/>
      <w:lvlText w:val="o"/>
      <w:lvlJc w:val="left"/>
      <w:pPr>
        <w:ind w:left="1440" w:hanging="360"/>
      </w:pPr>
      <w:rPr>
        <w:rFonts w:ascii="Courier New" w:hAnsi="Courier New" w:hint="default"/>
      </w:rPr>
    </w:lvl>
    <w:lvl w:ilvl="2" w:tplc="A4F25D54">
      <w:start w:val="1"/>
      <w:numFmt w:val="bullet"/>
      <w:lvlText w:val=""/>
      <w:lvlJc w:val="left"/>
      <w:pPr>
        <w:ind w:left="2160" w:hanging="360"/>
      </w:pPr>
      <w:rPr>
        <w:rFonts w:ascii="Wingdings" w:hAnsi="Wingdings" w:hint="default"/>
      </w:rPr>
    </w:lvl>
    <w:lvl w:ilvl="3" w:tplc="C60C4462">
      <w:start w:val="1"/>
      <w:numFmt w:val="bullet"/>
      <w:lvlText w:val=""/>
      <w:lvlJc w:val="left"/>
      <w:pPr>
        <w:ind w:left="2880" w:hanging="360"/>
      </w:pPr>
      <w:rPr>
        <w:rFonts w:ascii="Symbol" w:hAnsi="Symbol" w:hint="default"/>
      </w:rPr>
    </w:lvl>
    <w:lvl w:ilvl="4" w:tplc="AF2E0332">
      <w:start w:val="1"/>
      <w:numFmt w:val="bullet"/>
      <w:lvlText w:val="o"/>
      <w:lvlJc w:val="left"/>
      <w:pPr>
        <w:ind w:left="3600" w:hanging="360"/>
      </w:pPr>
      <w:rPr>
        <w:rFonts w:ascii="Courier New" w:hAnsi="Courier New" w:hint="default"/>
      </w:rPr>
    </w:lvl>
    <w:lvl w:ilvl="5" w:tplc="FF8073C4">
      <w:start w:val="1"/>
      <w:numFmt w:val="bullet"/>
      <w:lvlText w:val=""/>
      <w:lvlJc w:val="left"/>
      <w:pPr>
        <w:ind w:left="4320" w:hanging="360"/>
      </w:pPr>
      <w:rPr>
        <w:rFonts w:ascii="Wingdings" w:hAnsi="Wingdings" w:hint="default"/>
      </w:rPr>
    </w:lvl>
    <w:lvl w:ilvl="6" w:tplc="9014E26C">
      <w:start w:val="1"/>
      <w:numFmt w:val="bullet"/>
      <w:lvlText w:val=""/>
      <w:lvlJc w:val="left"/>
      <w:pPr>
        <w:ind w:left="5040" w:hanging="360"/>
      </w:pPr>
      <w:rPr>
        <w:rFonts w:ascii="Symbol" w:hAnsi="Symbol" w:hint="default"/>
      </w:rPr>
    </w:lvl>
    <w:lvl w:ilvl="7" w:tplc="E6C83602">
      <w:start w:val="1"/>
      <w:numFmt w:val="bullet"/>
      <w:lvlText w:val="o"/>
      <w:lvlJc w:val="left"/>
      <w:pPr>
        <w:ind w:left="5760" w:hanging="360"/>
      </w:pPr>
      <w:rPr>
        <w:rFonts w:ascii="Courier New" w:hAnsi="Courier New" w:hint="default"/>
      </w:rPr>
    </w:lvl>
    <w:lvl w:ilvl="8" w:tplc="58F2CA7E">
      <w:start w:val="1"/>
      <w:numFmt w:val="bullet"/>
      <w:lvlText w:val=""/>
      <w:lvlJc w:val="left"/>
      <w:pPr>
        <w:ind w:left="6480" w:hanging="360"/>
      </w:pPr>
      <w:rPr>
        <w:rFonts w:ascii="Wingdings" w:hAnsi="Wingdings" w:hint="default"/>
      </w:rPr>
    </w:lvl>
  </w:abstractNum>
  <w:abstractNum w:abstractNumId="2" w15:restartNumberingAfterBreak="0">
    <w:nsid w:val="51752D28"/>
    <w:multiLevelType w:val="hybridMultilevel"/>
    <w:tmpl w:val="9AE0116A"/>
    <w:lvl w:ilvl="0" w:tplc="57641CCC">
      <w:start w:val="1"/>
      <w:numFmt w:val="bullet"/>
      <w:lvlText w:val="-"/>
      <w:lvlJc w:val="left"/>
      <w:pPr>
        <w:ind w:left="720" w:hanging="360"/>
      </w:pPr>
      <w:rPr>
        <w:rFonts w:ascii="Aptos" w:hAnsi="Aptos" w:hint="default"/>
      </w:rPr>
    </w:lvl>
    <w:lvl w:ilvl="1" w:tplc="047C5134">
      <w:start w:val="1"/>
      <w:numFmt w:val="bullet"/>
      <w:lvlText w:val="o"/>
      <w:lvlJc w:val="left"/>
      <w:pPr>
        <w:ind w:left="1440" w:hanging="360"/>
      </w:pPr>
      <w:rPr>
        <w:rFonts w:ascii="Courier New" w:hAnsi="Courier New" w:hint="default"/>
      </w:rPr>
    </w:lvl>
    <w:lvl w:ilvl="2" w:tplc="91283B82">
      <w:start w:val="1"/>
      <w:numFmt w:val="bullet"/>
      <w:lvlText w:val=""/>
      <w:lvlJc w:val="left"/>
      <w:pPr>
        <w:ind w:left="2160" w:hanging="360"/>
      </w:pPr>
      <w:rPr>
        <w:rFonts w:ascii="Wingdings" w:hAnsi="Wingdings" w:hint="default"/>
      </w:rPr>
    </w:lvl>
    <w:lvl w:ilvl="3" w:tplc="7E60B6F8">
      <w:start w:val="1"/>
      <w:numFmt w:val="bullet"/>
      <w:lvlText w:val=""/>
      <w:lvlJc w:val="left"/>
      <w:pPr>
        <w:ind w:left="2880" w:hanging="360"/>
      </w:pPr>
      <w:rPr>
        <w:rFonts w:ascii="Symbol" w:hAnsi="Symbol" w:hint="default"/>
      </w:rPr>
    </w:lvl>
    <w:lvl w:ilvl="4" w:tplc="DC4C1474">
      <w:start w:val="1"/>
      <w:numFmt w:val="bullet"/>
      <w:lvlText w:val="o"/>
      <w:lvlJc w:val="left"/>
      <w:pPr>
        <w:ind w:left="3600" w:hanging="360"/>
      </w:pPr>
      <w:rPr>
        <w:rFonts w:ascii="Courier New" w:hAnsi="Courier New" w:hint="default"/>
      </w:rPr>
    </w:lvl>
    <w:lvl w:ilvl="5" w:tplc="0F1E6600">
      <w:start w:val="1"/>
      <w:numFmt w:val="bullet"/>
      <w:lvlText w:val=""/>
      <w:lvlJc w:val="left"/>
      <w:pPr>
        <w:ind w:left="4320" w:hanging="360"/>
      </w:pPr>
      <w:rPr>
        <w:rFonts w:ascii="Wingdings" w:hAnsi="Wingdings" w:hint="default"/>
      </w:rPr>
    </w:lvl>
    <w:lvl w:ilvl="6" w:tplc="939EB9C0">
      <w:start w:val="1"/>
      <w:numFmt w:val="bullet"/>
      <w:lvlText w:val=""/>
      <w:lvlJc w:val="left"/>
      <w:pPr>
        <w:ind w:left="5040" w:hanging="360"/>
      </w:pPr>
      <w:rPr>
        <w:rFonts w:ascii="Symbol" w:hAnsi="Symbol" w:hint="default"/>
      </w:rPr>
    </w:lvl>
    <w:lvl w:ilvl="7" w:tplc="8B5CE098">
      <w:start w:val="1"/>
      <w:numFmt w:val="bullet"/>
      <w:lvlText w:val="o"/>
      <w:lvlJc w:val="left"/>
      <w:pPr>
        <w:ind w:left="5760" w:hanging="360"/>
      </w:pPr>
      <w:rPr>
        <w:rFonts w:ascii="Courier New" w:hAnsi="Courier New" w:hint="default"/>
      </w:rPr>
    </w:lvl>
    <w:lvl w:ilvl="8" w:tplc="E3A27DD2">
      <w:start w:val="1"/>
      <w:numFmt w:val="bullet"/>
      <w:lvlText w:val=""/>
      <w:lvlJc w:val="left"/>
      <w:pPr>
        <w:ind w:left="6480" w:hanging="360"/>
      </w:pPr>
      <w:rPr>
        <w:rFonts w:ascii="Wingdings" w:hAnsi="Wingdings" w:hint="default"/>
      </w:rPr>
    </w:lvl>
  </w:abstractNum>
  <w:abstractNum w:abstractNumId="3" w15:restartNumberingAfterBreak="0">
    <w:nsid w:val="60880A6A"/>
    <w:multiLevelType w:val="hybridMultilevel"/>
    <w:tmpl w:val="FB6041A8"/>
    <w:lvl w:ilvl="0" w:tplc="35CE91AC">
      <w:start w:val="1"/>
      <w:numFmt w:val="bullet"/>
      <w:lvlText w:val="-"/>
      <w:lvlJc w:val="left"/>
      <w:pPr>
        <w:ind w:left="720" w:hanging="360"/>
      </w:pPr>
      <w:rPr>
        <w:rFonts w:ascii="Aptos" w:hAnsi="Aptos" w:hint="default"/>
      </w:rPr>
    </w:lvl>
    <w:lvl w:ilvl="1" w:tplc="F104EFE6">
      <w:start w:val="1"/>
      <w:numFmt w:val="bullet"/>
      <w:lvlText w:val="o"/>
      <w:lvlJc w:val="left"/>
      <w:pPr>
        <w:ind w:left="1440" w:hanging="360"/>
      </w:pPr>
      <w:rPr>
        <w:rFonts w:ascii="Courier New" w:hAnsi="Courier New" w:hint="default"/>
      </w:rPr>
    </w:lvl>
    <w:lvl w:ilvl="2" w:tplc="F57E7F8E">
      <w:start w:val="1"/>
      <w:numFmt w:val="bullet"/>
      <w:lvlText w:val=""/>
      <w:lvlJc w:val="left"/>
      <w:pPr>
        <w:ind w:left="2160" w:hanging="360"/>
      </w:pPr>
      <w:rPr>
        <w:rFonts w:ascii="Wingdings" w:hAnsi="Wingdings" w:hint="default"/>
      </w:rPr>
    </w:lvl>
    <w:lvl w:ilvl="3" w:tplc="CA5EF4C0">
      <w:start w:val="1"/>
      <w:numFmt w:val="bullet"/>
      <w:lvlText w:val=""/>
      <w:lvlJc w:val="left"/>
      <w:pPr>
        <w:ind w:left="2880" w:hanging="360"/>
      </w:pPr>
      <w:rPr>
        <w:rFonts w:ascii="Symbol" w:hAnsi="Symbol" w:hint="default"/>
      </w:rPr>
    </w:lvl>
    <w:lvl w:ilvl="4" w:tplc="06CCF94C">
      <w:start w:val="1"/>
      <w:numFmt w:val="bullet"/>
      <w:lvlText w:val="o"/>
      <w:lvlJc w:val="left"/>
      <w:pPr>
        <w:ind w:left="3600" w:hanging="360"/>
      </w:pPr>
      <w:rPr>
        <w:rFonts w:ascii="Courier New" w:hAnsi="Courier New" w:hint="default"/>
      </w:rPr>
    </w:lvl>
    <w:lvl w:ilvl="5" w:tplc="7688D61A">
      <w:start w:val="1"/>
      <w:numFmt w:val="bullet"/>
      <w:lvlText w:val=""/>
      <w:lvlJc w:val="left"/>
      <w:pPr>
        <w:ind w:left="4320" w:hanging="360"/>
      </w:pPr>
      <w:rPr>
        <w:rFonts w:ascii="Wingdings" w:hAnsi="Wingdings" w:hint="default"/>
      </w:rPr>
    </w:lvl>
    <w:lvl w:ilvl="6" w:tplc="2B1A0CCC">
      <w:start w:val="1"/>
      <w:numFmt w:val="bullet"/>
      <w:lvlText w:val=""/>
      <w:lvlJc w:val="left"/>
      <w:pPr>
        <w:ind w:left="5040" w:hanging="360"/>
      </w:pPr>
      <w:rPr>
        <w:rFonts w:ascii="Symbol" w:hAnsi="Symbol" w:hint="default"/>
      </w:rPr>
    </w:lvl>
    <w:lvl w:ilvl="7" w:tplc="355209B6">
      <w:start w:val="1"/>
      <w:numFmt w:val="bullet"/>
      <w:lvlText w:val="o"/>
      <w:lvlJc w:val="left"/>
      <w:pPr>
        <w:ind w:left="5760" w:hanging="360"/>
      </w:pPr>
      <w:rPr>
        <w:rFonts w:ascii="Courier New" w:hAnsi="Courier New" w:hint="default"/>
      </w:rPr>
    </w:lvl>
    <w:lvl w:ilvl="8" w:tplc="F49C972A">
      <w:start w:val="1"/>
      <w:numFmt w:val="bullet"/>
      <w:lvlText w:val=""/>
      <w:lvlJc w:val="left"/>
      <w:pPr>
        <w:ind w:left="6480" w:hanging="360"/>
      </w:pPr>
      <w:rPr>
        <w:rFonts w:ascii="Wingdings" w:hAnsi="Wingdings" w:hint="default"/>
      </w:rPr>
    </w:lvl>
  </w:abstractNum>
  <w:num w:numId="1" w16cid:durableId="2065595919">
    <w:abstractNumId w:val="1"/>
  </w:num>
  <w:num w:numId="2" w16cid:durableId="1260481531">
    <w:abstractNumId w:val="2"/>
  </w:num>
  <w:num w:numId="3" w16cid:durableId="559636193">
    <w:abstractNumId w:val="0"/>
  </w:num>
  <w:num w:numId="4" w16cid:durableId="3257868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700"/>
    <w:rsid w:val="00020427"/>
    <w:rsid w:val="000253DB"/>
    <w:rsid w:val="000544ED"/>
    <w:rsid w:val="00063116"/>
    <w:rsid w:val="000633D5"/>
    <w:rsid w:val="00092DB7"/>
    <w:rsid w:val="000A7708"/>
    <w:rsid w:val="000B5885"/>
    <w:rsid w:val="000D74E8"/>
    <w:rsid w:val="00123975"/>
    <w:rsid w:val="001246B4"/>
    <w:rsid w:val="0013524B"/>
    <w:rsid w:val="00144899"/>
    <w:rsid w:val="001600B7"/>
    <w:rsid w:val="00167DC8"/>
    <w:rsid w:val="00167FC3"/>
    <w:rsid w:val="00176E92"/>
    <w:rsid w:val="001A40C4"/>
    <w:rsid w:val="001B01E2"/>
    <w:rsid w:val="001B7B8A"/>
    <w:rsid w:val="001E4DF8"/>
    <w:rsid w:val="00207BCE"/>
    <w:rsid w:val="00212B1B"/>
    <w:rsid w:val="00222FE3"/>
    <w:rsid w:val="00230462"/>
    <w:rsid w:val="00231F3D"/>
    <w:rsid w:val="002628F7"/>
    <w:rsid w:val="00276F00"/>
    <w:rsid w:val="00283070"/>
    <w:rsid w:val="002922FC"/>
    <w:rsid w:val="0029738F"/>
    <w:rsid w:val="002A350A"/>
    <w:rsid w:val="002A42FA"/>
    <w:rsid w:val="002B51B8"/>
    <w:rsid w:val="002D4B5B"/>
    <w:rsid w:val="002F20AA"/>
    <w:rsid w:val="002F7B21"/>
    <w:rsid w:val="003001CF"/>
    <w:rsid w:val="00306EC8"/>
    <w:rsid w:val="00316D31"/>
    <w:rsid w:val="003179AC"/>
    <w:rsid w:val="00333293"/>
    <w:rsid w:val="00337A75"/>
    <w:rsid w:val="00350E7C"/>
    <w:rsid w:val="0037195E"/>
    <w:rsid w:val="00377273"/>
    <w:rsid w:val="00390DF3"/>
    <w:rsid w:val="00391615"/>
    <w:rsid w:val="003939E5"/>
    <w:rsid w:val="003A1C4C"/>
    <w:rsid w:val="003C38C1"/>
    <w:rsid w:val="003D1533"/>
    <w:rsid w:val="003D6D25"/>
    <w:rsid w:val="003F05B1"/>
    <w:rsid w:val="003F3BDA"/>
    <w:rsid w:val="00402D66"/>
    <w:rsid w:val="00413237"/>
    <w:rsid w:val="0042604A"/>
    <w:rsid w:val="004450F8"/>
    <w:rsid w:val="00447B68"/>
    <w:rsid w:val="00465719"/>
    <w:rsid w:val="004710D5"/>
    <w:rsid w:val="004741FB"/>
    <w:rsid w:val="004754AB"/>
    <w:rsid w:val="004942D2"/>
    <w:rsid w:val="004B7262"/>
    <w:rsid w:val="004D6531"/>
    <w:rsid w:val="00503BD3"/>
    <w:rsid w:val="0050403A"/>
    <w:rsid w:val="00516C41"/>
    <w:rsid w:val="005173DA"/>
    <w:rsid w:val="00520F34"/>
    <w:rsid w:val="005245A1"/>
    <w:rsid w:val="00532A65"/>
    <w:rsid w:val="005420F0"/>
    <w:rsid w:val="00545C6B"/>
    <w:rsid w:val="005508A7"/>
    <w:rsid w:val="005634B7"/>
    <w:rsid w:val="005664C8"/>
    <w:rsid w:val="00567E09"/>
    <w:rsid w:val="00570D91"/>
    <w:rsid w:val="0057560F"/>
    <w:rsid w:val="0058392C"/>
    <w:rsid w:val="00585146"/>
    <w:rsid w:val="005A3C6F"/>
    <w:rsid w:val="005D44EF"/>
    <w:rsid w:val="005D744C"/>
    <w:rsid w:val="00600E99"/>
    <w:rsid w:val="00604414"/>
    <w:rsid w:val="00605107"/>
    <w:rsid w:val="00607221"/>
    <w:rsid w:val="00643700"/>
    <w:rsid w:val="0064541F"/>
    <w:rsid w:val="0064746D"/>
    <w:rsid w:val="00667464"/>
    <w:rsid w:val="00681A4F"/>
    <w:rsid w:val="006A4C34"/>
    <w:rsid w:val="006B31D9"/>
    <w:rsid w:val="006B39F8"/>
    <w:rsid w:val="006D2254"/>
    <w:rsid w:val="006F01F4"/>
    <w:rsid w:val="006F7B6B"/>
    <w:rsid w:val="0071244A"/>
    <w:rsid w:val="00720DF5"/>
    <w:rsid w:val="0073540B"/>
    <w:rsid w:val="0078341B"/>
    <w:rsid w:val="00791F25"/>
    <w:rsid w:val="00796FCA"/>
    <w:rsid w:val="007A1972"/>
    <w:rsid w:val="007A7ECD"/>
    <w:rsid w:val="007C3105"/>
    <w:rsid w:val="007C31A7"/>
    <w:rsid w:val="007E19E2"/>
    <w:rsid w:val="008075C9"/>
    <w:rsid w:val="0082098A"/>
    <w:rsid w:val="00823B4D"/>
    <w:rsid w:val="008308A9"/>
    <w:rsid w:val="008414AE"/>
    <w:rsid w:val="0086003D"/>
    <w:rsid w:val="00867FA6"/>
    <w:rsid w:val="00881BA8"/>
    <w:rsid w:val="00882993"/>
    <w:rsid w:val="00887EF8"/>
    <w:rsid w:val="008A0072"/>
    <w:rsid w:val="008A4A16"/>
    <w:rsid w:val="008B0EB3"/>
    <w:rsid w:val="008E2751"/>
    <w:rsid w:val="008F1AAE"/>
    <w:rsid w:val="008F6138"/>
    <w:rsid w:val="0091049C"/>
    <w:rsid w:val="009123E0"/>
    <w:rsid w:val="00935026"/>
    <w:rsid w:val="00947A82"/>
    <w:rsid w:val="00954365"/>
    <w:rsid w:val="00954E95"/>
    <w:rsid w:val="00961542"/>
    <w:rsid w:val="0096176E"/>
    <w:rsid w:val="00962599"/>
    <w:rsid w:val="00963757"/>
    <w:rsid w:val="00977CB7"/>
    <w:rsid w:val="00993576"/>
    <w:rsid w:val="00995671"/>
    <w:rsid w:val="009D18B4"/>
    <w:rsid w:val="009D3BEA"/>
    <w:rsid w:val="009D6469"/>
    <w:rsid w:val="009E10A7"/>
    <w:rsid w:val="009E449A"/>
    <w:rsid w:val="009F2674"/>
    <w:rsid w:val="009F5F48"/>
    <w:rsid w:val="00A008BF"/>
    <w:rsid w:val="00A021E6"/>
    <w:rsid w:val="00A13756"/>
    <w:rsid w:val="00A212E3"/>
    <w:rsid w:val="00A61631"/>
    <w:rsid w:val="00A93AF4"/>
    <w:rsid w:val="00A96B96"/>
    <w:rsid w:val="00AA0EEF"/>
    <w:rsid w:val="00AB10E9"/>
    <w:rsid w:val="00AB4D89"/>
    <w:rsid w:val="00AB5F92"/>
    <w:rsid w:val="00AC27A6"/>
    <w:rsid w:val="00AC41E3"/>
    <w:rsid w:val="00AC63E3"/>
    <w:rsid w:val="00AD4241"/>
    <w:rsid w:val="00AD7454"/>
    <w:rsid w:val="00AE237E"/>
    <w:rsid w:val="00AE3CC4"/>
    <w:rsid w:val="00AE7588"/>
    <w:rsid w:val="00AF7AE0"/>
    <w:rsid w:val="00B03333"/>
    <w:rsid w:val="00B16C9A"/>
    <w:rsid w:val="00B22821"/>
    <w:rsid w:val="00B25C70"/>
    <w:rsid w:val="00B2666B"/>
    <w:rsid w:val="00B33B43"/>
    <w:rsid w:val="00B35124"/>
    <w:rsid w:val="00B40D60"/>
    <w:rsid w:val="00B44EDD"/>
    <w:rsid w:val="00B65642"/>
    <w:rsid w:val="00B66FD2"/>
    <w:rsid w:val="00BA2DE2"/>
    <w:rsid w:val="00BB5ECE"/>
    <w:rsid w:val="00BC4F98"/>
    <w:rsid w:val="00BD0954"/>
    <w:rsid w:val="00BE6BA3"/>
    <w:rsid w:val="00C26CF9"/>
    <w:rsid w:val="00C27954"/>
    <w:rsid w:val="00C53313"/>
    <w:rsid w:val="00C71BAC"/>
    <w:rsid w:val="00C800ED"/>
    <w:rsid w:val="00C87DC1"/>
    <w:rsid w:val="00C91686"/>
    <w:rsid w:val="00C9442D"/>
    <w:rsid w:val="00CA6048"/>
    <w:rsid w:val="00CC3C9F"/>
    <w:rsid w:val="00CC4758"/>
    <w:rsid w:val="00CE6472"/>
    <w:rsid w:val="00CF5E80"/>
    <w:rsid w:val="00D04C23"/>
    <w:rsid w:val="00D239EA"/>
    <w:rsid w:val="00D26627"/>
    <w:rsid w:val="00D3293E"/>
    <w:rsid w:val="00D55FBF"/>
    <w:rsid w:val="00D65F13"/>
    <w:rsid w:val="00D66E65"/>
    <w:rsid w:val="00D8290F"/>
    <w:rsid w:val="00D83063"/>
    <w:rsid w:val="00D86717"/>
    <w:rsid w:val="00D8E657"/>
    <w:rsid w:val="00D964E2"/>
    <w:rsid w:val="00DA31BF"/>
    <w:rsid w:val="00DD0F9E"/>
    <w:rsid w:val="00DD4434"/>
    <w:rsid w:val="00DD737E"/>
    <w:rsid w:val="00DE33FB"/>
    <w:rsid w:val="00DF07F5"/>
    <w:rsid w:val="00DF3A72"/>
    <w:rsid w:val="00DF54A5"/>
    <w:rsid w:val="00DF743E"/>
    <w:rsid w:val="00E04E8E"/>
    <w:rsid w:val="00E1165B"/>
    <w:rsid w:val="00E1200E"/>
    <w:rsid w:val="00E131B3"/>
    <w:rsid w:val="00E222DA"/>
    <w:rsid w:val="00E23830"/>
    <w:rsid w:val="00E245A9"/>
    <w:rsid w:val="00E268AC"/>
    <w:rsid w:val="00E41006"/>
    <w:rsid w:val="00E42778"/>
    <w:rsid w:val="00E53CD6"/>
    <w:rsid w:val="00E578CD"/>
    <w:rsid w:val="00E64F79"/>
    <w:rsid w:val="00E70651"/>
    <w:rsid w:val="00E71CD2"/>
    <w:rsid w:val="00E73252"/>
    <w:rsid w:val="00E74EED"/>
    <w:rsid w:val="00E8304B"/>
    <w:rsid w:val="00E87D71"/>
    <w:rsid w:val="00EA1764"/>
    <w:rsid w:val="00EA1963"/>
    <w:rsid w:val="00EA26A0"/>
    <w:rsid w:val="00EA6DBA"/>
    <w:rsid w:val="00EB1ADB"/>
    <w:rsid w:val="00EC5220"/>
    <w:rsid w:val="00ED5204"/>
    <w:rsid w:val="00EE3BF1"/>
    <w:rsid w:val="00F4085A"/>
    <w:rsid w:val="00F54835"/>
    <w:rsid w:val="00F574D9"/>
    <w:rsid w:val="00F721E3"/>
    <w:rsid w:val="00F800DC"/>
    <w:rsid w:val="00FA469A"/>
    <w:rsid w:val="00FA48ED"/>
    <w:rsid w:val="00FD03DD"/>
    <w:rsid w:val="00FE4B16"/>
    <w:rsid w:val="00FF2DC8"/>
    <w:rsid w:val="0115238E"/>
    <w:rsid w:val="0135CE1E"/>
    <w:rsid w:val="0154FD7A"/>
    <w:rsid w:val="01BD10D6"/>
    <w:rsid w:val="01C66CCE"/>
    <w:rsid w:val="01FCD398"/>
    <w:rsid w:val="02BBA2A8"/>
    <w:rsid w:val="02F821FB"/>
    <w:rsid w:val="03019BCD"/>
    <w:rsid w:val="034D3155"/>
    <w:rsid w:val="03638B71"/>
    <w:rsid w:val="03A23C1C"/>
    <w:rsid w:val="0431BB3E"/>
    <w:rsid w:val="0496414A"/>
    <w:rsid w:val="04AD44FF"/>
    <w:rsid w:val="04B416AA"/>
    <w:rsid w:val="04BDBC5D"/>
    <w:rsid w:val="0581202A"/>
    <w:rsid w:val="059FA7F1"/>
    <w:rsid w:val="0702C184"/>
    <w:rsid w:val="073A1346"/>
    <w:rsid w:val="073C207A"/>
    <w:rsid w:val="08687D4C"/>
    <w:rsid w:val="08EE25EB"/>
    <w:rsid w:val="08F78EB3"/>
    <w:rsid w:val="09010FBC"/>
    <w:rsid w:val="0970F115"/>
    <w:rsid w:val="09B8D2E6"/>
    <w:rsid w:val="09F4501B"/>
    <w:rsid w:val="0A18065A"/>
    <w:rsid w:val="0A2E1057"/>
    <w:rsid w:val="0A39038F"/>
    <w:rsid w:val="0A8C8D61"/>
    <w:rsid w:val="0AA83941"/>
    <w:rsid w:val="0AF68365"/>
    <w:rsid w:val="0B222FD4"/>
    <w:rsid w:val="0B2517B2"/>
    <w:rsid w:val="0B5EB520"/>
    <w:rsid w:val="0BCA3864"/>
    <w:rsid w:val="0C3DAEDF"/>
    <w:rsid w:val="0C7395EB"/>
    <w:rsid w:val="0C7F9377"/>
    <w:rsid w:val="0C97367F"/>
    <w:rsid w:val="0CD861AD"/>
    <w:rsid w:val="0DC6A4E1"/>
    <w:rsid w:val="0E1A5A58"/>
    <w:rsid w:val="0E3EF82F"/>
    <w:rsid w:val="0E714C92"/>
    <w:rsid w:val="0E7BCE55"/>
    <w:rsid w:val="0EE419E5"/>
    <w:rsid w:val="0F80C1B5"/>
    <w:rsid w:val="0FE3D432"/>
    <w:rsid w:val="0FFB747C"/>
    <w:rsid w:val="107F91E5"/>
    <w:rsid w:val="1155F26D"/>
    <w:rsid w:val="12375F9F"/>
    <w:rsid w:val="12727423"/>
    <w:rsid w:val="12BAEB08"/>
    <w:rsid w:val="12F65647"/>
    <w:rsid w:val="137646FD"/>
    <w:rsid w:val="137DEE6D"/>
    <w:rsid w:val="139974E0"/>
    <w:rsid w:val="13C141AA"/>
    <w:rsid w:val="13FE4D88"/>
    <w:rsid w:val="14025DCD"/>
    <w:rsid w:val="144AEFDB"/>
    <w:rsid w:val="14509E3D"/>
    <w:rsid w:val="14528B97"/>
    <w:rsid w:val="1488C3C3"/>
    <w:rsid w:val="14F37508"/>
    <w:rsid w:val="1578AEB4"/>
    <w:rsid w:val="15B08A59"/>
    <w:rsid w:val="16E5E75D"/>
    <w:rsid w:val="17449DD2"/>
    <w:rsid w:val="17868305"/>
    <w:rsid w:val="17A6FE70"/>
    <w:rsid w:val="17D48761"/>
    <w:rsid w:val="17E84D67"/>
    <w:rsid w:val="17FB9A56"/>
    <w:rsid w:val="1847DBAB"/>
    <w:rsid w:val="184A904E"/>
    <w:rsid w:val="18E55DCC"/>
    <w:rsid w:val="190F79C7"/>
    <w:rsid w:val="196DB1DB"/>
    <w:rsid w:val="19B35746"/>
    <w:rsid w:val="1A235DB0"/>
    <w:rsid w:val="1A49F04D"/>
    <w:rsid w:val="1AD1ACCA"/>
    <w:rsid w:val="1B10F05E"/>
    <w:rsid w:val="1B3E53AB"/>
    <w:rsid w:val="1B72D67B"/>
    <w:rsid w:val="1B98B793"/>
    <w:rsid w:val="1BADAAA8"/>
    <w:rsid w:val="1BAE0042"/>
    <w:rsid w:val="1C5B4257"/>
    <w:rsid w:val="1CAA60E8"/>
    <w:rsid w:val="1CCD627B"/>
    <w:rsid w:val="1CD9F3C3"/>
    <w:rsid w:val="1CEEEB62"/>
    <w:rsid w:val="1D2AEBED"/>
    <w:rsid w:val="1D59CAE0"/>
    <w:rsid w:val="1D644F35"/>
    <w:rsid w:val="1E5F3B9F"/>
    <w:rsid w:val="1EC0DA82"/>
    <w:rsid w:val="1EF2B9D5"/>
    <w:rsid w:val="1F53916C"/>
    <w:rsid w:val="1FF7C267"/>
    <w:rsid w:val="1FFD2711"/>
    <w:rsid w:val="207E64BB"/>
    <w:rsid w:val="209AFA99"/>
    <w:rsid w:val="20D314DA"/>
    <w:rsid w:val="211300F6"/>
    <w:rsid w:val="2117B2A0"/>
    <w:rsid w:val="212B49AD"/>
    <w:rsid w:val="2130C6B0"/>
    <w:rsid w:val="21804E09"/>
    <w:rsid w:val="219E5395"/>
    <w:rsid w:val="21AD3B89"/>
    <w:rsid w:val="21B49122"/>
    <w:rsid w:val="21F431AA"/>
    <w:rsid w:val="2216350F"/>
    <w:rsid w:val="22206918"/>
    <w:rsid w:val="22D8F6B5"/>
    <w:rsid w:val="22EFA4BE"/>
    <w:rsid w:val="2311118E"/>
    <w:rsid w:val="2354A060"/>
    <w:rsid w:val="2379BC5D"/>
    <w:rsid w:val="23912AFC"/>
    <w:rsid w:val="23B98999"/>
    <w:rsid w:val="24181879"/>
    <w:rsid w:val="242ED2A3"/>
    <w:rsid w:val="2458FF55"/>
    <w:rsid w:val="2498128B"/>
    <w:rsid w:val="249C91E5"/>
    <w:rsid w:val="249F2520"/>
    <w:rsid w:val="24A1C550"/>
    <w:rsid w:val="2507B1BA"/>
    <w:rsid w:val="257C0EA5"/>
    <w:rsid w:val="263E670E"/>
    <w:rsid w:val="26688308"/>
    <w:rsid w:val="266BF15F"/>
    <w:rsid w:val="27207259"/>
    <w:rsid w:val="27270FC2"/>
    <w:rsid w:val="27961FA7"/>
    <w:rsid w:val="2897ED8B"/>
    <w:rsid w:val="292563E7"/>
    <w:rsid w:val="2997E5AB"/>
    <w:rsid w:val="29BDD688"/>
    <w:rsid w:val="2A0727A6"/>
    <w:rsid w:val="2A11CAF3"/>
    <w:rsid w:val="2A1C5A74"/>
    <w:rsid w:val="2A241628"/>
    <w:rsid w:val="2A7DC2C8"/>
    <w:rsid w:val="2B0D6CA9"/>
    <w:rsid w:val="2B16DF93"/>
    <w:rsid w:val="2B4DED58"/>
    <w:rsid w:val="2BAA1610"/>
    <w:rsid w:val="2BE67BF4"/>
    <w:rsid w:val="2BE9293C"/>
    <w:rsid w:val="2C2BDDEC"/>
    <w:rsid w:val="2C8019AD"/>
    <w:rsid w:val="2C95B59A"/>
    <w:rsid w:val="2C9AE771"/>
    <w:rsid w:val="2CCC8ED7"/>
    <w:rsid w:val="2D736B7F"/>
    <w:rsid w:val="2DC29F3B"/>
    <w:rsid w:val="2E325955"/>
    <w:rsid w:val="2E3A8726"/>
    <w:rsid w:val="2EA96F0C"/>
    <w:rsid w:val="2EB3CD9B"/>
    <w:rsid w:val="2EDACC2B"/>
    <w:rsid w:val="2F979D02"/>
    <w:rsid w:val="2F9E1D74"/>
    <w:rsid w:val="2FCF7FF5"/>
    <w:rsid w:val="2FE95C4F"/>
    <w:rsid w:val="301BCCB2"/>
    <w:rsid w:val="305D9797"/>
    <w:rsid w:val="3063ECC0"/>
    <w:rsid w:val="3070C5E8"/>
    <w:rsid w:val="309C6BAD"/>
    <w:rsid w:val="310AF364"/>
    <w:rsid w:val="31182D94"/>
    <w:rsid w:val="31380134"/>
    <w:rsid w:val="31741185"/>
    <w:rsid w:val="3191AA1F"/>
    <w:rsid w:val="31CDDDFA"/>
    <w:rsid w:val="31D70C09"/>
    <w:rsid w:val="326737C5"/>
    <w:rsid w:val="32F3F2A7"/>
    <w:rsid w:val="334573DF"/>
    <w:rsid w:val="33598E52"/>
    <w:rsid w:val="33BBCE1F"/>
    <w:rsid w:val="33BE5D80"/>
    <w:rsid w:val="33C863A2"/>
    <w:rsid w:val="33DDA3E8"/>
    <w:rsid w:val="3413DFE0"/>
    <w:rsid w:val="343BB779"/>
    <w:rsid w:val="344F62CF"/>
    <w:rsid w:val="35050DB5"/>
    <w:rsid w:val="350F9177"/>
    <w:rsid w:val="35190EFE"/>
    <w:rsid w:val="3524A0C2"/>
    <w:rsid w:val="352D2E9B"/>
    <w:rsid w:val="353CA31B"/>
    <w:rsid w:val="35CDE9DC"/>
    <w:rsid w:val="362A43BD"/>
    <w:rsid w:val="36530C0E"/>
    <w:rsid w:val="366F4631"/>
    <w:rsid w:val="36759591"/>
    <w:rsid w:val="368F91AE"/>
    <w:rsid w:val="3782E65E"/>
    <w:rsid w:val="37A56B4A"/>
    <w:rsid w:val="37B36591"/>
    <w:rsid w:val="37DF82B0"/>
    <w:rsid w:val="37E5809E"/>
    <w:rsid w:val="380A9D04"/>
    <w:rsid w:val="382F15ED"/>
    <w:rsid w:val="3879CB85"/>
    <w:rsid w:val="39204D17"/>
    <w:rsid w:val="3AA69C70"/>
    <w:rsid w:val="3AB9128F"/>
    <w:rsid w:val="3B2FD2E2"/>
    <w:rsid w:val="3B70CD4D"/>
    <w:rsid w:val="3BC651C8"/>
    <w:rsid w:val="3BE12F13"/>
    <w:rsid w:val="3C14B27F"/>
    <w:rsid w:val="3C173AD7"/>
    <w:rsid w:val="3C1966F6"/>
    <w:rsid w:val="3C344264"/>
    <w:rsid w:val="3C85E8C5"/>
    <w:rsid w:val="3C930547"/>
    <w:rsid w:val="3CBBC566"/>
    <w:rsid w:val="3CE4FF83"/>
    <w:rsid w:val="3CE7A2FC"/>
    <w:rsid w:val="3D2E5389"/>
    <w:rsid w:val="3D36F5BB"/>
    <w:rsid w:val="3D4B9F4D"/>
    <w:rsid w:val="3D91267A"/>
    <w:rsid w:val="3DA1D8C9"/>
    <w:rsid w:val="3DD1A10E"/>
    <w:rsid w:val="3E00166E"/>
    <w:rsid w:val="3E5F0DE8"/>
    <w:rsid w:val="3F309B64"/>
    <w:rsid w:val="3F8DC7B1"/>
    <w:rsid w:val="3FB3261D"/>
    <w:rsid w:val="3FC541FD"/>
    <w:rsid w:val="3FE09ED2"/>
    <w:rsid w:val="4028C279"/>
    <w:rsid w:val="402B5523"/>
    <w:rsid w:val="40896EFE"/>
    <w:rsid w:val="4137C309"/>
    <w:rsid w:val="417FBD10"/>
    <w:rsid w:val="41CAD8D8"/>
    <w:rsid w:val="42951769"/>
    <w:rsid w:val="42E53972"/>
    <w:rsid w:val="42F77E9B"/>
    <w:rsid w:val="4308E71E"/>
    <w:rsid w:val="432C9CC5"/>
    <w:rsid w:val="43C64201"/>
    <w:rsid w:val="43FED1AD"/>
    <w:rsid w:val="445BD371"/>
    <w:rsid w:val="44777C79"/>
    <w:rsid w:val="453B71DE"/>
    <w:rsid w:val="4561CE44"/>
    <w:rsid w:val="45FF74A3"/>
    <w:rsid w:val="4619E312"/>
    <w:rsid w:val="463650E2"/>
    <w:rsid w:val="46A878AB"/>
    <w:rsid w:val="48042222"/>
    <w:rsid w:val="48362B5F"/>
    <w:rsid w:val="4838023D"/>
    <w:rsid w:val="484E57AD"/>
    <w:rsid w:val="4866E4AA"/>
    <w:rsid w:val="4876064C"/>
    <w:rsid w:val="48BB34CB"/>
    <w:rsid w:val="48F73973"/>
    <w:rsid w:val="48FE9747"/>
    <w:rsid w:val="495FB276"/>
    <w:rsid w:val="499901F5"/>
    <w:rsid w:val="49DFF6B9"/>
    <w:rsid w:val="4A02CD01"/>
    <w:rsid w:val="4A0FFA67"/>
    <w:rsid w:val="4A31D013"/>
    <w:rsid w:val="4BBEDF65"/>
    <w:rsid w:val="4BC7F6F2"/>
    <w:rsid w:val="4BE069A5"/>
    <w:rsid w:val="4C97CCBE"/>
    <w:rsid w:val="4CCE71F4"/>
    <w:rsid w:val="4CEEC893"/>
    <w:rsid w:val="4CEF9303"/>
    <w:rsid w:val="4D729095"/>
    <w:rsid w:val="4DE41E6A"/>
    <w:rsid w:val="4E18A8C7"/>
    <w:rsid w:val="4EB394BD"/>
    <w:rsid w:val="4F063E8A"/>
    <w:rsid w:val="4F348652"/>
    <w:rsid w:val="4F4031C5"/>
    <w:rsid w:val="4F630335"/>
    <w:rsid w:val="4F9D5543"/>
    <w:rsid w:val="50611D99"/>
    <w:rsid w:val="50753241"/>
    <w:rsid w:val="50F82249"/>
    <w:rsid w:val="51358CE3"/>
    <w:rsid w:val="51601489"/>
    <w:rsid w:val="51863A62"/>
    <w:rsid w:val="51B8B4DB"/>
    <w:rsid w:val="51F12982"/>
    <w:rsid w:val="52165EBE"/>
    <w:rsid w:val="523C4059"/>
    <w:rsid w:val="5270B579"/>
    <w:rsid w:val="527F4F55"/>
    <w:rsid w:val="52AD84F1"/>
    <w:rsid w:val="52B7C548"/>
    <w:rsid w:val="52BD5D4C"/>
    <w:rsid w:val="5305B000"/>
    <w:rsid w:val="533F98B2"/>
    <w:rsid w:val="534139C8"/>
    <w:rsid w:val="537DDFAE"/>
    <w:rsid w:val="53B17ED8"/>
    <w:rsid w:val="542899F4"/>
    <w:rsid w:val="545C41C4"/>
    <w:rsid w:val="549E0512"/>
    <w:rsid w:val="54C8DA24"/>
    <w:rsid w:val="55091590"/>
    <w:rsid w:val="55122C5B"/>
    <w:rsid w:val="55D758F7"/>
    <w:rsid w:val="560A2D2D"/>
    <w:rsid w:val="5673048E"/>
    <w:rsid w:val="57114989"/>
    <w:rsid w:val="573CCEDB"/>
    <w:rsid w:val="5782317A"/>
    <w:rsid w:val="58014423"/>
    <w:rsid w:val="5888BF05"/>
    <w:rsid w:val="58CB710D"/>
    <w:rsid w:val="58CD4C98"/>
    <w:rsid w:val="58D812EC"/>
    <w:rsid w:val="5908639D"/>
    <w:rsid w:val="5929FE07"/>
    <w:rsid w:val="594C69C4"/>
    <w:rsid w:val="5956B45F"/>
    <w:rsid w:val="59B3C4D0"/>
    <w:rsid w:val="5AA4BCAC"/>
    <w:rsid w:val="5ACA5CD1"/>
    <w:rsid w:val="5ADE2F11"/>
    <w:rsid w:val="5B5EA1AF"/>
    <w:rsid w:val="5B811E2E"/>
    <w:rsid w:val="5BBE8655"/>
    <w:rsid w:val="5BDA3EE1"/>
    <w:rsid w:val="5BE8FCE0"/>
    <w:rsid w:val="5C268A70"/>
    <w:rsid w:val="5C3EBACC"/>
    <w:rsid w:val="5C4B90F1"/>
    <w:rsid w:val="5C716A3B"/>
    <w:rsid w:val="5CCFC61D"/>
    <w:rsid w:val="5CF32360"/>
    <w:rsid w:val="5D429912"/>
    <w:rsid w:val="5D53541A"/>
    <w:rsid w:val="5D834851"/>
    <w:rsid w:val="5DE67A9D"/>
    <w:rsid w:val="5EE68843"/>
    <w:rsid w:val="5F140987"/>
    <w:rsid w:val="5F17F190"/>
    <w:rsid w:val="5F318CE7"/>
    <w:rsid w:val="5F844723"/>
    <w:rsid w:val="5FAAC135"/>
    <w:rsid w:val="5FE048D1"/>
    <w:rsid w:val="6059EB0D"/>
    <w:rsid w:val="606F4420"/>
    <w:rsid w:val="60C7B8D1"/>
    <w:rsid w:val="612AB100"/>
    <w:rsid w:val="6178EC29"/>
    <w:rsid w:val="627EEF23"/>
    <w:rsid w:val="62858435"/>
    <w:rsid w:val="62BBFD9D"/>
    <w:rsid w:val="63245299"/>
    <w:rsid w:val="6333F049"/>
    <w:rsid w:val="636D17D8"/>
    <w:rsid w:val="63837095"/>
    <w:rsid w:val="6383CE01"/>
    <w:rsid w:val="63B960B5"/>
    <w:rsid w:val="63CA2F93"/>
    <w:rsid w:val="63F03C6F"/>
    <w:rsid w:val="6469E412"/>
    <w:rsid w:val="64CD1D3A"/>
    <w:rsid w:val="64F7EFF5"/>
    <w:rsid w:val="65B4AD02"/>
    <w:rsid w:val="65BC98E6"/>
    <w:rsid w:val="65DE7D2C"/>
    <w:rsid w:val="65FA7D12"/>
    <w:rsid w:val="668C9D56"/>
    <w:rsid w:val="66E15B46"/>
    <w:rsid w:val="670A1F78"/>
    <w:rsid w:val="6711999D"/>
    <w:rsid w:val="67939408"/>
    <w:rsid w:val="680E3465"/>
    <w:rsid w:val="681DC484"/>
    <w:rsid w:val="68789083"/>
    <w:rsid w:val="68DB22BE"/>
    <w:rsid w:val="6932E572"/>
    <w:rsid w:val="69461D61"/>
    <w:rsid w:val="69811606"/>
    <w:rsid w:val="699D0C1E"/>
    <w:rsid w:val="69C9F267"/>
    <w:rsid w:val="6A2BD3CA"/>
    <w:rsid w:val="6A5EB567"/>
    <w:rsid w:val="6A6AE3FC"/>
    <w:rsid w:val="6AA8BD85"/>
    <w:rsid w:val="6AB6AD4E"/>
    <w:rsid w:val="6B34A8E3"/>
    <w:rsid w:val="6B401B3F"/>
    <w:rsid w:val="6B45B4C0"/>
    <w:rsid w:val="6BB7B7E2"/>
    <w:rsid w:val="6CFBDB90"/>
    <w:rsid w:val="6D292C5C"/>
    <w:rsid w:val="6D3BBDFB"/>
    <w:rsid w:val="6D5F0FE3"/>
    <w:rsid w:val="6D6F7DF0"/>
    <w:rsid w:val="6DDB9F32"/>
    <w:rsid w:val="6DEBAFDB"/>
    <w:rsid w:val="6E4EBF22"/>
    <w:rsid w:val="6E6300A7"/>
    <w:rsid w:val="6EA1716C"/>
    <w:rsid w:val="6EBEB23A"/>
    <w:rsid w:val="6FA7034F"/>
    <w:rsid w:val="6FD36FA7"/>
    <w:rsid w:val="70F370DF"/>
    <w:rsid w:val="7191E4E1"/>
    <w:rsid w:val="71B69C77"/>
    <w:rsid w:val="722194CE"/>
    <w:rsid w:val="72529687"/>
    <w:rsid w:val="72531A09"/>
    <w:rsid w:val="72D17BF4"/>
    <w:rsid w:val="72E6012C"/>
    <w:rsid w:val="73B6F494"/>
    <w:rsid w:val="73C2E4DF"/>
    <w:rsid w:val="753B7523"/>
    <w:rsid w:val="75C4B4F8"/>
    <w:rsid w:val="75CADC39"/>
    <w:rsid w:val="7638D931"/>
    <w:rsid w:val="7688FEA4"/>
    <w:rsid w:val="768E927C"/>
    <w:rsid w:val="76AA1B36"/>
    <w:rsid w:val="7768DE23"/>
    <w:rsid w:val="77C050D6"/>
    <w:rsid w:val="77CB4530"/>
    <w:rsid w:val="780480D5"/>
    <w:rsid w:val="784742B4"/>
    <w:rsid w:val="78AD154B"/>
    <w:rsid w:val="78C660E1"/>
    <w:rsid w:val="78CB4F05"/>
    <w:rsid w:val="791FB69A"/>
    <w:rsid w:val="799A2C58"/>
    <w:rsid w:val="79B92E7B"/>
    <w:rsid w:val="79FC9990"/>
    <w:rsid w:val="7A60371C"/>
    <w:rsid w:val="7AAB4DF9"/>
    <w:rsid w:val="7AF0FB2E"/>
    <w:rsid w:val="7B02FFB9"/>
    <w:rsid w:val="7B23778B"/>
    <w:rsid w:val="7BF48984"/>
    <w:rsid w:val="7C44BAFA"/>
    <w:rsid w:val="7D5DB28E"/>
    <w:rsid w:val="7DBA2078"/>
    <w:rsid w:val="7E61F55E"/>
    <w:rsid w:val="7E93476A"/>
    <w:rsid w:val="7EBBC7D5"/>
    <w:rsid w:val="7ECFECD3"/>
    <w:rsid w:val="7F10CA55"/>
    <w:rsid w:val="7F2B9942"/>
    <w:rsid w:val="7F433F55"/>
    <w:rsid w:val="7F61B6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3D0D69"/>
  <w15:chartTrackingRefBased/>
  <w15:docId w15:val="{1FC5A361-E1F8-47E5-A9C1-F0A5FEA21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3700"/>
    <w:pPr>
      <w:spacing w:after="0" w:line="276" w:lineRule="auto"/>
    </w:pPr>
    <w:rPr>
      <w:rFonts w:ascii="Arial" w:eastAsia="Arial" w:hAnsi="Arial" w:cs="Arial"/>
      <w:kern w:val="0"/>
      <w:lang w:eastAsia="en-GB"/>
      <w14:ligatures w14:val="none"/>
    </w:rPr>
  </w:style>
  <w:style w:type="paragraph" w:styleId="Heading1">
    <w:name w:val="heading 1"/>
    <w:basedOn w:val="Normal"/>
    <w:next w:val="Normal"/>
    <w:link w:val="Heading1Char"/>
    <w:uiPriority w:val="9"/>
    <w:qFormat/>
    <w:rsid w:val="0064370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unhideWhenUsed/>
    <w:qFormat/>
    <w:rsid w:val="0064370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643700"/>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643700"/>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643700"/>
    <w:pPr>
      <w:keepNext/>
      <w:keepLines/>
      <w:spacing w:before="80" w:after="40" w:line="259"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643700"/>
    <w:pPr>
      <w:keepNext/>
      <w:keepLines/>
      <w:spacing w:before="40" w:line="259"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643700"/>
    <w:pPr>
      <w:keepNext/>
      <w:keepLines/>
      <w:spacing w:before="40" w:line="259"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643700"/>
    <w:pPr>
      <w:keepNext/>
      <w:keepLines/>
      <w:spacing w:line="259"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643700"/>
    <w:pPr>
      <w:keepNext/>
      <w:keepLines/>
      <w:spacing w:line="259"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37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437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37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37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37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37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37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37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3700"/>
    <w:rPr>
      <w:rFonts w:eastAsiaTheme="majorEastAsia" w:cstheme="majorBidi"/>
      <w:color w:val="272727" w:themeColor="text1" w:themeTint="D8"/>
    </w:rPr>
  </w:style>
  <w:style w:type="paragraph" w:styleId="Title">
    <w:name w:val="Title"/>
    <w:basedOn w:val="Normal"/>
    <w:next w:val="Normal"/>
    <w:link w:val="TitleChar"/>
    <w:uiPriority w:val="10"/>
    <w:qFormat/>
    <w:rsid w:val="00643700"/>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6437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370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6437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3700"/>
    <w:pPr>
      <w:spacing w:before="160" w:after="160" w:line="259"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643700"/>
    <w:rPr>
      <w:i/>
      <w:iCs/>
      <w:color w:val="404040" w:themeColor="text1" w:themeTint="BF"/>
    </w:rPr>
  </w:style>
  <w:style w:type="paragraph" w:styleId="ListParagraph">
    <w:name w:val="List Paragraph"/>
    <w:basedOn w:val="Normal"/>
    <w:uiPriority w:val="34"/>
    <w:qFormat/>
    <w:rsid w:val="00643700"/>
    <w:pPr>
      <w:spacing w:after="160" w:line="259"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643700"/>
    <w:rPr>
      <w:i/>
      <w:iCs/>
      <w:color w:val="0F4761" w:themeColor="accent1" w:themeShade="BF"/>
    </w:rPr>
  </w:style>
  <w:style w:type="paragraph" w:styleId="IntenseQuote">
    <w:name w:val="Intense Quote"/>
    <w:basedOn w:val="Normal"/>
    <w:next w:val="Normal"/>
    <w:link w:val="IntenseQuoteChar"/>
    <w:uiPriority w:val="30"/>
    <w:qFormat/>
    <w:rsid w:val="0064370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643700"/>
    <w:rPr>
      <w:i/>
      <w:iCs/>
      <w:color w:val="0F4761" w:themeColor="accent1" w:themeShade="BF"/>
    </w:rPr>
  </w:style>
  <w:style w:type="character" w:styleId="IntenseReference">
    <w:name w:val="Intense Reference"/>
    <w:basedOn w:val="DefaultParagraphFont"/>
    <w:uiPriority w:val="32"/>
    <w:qFormat/>
    <w:rsid w:val="00643700"/>
    <w:rPr>
      <w:b/>
      <w:bCs/>
      <w:smallCaps/>
      <w:color w:val="0F4761" w:themeColor="accent1" w:themeShade="BF"/>
      <w:spacing w:val="5"/>
    </w:rPr>
  </w:style>
  <w:style w:type="character" w:styleId="CommentReference">
    <w:name w:val="annotation reference"/>
    <w:basedOn w:val="DefaultParagraphFont"/>
    <w:uiPriority w:val="99"/>
    <w:semiHidden/>
    <w:unhideWhenUsed/>
    <w:rsid w:val="00643700"/>
    <w:rPr>
      <w:sz w:val="16"/>
      <w:szCs w:val="16"/>
    </w:rPr>
  </w:style>
  <w:style w:type="paragraph" w:styleId="CommentText">
    <w:name w:val="annotation text"/>
    <w:basedOn w:val="Normal"/>
    <w:link w:val="CommentTextChar"/>
    <w:uiPriority w:val="99"/>
    <w:unhideWhenUsed/>
    <w:rsid w:val="00643700"/>
    <w:pPr>
      <w:spacing w:line="240" w:lineRule="auto"/>
    </w:pPr>
    <w:rPr>
      <w:sz w:val="20"/>
      <w:szCs w:val="20"/>
    </w:rPr>
  </w:style>
  <w:style w:type="character" w:customStyle="1" w:styleId="CommentTextChar">
    <w:name w:val="Comment Text Char"/>
    <w:basedOn w:val="DefaultParagraphFont"/>
    <w:link w:val="CommentText"/>
    <w:uiPriority w:val="99"/>
    <w:rsid w:val="00643700"/>
    <w:rPr>
      <w:rFonts w:ascii="Arial" w:eastAsia="Arial" w:hAnsi="Arial" w:cs="Arial"/>
      <w:kern w:val="0"/>
      <w:sz w:val="20"/>
      <w:szCs w:val="20"/>
      <w:lang w:eastAsia="en-GB"/>
      <w14:ligatures w14:val="none"/>
    </w:rPr>
  </w:style>
  <w:style w:type="table" w:styleId="TableGrid">
    <w:name w:val="Table Grid"/>
    <w:basedOn w:val="TableNormal"/>
    <w:uiPriority w:val="39"/>
    <w:rsid w:val="008A4A16"/>
    <w:pPr>
      <w:spacing w:after="0" w:line="240" w:lineRule="auto"/>
    </w:pPr>
    <w:rPr>
      <w:rFonts w:ascii="Arial" w:eastAsia="Arial" w:hAnsi="Arial" w:cs="Arial"/>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A4A16"/>
    <w:rPr>
      <w:color w:val="467886" w:themeColor="hyperlink"/>
      <w:u w:val="single"/>
    </w:rPr>
  </w:style>
  <w:style w:type="paragraph" w:styleId="Header">
    <w:name w:val="header"/>
    <w:basedOn w:val="Normal"/>
    <w:link w:val="HeaderChar"/>
    <w:uiPriority w:val="99"/>
    <w:unhideWhenUsed/>
    <w:rsid w:val="008A4A16"/>
    <w:pPr>
      <w:tabs>
        <w:tab w:val="center" w:pos="4680"/>
        <w:tab w:val="right" w:pos="9360"/>
      </w:tabs>
      <w:spacing w:line="240" w:lineRule="auto"/>
    </w:pPr>
  </w:style>
  <w:style w:type="character" w:customStyle="1" w:styleId="HeaderChar">
    <w:name w:val="Header Char"/>
    <w:basedOn w:val="DefaultParagraphFont"/>
    <w:link w:val="Header"/>
    <w:uiPriority w:val="99"/>
    <w:rsid w:val="008A4A16"/>
    <w:rPr>
      <w:rFonts w:ascii="Arial" w:eastAsia="Arial" w:hAnsi="Arial" w:cs="Arial"/>
      <w:kern w:val="0"/>
      <w:lang w:eastAsia="en-GB"/>
      <w14:ligatures w14:val="none"/>
    </w:rPr>
  </w:style>
  <w:style w:type="paragraph" w:styleId="Footer">
    <w:name w:val="footer"/>
    <w:basedOn w:val="Normal"/>
    <w:link w:val="FooterChar"/>
    <w:uiPriority w:val="99"/>
    <w:unhideWhenUsed/>
    <w:rsid w:val="008A4A16"/>
    <w:pPr>
      <w:tabs>
        <w:tab w:val="center" w:pos="4680"/>
        <w:tab w:val="right" w:pos="9360"/>
      </w:tabs>
      <w:spacing w:line="240" w:lineRule="auto"/>
    </w:pPr>
  </w:style>
  <w:style w:type="character" w:customStyle="1" w:styleId="FooterChar">
    <w:name w:val="Footer Char"/>
    <w:basedOn w:val="DefaultParagraphFont"/>
    <w:link w:val="Footer"/>
    <w:uiPriority w:val="99"/>
    <w:rsid w:val="008A4A16"/>
    <w:rPr>
      <w:rFonts w:ascii="Arial" w:eastAsia="Arial" w:hAnsi="Arial" w:cs="Arial"/>
      <w:kern w:val="0"/>
      <w:lang w:eastAsia="en-GB"/>
      <w14:ligatures w14:val="none"/>
    </w:rPr>
  </w:style>
  <w:style w:type="paragraph" w:styleId="CommentSubject">
    <w:name w:val="annotation subject"/>
    <w:basedOn w:val="CommentText"/>
    <w:next w:val="CommentText"/>
    <w:link w:val="CommentSubjectChar"/>
    <w:uiPriority w:val="99"/>
    <w:semiHidden/>
    <w:unhideWhenUsed/>
    <w:rsid w:val="00962599"/>
    <w:rPr>
      <w:b/>
      <w:bCs/>
    </w:rPr>
  </w:style>
  <w:style w:type="character" w:customStyle="1" w:styleId="CommentSubjectChar">
    <w:name w:val="Comment Subject Char"/>
    <w:basedOn w:val="CommentTextChar"/>
    <w:link w:val="CommentSubject"/>
    <w:uiPriority w:val="99"/>
    <w:semiHidden/>
    <w:rsid w:val="00962599"/>
    <w:rPr>
      <w:rFonts w:ascii="Arial" w:eastAsia="Arial" w:hAnsi="Arial" w:cs="Arial"/>
      <w:b/>
      <w:bCs/>
      <w:kern w:val="0"/>
      <w:sz w:val="20"/>
      <w:szCs w:val="20"/>
      <w:lang w:eastAsia="en-GB"/>
      <w14:ligatures w14:val="none"/>
    </w:rPr>
  </w:style>
  <w:style w:type="paragraph" w:styleId="TOC1">
    <w:name w:val="toc 1"/>
    <w:basedOn w:val="Normal"/>
    <w:next w:val="Normal"/>
    <w:uiPriority w:val="39"/>
    <w:unhideWhenUsed/>
    <w:rsid w:val="542899F4"/>
    <w:pPr>
      <w:spacing w:after="100"/>
    </w:pPr>
  </w:style>
  <w:style w:type="paragraph" w:styleId="FootnoteText">
    <w:name w:val="footnote text"/>
    <w:basedOn w:val="Normal"/>
    <w:link w:val="FootnoteTextChar"/>
    <w:uiPriority w:val="99"/>
    <w:semiHidden/>
    <w:unhideWhenUsed/>
    <w:rsid w:val="00823B4D"/>
    <w:pPr>
      <w:spacing w:line="240" w:lineRule="auto"/>
    </w:pPr>
    <w:rPr>
      <w:sz w:val="20"/>
      <w:szCs w:val="20"/>
    </w:rPr>
  </w:style>
  <w:style w:type="character" w:customStyle="1" w:styleId="FootnoteTextChar">
    <w:name w:val="Footnote Text Char"/>
    <w:basedOn w:val="DefaultParagraphFont"/>
    <w:link w:val="FootnoteText"/>
    <w:uiPriority w:val="99"/>
    <w:semiHidden/>
    <w:rsid w:val="00823B4D"/>
    <w:rPr>
      <w:rFonts w:ascii="Arial" w:eastAsia="Arial" w:hAnsi="Arial" w:cs="Arial"/>
      <w:kern w:val="0"/>
      <w:sz w:val="20"/>
      <w:szCs w:val="20"/>
      <w:lang w:eastAsia="en-GB"/>
      <w14:ligatures w14:val="none"/>
    </w:rPr>
  </w:style>
  <w:style w:type="character" w:styleId="FootnoteReference">
    <w:name w:val="footnote reference"/>
    <w:basedOn w:val="DefaultParagraphFont"/>
    <w:uiPriority w:val="99"/>
    <w:semiHidden/>
    <w:unhideWhenUsed/>
    <w:rsid w:val="00823B4D"/>
    <w:rPr>
      <w:vertAlign w:val="superscript"/>
    </w:rPr>
  </w:style>
  <w:style w:type="paragraph" w:styleId="Revision">
    <w:name w:val="Revision"/>
    <w:hidden/>
    <w:uiPriority w:val="99"/>
    <w:semiHidden/>
    <w:rsid w:val="00283070"/>
    <w:pPr>
      <w:spacing w:after="0" w:line="240" w:lineRule="auto"/>
    </w:pPr>
    <w:rPr>
      <w:rFonts w:ascii="Arial" w:eastAsia="Arial" w:hAnsi="Arial" w:cs="Arial"/>
      <w:kern w:val="0"/>
      <w:lang w:eastAsia="en-GB"/>
      <w14:ligatures w14:val="none"/>
    </w:rPr>
  </w:style>
  <w:style w:type="paragraph" w:styleId="Bibliography">
    <w:name w:val="Bibliography"/>
    <w:basedOn w:val="Normal"/>
    <w:next w:val="Normal"/>
    <w:uiPriority w:val="37"/>
    <w:unhideWhenUsed/>
    <w:rsid w:val="00E87D71"/>
  </w:style>
  <w:style w:type="paragraph" w:styleId="TOC2">
    <w:name w:val="toc 2"/>
    <w:basedOn w:val="Normal"/>
    <w:next w:val="Normal"/>
    <w:autoRedefine/>
    <w:uiPriority w:val="39"/>
    <w:unhideWhenUsed/>
    <w:rsid w:val="0064746D"/>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74918">
      <w:bodyDiv w:val="1"/>
      <w:marLeft w:val="0"/>
      <w:marRight w:val="0"/>
      <w:marTop w:val="0"/>
      <w:marBottom w:val="0"/>
      <w:divBdr>
        <w:top w:val="none" w:sz="0" w:space="0" w:color="auto"/>
        <w:left w:val="none" w:sz="0" w:space="0" w:color="auto"/>
        <w:bottom w:val="none" w:sz="0" w:space="0" w:color="auto"/>
        <w:right w:val="none" w:sz="0" w:space="0" w:color="auto"/>
      </w:divBdr>
    </w:div>
    <w:div w:id="1271166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microsoft.com/office/2020/10/relationships/intelligence" Target="intelligence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8a1737f-8eb7-4365-8042-775d406a2409" xsi:nil="true"/>
    <lcf76f155ced4ddcb4097134ff3c332f xmlns="78186487-df3f-4bae-8f89-feb8c52faa6e">
      <Terms xmlns="http://schemas.microsoft.com/office/infopath/2007/PartnerControls"/>
    </lcf76f155ced4ddcb4097134ff3c332f>
    <AdditonalInfomation xmlns="78186487-df3f-4bae-8f89-feb8c52faa6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BE65F0AF0FA5941A2B3275AAD195929" ma:contentTypeVersion="16" ma:contentTypeDescription="Create a new document." ma:contentTypeScope="" ma:versionID="b8a2df524168de37d757fec47898d8d8">
  <xsd:schema xmlns:xsd="http://www.w3.org/2001/XMLSchema" xmlns:xs="http://www.w3.org/2001/XMLSchema" xmlns:p="http://schemas.microsoft.com/office/2006/metadata/properties" xmlns:ns2="78186487-df3f-4bae-8f89-feb8c52faa6e" xmlns:ns3="08a1737f-8eb7-4365-8042-775d406a2409" targetNamespace="http://schemas.microsoft.com/office/2006/metadata/properties" ma:root="true" ma:fieldsID="4a2e35864a14bcb0663cf2a4e637bb09" ns2:_="" ns3:_="">
    <xsd:import namespace="78186487-df3f-4bae-8f89-feb8c52faa6e"/>
    <xsd:import namespace="08a1737f-8eb7-4365-8042-775d406a240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element ref="ns2:MediaLengthInSeconds" minOccurs="0"/>
                <xsd:element ref="ns2:MediaServiceLocation" minOccurs="0"/>
                <xsd:element ref="ns2:AdditonalInfom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186487-df3f-4bae-8f89-feb8c52faa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9c18f9b8-5ae4-4f0b-a238-a922c51e2dda"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AdditonalInfomation" ma:index="23" nillable="true" ma:displayName="Additonal Infomation" ma:format="Dropdown" ma:internalName="AdditonalInfomation">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8a1737f-8eb7-4365-8042-775d406a240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d36bd1-6397-4785-88e2-778afc48b9ab}" ma:internalName="TaxCatchAll" ma:showField="CatchAllData" ma:web="08a1737f-8eb7-4365-8042-775d406a240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A7BA48-9E97-47C5-B7EC-81782196BA22}">
  <ds:schemaRefs>
    <ds:schemaRef ds:uri="http://schemas.microsoft.com/office/2006/metadata/properties"/>
    <ds:schemaRef ds:uri="http://schemas.microsoft.com/office/infopath/2007/PartnerControls"/>
    <ds:schemaRef ds:uri="08a1737f-8eb7-4365-8042-775d406a2409"/>
    <ds:schemaRef ds:uri="78186487-df3f-4bae-8f89-feb8c52faa6e"/>
  </ds:schemaRefs>
</ds:datastoreItem>
</file>

<file path=customXml/itemProps2.xml><?xml version="1.0" encoding="utf-8"?>
<ds:datastoreItem xmlns:ds="http://schemas.openxmlformats.org/officeDocument/2006/customXml" ds:itemID="{DB2DDDA9-7749-4287-BC0B-28874F8C66EB}">
  <ds:schemaRefs>
    <ds:schemaRef ds:uri="http://schemas.microsoft.com/sharepoint/v3/contenttype/forms"/>
  </ds:schemaRefs>
</ds:datastoreItem>
</file>

<file path=customXml/itemProps3.xml><?xml version="1.0" encoding="utf-8"?>
<ds:datastoreItem xmlns:ds="http://schemas.openxmlformats.org/officeDocument/2006/customXml" ds:itemID="{39CEE71B-A6FF-4B79-9273-3837E5C79E55}">
  <ds:schemaRefs>
    <ds:schemaRef ds:uri="http://schemas.openxmlformats.org/officeDocument/2006/bibliography"/>
  </ds:schemaRefs>
</ds:datastoreItem>
</file>

<file path=customXml/itemProps4.xml><?xml version="1.0" encoding="utf-8"?>
<ds:datastoreItem xmlns:ds="http://schemas.openxmlformats.org/officeDocument/2006/customXml" ds:itemID="{C802856A-9652-4138-85C8-E1851EDBE3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186487-df3f-4bae-8f89-feb8c52faa6e"/>
    <ds:schemaRef ds:uri="08a1737f-8eb7-4365-8042-775d406a24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12</Pages>
  <Words>22522</Words>
  <Characters>128382</Characters>
  <Application>Microsoft Office Word</Application>
  <DocSecurity>0</DocSecurity>
  <Lines>1069</Lines>
  <Paragraphs>301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150603</CharactersWithSpaces>
  <SharedDoc>false</SharedDoc>
  <HLinks>
    <vt:vector size="30" baseType="variant">
      <vt:variant>
        <vt:i4>2424844</vt:i4>
      </vt:variant>
      <vt:variant>
        <vt:i4>29</vt:i4>
      </vt:variant>
      <vt:variant>
        <vt:i4>0</vt:i4>
      </vt:variant>
      <vt:variant>
        <vt:i4>5</vt:i4>
      </vt:variant>
      <vt:variant>
        <vt:lpwstr/>
      </vt:variant>
      <vt:variant>
        <vt:lpwstr>_Toc1045827366</vt:lpwstr>
      </vt:variant>
      <vt:variant>
        <vt:i4>1703988</vt:i4>
      </vt:variant>
      <vt:variant>
        <vt:i4>23</vt:i4>
      </vt:variant>
      <vt:variant>
        <vt:i4>0</vt:i4>
      </vt:variant>
      <vt:variant>
        <vt:i4>5</vt:i4>
      </vt:variant>
      <vt:variant>
        <vt:lpwstr/>
      </vt:variant>
      <vt:variant>
        <vt:lpwstr>_Toc84896828</vt:lpwstr>
      </vt:variant>
      <vt:variant>
        <vt:i4>1769524</vt:i4>
      </vt:variant>
      <vt:variant>
        <vt:i4>17</vt:i4>
      </vt:variant>
      <vt:variant>
        <vt:i4>0</vt:i4>
      </vt:variant>
      <vt:variant>
        <vt:i4>5</vt:i4>
      </vt:variant>
      <vt:variant>
        <vt:lpwstr/>
      </vt:variant>
      <vt:variant>
        <vt:lpwstr>_Toc191135719</vt:lpwstr>
      </vt:variant>
      <vt:variant>
        <vt:i4>2424835</vt:i4>
      </vt:variant>
      <vt:variant>
        <vt:i4>11</vt:i4>
      </vt:variant>
      <vt:variant>
        <vt:i4>0</vt:i4>
      </vt:variant>
      <vt:variant>
        <vt:i4>5</vt:i4>
      </vt:variant>
      <vt:variant>
        <vt:lpwstr/>
      </vt:variant>
      <vt:variant>
        <vt:lpwstr>_Toc1664276403</vt:lpwstr>
      </vt:variant>
      <vt:variant>
        <vt:i4>2686989</vt:i4>
      </vt:variant>
      <vt:variant>
        <vt:i4>5</vt:i4>
      </vt:variant>
      <vt:variant>
        <vt:i4>0</vt:i4>
      </vt:variant>
      <vt:variant>
        <vt:i4>5</vt:i4>
      </vt:variant>
      <vt:variant>
        <vt:lpwstr/>
      </vt:variant>
      <vt:variant>
        <vt:lpwstr>_Toc1982463330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Cooper</dc:creator>
  <cp:keywords/>
  <dc:description/>
  <cp:lastModifiedBy>Jasmine Jane Shaw</cp:lastModifiedBy>
  <cp:revision>43</cp:revision>
  <dcterms:created xsi:type="dcterms:W3CDTF">2025-09-09T09:05:00Z</dcterms:created>
  <dcterms:modified xsi:type="dcterms:W3CDTF">2025-11-20T14:29:00Z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id="BWAwnRu5"/&gt;&lt;style id="http://www.zotero.org/styles/vancouver" locale="en-GB" hasBibliography="1" bibliographyStyleHasBeenSet="1"/&gt;&lt;prefs&gt;&lt;pref name="fieldType" value="Field"/&gt;&lt;/prefs&gt;&lt;/data&gt;</vt:lpwstr>
  </property>
  <property fmtid="{D5CDD505-2E9C-101B-9397-08002B2CF9AE}" pid="3" name="ContentTypeId">
    <vt:lpwstr>0x0101006BE65F0AF0FA5941A2B3275AAD195929</vt:lpwstr>
  </property>
  <property fmtid="{D5CDD505-2E9C-101B-9397-08002B2CF9AE}" pid="4" name="MediaServiceImageTags">
    <vt:lpwstr/>
  </property>
</Properties>
</file>