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A6CA3" w14:textId="21875594" w:rsidR="00C950A2" w:rsidRPr="0072758C" w:rsidRDefault="0072758C">
      <w:pPr>
        <w:rPr>
          <w:lang w:val="en-GB"/>
        </w:rPr>
      </w:pPr>
      <w:r w:rsidRPr="0072758C">
        <w:rPr>
          <w:lang w:val="en-GB"/>
        </w:rPr>
        <w:t xml:space="preserve">NOTE: The tables are found in the </w:t>
      </w:r>
      <w:r w:rsidR="00DA126C">
        <w:rPr>
          <w:lang w:val="en-GB"/>
        </w:rPr>
        <w:t xml:space="preserve">Supplementary </w:t>
      </w:r>
      <w:r w:rsidRPr="0072758C">
        <w:rPr>
          <w:lang w:val="en-GB"/>
        </w:rPr>
        <w:t xml:space="preserve">excel for </w:t>
      </w:r>
      <w:r w:rsidR="00B874DB">
        <w:rPr>
          <w:lang w:val="en-GB"/>
        </w:rPr>
        <w:t xml:space="preserve">easy access. </w:t>
      </w:r>
    </w:p>
    <w:p w14:paraId="12B66336" w14:textId="77777777" w:rsidR="0072758C" w:rsidRPr="0072758C" w:rsidRDefault="0072758C">
      <w:pPr>
        <w:rPr>
          <w:lang w:val="en-GB"/>
        </w:rPr>
      </w:pPr>
    </w:p>
    <w:p w14:paraId="7A08D8B8" w14:textId="77777777" w:rsidR="0072758C" w:rsidRDefault="0072758C" w:rsidP="008B5EA2">
      <w:pPr>
        <w:jc w:val="both"/>
        <w:rPr>
          <w:lang w:val="en-GB"/>
        </w:rPr>
      </w:pPr>
      <w:r w:rsidRPr="008B5EA2">
        <w:rPr>
          <w:b/>
          <w:lang w:val="en-GB"/>
        </w:rPr>
        <w:t>Table S1</w:t>
      </w:r>
      <w:r w:rsidR="00B874DB">
        <w:rPr>
          <w:b/>
          <w:lang w:val="en-GB"/>
        </w:rPr>
        <w:t>.</w:t>
      </w:r>
      <w:r>
        <w:rPr>
          <w:lang w:val="en-GB"/>
        </w:rPr>
        <w:t xml:space="preserve"> </w:t>
      </w:r>
      <w:r w:rsidR="008B5EA2">
        <w:rPr>
          <w:lang w:val="en-GB"/>
        </w:rPr>
        <w:t xml:space="preserve"> </w:t>
      </w:r>
      <w:r w:rsidR="008B5EA2" w:rsidRPr="0099559E">
        <w:rPr>
          <w:b/>
          <w:lang w:val="en-GB"/>
        </w:rPr>
        <w:t>Sampling details and genetic diversity indexes.</w:t>
      </w:r>
      <w:r w:rsidR="008B5EA2">
        <w:rPr>
          <w:lang w:val="en-GB"/>
        </w:rPr>
        <w:t xml:space="preserve"> We include the population name and acronym used in the manuscript, the sample size, the geographic coordinates (latitude and longitude) and the following diversity indexes: observed heterozygosity (</w:t>
      </w:r>
      <w:r w:rsidR="008B5EA2" w:rsidRPr="008B5EA2">
        <w:rPr>
          <w:i/>
          <w:lang w:val="en-GB"/>
        </w:rPr>
        <w:t>Ho</w:t>
      </w:r>
      <w:r w:rsidR="008B5EA2">
        <w:rPr>
          <w:lang w:val="en-GB"/>
        </w:rPr>
        <w:t>), expected heterozygosity (</w:t>
      </w:r>
      <w:r w:rsidR="008B5EA2" w:rsidRPr="008B5EA2">
        <w:rPr>
          <w:i/>
          <w:lang w:val="en-GB"/>
        </w:rPr>
        <w:t>He</w:t>
      </w:r>
      <w:r w:rsidR="008B5EA2">
        <w:rPr>
          <w:lang w:val="en-GB"/>
        </w:rPr>
        <w:t>), inbreeding coefficient (</w:t>
      </w:r>
      <w:r w:rsidR="008B5EA2" w:rsidRPr="008B5EA2">
        <w:rPr>
          <w:i/>
          <w:lang w:val="en-GB"/>
        </w:rPr>
        <w:t>F</w:t>
      </w:r>
      <w:r w:rsidR="008B5EA2" w:rsidRPr="008B5EA2">
        <w:rPr>
          <w:i/>
          <w:vertAlign w:val="subscript"/>
          <w:lang w:val="en-GB"/>
        </w:rPr>
        <w:t>IS</w:t>
      </w:r>
      <w:r w:rsidR="008B5EA2">
        <w:rPr>
          <w:lang w:val="en-GB"/>
        </w:rPr>
        <w:t>) and allelic richness (</w:t>
      </w:r>
      <w:r w:rsidR="008B5EA2" w:rsidRPr="008B5EA2">
        <w:rPr>
          <w:i/>
          <w:lang w:val="en-GB"/>
        </w:rPr>
        <w:t>Ar</w:t>
      </w:r>
      <w:r w:rsidR="008B5EA2">
        <w:rPr>
          <w:lang w:val="en-GB"/>
        </w:rPr>
        <w:t xml:space="preserve">). The </w:t>
      </w:r>
      <w:r w:rsidR="00B874DB" w:rsidRPr="008B5EA2">
        <w:rPr>
          <w:i/>
          <w:lang w:val="en-GB"/>
        </w:rPr>
        <w:t>F</w:t>
      </w:r>
      <w:r w:rsidR="00B874DB" w:rsidRPr="008B5EA2">
        <w:rPr>
          <w:i/>
          <w:vertAlign w:val="subscript"/>
          <w:lang w:val="en-GB"/>
        </w:rPr>
        <w:t>IS</w:t>
      </w:r>
      <w:r w:rsidR="00B874DB">
        <w:rPr>
          <w:lang w:val="en-GB"/>
        </w:rPr>
        <w:t xml:space="preserve"> </w:t>
      </w:r>
      <w:r w:rsidR="008B5EA2">
        <w:rPr>
          <w:lang w:val="en-GB"/>
        </w:rPr>
        <w:t>was significantly different from zero in all populations.</w:t>
      </w:r>
    </w:p>
    <w:p w14:paraId="44D0BE48" w14:textId="10263239" w:rsidR="003328C7" w:rsidRPr="0072758C" w:rsidRDefault="003328C7" w:rsidP="008B5EA2">
      <w:pPr>
        <w:jc w:val="both"/>
        <w:rPr>
          <w:lang w:val="en-GB"/>
        </w:rPr>
      </w:pPr>
      <w:r w:rsidRPr="008B5EA2">
        <w:rPr>
          <w:b/>
          <w:lang w:val="en-GB"/>
        </w:rPr>
        <w:t>Table S</w:t>
      </w:r>
      <w:r>
        <w:rPr>
          <w:b/>
          <w:lang w:val="en-GB"/>
        </w:rPr>
        <w:t>2</w:t>
      </w:r>
      <w:r>
        <w:rPr>
          <w:b/>
          <w:lang w:val="en-GB"/>
        </w:rPr>
        <w:t>.</w:t>
      </w:r>
      <w:r>
        <w:rPr>
          <w:lang w:val="en-GB"/>
        </w:rPr>
        <w:t xml:space="preserve"> </w:t>
      </w:r>
      <w:r>
        <w:rPr>
          <w:b/>
          <w:lang w:val="en-GB"/>
        </w:rPr>
        <w:t>Estimation</w:t>
      </w:r>
      <w:r w:rsidRPr="0099559E">
        <w:rPr>
          <w:b/>
          <w:lang w:val="en-GB"/>
        </w:rPr>
        <w:t xml:space="preserve"> of population size.</w:t>
      </w:r>
      <w:r>
        <w:rPr>
          <w:lang w:val="en-GB"/>
        </w:rPr>
        <w:t xml:space="preserve"> Effective population size (</w:t>
      </w:r>
      <w:r w:rsidRPr="0099559E">
        <w:rPr>
          <w:i/>
          <w:lang w:val="en-GB"/>
        </w:rPr>
        <w:t>Ne</w:t>
      </w:r>
      <w:r>
        <w:rPr>
          <w:lang w:val="en-GB"/>
        </w:rPr>
        <w:t>) obtained using our genomic data. Mean annual number of nests (Nests) obtained from the literature from two different periods: prior 1999 and after 2000. Nest counts were used to calculate the number of adults (Na) for the two periods (see details in the Methods section).</w:t>
      </w:r>
    </w:p>
    <w:p w14:paraId="406EFD56" w14:textId="4C364BA9" w:rsidR="0072758C" w:rsidRPr="0072758C" w:rsidRDefault="00161F53" w:rsidP="00161F53">
      <w:pPr>
        <w:jc w:val="both"/>
        <w:rPr>
          <w:lang w:val="en-GB"/>
        </w:rPr>
      </w:pPr>
      <w:r w:rsidRPr="00B874DB">
        <w:rPr>
          <w:b/>
          <w:lang w:val="en-GB"/>
        </w:rPr>
        <w:t>Table S</w:t>
      </w:r>
      <w:r w:rsidR="003328C7">
        <w:rPr>
          <w:b/>
          <w:lang w:val="en-GB"/>
        </w:rPr>
        <w:t>3</w:t>
      </w:r>
      <w:r>
        <w:rPr>
          <w:b/>
          <w:lang w:val="en-GB"/>
        </w:rPr>
        <w:t>.</w:t>
      </w:r>
      <w:r>
        <w:rPr>
          <w:lang w:val="en-GB"/>
        </w:rPr>
        <w:t xml:space="preserve"> </w:t>
      </w:r>
      <w:r w:rsidRPr="0099559E">
        <w:rPr>
          <w:b/>
          <w:lang w:val="en-GB"/>
        </w:rPr>
        <w:t>Phenotypic and environmental variables obtained for each population</w:t>
      </w:r>
      <w:r>
        <w:rPr>
          <w:lang w:val="en-GB"/>
        </w:rPr>
        <w:t xml:space="preserve">. As reproductive variable we provide the mean clutch size as the mean number of eggs per nest.  The seven environmental variables include salinity at 1m (Sal_1m), 50m (Sal_50m) and 100m (Sal_100m) depth, and temperature as mean (Mean_T), minimum (Min_T), maximum (Max_T) and range (Range_T). As hatchling dispersal potential for each nesting area, we present the percentage of particles from each nesting region reaching each one of the considered foraging areas. We finally include information on the stable isotopes signature </w:t>
      </w:r>
      <w:r w:rsidRPr="00B874DB">
        <w:rPr>
          <w:lang w:val="en-GB"/>
        </w:rPr>
        <w:t>(δ</w:t>
      </w:r>
      <w:r w:rsidRPr="00B874DB">
        <w:rPr>
          <w:vertAlign w:val="superscript"/>
          <w:lang w:val="en-GB"/>
        </w:rPr>
        <w:t>15</w:t>
      </w:r>
      <w:r w:rsidRPr="00B874DB">
        <w:rPr>
          <w:lang w:val="en-GB"/>
        </w:rPr>
        <w:t>N and δ</w:t>
      </w:r>
      <w:r w:rsidRPr="00B874DB">
        <w:rPr>
          <w:vertAlign w:val="superscript"/>
          <w:lang w:val="en-GB"/>
        </w:rPr>
        <w:t>13</w:t>
      </w:r>
      <w:r w:rsidRPr="00B874DB">
        <w:rPr>
          <w:lang w:val="en-GB"/>
        </w:rPr>
        <w:t>C) of hatchlings found in the sampling locations that reflect the food intake of nesting females prior to nest.</w:t>
      </w:r>
    </w:p>
    <w:p w14:paraId="28507DE1" w14:textId="23AB37E8" w:rsidR="00B874DB" w:rsidRDefault="00B874DB" w:rsidP="00B874DB">
      <w:pPr>
        <w:jc w:val="both"/>
        <w:rPr>
          <w:lang w:val="en-GB"/>
        </w:rPr>
      </w:pPr>
      <w:r w:rsidRPr="00B874DB">
        <w:rPr>
          <w:b/>
          <w:lang w:val="en-GB"/>
        </w:rPr>
        <w:t>Table S4.</w:t>
      </w:r>
      <w:r>
        <w:rPr>
          <w:lang w:val="en-GB"/>
        </w:rPr>
        <w:t xml:space="preserve"> </w:t>
      </w:r>
      <w:r w:rsidR="00044387" w:rsidRPr="00044387">
        <w:rPr>
          <w:b/>
          <w:lang w:val="en-GB"/>
        </w:rPr>
        <w:t>Overall genetic differentiation among Mediterranean nesting populations</w:t>
      </w:r>
      <w:r w:rsidR="00044387">
        <w:rPr>
          <w:lang w:val="en-GB"/>
        </w:rPr>
        <w:t xml:space="preserve">. </w:t>
      </w:r>
      <w:r>
        <w:rPr>
          <w:lang w:val="en-GB"/>
        </w:rPr>
        <w:t xml:space="preserve">Pairwise </w:t>
      </w:r>
      <w:r w:rsidR="00A01FE6">
        <w:rPr>
          <w:lang w:val="en-GB"/>
        </w:rPr>
        <w:t>population genetic differentiation</w:t>
      </w:r>
      <w:r>
        <w:rPr>
          <w:lang w:val="en-GB"/>
        </w:rPr>
        <w:t xml:space="preserve"> using the whole </w:t>
      </w:r>
      <w:r w:rsidR="00A01FE6">
        <w:rPr>
          <w:lang w:val="en-GB"/>
        </w:rPr>
        <w:t>dataset (</w:t>
      </w:r>
      <w:r>
        <w:rPr>
          <w:lang w:val="en-GB"/>
        </w:rPr>
        <w:t xml:space="preserve">5,998 </w:t>
      </w:r>
      <w:r w:rsidR="00A01FE6">
        <w:rPr>
          <w:lang w:val="en-GB"/>
        </w:rPr>
        <w:t xml:space="preserve">SNP </w:t>
      </w:r>
      <w:r>
        <w:rPr>
          <w:lang w:val="en-GB"/>
        </w:rPr>
        <w:t>loci</w:t>
      </w:r>
      <w:r w:rsidR="00A01FE6">
        <w:rPr>
          <w:lang w:val="en-GB"/>
        </w:rPr>
        <w:t>)</w:t>
      </w:r>
      <w:r>
        <w:rPr>
          <w:lang w:val="en-GB"/>
        </w:rPr>
        <w:t>. The F</w:t>
      </w:r>
      <w:r w:rsidRPr="00B874DB">
        <w:rPr>
          <w:vertAlign w:val="subscript"/>
          <w:lang w:val="en-GB"/>
        </w:rPr>
        <w:t xml:space="preserve">ST </w:t>
      </w:r>
      <w:r>
        <w:rPr>
          <w:lang w:val="en-GB"/>
        </w:rPr>
        <w:t xml:space="preserve">values are </w:t>
      </w:r>
      <w:r w:rsidR="00A01FE6">
        <w:rPr>
          <w:lang w:val="en-GB"/>
        </w:rPr>
        <w:t xml:space="preserve">given </w:t>
      </w:r>
      <w:r>
        <w:rPr>
          <w:lang w:val="en-GB"/>
        </w:rPr>
        <w:t xml:space="preserve">above the diagonal while the corresponding p-values are found below the diagonal. </w:t>
      </w:r>
      <w:r w:rsidR="0099559E">
        <w:rPr>
          <w:lang w:val="en-GB"/>
        </w:rPr>
        <w:t>Bold values indicate non-significant p-values after FDR correction</w:t>
      </w:r>
      <w:r w:rsidR="000553AB">
        <w:rPr>
          <w:lang w:val="en-GB"/>
        </w:rPr>
        <w:t xml:space="preserve"> and their corresponding F</w:t>
      </w:r>
      <w:r w:rsidR="000553AB" w:rsidRPr="000553AB">
        <w:rPr>
          <w:vertAlign w:val="subscript"/>
          <w:lang w:val="en-GB"/>
        </w:rPr>
        <w:t>ST</w:t>
      </w:r>
      <w:r w:rsidR="000553AB">
        <w:rPr>
          <w:lang w:val="en-GB"/>
        </w:rPr>
        <w:t xml:space="preserve"> values</w:t>
      </w:r>
      <w:r w:rsidR="0099559E">
        <w:rPr>
          <w:lang w:val="en-GB"/>
        </w:rPr>
        <w:t>.</w:t>
      </w:r>
    </w:p>
    <w:p w14:paraId="32F9F2B6" w14:textId="5B049FD5" w:rsidR="00B874DB" w:rsidRDefault="74DCDED9" w:rsidP="00B874DB">
      <w:pPr>
        <w:jc w:val="both"/>
        <w:rPr>
          <w:lang w:val="en-GB"/>
        </w:rPr>
      </w:pPr>
      <w:r w:rsidRPr="74DCDED9">
        <w:rPr>
          <w:b/>
          <w:bCs/>
          <w:lang w:val="en-GB"/>
        </w:rPr>
        <w:t>Table S5.</w:t>
      </w:r>
      <w:r w:rsidRPr="74DCDED9">
        <w:rPr>
          <w:lang w:val="en-GB"/>
        </w:rPr>
        <w:t xml:space="preserve"> </w:t>
      </w:r>
      <w:r w:rsidRPr="74DCDED9">
        <w:rPr>
          <w:b/>
          <w:bCs/>
          <w:lang w:val="en-GB"/>
        </w:rPr>
        <w:t>Neutral and adaptive genetic differentiation among Mediterranean nesting populations.</w:t>
      </w:r>
      <w:r w:rsidRPr="74DCDED9">
        <w:rPr>
          <w:lang w:val="en-GB"/>
        </w:rPr>
        <w:t xml:space="preserve"> Pairwise F</w:t>
      </w:r>
      <w:r w:rsidRPr="74DCDED9">
        <w:rPr>
          <w:vertAlign w:val="subscript"/>
          <w:lang w:val="en-GB"/>
        </w:rPr>
        <w:t xml:space="preserve">ST </w:t>
      </w:r>
      <w:r w:rsidRPr="74DCDED9">
        <w:rPr>
          <w:lang w:val="en-GB"/>
        </w:rPr>
        <w:t xml:space="preserve">values among all populations using the set of outlier loci (16 loci shared by pcadapt and bayescan, above the diagonal) and neutral loci (5,844 loci, excluding all loci identified by any of the two programs, below the diagonal). </w:t>
      </w:r>
      <w:r w:rsidR="000553AB">
        <w:rPr>
          <w:lang w:val="en-GB"/>
        </w:rPr>
        <w:t>Bold values indicate non-significant F</w:t>
      </w:r>
      <w:r w:rsidR="000553AB" w:rsidRPr="000553AB">
        <w:rPr>
          <w:vertAlign w:val="subscript"/>
          <w:lang w:val="en-GB"/>
        </w:rPr>
        <w:t>ST</w:t>
      </w:r>
      <w:r w:rsidR="000553AB">
        <w:rPr>
          <w:lang w:val="en-GB"/>
        </w:rPr>
        <w:t xml:space="preserve"> values</w:t>
      </w:r>
      <w:r w:rsidR="000553AB" w:rsidRPr="000553AB">
        <w:rPr>
          <w:lang w:val="en-GB"/>
        </w:rPr>
        <w:t xml:space="preserve"> </w:t>
      </w:r>
      <w:r w:rsidR="000553AB">
        <w:rPr>
          <w:lang w:val="en-GB"/>
        </w:rPr>
        <w:t>after FDR correction.</w:t>
      </w:r>
    </w:p>
    <w:p w14:paraId="27F8FE30" w14:textId="498B9201" w:rsidR="74DCDED9" w:rsidRDefault="74DCDED9" w:rsidP="74DCDED9">
      <w:pPr>
        <w:jc w:val="both"/>
        <w:rPr>
          <w:lang w:val="en-GB"/>
        </w:rPr>
      </w:pPr>
      <w:r w:rsidRPr="74DCDED9">
        <w:rPr>
          <w:b/>
          <w:bCs/>
          <w:lang w:val="en-GB"/>
        </w:rPr>
        <w:t>Table S6.</w:t>
      </w:r>
      <w:r w:rsidRPr="74DCDED9">
        <w:rPr>
          <w:lang w:val="en-GB"/>
        </w:rPr>
        <w:t xml:space="preserve"> </w:t>
      </w:r>
      <w:r w:rsidR="00786443">
        <w:rPr>
          <w:b/>
          <w:bCs/>
          <w:lang w:val="en-GB"/>
        </w:rPr>
        <w:t>Genomic location</w:t>
      </w:r>
      <w:r w:rsidRPr="74DCDED9">
        <w:rPr>
          <w:b/>
          <w:bCs/>
          <w:lang w:val="en-GB"/>
        </w:rPr>
        <w:t xml:space="preserve"> of total and candidate SNP loci.</w:t>
      </w:r>
      <w:r w:rsidRPr="74DCDED9">
        <w:rPr>
          <w:lang w:val="en-GB"/>
        </w:rPr>
        <w:t xml:space="preserve"> </w:t>
      </w:r>
      <w:r w:rsidR="00786443">
        <w:rPr>
          <w:lang w:val="en-GB"/>
        </w:rPr>
        <w:t>Location of all the SNP loci used in the study (ALL</w:t>
      </w:r>
      <w:r w:rsidR="00DB0227">
        <w:rPr>
          <w:lang w:val="en-GB"/>
        </w:rPr>
        <w:t xml:space="preserve"> list of SNPS</w:t>
      </w:r>
      <w:r w:rsidR="00786443">
        <w:rPr>
          <w:lang w:val="en-GB"/>
        </w:rPr>
        <w:t>) and the SNPS of the different subsets of candidate loci resulting from the different analyses.</w:t>
      </w:r>
      <w:r w:rsidRPr="74DCDED9">
        <w:rPr>
          <w:lang w:val="en-GB"/>
        </w:rPr>
        <w:t xml:space="preserve"> </w:t>
      </w:r>
      <w:r w:rsidR="00786443">
        <w:rPr>
          <w:lang w:val="en-GB"/>
        </w:rPr>
        <w:t xml:space="preserve">The SNPs </w:t>
      </w:r>
      <w:r w:rsidR="00DB0227">
        <w:rPr>
          <w:lang w:val="en-GB"/>
        </w:rPr>
        <w:t xml:space="preserve">of the different lists </w:t>
      </w:r>
      <w:r w:rsidR="00786443">
        <w:rPr>
          <w:lang w:val="en-GB"/>
        </w:rPr>
        <w:t xml:space="preserve">were first classified as being within a gene or not. </w:t>
      </w:r>
      <w:r w:rsidR="00DB0227">
        <w:rPr>
          <w:lang w:val="en-GB"/>
        </w:rPr>
        <w:t>Then, a</w:t>
      </w:r>
      <w:r w:rsidR="00786443">
        <w:rPr>
          <w:lang w:val="en-GB"/>
        </w:rPr>
        <w:t xml:space="preserve">ll the SNPs in genes were </w:t>
      </w:r>
      <w:r w:rsidRPr="74DCDED9">
        <w:rPr>
          <w:lang w:val="en-GB"/>
        </w:rPr>
        <w:t xml:space="preserve">classified according to </w:t>
      </w:r>
      <w:r w:rsidR="00DB0227">
        <w:rPr>
          <w:lang w:val="en-GB"/>
        </w:rPr>
        <w:t>being in protein coding (ProtCod) or non-protein coding (Non-ProtCod)</w:t>
      </w:r>
      <w:r w:rsidRPr="74DCDED9">
        <w:rPr>
          <w:lang w:val="en-GB"/>
        </w:rPr>
        <w:t xml:space="preserve"> </w:t>
      </w:r>
      <w:r w:rsidR="00DB0227">
        <w:rPr>
          <w:lang w:val="en-GB"/>
        </w:rPr>
        <w:t xml:space="preserve">genes. Finally, all the SNPs located in </w:t>
      </w:r>
      <w:r w:rsidR="000553AB">
        <w:rPr>
          <w:lang w:val="en-GB"/>
        </w:rPr>
        <w:t xml:space="preserve">all </w:t>
      </w:r>
      <w:r w:rsidR="00DB0227">
        <w:rPr>
          <w:lang w:val="en-GB"/>
        </w:rPr>
        <w:t>gene</w:t>
      </w:r>
      <w:r w:rsidR="000553AB">
        <w:rPr>
          <w:lang w:val="en-GB"/>
        </w:rPr>
        <w:t xml:space="preserve"> type</w:t>
      </w:r>
      <w:r w:rsidR="00DB0227">
        <w:rPr>
          <w:lang w:val="en-GB"/>
        </w:rPr>
        <w:t xml:space="preserve">s or </w:t>
      </w:r>
      <w:r w:rsidR="000553AB">
        <w:rPr>
          <w:lang w:val="en-GB"/>
        </w:rPr>
        <w:t xml:space="preserve">only </w:t>
      </w:r>
      <w:r w:rsidR="00DB0227">
        <w:rPr>
          <w:lang w:val="en-GB"/>
        </w:rPr>
        <w:t xml:space="preserve">protein coding genes were classified as being in exonic or intronic regions. Note that the ‘TOTAL adaptive’ list of SNPs is not the sum of the different lists of candidate loci as some candidate SNPs appeared in more than one analysis. </w:t>
      </w:r>
    </w:p>
    <w:p w14:paraId="6713FBA2" w14:textId="64E926A4" w:rsidR="74DCDED9" w:rsidRDefault="74DCDED9" w:rsidP="74DCDED9">
      <w:pPr>
        <w:jc w:val="both"/>
        <w:rPr>
          <w:lang w:val="en-GB"/>
        </w:rPr>
      </w:pPr>
      <w:r w:rsidRPr="74DCDED9">
        <w:rPr>
          <w:b/>
          <w:bCs/>
          <w:lang w:val="en-GB"/>
        </w:rPr>
        <w:t>Table S7.</w:t>
      </w:r>
      <w:r w:rsidRPr="74DCDED9">
        <w:rPr>
          <w:lang w:val="en-GB"/>
        </w:rPr>
        <w:t xml:space="preserve"> </w:t>
      </w:r>
      <w:r w:rsidR="000553AB" w:rsidRPr="000553AB">
        <w:rPr>
          <w:b/>
          <w:lang w:val="en-GB"/>
        </w:rPr>
        <w:t>Protein coding genes c</w:t>
      </w:r>
      <w:r w:rsidRPr="000553AB">
        <w:rPr>
          <w:b/>
          <w:bCs/>
          <w:lang w:val="en-GB"/>
        </w:rPr>
        <w:t>andidate</w:t>
      </w:r>
      <w:r w:rsidRPr="74DCDED9">
        <w:rPr>
          <w:b/>
          <w:bCs/>
          <w:lang w:val="en-GB"/>
        </w:rPr>
        <w:t xml:space="preserve"> for adaptation.</w:t>
      </w:r>
      <w:r w:rsidRPr="74DCDED9">
        <w:rPr>
          <w:lang w:val="en-GB"/>
        </w:rPr>
        <w:t xml:space="preserve"> Characterization of the 328 protein</w:t>
      </w:r>
      <w:r w:rsidR="000553AB">
        <w:rPr>
          <w:lang w:val="en-GB"/>
        </w:rPr>
        <w:t xml:space="preserve"> </w:t>
      </w:r>
      <w:r w:rsidRPr="74DCDED9">
        <w:rPr>
          <w:lang w:val="en-GB"/>
        </w:rPr>
        <w:t>coding genes identified in each of the association and outliers SNPs</w:t>
      </w:r>
      <w:r w:rsidR="00DB0227">
        <w:rPr>
          <w:lang w:val="en-GB"/>
        </w:rPr>
        <w:t xml:space="preserve"> analyses</w:t>
      </w:r>
      <w:r w:rsidR="000553AB">
        <w:rPr>
          <w:lang w:val="en-GB"/>
        </w:rPr>
        <w:t xml:space="preserve"> (see Table S6)</w:t>
      </w:r>
      <w:r w:rsidRPr="74DCDED9">
        <w:rPr>
          <w:lang w:val="en-GB"/>
        </w:rPr>
        <w:t>. We include the analysis in which the candidate gene was found (RDA_CLUTCH: clutch size and geographic location, RDA_DISP: short-term dispersal data, RDA_SIA: stable isotopes, RDA_ENV: temperature and salinity, Bayescan and pcadapt), its location within the protein, the name of the gene</w:t>
      </w:r>
      <w:r w:rsidR="0029212D">
        <w:rPr>
          <w:lang w:val="en-GB"/>
        </w:rPr>
        <w:t xml:space="preserve"> and</w:t>
      </w:r>
      <w:r w:rsidRPr="74DCDED9">
        <w:rPr>
          <w:lang w:val="en-GB"/>
        </w:rPr>
        <w:t xml:space="preserve"> its description</w:t>
      </w:r>
      <w:r w:rsidR="0029212D">
        <w:rPr>
          <w:lang w:val="en-GB"/>
        </w:rPr>
        <w:t>.</w:t>
      </w:r>
      <w:r w:rsidRPr="74DCDED9">
        <w:rPr>
          <w:lang w:val="en-GB"/>
        </w:rPr>
        <w:t xml:space="preserve"> </w:t>
      </w:r>
    </w:p>
    <w:p w14:paraId="6B69E525" w14:textId="7A477DDD" w:rsidR="74DCDED9" w:rsidRDefault="74DCDED9" w:rsidP="74DCDED9">
      <w:pPr>
        <w:jc w:val="both"/>
        <w:rPr>
          <w:lang w:val="en-GB"/>
        </w:rPr>
      </w:pPr>
      <w:r w:rsidRPr="74DCDED9">
        <w:rPr>
          <w:b/>
          <w:bCs/>
          <w:lang w:val="en-GB"/>
        </w:rPr>
        <w:lastRenderedPageBreak/>
        <w:t>Table S8.</w:t>
      </w:r>
      <w:r w:rsidRPr="74DCDED9">
        <w:rPr>
          <w:lang w:val="en-GB"/>
        </w:rPr>
        <w:t xml:space="preserve"> </w:t>
      </w:r>
      <w:r w:rsidRPr="74DCDED9">
        <w:rPr>
          <w:b/>
          <w:bCs/>
          <w:lang w:val="en-GB"/>
        </w:rPr>
        <w:t>Enriched GO terms.</w:t>
      </w:r>
      <w:r w:rsidRPr="74DCDED9">
        <w:rPr>
          <w:lang w:val="en-GB"/>
        </w:rPr>
        <w:t xml:space="preserve"> </w:t>
      </w:r>
      <w:r w:rsidR="0029212D">
        <w:rPr>
          <w:lang w:val="en-GB"/>
        </w:rPr>
        <w:t>Detail of the GO terms found in the enrichment analysis, including their category (</w:t>
      </w:r>
      <w:r w:rsidR="0029212D" w:rsidRPr="74DCDED9">
        <w:rPr>
          <w:lang w:val="en-GB"/>
        </w:rPr>
        <w:t xml:space="preserve">Biological Process (BP) </w:t>
      </w:r>
      <w:r w:rsidR="0029212D">
        <w:rPr>
          <w:lang w:val="en-GB"/>
        </w:rPr>
        <w:t>or</w:t>
      </w:r>
      <w:r w:rsidR="0029212D" w:rsidRPr="74DCDED9">
        <w:rPr>
          <w:lang w:val="en-GB"/>
        </w:rPr>
        <w:t xml:space="preserve"> Molecular Funcion (MF)</w:t>
      </w:r>
      <w:r w:rsidR="0029212D">
        <w:rPr>
          <w:lang w:val="en-GB"/>
        </w:rPr>
        <w:t>)</w:t>
      </w:r>
      <w:r w:rsidR="0029212D" w:rsidRPr="74DCDED9">
        <w:rPr>
          <w:lang w:val="en-GB"/>
        </w:rPr>
        <w:t xml:space="preserve">, </w:t>
      </w:r>
      <w:r w:rsidR="0029212D">
        <w:rPr>
          <w:lang w:val="en-GB"/>
        </w:rPr>
        <w:t xml:space="preserve">the analysis where the significant GO terms were found </w:t>
      </w:r>
      <w:r w:rsidR="0029212D" w:rsidRPr="74DCDED9">
        <w:rPr>
          <w:lang w:val="en-GB"/>
        </w:rPr>
        <w:t>(RDA_CLUTCH: clutch size and geographic location, RDA_DISP: short-term dispersal data, RDA_SIA: stable isotopes, Bayescan and pcadapt)</w:t>
      </w:r>
      <w:r w:rsidRPr="74DCDED9">
        <w:rPr>
          <w:lang w:val="en-GB"/>
        </w:rPr>
        <w:t xml:space="preserve">, </w:t>
      </w:r>
      <w:r w:rsidR="0029212D">
        <w:rPr>
          <w:lang w:val="en-GB"/>
        </w:rPr>
        <w:t>the</w:t>
      </w:r>
      <w:r w:rsidRPr="74DCDED9">
        <w:rPr>
          <w:lang w:val="en-GB"/>
        </w:rPr>
        <w:t xml:space="preserve"> description </w:t>
      </w:r>
      <w:r w:rsidR="0029212D">
        <w:rPr>
          <w:lang w:val="en-GB"/>
        </w:rPr>
        <w:t xml:space="preserve">of the GO term </w:t>
      </w:r>
      <w:r w:rsidRPr="74DCDED9">
        <w:rPr>
          <w:lang w:val="en-GB"/>
        </w:rPr>
        <w:t>and the candidate proteins associated.</w:t>
      </w:r>
    </w:p>
    <w:p w14:paraId="1F1292CC" w14:textId="7AF7C014" w:rsidR="74DCDED9" w:rsidRDefault="74DCDED9" w:rsidP="74DCDED9">
      <w:pPr>
        <w:jc w:val="both"/>
        <w:rPr>
          <w:lang w:val="en-GB"/>
        </w:rPr>
      </w:pPr>
    </w:p>
    <w:sectPr w:rsidR="74DCDE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99"/>
    <w:rsid w:val="000240D6"/>
    <w:rsid w:val="00044387"/>
    <w:rsid w:val="000553AB"/>
    <w:rsid w:val="000C34C9"/>
    <w:rsid w:val="00161F53"/>
    <w:rsid w:val="0017344A"/>
    <w:rsid w:val="00216430"/>
    <w:rsid w:val="002704EA"/>
    <w:rsid w:val="0029212D"/>
    <w:rsid w:val="0032181B"/>
    <w:rsid w:val="003328C7"/>
    <w:rsid w:val="003F4E3A"/>
    <w:rsid w:val="00424639"/>
    <w:rsid w:val="00491C3C"/>
    <w:rsid w:val="004C59AD"/>
    <w:rsid w:val="00543D57"/>
    <w:rsid w:val="006D1B34"/>
    <w:rsid w:val="0072758C"/>
    <w:rsid w:val="00786443"/>
    <w:rsid w:val="007B701F"/>
    <w:rsid w:val="0086284B"/>
    <w:rsid w:val="00873AC4"/>
    <w:rsid w:val="008A2799"/>
    <w:rsid w:val="008B5EA2"/>
    <w:rsid w:val="00973BAE"/>
    <w:rsid w:val="0099559E"/>
    <w:rsid w:val="009C2138"/>
    <w:rsid w:val="009F56D3"/>
    <w:rsid w:val="00A01FE6"/>
    <w:rsid w:val="00A37059"/>
    <w:rsid w:val="00B874DB"/>
    <w:rsid w:val="00BE6EAD"/>
    <w:rsid w:val="00C950A2"/>
    <w:rsid w:val="00DA126C"/>
    <w:rsid w:val="00DB0227"/>
    <w:rsid w:val="74DCDED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2ED8"/>
  <w15:chartTrackingRefBased/>
  <w15:docId w15:val="{BB17D777-586A-4CFA-BFB7-97A07FC4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5EA2"/>
    <w:rPr>
      <w:color w:val="808080"/>
    </w:rPr>
  </w:style>
  <w:style w:type="paragraph" w:styleId="Revisi">
    <w:name w:val="Revision"/>
    <w:hidden/>
    <w:uiPriority w:val="99"/>
    <w:semiHidden/>
    <w:rsid w:val="004C59AD"/>
    <w:pPr>
      <w:spacing w:after="0" w:line="240" w:lineRule="auto"/>
    </w:pPr>
  </w:style>
  <w:style w:type="character" w:styleId="Refernciadecomentari">
    <w:name w:val="annotation reference"/>
    <w:basedOn w:val="Lletraperdefectedelpargraf"/>
    <w:uiPriority w:val="99"/>
    <w:semiHidden/>
    <w:unhideWhenUsed/>
    <w:rsid w:val="000C34C9"/>
    <w:rPr>
      <w:sz w:val="16"/>
      <w:szCs w:val="16"/>
    </w:rPr>
  </w:style>
  <w:style w:type="paragraph" w:styleId="Textdecomentari">
    <w:name w:val="annotation text"/>
    <w:basedOn w:val="Normal"/>
    <w:link w:val="TextdecomentariCar"/>
    <w:uiPriority w:val="99"/>
    <w:unhideWhenUsed/>
    <w:rsid w:val="000C34C9"/>
    <w:pPr>
      <w:spacing w:line="240" w:lineRule="auto"/>
    </w:pPr>
    <w:rPr>
      <w:sz w:val="20"/>
      <w:szCs w:val="20"/>
    </w:rPr>
  </w:style>
  <w:style w:type="character" w:customStyle="1" w:styleId="TextdecomentariCar">
    <w:name w:val="Text de comentari Car"/>
    <w:basedOn w:val="Lletraperdefectedelpargraf"/>
    <w:link w:val="Textdecomentari"/>
    <w:uiPriority w:val="99"/>
    <w:rsid w:val="000C34C9"/>
    <w:rPr>
      <w:sz w:val="20"/>
      <w:szCs w:val="20"/>
    </w:rPr>
  </w:style>
  <w:style w:type="paragraph" w:styleId="Temadelcomentari">
    <w:name w:val="annotation subject"/>
    <w:basedOn w:val="Textdecomentari"/>
    <w:next w:val="Textdecomentari"/>
    <w:link w:val="TemadelcomentariCar"/>
    <w:uiPriority w:val="99"/>
    <w:semiHidden/>
    <w:unhideWhenUsed/>
    <w:rsid w:val="000C34C9"/>
    <w:rPr>
      <w:b/>
      <w:bCs/>
    </w:rPr>
  </w:style>
  <w:style w:type="character" w:customStyle="1" w:styleId="TemadelcomentariCar">
    <w:name w:val="Tema del comentari Car"/>
    <w:basedOn w:val="TextdecomentariCar"/>
    <w:link w:val="Temadelcomentari"/>
    <w:uiPriority w:val="99"/>
    <w:semiHidden/>
    <w:rsid w:val="000C34C9"/>
    <w:rPr>
      <w:b/>
      <w:bCs/>
      <w:sz w:val="20"/>
      <w:szCs w:val="20"/>
    </w:rPr>
  </w:style>
  <w:style w:type="paragraph" w:styleId="Textdeglobus">
    <w:name w:val="Balloon Text"/>
    <w:basedOn w:val="Normal"/>
    <w:link w:val="TextdeglobusCar"/>
    <w:uiPriority w:val="99"/>
    <w:semiHidden/>
    <w:unhideWhenUsed/>
    <w:rsid w:val="0099559E"/>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995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993185">
      <w:bodyDiv w:val="1"/>
      <w:marLeft w:val="0"/>
      <w:marRight w:val="0"/>
      <w:marTop w:val="0"/>
      <w:marBottom w:val="0"/>
      <w:divBdr>
        <w:top w:val="none" w:sz="0" w:space="0" w:color="auto"/>
        <w:left w:val="none" w:sz="0" w:space="0" w:color="auto"/>
        <w:bottom w:val="none" w:sz="0" w:space="0" w:color="auto"/>
        <w:right w:val="none" w:sz="0" w:space="0" w:color="auto"/>
      </w:divBdr>
    </w:div>
    <w:div w:id="19588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6CA518-4379-4F34-8FA8-6198B1F34B5A}">
  <we:reference id="f78a3046-9e99-4300-aa2b-5814002b01a2" version="1.55.1.0" store="EXCatalog" storeType="EXCatalog"/>
  <we:alternateReferences>
    <we:reference id="WA104382081" version="1.55.1.0" store="es-ES" storeType="OMEX"/>
  </we:alternateReferences>
  <we:properties>
    <we:property name="MENDELEY_CITATIONS" value="[{&quot;citationID&quot;:&quot;MENDELEY_CITATION_94420f5c-3be5-42d0-ac9c-58db56fdd938&quot;,&quot;properties&quot;:{&quot;noteIndex&quot;:0},&quot;isEdited&quot;:false,&quot;manualOverride&quot;:{&quot;isManuallyOverridden&quot;:false,&quot;citeprocText&quot;:&quot;(Casale et al., 2018)&quot;,&quot;manualOverrideText&quot;:&quot;&quot;},&quot;citationTag&quot;:&quot;MENDELEY_CITATION_v3_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&quot;,&quot;citationItems&quot;:[{&quot;id&quot;:&quot;576ca67b-278c-302f-bba3-f2d664dbfa51&quot;,&quot;itemData&quot;:{&quot;type&quot;:&quot;article&quot;,&quot;id&quot;:&quot;576ca67b-278c-302f-bba3-f2d664dbfa51&quot;,&quot;title&quot;:&quot;Mediterranean sea turtles: Current knowledge and priorities for conservation and research&quot;,&quot;groupId&quot;:&quot;40b2965c-675a-3d54-90ed-6139fbce0f90&quot;,&quot;author&quot;:[{&quot;family&quot;:&quot;Casale&quot;,&quot;given&quot;:&quot;Paolo&quot;,&quot;parse-names&quot;:false,&quot;dropping-particle&quot;:&quot;&quot;,&quot;non-dropping-particle&quot;:&quot;&quot;},{&quot;family&quot;:&quot;Broderick&quot;,&quot;given&quot;:&quot;Annette C.&quot;,&quot;parse-names&quot;:false,&quot;dropping-particle&quot;:&quot;&quot;,&quot;non-dropping-particle&quot;:&quot;&quot;},{&quot;family&quot;:&quot;Camiñas&quot;,&quot;given&quot;:&quot;Juan Antonio&quot;,&quot;parse-names&quot;:false,&quot;dropping-particle&quot;:&quot;&quot;,&quot;non-dropping-particle&quot;:&quot;&quot;},{&quot;family&quot;:&quot;Cardona&quot;,&quot;given&quot;:&quot;Luis&quot;,&quot;parse-names&quot;:false,&quot;dropping-particle&quot;:&quot;&quot;,&quot;non-dropping-particle&quot;:&quot;&quot;},{&quot;family&quot;:&quot;Carreras&quot;,&quot;given&quot;:&quot;Carlos&quot;,&quot;parse-names&quot;:false,&quot;dropping-particle&quot;:&quot;&quot;,&quot;non-dropping-particle&quot;:&quot;&quot;},{&quot;family&quot;:&quot;Demetropoulos&quot;,&quot;given&quot;:&quot;Andreas&quot;,&quot;parse-names&quot;:false,&quot;dropping-particle&quot;:&quot;&quot;,&quot;non-dropping-particle&quot;:&quot;&quot;},{&quot;family&quot;:&quot;Fuller&quot;,&quot;given&quot;:&quot;Wayne J.&quot;,&quot;parse-names&quot;:false,&quot;dropping-particle&quot;:&quot;&quot;,&quot;non-dropping-particle&quot;:&quot;&quot;},{&quot;family&quot;:&quot;Godley&quot;,&quot;given&quot;:&quot;Brendan J.&quot;,&quot;parse-names&quot;:false,&quot;dropping-particle&quot;:&quot;&quot;,&quot;non-dropping-particle&quot;:&quot;&quot;},{&quot;family&quot;:&quot;Hochscheid&quot;,&quot;given&quot;:&quot;Sandra&quot;,&quot;parse-names&quot;:false,&quot;dropping-particle&quot;:&quot;&quot;,&quot;non-dropping-particle&quot;:&quot;&quot;},{&quot;family&quot;:&quot;Kaska&quot;,&quot;given&quot;:&quot;Yakup&quot;,&quot;parse-names&quot;:false,&quot;dropping-particle&quot;:&quot;&quot;,&quot;non-dropping-particle&quot;:&quot;&quot;},{&quot;family&quot;:&quot;Lazar&quot;,&quot;given&quot;:&quot;Bojan&quot;,&quot;parse-names&quot;:false,&quot;dropping-particle&quot;:&quot;&quot;,&quot;non-dropping-particle&quot;:&quot;&quot;},{&quot;family&quot;:&quot;Margaritoulis&quot;,&quot;given&quot;:&quot;Dimitris&quot;,&quot;parse-names&quot;:false,&quot;dropping-particle&quot;:&quot;&quot;,&quot;non-dropping-particle&quot;:&quot;&quot;},{&quot;family&quot;:&quot;Panagopoulou&quot;,&quot;given&quot;:&quot;Aliki&quot;,&quot;parse-names&quot;:false,&quot;dropping-particle&quot;:&quot;&quot;,&quot;non-dropping-particle&quot;:&quot;&quot;},{&quot;family&quot;:&quot;Rees&quot;,&quot;given&quot;:&quot;ALan F.&quot;,&quot;parse-names&quot;:false,&quot;dropping-particle&quot;:&quot;&quot;,&quot;non-dropping-particle&quot;:&quot;&quot;},{&quot;family&quot;:&quot;Tomás&quot;,&quot;given&quot;:&quot;Jesús&quot;,&quot;parse-names&quot;:false,&quot;dropping-particle&quot;:&quot;&quot;,&quot;non-dropping-particle&quot;:&quot;&quot;},{&quot;family&quot;:&quot;Türkozan&quot;,&quot;given&quot;:&quot;Oguz&quot;,&quot;parse-names&quot;:false,&quot;dropping-particle&quot;:&quot;&quot;,&quot;non-dropping-particle&quot;:&quot;&quot;}],&quot;container-title&quot;:&quot;Endangered Species Research&quot;,&quot;container-title-short&quot;:&quot;Endanger Species Res&quot;,&quot;DOI&quot;:&quot;10.3354/esr00901&quot;,&quot;ISSN&quot;:&quot;16134796&quot;,&quot;issued&quot;:{&quot;date-parts&quot;:[[2018]]},&quot;page&quot;:&quot;229-267&quot;,&quot;abstract&quot;:&quot;The available information regarding the 2 sea turtle species breeding in the Mediterranean (loggerhead turtle Caretta caretta and green turtle Chelonia mydas) is reviewed, including biometrics and morphology, identification of breeding and foraging areas, ecology and behaviour, abundance and trends, population structure and dynamics, anthropogenic threats and conservation measures. Although a large body of knowledge has been generated, research efforts have been inconsistently allocated across geographic areas, species and topics. Significant gaps still exist, ranging from the most fundamental aspects, such as the distribution of major nesting sites and the total number of clutches laid annually in the region, to more specific topics like age at maturity, survival rates and behavioural ecology, especially for certain areas (e.g. south-eastern Mediterranean). These gaps are particularly marked for the green turtle. The recent positive trends of nest counts at some nesting sites may be the result of the cessation of past exploitation and decades of conservation measures on land, both in the form of national regulations and of continued active protection of clutches. Therefore, the current status should be considered as dependent on such ongoing conservation efforts. Mitigation of incidental catch in fisheries, the main anthropogenic threat at sea, is still in its infancy. From the analysis of the present status a comprehensive list of re search and conservation priorities is proposed.&quot;,&quot;publisher&quot;:&quot;Inter-Research&quot;,&quot;volume&quot;:&quot;36&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37E2F-E6EB-48F7-A8D3-6C6F46CF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597</Words>
  <Characters>3407</Characters>
  <Application>Microsoft Office Word</Application>
  <DocSecurity>0</DocSecurity>
  <Lines>28</Lines>
  <Paragraphs>7</Paragraphs>
  <ScaleCrop>false</ScaleCrop>
  <HeadingPairs>
    <vt:vector size="2" baseType="variant">
      <vt:variant>
        <vt:lpstr>Títol</vt:lpstr>
      </vt:variant>
      <vt:variant>
        <vt:i4>1</vt:i4>
      </vt:variant>
    </vt:vector>
  </HeadingPairs>
  <TitlesOfParts>
    <vt:vector size="1" baseType="lpstr">
      <vt:lpstr/>
    </vt:vector>
  </TitlesOfParts>
  <Company>Universitat de Barcelona</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Carreras Huergo</dc:creator>
  <cp:keywords/>
  <dc:description/>
  <cp:lastModifiedBy>Carlos Carreras Huergo</cp:lastModifiedBy>
  <cp:revision>21</cp:revision>
  <dcterms:created xsi:type="dcterms:W3CDTF">2024-03-24T10:08:00Z</dcterms:created>
  <dcterms:modified xsi:type="dcterms:W3CDTF">2025-11-20T10:22:00Z</dcterms:modified>
</cp:coreProperties>
</file>