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GB"/>
        </w:rPr>
      </w:pPr>
      <w:r>
        <w:rPr>
          <w:rFonts w:ascii="Calibri" w:hAnsi="Calibri" w:cs="Calibri"/>
          <w:b/>
          <w:sz w:val="20"/>
          <w:szCs w:val="20"/>
          <w:lang w:val="en-GB"/>
        </w:rPr>
        <w:t>Table 1</w:t>
      </w:r>
      <w:r>
        <w:rPr>
          <w:rFonts w:ascii="Calibri" w:hAnsi="Calibri" w:cs="Calibri"/>
          <w:sz w:val="20"/>
          <w:szCs w:val="20"/>
          <w:lang w:val="en-GB"/>
        </w:rPr>
        <w:t xml:space="preserve"> Information on field and laboratory strains of </w:t>
      </w:r>
      <w:r>
        <w:rPr>
          <w:rFonts w:ascii="Calibri" w:hAnsi="Calibri" w:cs="Calibri"/>
          <w:i/>
          <w:sz w:val="20"/>
          <w:szCs w:val="20"/>
          <w:lang w:val="en-GB"/>
        </w:rPr>
        <w:t>Tuta absoluta</w:t>
      </w:r>
      <w:r>
        <w:rPr>
          <w:rFonts w:ascii="Calibri" w:hAnsi="Calibri" w:cs="Calibri"/>
          <w:sz w:val="20"/>
          <w:szCs w:val="20"/>
          <w:lang w:val="en-GB"/>
        </w:rPr>
        <w:t xml:space="preserve"> used in the present study. All strains were collected and/or maintained on tomato plants. The selected strain GR-IER-16-6-S8 originated from strain GR-IER-16-6 after 8 selection cycles with emamectin benzoate (see M&amp;M for details).</w:t>
      </w: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GB"/>
        </w:rPr>
      </w:pP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20"/>
          <w:szCs w:val="20"/>
          <w:lang w:val="en-GB"/>
        </w:rPr>
      </w:pPr>
      <w:r w:rsidRPr="00D70C90">
        <w:rPr>
          <w:noProof/>
          <w:lang w:val="en-US"/>
        </w:rPr>
        <w:drawing>
          <wp:inline distT="0" distB="0" distL="0" distR="0">
            <wp:extent cx="5267325" cy="11239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E13" w:rsidRDefault="007D1E13" w:rsidP="007D1E13">
      <w:pPr>
        <w:spacing w:line="360" w:lineRule="auto"/>
        <w:rPr>
          <w:rFonts w:ascii="Calibri" w:hAnsi="Calibri" w:cs="Calibri"/>
          <w:sz w:val="20"/>
          <w:szCs w:val="20"/>
          <w:lang w:val="en-GB"/>
        </w:rPr>
      </w:pPr>
      <w:r w:rsidRPr="0095727B">
        <w:rPr>
          <w:lang w:val="en-US"/>
        </w:rPr>
        <w:br w:type="page"/>
      </w:r>
      <w:r>
        <w:rPr>
          <w:rFonts w:ascii="Calibri" w:hAnsi="Calibri" w:cs="Calibri"/>
          <w:b/>
          <w:sz w:val="20"/>
          <w:szCs w:val="20"/>
          <w:lang w:val="en-GB"/>
        </w:rPr>
        <w:lastRenderedPageBreak/>
        <w:t>Table 2</w:t>
      </w:r>
      <w:r>
        <w:rPr>
          <w:rFonts w:ascii="Calibri" w:hAnsi="Calibri" w:cs="Calibri"/>
          <w:sz w:val="20"/>
          <w:szCs w:val="20"/>
          <w:lang w:val="en-GB"/>
        </w:rPr>
        <w:t xml:space="preserve"> Log-dose probit – mortality data for emamectin benzoate and abamectin against 2</w:t>
      </w:r>
      <w:r>
        <w:rPr>
          <w:rFonts w:ascii="Calibri" w:hAnsi="Calibri" w:cs="Calibri"/>
          <w:sz w:val="20"/>
          <w:szCs w:val="20"/>
          <w:vertAlign w:val="superscript"/>
          <w:lang w:val="en-GB"/>
        </w:rPr>
        <w:t>nd</w:t>
      </w:r>
      <w:r>
        <w:rPr>
          <w:rFonts w:ascii="Calibri" w:hAnsi="Calibri" w:cs="Calibri"/>
          <w:sz w:val="20"/>
          <w:szCs w:val="20"/>
          <w:lang w:val="en-GB"/>
        </w:rPr>
        <w:t xml:space="preserve"> instar larvae on </w:t>
      </w:r>
      <w:r>
        <w:rPr>
          <w:rFonts w:ascii="Calibri" w:hAnsi="Calibri" w:cs="Calibri"/>
          <w:i/>
          <w:sz w:val="20"/>
          <w:szCs w:val="20"/>
          <w:lang w:val="en-GB"/>
        </w:rPr>
        <w:t>Tuta absoluta</w:t>
      </w:r>
      <w:r>
        <w:rPr>
          <w:rFonts w:ascii="Calibri" w:hAnsi="Calibri" w:cs="Calibri"/>
          <w:sz w:val="20"/>
          <w:szCs w:val="20"/>
          <w:lang w:val="en-GB"/>
        </w:rPr>
        <w:t xml:space="preserve"> strains with leaf deep bioassays (72h).</w:t>
      </w: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20"/>
          <w:szCs w:val="20"/>
          <w:lang w:val="en-GB"/>
        </w:rPr>
      </w:pP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20"/>
          <w:szCs w:val="20"/>
          <w:lang w:val="en-GB"/>
        </w:rPr>
      </w:pPr>
      <w:r w:rsidRPr="00127E9A">
        <w:rPr>
          <w:noProof/>
          <w:lang w:val="en-US"/>
        </w:rPr>
        <w:drawing>
          <wp:inline distT="0" distB="0" distL="0" distR="0">
            <wp:extent cx="5276850" cy="12477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16"/>
          <w:szCs w:val="16"/>
          <w:lang w:val="en-US"/>
        </w:rPr>
      </w:pPr>
      <w:r>
        <w:rPr>
          <w:rFonts w:ascii="Calibri" w:hAnsi="Calibri" w:cs="Calibri"/>
          <w:sz w:val="16"/>
          <w:szCs w:val="16"/>
          <w:vertAlign w:val="superscript"/>
          <w:lang w:val="en-GB"/>
        </w:rPr>
        <w:t>a</w:t>
      </w:r>
      <w:r>
        <w:rPr>
          <w:rFonts w:ascii="Calibri" w:hAnsi="Calibri" w:cs="Calibri"/>
          <w:sz w:val="16"/>
          <w:szCs w:val="16"/>
          <w:lang w:val="en-GB"/>
        </w:rPr>
        <w:t xml:space="preserve"> Confidence limits 95%</w:t>
      </w: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16"/>
          <w:szCs w:val="16"/>
          <w:lang w:val="en-GB"/>
        </w:rPr>
      </w:pPr>
      <w:r>
        <w:rPr>
          <w:rFonts w:ascii="Calibri" w:hAnsi="Calibri" w:cs="Calibri"/>
          <w:sz w:val="16"/>
          <w:szCs w:val="16"/>
          <w:vertAlign w:val="superscript"/>
          <w:lang w:val="en-GB"/>
        </w:rPr>
        <w:t>b</w:t>
      </w:r>
      <w:r>
        <w:rPr>
          <w:rFonts w:ascii="Calibri" w:hAnsi="Calibri" w:cs="Calibri"/>
          <w:sz w:val="16"/>
          <w:szCs w:val="16"/>
          <w:lang w:val="en-GB"/>
        </w:rPr>
        <w:t xml:space="preserve"> Resistance ratio (RR) calculated is based on strain ES-Sus</w:t>
      </w:r>
    </w:p>
    <w:p w:rsidR="007D1E13" w:rsidRDefault="007D1E13" w:rsidP="007D1E13">
      <w:pPr>
        <w:spacing w:line="360" w:lineRule="auto"/>
        <w:rPr>
          <w:rFonts w:ascii="Calibri" w:hAnsi="Calibri" w:cs="Calibri"/>
          <w:sz w:val="20"/>
          <w:szCs w:val="20"/>
          <w:lang w:val="en-GB"/>
        </w:rPr>
      </w:pPr>
      <w:r w:rsidRPr="004B75CD">
        <w:rPr>
          <w:lang w:val="en-US"/>
        </w:rPr>
        <w:br w:type="page"/>
      </w:r>
      <w:r>
        <w:rPr>
          <w:rFonts w:ascii="Calibri" w:hAnsi="Calibri" w:cs="Calibri"/>
          <w:b/>
          <w:sz w:val="20"/>
          <w:szCs w:val="20"/>
          <w:lang w:val="en-GB"/>
        </w:rPr>
        <w:lastRenderedPageBreak/>
        <w:t>Table 3</w:t>
      </w:r>
      <w:r>
        <w:rPr>
          <w:rFonts w:ascii="Calibri" w:hAnsi="Calibri" w:cs="Calibri"/>
          <w:sz w:val="20"/>
          <w:szCs w:val="20"/>
          <w:lang w:val="en-GB"/>
        </w:rPr>
        <w:t xml:space="preserve"> Log-dose probit – mortality data for emamectin benzoate tested with synergists against 2</w:t>
      </w:r>
      <w:r>
        <w:rPr>
          <w:rFonts w:ascii="Calibri" w:hAnsi="Calibri" w:cs="Calibri"/>
          <w:sz w:val="20"/>
          <w:szCs w:val="20"/>
          <w:vertAlign w:val="superscript"/>
          <w:lang w:val="en-GB"/>
        </w:rPr>
        <w:t>nd</w:t>
      </w:r>
      <w:r>
        <w:rPr>
          <w:rFonts w:ascii="Calibri" w:hAnsi="Calibri" w:cs="Calibri"/>
          <w:sz w:val="20"/>
          <w:szCs w:val="20"/>
          <w:lang w:val="en-GB"/>
        </w:rPr>
        <w:t xml:space="preserve"> instar larvae on </w:t>
      </w:r>
      <w:r>
        <w:rPr>
          <w:rFonts w:ascii="Calibri" w:hAnsi="Calibri" w:cs="Calibri"/>
          <w:i/>
          <w:sz w:val="20"/>
          <w:szCs w:val="20"/>
          <w:lang w:val="en-GB"/>
        </w:rPr>
        <w:t>Tuta absoluta</w:t>
      </w:r>
      <w:r>
        <w:rPr>
          <w:rFonts w:ascii="Calibri" w:hAnsi="Calibri" w:cs="Calibri"/>
          <w:sz w:val="20"/>
          <w:szCs w:val="20"/>
          <w:lang w:val="en-GB"/>
        </w:rPr>
        <w:t xml:space="preserve"> strains with leaf deep bioassays (72h).</w:t>
      </w: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sz w:val="16"/>
          <w:szCs w:val="16"/>
          <w:lang w:val="en-GB"/>
        </w:rPr>
      </w:pPr>
    </w:p>
    <w:p w:rsidR="007D1E13" w:rsidRDefault="007D1E13" w:rsidP="007D1E13">
      <w:pPr>
        <w:spacing w:line="360" w:lineRule="auto"/>
        <w:jc w:val="both"/>
        <w:rPr>
          <w:rFonts w:ascii="Calibri" w:hAnsi="Calibri" w:cs="Calibri"/>
          <w:lang w:val="en-GB"/>
        </w:rPr>
      </w:pPr>
      <w:r w:rsidRPr="00127E9A">
        <w:rPr>
          <w:noProof/>
          <w:lang w:val="en-US"/>
        </w:rPr>
        <w:drawing>
          <wp:inline distT="0" distB="0" distL="0" distR="0">
            <wp:extent cx="5276850" cy="152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E13" w:rsidRDefault="007D1E13" w:rsidP="007D1E13">
      <w:pPr>
        <w:pStyle w:val="ListParagraph"/>
        <w:spacing w:line="360" w:lineRule="auto"/>
        <w:ind w:left="-993" w:firstLine="993"/>
        <w:jc w:val="both"/>
        <w:rPr>
          <w:rFonts w:ascii="Calibri" w:hAnsi="Calibri" w:cs="Calibri"/>
          <w:iCs/>
          <w:sz w:val="16"/>
          <w:szCs w:val="16"/>
          <w:lang w:val="en-GB"/>
        </w:rPr>
      </w:pPr>
      <w:r>
        <w:rPr>
          <w:rFonts w:ascii="Calibri" w:hAnsi="Calibri" w:cs="Calibri"/>
          <w:iCs/>
          <w:sz w:val="16"/>
          <w:szCs w:val="16"/>
          <w:vertAlign w:val="superscript"/>
          <w:lang w:val="en-GB"/>
        </w:rPr>
        <w:t xml:space="preserve">a </w:t>
      </w:r>
      <w:r>
        <w:rPr>
          <w:rFonts w:ascii="Calibri" w:hAnsi="Calibri" w:cs="Calibri"/>
          <w:iCs/>
          <w:sz w:val="16"/>
          <w:szCs w:val="16"/>
          <w:lang w:val="en-GB"/>
        </w:rPr>
        <w:t>Confidence limits 95%</w:t>
      </w:r>
    </w:p>
    <w:p w:rsidR="007D1E13" w:rsidRDefault="007D1E13" w:rsidP="007D1E13">
      <w:pPr>
        <w:pStyle w:val="ListParagraph"/>
        <w:spacing w:line="360" w:lineRule="auto"/>
        <w:ind w:left="-993" w:firstLine="993"/>
        <w:jc w:val="both"/>
        <w:rPr>
          <w:rFonts w:ascii="Calibri" w:hAnsi="Calibri" w:cs="Calibri"/>
          <w:iCs/>
          <w:sz w:val="16"/>
          <w:szCs w:val="16"/>
          <w:lang w:val="en-GB"/>
        </w:rPr>
      </w:pPr>
      <w:r>
        <w:rPr>
          <w:rFonts w:ascii="Calibri" w:hAnsi="Calibri" w:cs="Calibri"/>
          <w:iCs/>
          <w:sz w:val="16"/>
          <w:szCs w:val="16"/>
          <w:vertAlign w:val="superscript"/>
          <w:lang w:val="en-GB"/>
        </w:rPr>
        <w:t>b</w:t>
      </w:r>
      <w:r>
        <w:rPr>
          <w:rFonts w:ascii="Calibri" w:hAnsi="Calibri" w:cs="Calibri"/>
          <w:iCs/>
          <w:sz w:val="16"/>
          <w:szCs w:val="16"/>
          <w:lang w:val="en-GB"/>
        </w:rPr>
        <w:t xml:space="preserve"> Synergism ratio (LC</w:t>
      </w:r>
      <w:r>
        <w:rPr>
          <w:rFonts w:ascii="Calibri" w:hAnsi="Calibri" w:cs="Calibri"/>
          <w:iCs/>
          <w:sz w:val="16"/>
          <w:szCs w:val="16"/>
          <w:vertAlign w:val="subscript"/>
          <w:lang w:val="en-GB"/>
        </w:rPr>
        <w:t>50</w:t>
      </w:r>
      <w:r>
        <w:rPr>
          <w:rFonts w:ascii="Calibri" w:hAnsi="Calibri" w:cs="Calibri"/>
          <w:iCs/>
          <w:sz w:val="16"/>
          <w:szCs w:val="16"/>
          <w:lang w:val="en-GB"/>
        </w:rPr>
        <w:t xml:space="preserve"> without synergist divided by LC</w:t>
      </w:r>
      <w:r>
        <w:rPr>
          <w:rFonts w:ascii="Calibri" w:hAnsi="Calibri" w:cs="Calibri"/>
          <w:iCs/>
          <w:sz w:val="16"/>
          <w:szCs w:val="16"/>
          <w:vertAlign w:val="subscript"/>
          <w:lang w:val="en-GB"/>
        </w:rPr>
        <w:t>50</w:t>
      </w:r>
      <w:r>
        <w:rPr>
          <w:rFonts w:ascii="Calibri" w:hAnsi="Calibri" w:cs="Calibri"/>
          <w:iCs/>
          <w:sz w:val="16"/>
          <w:szCs w:val="16"/>
          <w:lang w:val="en-GB"/>
        </w:rPr>
        <w:t xml:space="preserve"> + synergist)</w:t>
      </w: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  <w:r w:rsidRPr="004B75CD">
        <w:rPr>
          <w:lang w:val="en-US"/>
        </w:rPr>
        <w:br w:type="page"/>
      </w:r>
      <w:r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>Table 4.</w:t>
      </w:r>
      <w:r>
        <w:rPr>
          <w:rFonts w:ascii="Calibri" w:hAnsi="Calibri" w:cs="Calibri"/>
          <w:sz w:val="20"/>
          <w:szCs w:val="20"/>
          <w:lang w:val="en-US"/>
        </w:rPr>
        <w:t xml:space="preserve"> Transcriptome assembly summary</w:t>
      </w: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</w:p>
    <w:tbl>
      <w:tblPr>
        <w:tblW w:w="9064" w:type="dxa"/>
        <w:tblInd w:w="1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750"/>
        <w:gridCol w:w="2314"/>
      </w:tblGrid>
      <w:tr w:rsidR="007D1E13" w:rsidRPr="00127E9A" w:rsidTr="000361EB">
        <w:trPr>
          <w:trHeight w:val="568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Number of transcripts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549,601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Number of unigenes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233,453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Number of p</w:t>
            </w:r>
            <w:r>
              <w:rPr>
                <w:rFonts w:ascii="Calibri" w:hAnsi="Calibri" w:cs="Calibri"/>
                <w:sz w:val="22"/>
                <w:szCs w:val="22"/>
              </w:rPr>
              <w:t>redicted proteins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92,134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with a BLAST hit vs Uniref50, e-value &lt;10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82,156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sz w:val="22"/>
                <w:szCs w:val="22"/>
              </w:rPr>
              <w:t>against Metazoa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71,983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  </w:t>
            </w:r>
            <w:r>
              <w:rPr>
                <w:rFonts w:ascii="Calibri" w:hAnsi="Calibri" w:cs="Calibri"/>
                <w:sz w:val="22"/>
                <w:szCs w:val="22"/>
              </w:rPr>
              <w:t>against Arthropoda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66,552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   </w:t>
            </w:r>
            <w:r>
              <w:rPr>
                <w:rFonts w:ascii="Calibri" w:hAnsi="Calibri" w:cs="Calibri"/>
                <w:sz w:val="22"/>
                <w:szCs w:val="22"/>
              </w:rPr>
              <w:t>against Lepidoptera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56,850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sz w:val="22"/>
                <w:szCs w:val="22"/>
              </w:rPr>
              <w:t>against Bacteria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1,538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with an assigned GO term (from InterProScan)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29,538</w:t>
            </w:r>
          </w:p>
        </w:tc>
      </w:tr>
      <w:tr w:rsidR="007D1E13" w:rsidRPr="00127E9A" w:rsidTr="000361EB">
        <w:trPr>
          <w:trHeight w:val="568"/>
        </w:trPr>
        <w:tc>
          <w:tcPr>
            <w:tcW w:w="6750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jc w:val="left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eastAsia="Carlito;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with a Pfam domain (from InterProScan)</w:t>
            </w:r>
          </w:p>
        </w:tc>
        <w:tc>
          <w:tcPr>
            <w:tcW w:w="23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Default="007D1E13" w:rsidP="000361EB">
            <w:pPr>
              <w:pStyle w:val="TableHeading"/>
              <w:suppressLineNumbers/>
              <w:spacing w:after="160" w:line="360" w:lineRule="auto"/>
              <w:contextualSpacing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49,970</w:t>
            </w:r>
          </w:p>
        </w:tc>
      </w:tr>
    </w:tbl>
    <w:p w:rsidR="007D1E13" w:rsidRDefault="007D1E13" w:rsidP="007D1E13">
      <w:pPr>
        <w:spacing w:line="360" w:lineRule="auto"/>
        <w:sectPr w:rsidR="007D1E13" w:rsidSect="00AF2DB5">
          <w:pgSz w:w="11906" w:h="16838"/>
          <w:pgMar w:top="1440" w:right="1800" w:bottom="1440" w:left="1800" w:header="0" w:footer="0" w:gutter="0"/>
          <w:lnNumType w:countBy="1" w:restart="continuous"/>
          <w:cols w:space="720"/>
          <w:formProt w:val="0"/>
          <w:docGrid w:linePitch="360" w:charSpace="4096"/>
        </w:sectPr>
      </w:pPr>
    </w:p>
    <w:p w:rsidR="007D1E13" w:rsidRDefault="007D1E13" w:rsidP="007D1E13">
      <w:pPr>
        <w:spacing w:line="360" w:lineRule="auto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sz w:val="20"/>
          <w:szCs w:val="20"/>
          <w:lang w:val="en-US"/>
        </w:rPr>
        <w:lastRenderedPageBreak/>
        <w:t>Table 5</w:t>
      </w:r>
      <w:r>
        <w:rPr>
          <w:rFonts w:ascii="Calibri" w:hAnsi="Calibri" w:cs="Calibri"/>
          <w:sz w:val="20"/>
          <w:szCs w:val="20"/>
          <w:lang w:val="en-US"/>
        </w:rPr>
        <w:t>. Number of P450s found for each clan.</w:t>
      </w:r>
    </w:p>
    <w:p w:rsidR="007D1E13" w:rsidRDefault="007D1E13" w:rsidP="007D1E13">
      <w:pPr>
        <w:spacing w:line="360" w:lineRule="auto"/>
        <w:rPr>
          <w:rFonts w:ascii="Calibri" w:hAnsi="Calibri" w:cs="Calibri"/>
          <w:sz w:val="24"/>
          <w:szCs w:val="24"/>
          <w:lang w:val="en-US"/>
        </w:rPr>
      </w:pPr>
    </w:p>
    <w:tbl>
      <w:tblPr>
        <w:tblW w:w="6969" w:type="dxa"/>
        <w:tblInd w:w="1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24"/>
        <w:gridCol w:w="1264"/>
        <w:gridCol w:w="1539"/>
        <w:gridCol w:w="1267"/>
        <w:gridCol w:w="1375"/>
      </w:tblGrid>
      <w:tr w:rsidR="007D1E13" w:rsidRPr="00127E9A" w:rsidTr="000361EB">
        <w:tc>
          <w:tcPr>
            <w:tcW w:w="1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Clan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Tuta absoluta</w:t>
            </w:r>
          </w:p>
        </w:tc>
        <w:tc>
          <w:tcPr>
            <w:tcW w:w="15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Helicoverpa armigera</w:t>
            </w: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Bombyx mori</w:t>
            </w: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Manduca sexta</w:t>
            </w:r>
            <w:r w:rsidRPr="00127E9A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</w:tr>
      <w:tr w:rsidR="007D1E13" w:rsidRPr="00127E9A" w:rsidTr="000361EB"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Mitochondrial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13</w:t>
            </w:r>
          </w:p>
        </w:tc>
        <w:tc>
          <w:tcPr>
            <w:tcW w:w="1539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67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16</w:t>
            </w:r>
          </w:p>
        </w:tc>
      </w:tr>
      <w:tr w:rsidR="007D1E13" w:rsidRPr="00127E9A" w:rsidTr="000361EB"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Clan 2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1539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1267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</w:tr>
      <w:tr w:rsidR="007D1E13" w:rsidRPr="00127E9A" w:rsidTr="000361EB"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Clan 3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57</w:t>
            </w:r>
          </w:p>
        </w:tc>
        <w:tc>
          <w:tcPr>
            <w:tcW w:w="1539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46</w:t>
            </w:r>
          </w:p>
        </w:tc>
        <w:tc>
          <w:tcPr>
            <w:tcW w:w="1267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31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45</w:t>
            </w:r>
          </w:p>
        </w:tc>
      </w:tr>
      <w:tr w:rsidR="007D1E13" w:rsidRPr="00127E9A" w:rsidTr="000361EB"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Clan 4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62</w:t>
            </w:r>
          </w:p>
        </w:tc>
        <w:tc>
          <w:tcPr>
            <w:tcW w:w="1539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267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27E9A">
              <w:rPr>
                <w:rFonts w:ascii="Calibri" w:hAnsi="Calibri" w:cs="Calibri"/>
                <w:sz w:val="20"/>
                <w:szCs w:val="20"/>
              </w:rPr>
              <w:t>34</w:t>
            </w:r>
          </w:p>
        </w:tc>
      </w:tr>
      <w:tr w:rsidR="007D1E13" w:rsidRPr="00127E9A" w:rsidTr="000361EB"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264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143</w:t>
            </w:r>
          </w:p>
        </w:tc>
        <w:tc>
          <w:tcPr>
            <w:tcW w:w="1539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114</w:t>
            </w:r>
          </w:p>
        </w:tc>
        <w:tc>
          <w:tcPr>
            <w:tcW w:w="1267" w:type="dxa"/>
            <w:tcBorders>
              <w:left w:val="single" w:sz="2" w:space="0" w:color="000000"/>
              <w:bottom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13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D1E13" w:rsidRPr="00127E9A" w:rsidRDefault="007D1E13" w:rsidP="000361EB">
            <w:pPr>
              <w:pStyle w:val="TableContents"/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</w:rPr>
              <w:t>103</w:t>
            </w:r>
          </w:p>
        </w:tc>
      </w:tr>
    </w:tbl>
    <w:p w:rsidR="007D1E13" w:rsidRDefault="007D1E13" w:rsidP="007D1E13">
      <w:pPr>
        <w:spacing w:after="0" w:line="360" w:lineRule="auto"/>
        <w:rPr>
          <w:lang w:val="en-US"/>
        </w:rPr>
      </w:pPr>
      <w:r>
        <w:rPr>
          <w:rFonts w:ascii="Calibri" w:hAnsi="Calibri" w:cs="Calibri"/>
          <w:sz w:val="20"/>
          <w:szCs w:val="20"/>
          <w:vertAlign w:val="superscript"/>
          <w:lang w:val="en-US"/>
        </w:rPr>
        <w:t>1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fldChar w:fldCharType="begin"/>
      </w:r>
      <w:r>
        <w:rPr>
          <w:rFonts w:ascii="Calibri" w:hAnsi="Calibri" w:cs="Calibri"/>
          <w:sz w:val="20"/>
          <w:szCs w:val="20"/>
          <w:lang w:val="en-US"/>
        </w:rPr>
        <w:instrText xml:space="preserve"> ADDIN EN.CITE &lt;EndNote&gt;&lt;Cite&gt;&lt;Author&gt;Pearce&lt;/Author&gt;&lt;Year&gt;2017&lt;/Year&gt;&lt;RecNum&gt;170&lt;/RecNum&gt;&lt;DisplayText&gt;(Pearce et al. 2017)&lt;/DisplayText&gt;&lt;record&gt;&lt;rec-number&gt;170&lt;/rec-number&gt;&lt;foreign-keys&gt;&lt;key app="EN" db-id="wrats0008t0x91e5xdapfssvt9vs2fdr0vpp" timestamp="1612352868"&gt;170&lt;/key&gt;&lt;/foreign-keys&gt;&lt;ref-type name="Journal Article"&gt;17&lt;/ref-type&gt;&lt;contributors&gt;&lt;authors&gt;&lt;author&gt;Pearce, Stephen L.&lt;/author&gt;&lt;author&gt;Clarke, David F.&lt;/author&gt;&lt;author&gt;East, Peter D.&lt;/author&gt;&lt;author&gt;Elfekih, Samia&lt;/author&gt;&lt;author&gt;Gordon, K. H. J.&lt;/author&gt;&lt;author&gt;Jermiin, Lars S.&lt;/author&gt;&lt;author&gt;McGaughran, Angela&lt;/author&gt;&lt;author&gt;Oakeshott, John G.&lt;/author&gt;&lt;author&gt;Papanikolaou, Alexandros&lt;/author&gt;&lt;author&gt;Perera, Omaththage P.&lt;/author&gt;&lt;/authors&gt;&lt;/contributors&gt;&lt;titles&gt;&lt;title&gt;&lt;style face="normal" font="default" size="100%"&gt;Genomic innovations, transcriptional plasticity and gene loss underlying the evolution and divergence of two highly polyphagous and invasive &lt;/style&gt;&lt;style face="italic" font="default" size="100%"&gt;Helicoverpa&lt;/style&gt;&lt;style face="normal" font="default" size="100%"&gt; pest species&lt;/style&gt;&lt;/title&gt;&lt;secondary-title&gt;BMC biology&lt;/secondary-title&gt;&lt;/titles&gt;&lt;periodical&gt;&lt;full-title&gt;BMC biology&lt;/full-title&gt;&lt;/periodical&gt;&lt;pages&gt;1-30&lt;/pages&gt;&lt;volume&gt;15&lt;/volume&gt;&lt;number&gt;1&lt;/number&gt;&lt;dates&gt;&lt;year&gt;2017&lt;/year&gt;&lt;/dates&gt;&lt;publisher&gt;BioMed Central&lt;/publisher&gt;&lt;isbn&gt;1741-7007&lt;/isbn&gt;&lt;urls&gt;&lt;/urls&gt;&lt;/record&gt;&lt;/Cite&gt;&lt;/EndNote&gt;</w:instrText>
      </w:r>
      <w:r>
        <w:rPr>
          <w:rFonts w:ascii="Calibri" w:hAnsi="Calibri" w:cs="Calibri"/>
          <w:sz w:val="20"/>
          <w:szCs w:val="20"/>
          <w:lang w:val="en-US"/>
        </w:rPr>
        <w:fldChar w:fldCharType="separate"/>
      </w:r>
      <w:r>
        <w:rPr>
          <w:rFonts w:ascii="Calibri" w:hAnsi="Calibri" w:cs="Calibri"/>
          <w:noProof/>
          <w:sz w:val="20"/>
          <w:szCs w:val="20"/>
          <w:lang w:val="en-US"/>
        </w:rPr>
        <w:t>(Pearce et al. 2017)</w:t>
      </w:r>
      <w:r>
        <w:rPr>
          <w:rFonts w:ascii="Calibri" w:hAnsi="Calibri" w:cs="Calibri"/>
          <w:sz w:val="20"/>
          <w:szCs w:val="20"/>
          <w:lang w:val="en-US"/>
        </w:rPr>
        <w:fldChar w:fldCharType="end"/>
      </w:r>
    </w:p>
    <w:p w:rsidR="007D1E13" w:rsidRDefault="007D1E13" w:rsidP="007D1E13">
      <w:pPr>
        <w:spacing w:after="0" w:line="360" w:lineRule="auto"/>
        <w:rPr>
          <w:lang w:val="en-US"/>
        </w:rPr>
      </w:pPr>
    </w:p>
    <w:p w:rsidR="007D1E13" w:rsidRDefault="007D1E13" w:rsidP="007D1E13">
      <w:pPr>
        <w:spacing w:after="0" w:line="360" w:lineRule="auto"/>
        <w:rPr>
          <w:lang w:val="en-US"/>
        </w:rPr>
      </w:pPr>
    </w:p>
    <w:p w:rsidR="007D1E13" w:rsidRDefault="007D1E13" w:rsidP="007D1E13">
      <w:pPr>
        <w:spacing w:after="0" w:line="360" w:lineRule="auto"/>
        <w:rPr>
          <w:lang w:val="en-US"/>
        </w:rPr>
      </w:pP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  <w:r>
        <w:rPr>
          <w:lang w:val="en-US"/>
        </w:rPr>
        <w:br w:type="page"/>
      </w:r>
      <w:r>
        <w:rPr>
          <w:rFonts w:ascii="Calibri" w:hAnsi="Calibri" w:cs="Calibri"/>
          <w:b/>
          <w:sz w:val="20"/>
          <w:szCs w:val="20"/>
          <w:lang w:val="en-US"/>
        </w:rPr>
        <w:lastRenderedPageBreak/>
        <w:t>Table 6</w:t>
      </w:r>
      <w:r>
        <w:rPr>
          <w:rFonts w:ascii="Calibri" w:hAnsi="Calibri" w:cs="Calibri"/>
          <w:sz w:val="20"/>
          <w:szCs w:val="20"/>
          <w:lang w:val="en-US"/>
        </w:rPr>
        <w:t>. List of significantly (log</w:t>
      </w:r>
      <w:r>
        <w:rPr>
          <w:rFonts w:ascii="Calibri" w:hAnsi="Calibri" w:cs="Calibri"/>
          <w:sz w:val="20"/>
          <w:szCs w:val="20"/>
          <w:vertAlign w:val="subscript"/>
          <w:lang w:val="en-US"/>
        </w:rPr>
        <w:t>2</w:t>
      </w:r>
      <w:r>
        <w:rPr>
          <w:rFonts w:ascii="Calibri" w:hAnsi="Calibri" w:cs="Calibri"/>
          <w:sz w:val="20"/>
          <w:szCs w:val="20"/>
          <w:lang w:val="en-US"/>
        </w:rPr>
        <w:t>FC &gt;2, FDR &lt;0.001) up-regulated detoxification enzymes in the 16-6-S strain (emamectin benzoate-selected), compared to either 16-6-P (parental strain), or ES-Sus (reference susceptible strain).</w:t>
      </w: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</w:p>
    <w:tbl>
      <w:tblPr>
        <w:tblW w:w="8150" w:type="dxa"/>
        <w:tblInd w:w="111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617"/>
        <w:gridCol w:w="992"/>
        <w:gridCol w:w="991"/>
        <w:gridCol w:w="2022"/>
        <w:gridCol w:w="1084"/>
        <w:gridCol w:w="1444"/>
      </w:tblGrid>
      <w:tr w:rsidR="007D1E13" w:rsidRPr="00127E9A" w:rsidTr="000361EB">
        <w:trPr>
          <w:trHeight w:val="256"/>
        </w:trPr>
        <w:tc>
          <w:tcPr>
            <w:tcW w:w="1616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log</w:t>
            </w:r>
            <w:r w:rsidRPr="00127E9A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127E9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FC</w:t>
            </w:r>
          </w:p>
        </w:tc>
        <w:tc>
          <w:tcPr>
            <w:tcW w:w="2022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84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444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Borders>
              <w:bottom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Unigene ID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vs 16-6-P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Vs ES-Sus</w:t>
            </w:r>
          </w:p>
        </w:tc>
        <w:tc>
          <w:tcPr>
            <w:tcW w:w="2022" w:type="dxa"/>
            <w:tcBorders>
              <w:bottom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Protein length (completeness)</w:t>
            </w:r>
          </w:p>
        </w:tc>
        <w:tc>
          <w:tcPr>
            <w:tcW w:w="1084" w:type="dxa"/>
            <w:tcBorders>
              <w:bottom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Detox family</w:t>
            </w:r>
          </w:p>
        </w:tc>
        <w:tc>
          <w:tcPr>
            <w:tcW w:w="1444" w:type="dxa"/>
            <w:tcBorders>
              <w:bottom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Annotation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DN75966_c4_g1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4.957*</w:t>
            </w:r>
          </w:p>
        </w:tc>
        <w:tc>
          <w:tcPr>
            <w:tcW w:w="991" w:type="dxa"/>
            <w:tcBorders>
              <w:top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1.072</w:t>
            </w:r>
          </w:p>
        </w:tc>
        <w:tc>
          <w:tcPr>
            <w:tcW w:w="2022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115 (fragment)</w:t>
            </w:r>
          </w:p>
        </w:tc>
        <w:tc>
          <w:tcPr>
            <w:tcW w:w="1084" w:type="dxa"/>
            <w:tcBorders>
              <w:top w:val="single" w:sz="4" w:space="0" w:color="000000"/>
            </w:tcBorders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CYP</w:t>
            </w:r>
          </w:p>
        </w:tc>
        <w:tc>
          <w:tcPr>
            <w:tcW w:w="1444" w:type="dxa"/>
            <w:tcBorders>
              <w:top w:val="single" w:sz="4" w:space="0" w:color="000000"/>
            </w:tcBorders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CYP9G5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DN60698_c0_g2</w:t>
            </w:r>
          </w:p>
        </w:tc>
        <w:tc>
          <w:tcPr>
            <w:tcW w:w="992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1.205</w:t>
            </w:r>
          </w:p>
        </w:tc>
        <w:tc>
          <w:tcPr>
            <w:tcW w:w="991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2.212*</w:t>
            </w:r>
          </w:p>
        </w:tc>
        <w:tc>
          <w:tcPr>
            <w:tcW w:w="2022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493 (full-length)</w:t>
            </w:r>
          </w:p>
        </w:tc>
        <w:tc>
          <w:tcPr>
            <w:tcW w:w="1084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CYP</w:t>
            </w:r>
          </w:p>
        </w:tc>
        <w:tc>
          <w:tcPr>
            <w:tcW w:w="1444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CYP4AU1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DN60153_c3_g2</w:t>
            </w:r>
          </w:p>
        </w:tc>
        <w:tc>
          <w:tcPr>
            <w:tcW w:w="992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1.314</w:t>
            </w:r>
          </w:p>
        </w:tc>
        <w:tc>
          <w:tcPr>
            <w:tcW w:w="991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3.103*</w:t>
            </w:r>
          </w:p>
        </w:tc>
        <w:tc>
          <w:tcPr>
            <w:tcW w:w="2022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130 (fragment)</w:t>
            </w:r>
          </w:p>
        </w:tc>
        <w:tc>
          <w:tcPr>
            <w:tcW w:w="1084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GST</w:t>
            </w:r>
          </w:p>
        </w:tc>
        <w:tc>
          <w:tcPr>
            <w:tcW w:w="1444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GST S1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DN65736_c3_g1</w:t>
            </w:r>
          </w:p>
        </w:tc>
        <w:tc>
          <w:tcPr>
            <w:tcW w:w="992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3.373*</w:t>
            </w:r>
          </w:p>
        </w:tc>
        <w:tc>
          <w:tcPr>
            <w:tcW w:w="991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-0.110</w:t>
            </w:r>
          </w:p>
        </w:tc>
        <w:tc>
          <w:tcPr>
            <w:tcW w:w="2022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93 (fragment)</w:t>
            </w:r>
          </w:p>
        </w:tc>
        <w:tc>
          <w:tcPr>
            <w:tcW w:w="1084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GST</w:t>
            </w:r>
          </w:p>
        </w:tc>
        <w:tc>
          <w:tcPr>
            <w:tcW w:w="1444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GST 10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DN48209_c0_g2</w:t>
            </w:r>
          </w:p>
        </w:tc>
        <w:tc>
          <w:tcPr>
            <w:tcW w:w="992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1.721</w:t>
            </w:r>
          </w:p>
        </w:tc>
        <w:tc>
          <w:tcPr>
            <w:tcW w:w="991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2.541*</w:t>
            </w:r>
          </w:p>
        </w:tc>
        <w:tc>
          <w:tcPr>
            <w:tcW w:w="2022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113 (fragment)</w:t>
            </w:r>
          </w:p>
        </w:tc>
        <w:tc>
          <w:tcPr>
            <w:tcW w:w="1084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1444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ABCB1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DN52519_c0_g1</w:t>
            </w:r>
          </w:p>
        </w:tc>
        <w:tc>
          <w:tcPr>
            <w:tcW w:w="992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991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2.177*</w:t>
            </w:r>
          </w:p>
        </w:tc>
        <w:tc>
          <w:tcPr>
            <w:tcW w:w="2022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278 (fragment)</w:t>
            </w:r>
          </w:p>
        </w:tc>
        <w:tc>
          <w:tcPr>
            <w:tcW w:w="1084" w:type="dxa"/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1444" w:type="dxa"/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ABCA5</w:t>
            </w:r>
          </w:p>
        </w:tc>
      </w:tr>
      <w:tr w:rsidR="007D1E13" w:rsidRPr="00127E9A" w:rsidTr="000361EB">
        <w:trPr>
          <w:trHeight w:val="256"/>
        </w:trPr>
        <w:tc>
          <w:tcPr>
            <w:tcW w:w="1616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DN80907_c5_g2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1.769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3.408*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107 (fragment)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ABC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bottom"/>
          </w:tcPr>
          <w:p w:rsidR="007D1E13" w:rsidRPr="00127E9A" w:rsidRDefault="007D1E13" w:rsidP="000361EB">
            <w:pPr>
              <w:widowControl w:val="0"/>
              <w:spacing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7E9A">
              <w:rPr>
                <w:rFonts w:ascii="Calibri" w:hAnsi="Calibri" w:cs="Calibri"/>
                <w:color w:val="000000"/>
                <w:sz w:val="20"/>
                <w:szCs w:val="20"/>
              </w:rPr>
              <w:t>ABCB1</w:t>
            </w:r>
          </w:p>
        </w:tc>
      </w:tr>
    </w:tbl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* Statistically significant up-regulation.</w:t>
      </w: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</w:p>
    <w:p w:rsidR="007D1E13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  <w:lang w:val="en-US"/>
        </w:rPr>
      </w:pPr>
    </w:p>
    <w:p w:rsidR="007D1E13" w:rsidRPr="00FA7A9D" w:rsidRDefault="007D1E13" w:rsidP="007D1E13">
      <w:pPr>
        <w:spacing w:after="0" w:line="360" w:lineRule="auto"/>
        <w:rPr>
          <w:rFonts w:ascii="Calibri" w:hAnsi="Calibri" w:cs="Calibri"/>
          <w:sz w:val="20"/>
          <w:szCs w:val="20"/>
        </w:rPr>
      </w:pPr>
    </w:p>
    <w:p w:rsidR="00342BD7" w:rsidRPr="007D1E13" w:rsidRDefault="00342BD7" w:rsidP="007D1E13">
      <w:bookmarkStart w:id="0" w:name="_GoBack"/>
      <w:bookmarkEnd w:id="0"/>
    </w:p>
    <w:sectPr w:rsidR="00342BD7" w:rsidRPr="007D1E13" w:rsidSect="001557AC">
      <w:footerReference w:type="default" r:id="rId7"/>
      <w:pgSz w:w="11906" w:h="16838"/>
      <w:pgMar w:top="1440" w:right="1800" w:bottom="2038" w:left="1800" w:header="0" w:footer="144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Times New Roman"/>
    <w:panose1 w:val="00000000000000000000"/>
    <w:charset w:val="00"/>
    <w:family w:val="roman"/>
    <w:notTrueType/>
    <w:pitch w:val="default"/>
  </w:font>
  <w:font w:name="Carlito;Calibri">
    <w:altName w:val="Times New Roman"/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FreeSans;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5143" w:rsidRDefault="007D1E13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6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13"/>
    <w:rsid w:val="00342BD7"/>
    <w:rsid w:val="007D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3E8D2-BF53-4EDE-A0F5-A24497E2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E13"/>
    <w:pPr>
      <w:suppressAutoHyphens/>
    </w:pPr>
    <w:rPr>
      <w:rFonts w:ascii="Carlito" w:eastAsia="Calibri" w:hAnsi="Carlito" w:cs="Times New Roman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E13"/>
    <w:pPr>
      <w:ind w:left="720"/>
      <w:contextualSpacing/>
    </w:pPr>
  </w:style>
  <w:style w:type="paragraph" w:customStyle="1" w:styleId="TableContents">
    <w:name w:val="Table Contents"/>
    <w:basedOn w:val="Normal"/>
    <w:qFormat/>
    <w:rsid w:val="007D1E13"/>
    <w:pPr>
      <w:suppressLineNumbers/>
    </w:pPr>
  </w:style>
  <w:style w:type="paragraph" w:customStyle="1" w:styleId="TableHeading">
    <w:name w:val="Table Heading"/>
    <w:next w:val="Normal"/>
    <w:qFormat/>
    <w:rsid w:val="007D1E13"/>
    <w:pPr>
      <w:widowControl w:val="0"/>
      <w:suppressAutoHyphens/>
      <w:spacing w:after="0"/>
      <w:jc w:val="center"/>
    </w:pPr>
    <w:rPr>
      <w:rFonts w:ascii="Carlito;Calibri" w:eastAsia="Noto Sans CJK SC Regular" w:hAnsi="Carlito;Calibri" w:cs="FreeSans;Times New Roman"/>
      <w:b/>
      <w:bCs/>
      <w:kern w:val="2"/>
      <w:sz w:val="24"/>
      <w:szCs w:val="24"/>
      <w:lang w:eastAsia="zh-CN" w:bidi="hi-IN"/>
    </w:rPr>
  </w:style>
  <w:style w:type="paragraph" w:styleId="Footer">
    <w:name w:val="footer"/>
    <w:link w:val="FooterChar"/>
    <w:rsid w:val="007D1E13"/>
    <w:pPr>
      <w:widowControl w:val="0"/>
      <w:suppressLineNumbers/>
      <w:suppressAutoHyphens/>
      <w:spacing w:after="0"/>
    </w:pPr>
    <w:rPr>
      <w:rFonts w:ascii="Carlito;Calibri" w:eastAsia="Noto Sans CJK SC Regular" w:hAnsi="Carlito;Calibri" w:cs="FreeSans;Times New Roman"/>
      <w:kern w:val="2"/>
      <w:sz w:val="24"/>
      <w:szCs w:val="24"/>
      <w:lang w:eastAsia="zh-CN" w:bidi="hi-IN"/>
    </w:rPr>
  </w:style>
  <w:style w:type="character" w:customStyle="1" w:styleId="FooterChar">
    <w:name w:val="Footer Char"/>
    <w:basedOn w:val="DefaultParagraphFont"/>
    <w:link w:val="Footer"/>
    <w:rsid w:val="007D1E13"/>
    <w:rPr>
      <w:rFonts w:ascii="Carlito;Calibri" w:eastAsia="Noto Sans CJK SC Regular" w:hAnsi="Carlito;Calibri" w:cs="FreeSans;Times New Roman"/>
      <w:kern w:val="2"/>
      <w:sz w:val="24"/>
      <w:szCs w:val="24"/>
      <w:lang w:eastAsia="zh-CN" w:bidi="hi-IN"/>
    </w:rPr>
  </w:style>
  <w:style w:type="character" w:styleId="LineNumber">
    <w:name w:val="line number"/>
    <w:basedOn w:val="DefaultParagraphFont"/>
    <w:uiPriority w:val="99"/>
    <w:semiHidden/>
    <w:unhideWhenUsed/>
    <w:rsid w:val="007D1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541</Words>
  <Characters>3088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2021-08-23T19:48:00Z</dcterms:created>
  <dcterms:modified xsi:type="dcterms:W3CDTF">2021-08-23T19:49:00Z</dcterms:modified>
</cp:coreProperties>
</file>