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AE03D"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t>Appendix</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127"/>
        <w:gridCol w:w="5528"/>
        <w:gridCol w:w="6293"/>
      </w:tblGrid>
      <w:tr w:rsidR="000A40F4" w:rsidRPr="004469B4" w14:paraId="01384001" w14:textId="77777777" w:rsidTr="00C851AE">
        <w:tc>
          <w:tcPr>
            <w:tcW w:w="13948" w:type="dxa"/>
            <w:gridSpan w:val="3"/>
          </w:tcPr>
          <w:p w14:paraId="4D397F7E" w14:textId="77777777" w:rsidR="000A40F4" w:rsidRPr="004469B4" w:rsidRDefault="000A40F4" w:rsidP="00C851AE">
            <w:pPr>
              <w:rPr>
                <w:rFonts w:ascii="Times New Roman" w:hAnsi="Times New Roman" w:cs="Times New Roman"/>
              </w:rPr>
            </w:pPr>
            <w:r w:rsidRPr="004469B4">
              <w:rPr>
                <w:rFonts w:ascii="Times New Roman" w:eastAsia="Arial" w:hAnsi="Times New Roman" w:cs="Times New Roman"/>
                <w:b/>
                <w:bCs/>
                <w:color w:val="000000" w:themeColor="text1"/>
              </w:rPr>
              <w:br w:type="page"/>
            </w:r>
            <w:r w:rsidRPr="004469B4">
              <w:rPr>
                <w:rFonts w:ascii="Times New Roman" w:hAnsi="Times New Roman" w:cs="Times New Roman"/>
              </w:rPr>
              <w:t xml:space="preserve">Table A1: List of Dimensions considered by the Expert Panel, </w:t>
            </w:r>
          </w:p>
          <w:p w14:paraId="31DCDDDD" w14:textId="77777777" w:rsidR="000A40F4" w:rsidRPr="004469B4" w:rsidRDefault="000A40F4" w:rsidP="00C851AE">
            <w:pPr>
              <w:rPr>
                <w:rFonts w:ascii="Times New Roman" w:hAnsi="Times New Roman" w:cs="Times New Roman"/>
              </w:rPr>
            </w:pPr>
          </w:p>
        </w:tc>
      </w:tr>
      <w:tr w:rsidR="000A40F4" w:rsidRPr="004469B4" w14:paraId="13C08781" w14:textId="77777777" w:rsidTr="00C851AE">
        <w:tc>
          <w:tcPr>
            <w:tcW w:w="2127" w:type="dxa"/>
            <w:vAlign w:val="center"/>
          </w:tcPr>
          <w:p w14:paraId="65FC1C3C" w14:textId="77777777" w:rsidR="000A40F4" w:rsidRPr="004469B4" w:rsidRDefault="000A40F4" w:rsidP="00C851AE">
            <w:pPr>
              <w:spacing w:line="360" w:lineRule="auto"/>
              <w:jc w:val="center"/>
              <w:rPr>
                <w:rFonts w:ascii="Times New Roman" w:hAnsi="Times New Roman" w:cs="Times New Roman"/>
              </w:rPr>
            </w:pPr>
            <w:r w:rsidRPr="004469B4">
              <w:rPr>
                <w:rFonts w:ascii="Times New Roman" w:hAnsi="Times New Roman" w:cs="Times New Roman"/>
              </w:rPr>
              <w:t>Dimension</w:t>
            </w:r>
          </w:p>
        </w:tc>
        <w:tc>
          <w:tcPr>
            <w:tcW w:w="5528" w:type="dxa"/>
            <w:vAlign w:val="center"/>
          </w:tcPr>
          <w:p w14:paraId="13D41AA5" w14:textId="77777777" w:rsidR="000A40F4" w:rsidRPr="004469B4" w:rsidRDefault="000A40F4" w:rsidP="00C851AE">
            <w:pPr>
              <w:spacing w:line="360" w:lineRule="auto"/>
              <w:jc w:val="center"/>
              <w:rPr>
                <w:rFonts w:ascii="Times New Roman" w:hAnsi="Times New Roman" w:cs="Times New Roman"/>
              </w:rPr>
            </w:pPr>
            <w:r w:rsidRPr="004469B4">
              <w:rPr>
                <w:rFonts w:ascii="Times New Roman" w:hAnsi="Times New Roman" w:cs="Times New Roman"/>
              </w:rPr>
              <w:t>Definition</w:t>
            </w:r>
          </w:p>
        </w:tc>
        <w:tc>
          <w:tcPr>
            <w:tcW w:w="6293" w:type="dxa"/>
            <w:vAlign w:val="center"/>
          </w:tcPr>
          <w:p w14:paraId="4B0ED9A6" w14:textId="77777777" w:rsidR="000A40F4" w:rsidRPr="004469B4" w:rsidRDefault="000A40F4" w:rsidP="00C851AE">
            <w:pPr>
              <w:spacing w:line="360" w:lineRule="auto"/>
              <w:jc w:val="center"/>
              <w:rPr>
                <w:rFonts w:ascii="Times New Roman" w:hAnsi="Times New Roman" w:cs="Times New Roman"/>
              </w:rPr>
            </w:pPr>
            <w:r w:rsidRPr="004469B4">
              <w:rPr>
                <w:rFonts w:ascii="Times New Roman" w:hAnsi="Times New Roman" w:cs="Times New Roman"/>
              </w:rPr>
              <w:t>Items</w:t>
            </w:r>
          </w:p>
        </w:tc>
      </w:tr>
      <w:tr w:rsidR="000A40F4" w:rsidRPr="004469B4" w14:paraId="6726FDCD" w14:textId="77777777" w:rsidTr="00C851AE">
        <w:tc>
          <w:tcPr>
            <w:tcW w:w="2127" w:type="dxa"/>
          </w:tcPr>
          <w:p w14:paraId="5C1B1D4E" w14:textId="77777777" w:rsidR="000A40F4" w:rsidRPr="004469B4" w:rsidRDefault="000A40F4" w:rsidP="00C851AE">
            <w:pPr>
              <w:rPr>
                <w:rFonts w:ascii="Times New Roman" w:hAnsi="Times New Roman" w:cs="Times New Roman"/>
                <w:highlight w:val="yellow"/>
              </w:rPr>
            </w:pPr>
            <w:r w:rsidRPr="004469B4">
              <w:rPr>
                <w:rFonts w:ascii="Times New Roman" w:hAnsi="Times New Roman" w:cs="Times New Roman"/>
              </w:rPr>
              <w:t xml:space="preserve">Acceptance (formerly Control over Life) </w:t>
            </w:r>
          </w:p>
        </w:tc>
        <w:tc>
          <w:tcPr>
            <w:tcW w:w="5528" w:type="dxa"/>
          </w:tcPr>
          <w:p w14:paraId="1740111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ability to self-reflect, identify what is within a person's control, and accept what is outside one’s control”</w:t>
            </w:r>
          </w:p>
        </w:tc>
        <w:tc>
          <w:tcPr>
            <w:tcW w:w="6293" w:type="dxa"/>
          </w:tcPr>
          <w:p w14:paraId="0FDBFAA5"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tried to take life as it comes</w:t>
            </w:r>
          </w:p>
          <w:p w14:paraId="052B3F45"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did not dwell on things that I could not do anything about</w:t>
            </w:r>
          </w:p>
        </w:tc>
      </w:tr>
      <w:tr w:rsidR="000A40F4" w:rsidRPr="004469B4" w14:paraId="11038942" w14:textId="77777777" w:rsidTr="00C851AE">
        <w:tc>
          <w:tcPr>
            <w:tcW w:w="2127" w:type="dxa"/>
          </w:tcPr>
          <w:p w14:paraId="5DE3831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Accepting of others</w:t>
            </w:r>
          </w:p>
        </w:tc>
        <w:tc>
          <w:tcPr>
            <w:tcW w:w="5528" w:type="dxa"/>
          </w:tcPr>
          <w:p w14:paraId="7C29704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ability to see that others have a right to be their own unique persons with their own feelings, thoughts and opinions."</w:t>
            </w:r>
          </w:p>
        </w:tc>
        <w:tc>
          <w:tcPr>
            <w:tcW w:w="6293" w:type="dxa"/>
          </w:tcPr>
          <w:p w14:paraId="5CC57350"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interested in understanding the views of others</w:t>
            </w:r>
          </w:p>
          <w:p w14:paraId="1DE5B954"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able to appreciate differences in others</w:t>
            </w:r>
          </w:p>
        </w:tc>
      </w:tr>
      <w:tr w:rsidR="000A40F4" w:rsidRPr="004469B4" w14:paraId="3C3BBC35" w14:textId="77777777" w:rsidTr="00C851AE">
        <w:tc>
          <w:tcPr>
            <w:tcW w:w="2127" w:type="dxa"/>
          </w:tcPr>
          <w:p w14:paraId="4FB5763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Achievement</w:t>
            </w:r>
          </w:p>
        </w:tc>
        <w:tc>
          <w:tcPr>
            <w:tcW w:w="5528" w:type="dxa"/>
          </w:tcPr>
          <w:p w14:paraId="7F85735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"Having done something successfully, using one's own efforts and skills"</w:t>
            </w:r>
          </w:p>
        </w:tc>
        <w:tc>
          <w:tcPr>
            <w:tcW w:w="6293" w:type="dxa"/>
          </w:tcPr>
          <w:p w14:paraId="3DA6125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satisfied with the achievement of my personal goals</w:t>
            </w:r>
          </w:p>
          <w:p w14:paraId="271A6FB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my life has been productive</w:t>
            </w:r>
          </w:p>
        </w:tc>
      </w:tr>
      <w:tr w:rsidR="000A40F4" w:rsidRPr="004469B4" w14:paraId="16FCDD04" w14:textId="77777777" w:rsidTr="00C851AE">
        <w:tc>
          <w:tcPr>
            <w:tcW w:w="2127" w:type="dxa"/>
          </w:tcPr>
          <w:p w14:paraId="5AB00E1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Activities and Functioning</w:t>
            </w:r>
          </w:p>
        </w:tc>
        <w:tc>
          <w:tcPr>
            <w:tcW w:w="5528" w:type="dxa"/>
          </w:tcPr>
          <w:p w14:paraId="2F19D4E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Overall satisfaction with our activities and leisure (i.e., the behaviors and activities that characterize daily life), and our ability to undertake these tasks."</w:t>
            </w:r>
          </w:p>
        </w:tc>
        <w:tc>
          <w:tcPr>
            <w:tcW w:w="6293" w:type="dxa"/>
          </w:tcPr>
          <w:p w14:paraId="0D09C3D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satisfied with my ability to manage my hobbies or recreational activities</w:t>
            </w:r>
          </w:p>
          <w:p w14:paraId="4AAAD6BD"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could rely on myself to be ready for what I needed to do each day</w:t>
            </w:r>
          </w:p>
        </w:tc>
      </w:tr>
      <w:tr w:rsidR="000A40F4" w:rsidRPr="004469B4" w14:paraId="4B166C3C" w14:textId="77777777" w:rsidTr="00C851AE">
        <w:tc>
          <w:tcPr>
            <w:tcW w:w="2127" w:type="dxa"/>
          </w:tcPr>
          <w:p w14:paraId="7DB7997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Autonomy</w:t>
            </w:r>
          </w:p>
        </w:tc>
        <w:tc>
          <w:tcPr>
            <w:tcW w:w="5528" w:type="dxa"/>
          </w:tcPr>
          <w:p w14:paraId="0786B70F"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perception that we have ownership over our behavior and choices, and the ability to express oneself."</w:t>
            </w:r>
          </w:p>
        </w:tc>
        <w:tc>
          <w:tcPr>
            <w:tcW w:w="6293" w:type="dxa"/>
          </w:tcPr>
          <w:p w14:paraId="56296BAD"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in control of my own life</w:t>
            </w:r>
          </w:p>
          <w:p w14:paraId="0E14B2A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confident to think or express my own ideas and opinions</w:t>
            </w:r>
          </w:p>
        </w:tc>
      </w:tr>
      <w:tr w:rsidR="000A40F4" w:rsidRPr="004469B4" w14:paraId="53EC113A" w14:textId="77777777" w:rsidTr="00C851AE">
        <w:tc>
          <w:tcPr>
            <w:tcW w:w="2127" w:type="dxa"/>
          </w:tcPr>
          <w:p w14:paraId="36432326"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Avoidant Coping</w:t>
            </w:r>
          </w:p>
        </w:tc>
        <w:tc>
          <w:tcPr>
            <w:tcW w:w="5528" w:type="dxa"/>
          </w:tcPr>
          <w:p w14:paraId="48A82B1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"Any behavioral, cognitive, or emotional strategy for managing a stressful event or situation in which a person does not address the problem directly but instead disengages from the situation and averts attention from it."</w:t>
            </w:r>
          </w:p>
        </w:tc>
        <w:tc>
          <w:tcPr>
            <w:tcW w:w="6293" w:type="dxa"/>
          </w:tcPr>
          <w:p w14:paraId="768AEE38"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avoided even thinking about my problems</w:t>
            </w:r>
          </w:p>
          <w:p w14:paraId="4AE1CFC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withdrew socially</w:t>
            </w:r>
          </w:p>
        </w:tc>
      </w:tr>
      <w:tr w:rsidR="000A40F4" w:rsidRPr="004469B4" w14:paraId="24E94C96" w14:textId="77777777" w:rsidTr="00C851AE">
        <w:tc>
          <w:tcPr>
            <w:tcW w:w="2127" w:type="dxa"/>
          </w:tcPr>
          <w:p w14:paraId="225DD06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Belonging</w:t>
            </w:r>
          </w:p>
        </w:tc>
        <w:tc>
          <w:tcPr>
            <w:tcW w:w="5528" w:type="dxa"/>
          </w:tcPr>
          <w:p w14:paraId="04112D0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feeling of deep connection with social groups, physical places, and individual and collective experiences.</w:t>
            </w:r>
          </w:p>
        </w:tc>
        <w:tc>
          <w:tcPr>
            <w:tcW w:w="6293" w:type="dxa"/>
          </w:tcPr>
          <w:p w14:paraId="21F93A10"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close to other people in my community</w:t>
            </w:r>
          </w:p>
          <w:p w14:paraId="71354D74"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that I belonged to a community (like a social group, or neighbourhood)</w:t>
            </w:r>
          </w:p>
        </w:tc>
      </w:tr>
      <w:tr w:rsidR="000A40F4" w:rsidRPr="004469B4" w14:paraId="2CDA57A5" w14:textId="77777777" w:rsidTr="00C851AE">
        <w:tc>
          <w:tcPr>
            <w:tcW w:w="2127" w:type="dxa"/>
          </w:tcPr>
          <w:p w14:paraId="252BCA4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 xml:space="preserve">Belonging  </w:t>
            </w:r>
          </w:p>
        </w:tc>
        <w:tc>
          <w:tcPr>
            <w:tcW w:w="5528" w:type="dxa"/>
          </w:tcPr>
          <w:p w14:paraId="1BFB804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 sense of belonging to a community, making a contribution to wider society, and positive evaluations of people and society."</w:t>
            </w:r>
          </w:p>
        </w:tc>
        <w:tc>
          <w:tcPr>
            <w:tcW w:w="6293" w:type="dxa"/>
          </w:tcPr>
          <w:p w14:paraId="1A73E028"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close to other people in my community</w:t>
            </w:r>
          </w:p>
          <w:p w14:paraId="6A6B2E41"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that our society is a good place, or is becoming a better place, for all people</w:t>
            </w:r>
          </w:p>
        </w:tc>
      </w:tr>
      <w:tr w:rsidR="000A40F4" w:rsidRPr="004469B4" w14:paraId="438264AC" w14:textId="77777777" w:rsidTr="00C851AE">
        <w:tc>
          <w:tcPr>
            <w:tcW w:w="2127" w:type="dxa"/>
          </w:tcPr>
          <w:p w14:paraId="4F611B3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Calmness</w:t>
            </w:r>
          </w:p>
        </w:tc>
        <w:tc>
          <w:tcPr>
            <w:tcW w:w="5528" w:type="dxa"/>
          </w:tcPr>
          <w:p w14:paraId="5B5E421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States characterized by low-arousal pleasant feelings, like serenity and peacefulness."</w:t>
            </w:r>
          </w:p>
        </w:tc>
        <w:tc>
          <w:tcPr>
            <w:tcW w:w="6293" w:type="dxa"/>
          </w:tcPr>
          <w:p w14:paraId="4A19FA71"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a sense of harmony in my life</w:t>
            </w:r>
          </w:p>
          <w:p w14:paraId="61A9A095"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calm</w:t>
            </w:r>
          </w:p>
        </w:tc>
      </w:tr>
      <w:tr w:rsidR="000A40F4" w:rsidRPr="004469B4" w14:paraId="35D97440" w14:textId="77777777" w:rsidTr="00C851AE">
        <w:tc>
          <w:tcPr>
            <w:tcW w:w="2127" w:type="dxa"/>
          </w:tcPr>
          <w:p w14:paraId="7C5CED9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Competence</w:t>
            </w:r>
          </w:p>
        </w:tc>
        <w:tc>
          <w:tcPr>
            <w:tcW w:w="5528" w:type="dxa"/>
          </w:tcPr>
          <w:p w14:paraId="1413317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"Feeling and perceiving oneself as effective and able to overcome challenges and stressors, and achieve desired outcomes"</w:t>
            </w:r>
          </w:p>
        </w:tc>
        <w:tc>
          <w:tcPr>
            <w:tcW w:w="6293" w:type="dxa"/>
          </w:tcPr>
          <w:p w14:paraId="3F5D6EE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knew how to reach my goals</w:t>
            </w:r>
          </w:p>
          <w:p w14:paraId="7E73A6F8"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met the goals that I set for myself</w:t>
            </w:r>
          </w:p>
        </w:tc>
      </w:tr>
      <w:tr w:rsidR="000A40F4" w:rsidRPr="004469B4" w14:paraId="3CBEDDC9" w14:textId="77777777" w:rsidTr="00C851AE">
        <w:tc>
          <w:tcPr>
            <w:tcW w:w="2127" w:type="dxa"/>
          </w:tcPr>
          <w:p w14:paraId="724D9456" w14:textId="77777777" w:rsidR="000A40F4" w:rsidRPr="004469B4" w:rsidRDefault="000A40F4" w:rsidP="00C851AE">
            <w:pPr>
              <w:rPr>
                <w:rFonts w:ascii="Times New Roman" w:hAnsi="Times New Roman" w:cs="Times New Roman"/>
                <w:highlight w:val="yellow"/>
              </w:rPr>
            </w:pPr>
            <w:r w:rsidRPr="004469B4">
              <w:rPr>
                <w:rFonts w:ascii="Times New Roman" w:hAnsi="Times New Roman" w:cs="Times New Roman"/>
              </w:rPr>
              <w:t>Connection (formerly Personal relationships)</w:t>
            </w:r>
          </w:p>
        </w:tc>
        <w:tc>
          <w:tcPr>
            <w:tcW w:w="5528" w:type="dxa"/>
          </w:tcPr>
          <w:p w14:paraId="2540A65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"Involving a feeling of belonging, mutual caring, love, and closeness to friends, family and loved ones."</w:t>
            </w:r>
          </w:p>
        </w:tc>
        <w:tc>
          <w:tcPr>
            <w:tcW w:w="6293" w:type="dxa"/>
          </w:tcPr>
          <w:p w14:paraId="3C39740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got along well with others</w:t>
            </w:r>
          </w:p>
          <w:p w14:paraId="0324FB0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My close relationships (friends and family) were satisfying</w:t>
            </w:r>
          </w:p>
        </w:tc>
      </w:tr>
      <w:tr w:rsidR="000A40F4" w:rsidRPr="004469B4" w14:paraId="7668C6B0" w14:textId="77777777" w:rsidTr="00C851AE">
        <w:tc>
          <w:tcPr>
            <w:tcW w:w="2127" w:type="dxa"/>
          </w:tcPr>
          <w:p w14:paraId="014F423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Development</w:t>
            </w:r>
          </w:p>
        </w:tc>
        <w:tc>
          <w:tcPr>
            <w:tcW w:w="5528" w:type="dxa"/>
          </w:tcPr>
          <w:p w14:paraId="58ACDCF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"Experiencing growth and improvement"</w:t>
            </w:r>
          </w:p>
        </w:tc>
        <w:tc>
          <w:tcPr>
            <w:tcW w:w="6293" w:type="dxa"/>
          </w:tcPr>
          <w:p w14:paraId="7AA5385B"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sought opportunities to learn new things</w:t>
            </w:r>
          </w:p>
          <w:p w14:paraId="2F6FFDCF"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welcomed changes in my life as chances to grow</w:t>
            </w:r>
          </w:p>
        </w:tc>
      </w:tr>
      <w:tr w:rsidR="000A40F4" w:rsidRPr="004469B4" w14:paraId="58DFC9F2" w14:textId="77777777" w:rsidTr="00C851AE">
        <w:tc>
          <w:tcPr>
            <w:tcW w:w="2127" w:type="dxa"/>
          </w:tcPr>
          <w:p w14:paraId="2C9B3BA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Emotion-focused coping</w:t>
            </w:r>
          </w:p>
        </w:tc>
        <w:tc>
          <w:tcPr>
            <w:tcW w:w="5528" w:type="dxa"/>
          </w:tcPr>
          <w:p w14:paraId="5A4B8CB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 stress-management strategy in which a person focuses on regulating his or her negative emotional reactions to a stressor."</w:t>
            </w:r>
          </w:p>
        </w:tc>
        <w:tc>
          <w:tcPr>
            <w:tcW w:w="6293" w:type="dxa"/>
          </w:tcPr>
          <w:p w14:paraId="1F615026"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found meaning from the experience</w:t>
            </w:r>
          </w:p>
          <w:p w14:paraId="734C8038"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turned to others for help</w:t>
            </w:r>
          </w:p>
        </w:tc>
      </w:tr>
      <w:tr w:rsidR="000A40F4" w:rsidRPr="004469B4" w14:paraId="0DD292D5" w14:textId="77777777" w:rsidTr="00C851AE">
        <w:tc>
          <w:tcPr>
            <w:tcW w:w="2127" w:type="dxa"/>
          </w:tcPr>
          <w:p w14:paraId="1C532E7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Engagement</w:t>
            </w:r>
          </w:p>
        </w:tc>
        <w:tc>
          <w:tcPr>
            <w:tcW w:w="5528" w:type="dxa"/>
          </w:tcPr>
          <w:p w14:paraId="3E29839C"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"Having an absorbing experience in which the individual is completely focused on the task at hand or experiencing a state of mindful awareness."</w:t>
            </w:r>
          </w:p>
        </w:tc>
        <w:tc>
          <w:tcPr>
            <w:tcW w:w="6293" w:type="dxa"/>
          </w:tcPr>
          <w:p w14:paraId="59AADA5A"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absorbed in what I was doing</w:t>
            </w:r>
          </w:p>
          <w:p w14:paraId="0A879101"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had the ability to enjoy the moment</w:t>
            </w:r>
          </w:p>
        </w:tc>
      </w:tr>
      <w:tr w:rsidR="000A40F4" w:rsidRPr="004469B4" w14:paraId="41547F14" w14:textId="77777777" w:rsidTr="00C851AE">
        <w:tc>
          <w:tcPr>
            <w:tcW w:w="2127" w:type="dxa"/>
          </w:tcPr>
          <w:p w14:paraId="6257A31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Fun</w:t>
            </w:r>
          </w:p>
        </w:tc>
        <w:tc>
          <w:tcPr>
            <w:tcW w:w="5528" w:type="dxa"/>
          </w:tcPr>
          <w:p w14:paraId="5718553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"Experiencing light-hearted pleasure, enjoyment, or amusement; entertainment."</w:t>
            </w:r>
          </w:p>
        </w:tc>
        <w:tc>
          <w:tcPr>
            <w:tcW w:w="6293" w:type="dxa"/>
          </w:tcPr>
          <w:p w14:paraId="5B88F63E"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often smiled</w:t>
            </w:r>
          </w:p>
          <w:p w14:paraId="305B8044"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laughed easily</w:t>
            </w:r>
          </w:p>
        </w:tc>
      </w:tr>
      <w:tr w:rsidR="000A40F4" w:rsidRPr="004469B4" w14:paraId="1EBA4F01" w14:textId="77777777" w:rsidTr="00C851AE">
        <w:tc>
          <w:tcPr>
            <w:tcW w:w="2127" w:type="dxa"/>
          </w:tcPr>
          <w:p w14:paraId="619BFBF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Happiness</w:t>
            </w:r>
          </w:p>
        </w:tc>
        <w:tc>
          <w:tcPr>
            <w:tcW w:w="5528" w:type="dxa"/>
          </w:tcPr>
          <w:p w14:paraId="381DA9B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“States that are characterized by moderate-arousal pleasant feelings, such as feeling happy, cheerful and pleased."</w:t>
            </w:r>
          </w:p>
        </w:tc>
        <w:tc>
          <w:tcPr>
            <w:tcW w:w="6293" w:type="dxa"/>
          </w:tcPr>
          <w:p w14:paraId="6505994A"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often felt happy</w:t>
            </w:r>
          </w:p>
          <w:p w14:paraId="22D69FB9"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often in a good mood, even without a specific reason</w:t>
            </w:r>
          </w:p>
        </w:tc>
      </w:tr>
      <w:tr w:rsidR="000A40F4" w:rsidRPr="004469B4" w14:paraId="161F5AFF" w14:textId="77777777" w:rsidTr="00C851AE">
        <w:tc>
          <w:tcPr>
            <w:tcW w:w="2127" w:type="dxa"/>
          </w:tcPr>
          <w:p w14:paraId="6C75A82F"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Life Satisfaction</w:t>
            </w:r>
          </w:p>
        </w:tc>
        <w:tc>
          <w:tcPr>
            <w:tcW w:w="5528" w:type="dxa"/>
          </w:tcPr>
          <w:p w14:paraId="78C2169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The degree to which a person positively evaluates the overall quality of their life as a whole. In other words, how much the person likes the life they lead." </w:t>
            </w:r>
          </w:p>
          <w:p w14:paraId="48E8D6D9" w14:textId="77777777" w:rsidR="000A40F4" w:rsidRPr="004469B4" w:rsidRDefault="000A40F4" w:rsidP="00C851AE">
            <w:pPr>
              <w:rPr>
                <w:rFonts w:ascii="Times New Roman" w:hAnsi="Times New Roman" w:cs="Times New Roman"/>
              </w:rPr>
            </w:pPr>
          </w:p>
        </w:tc>
        <w:tc>
          <w:tcPr>
            <w:tcW w:w="6293" w:type="dxa"/>
          </w:tcPr>
          <w:p w14:paraId="27872DC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In most ways my life was close to my ideal</w:t>
            </w:r>
          </w:p>
          <w:p w14:paraId="07F326AC"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content with my life</w:t>
            </w:r>
          </w:p>
        </w:tc>
      </w:tr>
      <w:tr w:rsidR="000A40F4" w:rsidRPr="004469B4" w14:paraId="05D49DFD" w14:textId="77777777" w:rsidTr="00C851AE">
        <w:tc>
          <w:tcPr>
            <w:tcW w:w="2127" w:type="dxa"/>
          </w:tcPr>
          <w:p w14:paraId="4BF2993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Meaning and Purpose</w:t>
            </w:r>
          </w:p>
        </w:tc>
        <w:tc>
          <w:tcPr>
            <w:tcW w:w="5528" w:type="dxa"/>
          </w:tcPr>
          <w:p w14:paraId="34EBBB4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"Having clear goals, a sense of direction and a larger aim in life and/or the feeling that what we do is worthwhile, rewarding and valuable."</w:t>
            </w:r>
          </w:p>
        </w:tc>
        <w:tc>
          <w:tcPr>
            <w:tcW w:w="6293" w:type="dxa"/>
          </w:tcPr>
          <w:p w14:paraId="527B66E8"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My life had a clear sense of purpose</w:t>
            </w:r>
          </w:p>
          <w:p w14:paraId="6327B84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believed I knew what I was meant to do in life</w:t>
            </w:r>
          </w:p>
        </w:tc>
      </w:tr>
      <w:tr w:rsidR="000A40F4" w:rsidRPr="004469B4" w14:paraId="19C8A04C" w14:textId="77777777" w:rsidTr="00C851AE">
        <w:tc>
          <w:tcPr>
            <w:tcW w:w="2127" w:type="dxa"/>
          </w:tcPr>
          <w:p w14:paraId="48BD968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Novelty</w:t>
            </w:r>
          </w:p>
        </w:tc>
        <w:tc>
          <w:tcPr>
            <w:tcW w:w="5528" w:type="dxa"/>
          </w:tcPr>
          <w:p w14:paraId="2C43910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 desire to experience, know or learn something new."</w:t>
            </w:r>
          </w:p>
        </w:tc>
        <w:tc>
          <w:tcPr>
            <w:tcW w:w="6293" w:type="dxa"/>
          </w:tcPr>
          <w:p w14:paraId="372096C9"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got involved in new activities</w:t>
            </w:r>
          </w:p>
          <w:p w14:paraId="7845688B"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chose to do things that I have never done before</w:t>
            </w:r>
          </w:p>
        </w:tc>
      </w:tr>
      <w:tr w:rsidR="000A40F4" w:rsidRPr="004469B4" w14:paraId="1D9FDD9A" w14:textId="77777777" w:rsidTr="00C851AE">
        <w:tc>
          <w:tcPr>
            <w:tcW w:w="2127" w:type="dxa"/>
          </w:tcPr>
          <w:p w14:paraId="40BA4A9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Optimism</w:t>
            </w:r>
          </w:p>
        </w:tc>
        <w:tc>
          <w:tcPr>
            <w:tcW w:w="5528" w:type="dxa"/>
          </w:tcPr>
          <w:p w14:paraId="45CB770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"Having a positive outlook on life, and positive expectations about the future"</w:t>
            </w:r>
          </w:p>
        </w:tc>
        <w:tc>
          <w:tcPr>
            <w:tcW w:w="6293" w:type="dxa"/>
          </w:tcPr>
          <w:p w14:paraId="29A296B9"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expected my future life will be ideal for me</w:t>
            </w:r>
          </w:p>
          <w:p w14:paraId="5D7CF3BF"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looked forward to each new day</w:t>
            </w:r>
          </w:p>
        </w:tc>
      </w:tr>
      <w:tr w:rsidR="000A40F4" w:rsidRPr="004469B4" w14:paraId="596DF619" w14:textId="77777777" w:rsidTr="00C851AE">
        <w:tc>
          <w:tcPr>
            <w:tcW w:w="2127" w:type="dxa"/>
          </w:tcPr>
          <w:p w14:paraId="1905100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Personal circumstances</w:t>
            </w:r>
          </w:p>
        </w:tc>
        <w:tc>
          <w:tcPr>
            <w:tcW w:w="5528" w:type="dxa"/>
          </w:tcPr>
          <w:p w14:paraId="7245718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perception of the conditions and external pressures that an individual faces. This involves various environmental and socioeconomic concerns such as financial security"</w:t>
            </w:r>
          </w:p>
        </w:tc>
        <w:tc>
          <w:tcPr>
            <w:tcW w:w="6293" w:type="dxa"/>
          </w:tcPr>
          <w:p w14:paraId="6D221C3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satisfied with my standard of living</w:t>
            </w:r>
          </w:p>
          <w:p w14:paraId="50A15CB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satisfied with my living conditions</w:t>
            </w:r>
          </w:p>
        </w:tc>
      </w:tr>
      <w:tr w:rsidR="000A40F4" w:rsidRPr="004469B4" w14:paraId="19818E43" w14:textId="77777777" w:rsidTr="00C851AE">
        <w:tc>
          <w:tcPr>
            <w:tcW w:w="2127" w:type="dxa"/>
          </w:tcPr>
          <w:p w14:paraId="6A870A5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Physical Health</w:t>
            </w:r>
          </w:p>
        </w:tc>
        <w:tc>
          <w:tcPr>
            <w:tcW w:w="5528" w:type="dxa"/>
          </w:tcPr>
          <w:p w14:paraId="59A40BE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"The perceived quality and performance of bodily functioning, including our experiences of pain and comfort." </w:t>
            </w:r>
          </w:p>
          <w:p w14:paraId="0569C9DB" w14:textId="77777777" w:rsidR="000A40F4" w:rsidRPr="004469B4" w:rsidRDefault="000A40F4" w:rsidP="00C851AE">
            <w:pPr>
              <w:rPr>
                <w:rFonts w:ascii="Times New Roman" w:hAnsi="Times New Roman" w:cs="Times New Roman"/>
              </w:rPr>
            </w:pPr>
          </w:p>
        </w:tc>
        <w:tc>
          <w:tcPr>
            <w:tcW w:w="6293" w:type="dxa"/>
          </w:tcPr>
          <w:p w14:paraId="467192BA"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satisfied with my physical health</w:t>
            </w:r>
          </w:p>
          <w:p w14:paraId="0E16BDF1"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healthy enough to carry out things I like to do</w:t>
            </w:r>
          </w:p>
        </w:tc>
      </w:tr>
      <w:tr w:rsidR="000A40F4" w:rsidRPr="004469B4" w14:paraId="237961F8" w14:textId="77777777" w:rsidTr="00C851AE">
        <w:tc>
          <w:tcPr>
            <w:tcW w:w="2127" w:type="dxa"/>
          </w:tcPr>
          <w:p w14:paraId="1A3B4D4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Positive views of people and society</w:t>
            </w:r>
          </w:p>
        </w:tc>
        <w:tc>
          <w:tcPr>
            <w:tcW w:w="5528" w:type="dxa"/>
          </w:tcPr>
          <w:p w14:paraId="701135D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belief that people and society are basically good."</w:t>
            </w:r>
          </w:p>
        </w:tc>
        <w:tc>
          <w:tcPr>
            <w:tcW w:w="6293" w:type="dxa"/>
          </w:tcPr>
          <w:p w14:paraId="5F4BAC7B"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that our society is a good place, or is becoming a better place, for all people</w:t>
            </w:r>
          </w:p>
          <w:p w14:paraId="7524E530"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believed that people are kind</w:t>
            </w:r>
          </w:p>
        </w:tc>
      </w:tr>
      <w:tr w:rsidR="000A40F4" w:rsidRPr="004469B4" w14:paraId="0DC083B7" w14:textId="77777777" w:rsidTr="00C851AE">
        <w:tc>
          <w:tcPr>
            <w:tcW w:w="2127" w:type="dxa"/>
          </w:tcPr>
          <w:p w14:paraId="02B0209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Problem-focused coping</w:t>
            </w:r>
          </w:p>
        </w:tc>
        <w:tc>
          <w:tcPr>
            <w:tcW w:w="5528" w:type="dxa"/>
          </w:tcPr>
          <w:p w14:paraId="39DE1A5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 stress-management strategy in which a person directly confronts a stressor in an attempt to decrease or eliminate it."</w:t>
            </w:r>
          </w:p>
        </w:tc>
        <w:tc>
          <w:tcPr>
            <w:tcW w:w="6293" w:type="dxa"/>
          </w:tcPr>
          <w:p w14:paraId="18A64AC4"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thought my problems through in a systematic way</w:t>
            </w:r>
          </w:p>
          <w:p w14:paraId="3E8EF7AD"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restrained myself from doing anything too quickly</w:t>
            </w:r>
          </w:p>
        </w:tc>
      </w:tr>
      <w:tr w:rsidR="000A40F4" w:rsidRPr="004469B4" w14:paraId="703A5390" w14:textId="77777777" w:rsidTr="00C851AE">
        <w:tc>
          <w:tcPr>
            <w:tcW w:w="2127" w:type="dxa"/>
          </w:tcPr>
          <w:p w14:paraId="2D89AB1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Self-acceptance</w:t>
            </w:r>
          </w:p>
        </w:tc>
        <w:tc>
          <w:tcPr>
            <w:tcW w:w="5528" w:type="dxa"/>
          </w:tcPr>
          <w:p w14:paraId="15767B1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"Experiencing different aspects of oneself (e.g., one's body, personality, thoughts, and feelings) in a positive, tolerant, receptive or non-judgmental way; experiencing positive self-worth."</w:t>
            </w:r>
          </w:p>
        </w:tc>
        <w:tc>
          <w:tcPr>
            <w:tcW w:w="6293" w:type="dxa"/>
          </w:tcPr>
          <w:p w14:paraId="7D5DB982"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satisfied with the way my body looked</w:t>
            </w:r>
          </w:p>
          <w:p w14:paraId="0FA2B65A"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that I had many positive qualities</w:t>
            </w:r>
          </w:p>
        </w:tc>
      </w:tr>
      <w:tr w:rsidR="000A40F4" w:rsidRPr="004469B4" w14:paraId="46021569" w14:textId="77777777" w:rsidTr="00C851AE">
        <w:tc>
          <w:tcPr>
            <w:tcW w:w="2127" w:type="dxa"/>
          </w:tcPr>
          <w:p w14:paraId="08A4B65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Self-congruence</w:t>
            </w:r>
          </w:p>
        </w:tc>
        <w:tc>
          <w:tcPr>
            <w:tcW w:w="5528" w:type="dxa"/>
          </w:tcPr>
          <w:p w14:paraId="31F431B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perception that our actions and behaviors are compatible with our interests, values, and beliefs."</w:t>
            </w:r>
          </w:p>
        </w:tc>
        <w:tc>
          <w:tcPr>
            <w:tcW w:w="6293" w:type="dxa"/>
          </w:tcPr>
          <w:p w14:paraId="002370CE"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my behavior was congruent with my values</w:t>
            </w:r>
          </w:p>
          <w:p w14:paraId="6AAB3AF7"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Most of my time was spent doing things that are meaningful</w:t>
            </w:r>
          </w:p>
        </w:tc>
      </w:tr>
      <w:tr w:rsidR="000A40F4" w:rsidRPr="004469B4" w14:paraId="4AAD79C5" w14:textId="77777777" w:rsidTr="00C851AE">
        <w:tc>
          <w:tcPr>
            <w:tcW w:w="2127" w:type="dxa"/>
          </w:tcPr>
          <w:p w14:paraId="58FC32C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Sense of Safety</w:t>
            </w:r>
          </w:p>
        </w:tc>
        <w:tc>
          <w:tcPr>
            <w:tcW w:w="5528" w:type="dxa"/>
          </w:tcPr>
          <w:p w14:paraId="5E353A76"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feeling of relative security in one's daily life."</w:t>
            </w:r>
          </w:p>
        </w:tc>
        <w:tc>
          <w:tcPr>
            <w:tcW w:w="6293" w:type="dxa"/>
          </w:tcPr>
          <w:p w14:paraId="3B109ADB"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generally felt safe in the place I live</w:t>
            </w:r>
          </w:p>
          <w:p w14:paraId="0711A32C"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was free from worries about my physical safety</w:t>
            </w:r>
          </w:p>
        </w:tc>
      </w:tr>
      <w:tr w:rsidR="000A40F4" w:rsidRPr="004469B4" w14:paraId="2DF07CFE" w14:textId="77777777" w:rsidTr="00C851AE">
        <w:tc>
          <w:tcPr>
            <w:tcW w:w="2127" w:type="dxa"/>
          </w:tcPr>
          <w:p w14:paraId="7C25498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Social Contribution</w:t>
            </w:r>
          </w:p>
        </w:tc>
        <w:tc>
          <w:tcPr>
            <w:tcW w:w="5528" w:type="dxa"/>
          </w:tcPr>
          <w:p w14:paraId="3D831E3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feeling that one contributes positively to their community."</w:t>
            </w:r>
          </w:p>
        </w:tc>
        <w:tc>
          <w:tcPr>
            <w:tcW w:w="6293" w:type="dxa"/>
          </w:tcPr>
          <w:p w14:paraId="6A2AA075"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that what I do matters to society</w:t>
            </w:r>
          </w:p>
          <w:p w14:paraId="005A941B"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tried to make a meaningful contribution to society</w:t>
            </w:r>
          </w:p>
        </w:tc>
      </w:tr>
      <w:tr w:rsidR="000A40F4" w:rsidRPr="004469B4" w14:paraId="7001B844" w14:textId="77777777" w:rsidTr="00C851AE">
        <w:tc>
          <w:tcPr>
            <w:tcW w:w="2127" w:type="dxa"/>
          </w:tcPr>
          <w:p w14:paraId="7DF7E40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Spirituality</w:t>
            </w:r>
          </w:p>
        </w:tc>
        <w:tc>
          <w:tcPr>
            <w:tcW w:w="5528" w:type="dxa"/>
          </w:tcPr>
          <w:p w14:paraId="29F4D5C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"Deriving meaning from, and/or experiencing a connection to something greater than oneself and may include faith in a higher power."</w:t>
            </w:r>
          </w:p>
        </w:tc>
        <w:tc>
          <w:tcPr>
            <w:tcW w:w="6293" w:type="dxa"/>
          </w:tcPr>
          <w:p w14:paraId="30B96A3D"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lived in harmony with nature</w:t>
            </w:r>
          </w:p>
          <w:p w14:paraId="542D7C2D"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felt my life is guided by strong religious or ethical beliefs</w:t>
            </w:r>
          </w:p>
        </w:tc>
      </w:tr>
      <w:tr w:rsidR="000A40F4" w:rsidRPr="004469B4" w14:paraId="5DBAE0C6" w14:textId="77777777" w:rsidTr="00C851AE">
        <w:tc>
          <w:tcPr>
            <w:tcW w:w="2127" w:type="dxa"/>
          </w:tcPr>
          <w:p w14:paraId="0D06F47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Vitality</w:t>
            </w:r>
          </w:p>
        </w:tc>
        <w:tc>
          <w:tcPr>
            <w:tcW w:w="5528" w:type="dxa"/>
          </w:tcPr>
          <w:p w14:paraId="5EDCC16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States characterized by high-arousal pleasant feelings, such as feeling energetic and lively.</w:t>
            </w:r>
          </w:p>
        </w:tc>
        <w:tc>
          <w:tcPr>
            <w:tcW w:w="6293" w:type="dxa"/>
          </w:tcPr>
          <w:p w14:paraId="55F4A69F"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could continuously work for a long time without feeling tired</w:t>
            </w:r>
          </w:p>
          <w:p w14:paraId="25A8F48F" w14:textId="77777777" w:rsidR="000A40F4" w:rsidRPr="004469B4" w:rsidRDefault="000A40F4" w:rsidP="000A40F4">
            <w:pPr>
              <w:pStyle w:val="ListParagraph"/>
              <w:numPr>
                <w:ilvl w:val="0"/>
                <w:numId w:val="4"/>
              </w:numPr>
              <w:rPr>
                <w:rFonts w:ascii="Times New Roman" w:hAnsi="Times New Roman" w:cs="Times New Roman"/>
              </w:rPr>
            </w:pPr>
            <w:r w:rsidRPr="004469B4">
              <w:rPr>
                <w:rFonts w:ascii="Times New Roman" w:hAnsi="Times New Roman" w:cs="Times New Roman"/>
              </w:rPr>
              <w:t>I had enough energy for everyday life</w:t>
            </w:r>
          </w:p>
        </w:tc>
      </w:tr>
    </w:tbl>
    <w:p w14:paraId="654DE910" w14:textId="77777777" w:rsidR="000A40F4" w:rsidRPr="004469B4" w:rsidRDefault="000A40F4" w:rsidP="000A40F4">
      <w:pPr>
        <w:rPr>
          <w:rFonts w:ascii="Times New Roman" w:hAnsi="Times New Roman" w:cs="Times New Roman"/>
        </w:rPr>
      </w:pPr>
    </w:p>
    <w:p w14:paraId="78F3028B"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br w:type="page"/>
      </w:r>
    </w:p>
    <w:p w14:paraId="1DB598BE"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lastRenderedPageBreak/>
        <w:t xml:space="preserve">Table A2: Full votes for each dimension, per round. </w:t>
      </w:r>
    </w:p>
    <w:tbl>
      <w:tblPr>
        <w:tblW w:w="10343" w:type="dxa"/>
        <w:tblLook w:val="04A0" w:firstRow="1" w:lastRow="0" w:firstColumn="1" w:lastColumn="0" w:noHBand="0" w:noVBand="1"/>
      </w:tblPr>
      <w:tblGrid>
        <w:gridCol w:w="476"/>
        <w:gridCol w:w="3351"/>
        <w:gridCol w:w="1174"/>
        <w:gridCol w:w="1272"/>
        <w:gridCol w:w="1320"/>
        <w:gridCol w:w="1219"/>
        <w:gridCol w:w="1531"/>
      </w:tblGrid>
      <w:tr w:rsidR="000A40F4" w:rsidRPr="004469B4" w14:paraId="6154DF7B" w14:textId="77777777" w:rsidTr="00C851AE">
        <w:trPr>
          <w:trHeight w:val="320"/>
        </w:trPr>
        <w:tc>
          <w:tcPr>
            <w:tcW w:w="476" w:type="dxa"/>
            <w:tcBorders>
              <w:top w:val="single" w:sz="4" w:space="0" w:color="auto"/>
              <w:left w:val="nil"/>
              <w:right w:val="nil"/>
            </w:tcBorders>
            <w:noWrap/>
            <w:vAlign w:val="bottom"/>
            <w:hideMark/>
          </w:tcPr>
          <w:p w14:paraId="5AB16971"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3351" w:type="dxa"/>
            <w:tcBorders>
              <w:top w:val="single" w:sz="4" w:space="0" w:color="auto"/>
              <w:left w:val="nil"/>
              <w:bottom w:val="nil"/>
              <w:right w:val="nil"/>
            </w:tcBorders>
            <w:noWrap/>
            <w:vAlign w:val="bottom"/>
            <w:hideMark/>
          </w:tcPr>
          <w:p w14:paraId="63270BA2"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6516" w:type="dxa"/>
            <w:gridSpan w:val="5"/>
            <w:tcBorders>
              <w:top w:val="single" w:sz="4" w:space="0" w:color="auto"/>
              <w:left w:val="nil"/>
              <w:bottom w:val="nil"/>
              <w:right w:val="nil"/>
            </w:tcBorders>
            <w:noWrap/>
            <w:vAlign w:val="bottom"/>
            <w:hideMark/>
          </w:tcPr>
          <w:p w14:paraId="6BF64228" w14:textId="77777777" w:rsidR="000A40F4" w:rsidRPr="004469B4" w:rsidRDefault="000A40F4" w:rsidP="00C851AE">
            <w:pPr>
              <w:spacing w:after="0" w:line="240" w:lineRule="auto"/>
              <w:jc w:val="center"/>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Panel Vote Count</w:t>
            </w:r>
          </w:p>
        </w:tc>
      </w:tr>
      <w:tr w:rsidR="000A40F4" w:rsidRPr="004469B4" w14:paraId="178AAAA4" w14:textId="77777777" w:rsidTr="00C851AE">
        <w:trPr>
          <w:trHeight w:val="320"/>
        </w:trPr>
        <w:tc>
          <w:tcPr>
            <w:tcW w:w="476" w:type="dxa"/>
            <w:tcBorders>
              <w:top w:val="nil"/>
              <w:left w:val="nil"/>
              <w:bottom w:val="single" w:sz="4" w:space="0" w:color="auto"/>
              <w:right w:val="nil"/>
            </w:tcBorders>
            <w:noWrap/>
            <w:vAlign w:val="bottom"/>
            <w:hideMark/>
          </w:tcPr>
          <w:p w14:paraId="100E61B4" w14:textId="77777777" w:rsidR="000A40F4" w:rsidRPr="004469B4" w:rsidRDefault="000A40F4" w:rsidP="00C851AE">
            <w:pPr>
              <w:spacing w:after="0" w:line="240" w:lineRule="auto"/>
              <w:jc w:val="center"/>
              <w:rPr>
                <w:rFonts w:ascii="Times New Roman" w:eastAsia="Times New Roman" w:hAnsi="Times New Roman" w:cs="Times New Roman"/>
                <w:color w:val="000000"/>
                <w:kern w:val="0"/>
                <w:lang w:eastAsia="en-GB"/>
                <w14:ligatures w14:val="none"/>
              </w:rPr>
            </w:pPr>
          </w:p>
        </w:tc>
        <w:tc>
          <w:tcPr>
            <w:tcW w:w="3351" w:type="dxa"/>
            <w:tcBorders>
              <w:top w:val="nil"/>
              <w:left w:val="nil"/>
              <w:bottom w:val="single" w:sz="4" w:space="0" w:color="auto"/>
              <w:right w:val="nil"/>
            </w:tcBorders>
            <w:noWrap/>
            <w:vAlign w:val="bottom"/>
            <w:hideMark/>
          </w:tcPr>
          <w:p w14:paraId="12C6FF13"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174" w:type="dxa"/>
            <w:tcBorders>
              <w:top w:val="nil"/>
              <w:left w:val="nil"/>
              <w:bottom w:val="single" w:sz="4" w:space="0" w:color="auto"/>
              <w:right w:val="nil"/>
            </w:tcBorders>
            <w:noWrap/>
            <w:vAlign w:val="bottom"/>
            <w:hideMark/>
          </w:tcPr>
          <w:p w14:paraId="773436B8"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Essential</w:t>
            </w:r>
          </w:p>
        </w:tc>
        <w:tc>
          <w:tcPr>
            <w:tcW w:w="1272" w:type="dxa"/>
            <w:tcBorders>
              <w:top w:val="nil"/>
              <w:left w:val="nil"/>
              <w:bottom w:val="single" w:sz="4" w:space="0" w:color="auto"/>
              <w:right w:val="nil"/>
            </w:tcBorders>
            <w:noWrap/>
            <w:vAlign w:val="bottom"/>
            <w:hideMark/>
          </w:tcPr>
          <w:p w14:paraId="2924213D"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Important</w:t>
            </w:r>
          </w:p>
        </w:tc>
        <w:tc>
          <w:tcPr>
            <w:tcW w:w="1320" w:type="dxa"/>
            <w:tcBorders>
              <w:top w:val="nil"/>
              <w:left w:val="nil"/>
              <w:bottom w:val="single" w:sz="4" w:space="0" w:color="auto"/>
              <w:right w:val="nil"/>
            </w:tcBorders>
            <w:noWrap/>
            <w:vAlign w:val="bottom"/>
            <w:hideMark/>
          </w:tcPr>
          <w:p w14:paraId="6A1BE651"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Peripheral</w:t>
            </w:r>
          </w:p>
        </w:tc>
        <w:tc>
          <w:tcPr>
            <w:tcW w:w="1219" w:type="dxa"/>
            <w:tcBorders>
              <w:top w:val="nil"/>
              <w:left w:val="nil"/>
              <w:bottom w:val="single" w:sz="4" w:space="0" w:color="auto"/>
              <w:right w:val="nil"/>
            </w:tcBorders>
            <w:noWrap/>
            <w:vAlign w:val="bottom"/>
            <w:hideMark/>
          </w:tcPr>
          <w:p w14:paraId="4B5FA45E"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Irrelevant</w:t>
            </w:r>
          </w:p>
        </w:tc>
        <w:tc>
          <w:tcPr>
            <w:tcW w:w="1531" w:type="dxa"/>
            <w:tcBorders>
              <w:top w:val="nil"/>
              <w:left w:val="nil"/>
              <w:bottom w:val="single" w:sz="4" w:space="0" w:color="auto"/>
              <w:right w:val="nil"/>
            </w:tcBorders>
            <w:noWrap/>
            <w:vAlign w:val="bottom"/>
            <w:hideMark/>
          </w:tcPr>
          <w:p w14:paraId="2F31760D"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I don't know</w:t>
            </w:r>
          </w:p>
        </w:tc>
      </w:tr>
      <w:tr w:rsidR="000A40F4" w:rsidRPr="004469B4" w14:paraId="36024824" w14:textId="77777777" w:rsidTr="00C851AE">
        <w:trPr>
          <w:trHeight w:val="320"/>
        </w:trPr>
        <w:tc>
          <w:tcPr>
            <w:tcW w:w="3827" w:type="dxa"/>
            <w:gridSpan w:val="2"/>
            <w:tcBorders>
              <w:top w:val="single" w:sz="4" w:space="0" w:color="auto"/>
              <w:left w:val="nil"/>
              <w:right w:val="nil"/>
            </w:tcBorders>
            <w:noWrap/>
            <w:vAlign w:val="bottom"/>
            <w:hideMark/>
          </w:tcPr>
          <w:p w14:paraId="3DC107DB"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Round 1</w:t>
            </w:r>
          </w:p>
        </w:tc>
        <w:tc>
          <w:tcPr>
            <w:tcW w:w="1174" w:type="dxa"/>
            <w:tcBorders>
              <w:top w:val="nil"/>
              <w:left w:val="nil"/>
              <w:bottom w:val="nil"/>
              <w:right w:val="nil"/>
            </w:tcBorders>
            <w:noWrap/>
            <w:vAlign w:val="bottom"/>
            <w:hideMark/>
          </w:tcPr>
          <w:p w14:paraId="315731D4"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p>
        </w:tc>
        <w:tc>
          <w:tcPr>
            <w:tcW w:w="1272" w:type="dxa"/>
            <w:tcBorders>
              <w:top w:val="nil"/>
              <w:left w:val="nil"/>
              <w:bottom w:val="nil"/>
              <w:right w:val="nil"/>
            </w:tcBorders>
            <w:noWrap/>
            <w:vAlign w:val="bottom"/>
            <w:hideMark/>
          </w:tcPr>
          <w:p w14:paraId="791F609D"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320" w:type="dxa"/>
            <w:tcBorders>
              <w:top w:val="nil"/>
              <w:left w:val="nil"/>
              <w:bottom w:val="nil"/>
              <w:right w:val="nil"/>
            </w:tcBorders>
            <w:noWrap/>
            <w:vAlign w:val="bottom"/>
            <w:hideMark/>
          </w:tcPr>
          <w:p w14:paraId="43CA55A1"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19" w:type="dxa"/>
            <w:tcBorders>
              <w:top w:val="nil"/>
              <w:left w:val="nil"/>
              <w:bottom w:val="nil"/>
              <w:right w:val="nil"/>
            </w:tcBorders>
            <w:noWrap/>
            <w:vAlign w:val="bottom"/>
            <w:hideMark/>
          </w:tcPr>
          <w:p w14:paraId="4443DF39"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531" w:type="dxa"/>
            <w:tcBorders>
              <w:top w:val="nil"/>
              <w:left w:val="nil"/>
              <w:bottom w:val="nil"/>
              <w:right w:val="nil"/>
            </w:tcBorders>
            <w:noWrap/>
            <w:vAlign w:val="bottom"/>
            <w:hideMark/>
          </w:tcPr>
          <w:p w14:paraId="7AD77076"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r>
      <w:tr w:rsidR="000A40F4" w:rsidRPr="004469B4" w14:paraId="56F3E51A" w14:textId="77777777" w:rsidTr="00C851AE">
        <w:trPr>
          <w:trHeight w:val="320"/>
        </w:trPr>
        <w:tc>
          <w:tcPr>
            <w:tcW w:w="476" w:type="dxa"/>
            <w:tcBorders>
              <w:left w:val="nil"/>
              <w:bottom w:val="nil"/>
              <w:right w:val="nil"/>
            </w:tcBorders>
            <w:noWrap/>
            <w:vAlign w:val="bottom"/>
            <w:hideMark/>
          </w:tcPr>
          <w:p w14:paraId="10966EDD"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3351" w:type="dxa"/>
            <w:tcBorders>
              <w:left w:val="nil"/>
              <w:bottom w:val="nil"/>
              <w:right w:val="nil"/>
            </w:tcBorders>
            <w:noWrap/>
            <w:vAlign w:val="bottom"/>
            <w:hideMark/>
          </w:tcPr>
          <w:p w14:paraId="7627C955"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Happiness</w:t>
            </w:r>
          </w:p>
        </w:tc>
        <w:tc>
          <w:tcPr>
            <w:tcW w:w="1174" w:type="dxa"/>
            <w:tcBorders>
              <w:top w:val="nil"/>
              <w:left w:val="nil"/>
              <w:bottom w:val="nil"/>
              <w:right w:val="nil"/>
            </w:tcBorders>
            <w:noWrap/>
            <w:vAlign w:val="bottom"/>
            <w:hideMark/>
          </w:tcPr>
          <w:p w14:paraId="6F63B2C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61</w:t>
            </w:r>
          </w:p>
        </w:tc>
        <w:tc>
          <w:tcPr>
            <w:tcW w:w="1272" w:type="dxa"/>
            <w:tcBorders>
              <w:top w:val="nil"/>
              <w:left w:val="nil"/>
              <w:bottom w:val="nil"/>
              <w:right w:val="nil"/>
            </w:tcBorders>
            <w:noWrap/>
            <w:vAlign w:val="bottom"/>
            <w:hideMark/>
          </w:tcPr>
          <w:p w14:paraId="5ECF0BC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48</w:t>
            </w:r>
          </w:p>
        </w:tc>
        <w:tc>
          <w:tcPr>
            <w:tcW w:w="1320" w:type="dxa"/>
            <w:tcBorders>
              <w:top w:val="nil"/>
              <w:left w:val="nil"/>
              <w:bottom w:val="nil"/>
              <w:right w:val="nil"/>
            </w:tcBorders>
            <w:noWrap/>
            <w:vAlign w:val="bottom"/>
            <w:hideMark/>
          </w:tcPr>
          <w:p w14:paraId="4802EE9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12</w:t>
            </w:r>
          </w:p>
        </w:tc>
        <w:tc>
          <w:tcPr>
            <w:tcW w:w="1219" w:type="dxa"/>
            <w:tcBorders>
              <w:top w:val="nil"/>
              <w:left w:val="nil"/>
              <w:bottom w:val="nil"/>
              <w:right w:val="nil"/>
            </w:tcBorders>
            <w:noWrap/>
            <w:vAlign w:val="bottom"/>
            <w:hideMark/>
          </w:tcPr>
          <w:p w14:paraId="3388CE6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c>
          <w:tcPr>
            <w:tcW w:w="1531" w:type="dxa"/>
            <w:tcBorders>
              <w:top w:val="nil"/>
              <w:left w:val="nil"/>
              <w:bottom w:val="nil"/>
              <w:right w:val="nil"/>
            </w:tcBorders>
            <w:noWrap/>
            <w:vAlign w:val="bottom"/>
            <w:hideMark/>
          </w:tcPr>
          <w:p w14:paraId="22634FA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4B1582C2" w14:textId="77777777" w:rsidTr="00C851AE">
        <w:trPr>
          <w:trHeight w:val="320"/>
        </w:trPr>
        <w:tc>
          <w:tcPr>
            <w:tcW w:w="476" w:type="dxa"/>
            <w:tcBorders>
              <w:top w:val="nil"/>
              <w:left w:val="nil"/>
              <w:bottom w:val="nil"/>
              <w:right w:val="nil"/>
            </w:tcBorders>
            <w:noWrap/>
            <w:vAlign w:val="bottom"/>
            <w:hideMark/>
          </w:tcPr>
          <w:p w14:paraId="65A9071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2080CAE1"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Vitality</w:t>
            </w:r>
          </w:p>
        </w:tc>
        <w:tc>
          <w:tcPr>
            <w:tcW w:w="1174" w:type="dxa"/>
            <w:tcBorders>
              <w:top w:val="nil"/>
              <w:left w:val="nil"/>
              <w:bottom w:val="nil"/>
              <w:right w:val="nil"/>
            </w:tcBorders>
            <w:noWrap/>
            <w:vAlign w:val="bottom"/>
            <w:hideMark/>
          </w:tcPr>
          <w:p w14:paraId="07F3D9F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30</w:t>
            </w:r>
          </w:p>
        </w:tc>
        <w:tc>
          <w:tcPr>
            <w:tcW w:w="1272" w:type="dxa"/>
            <w:tcBorders>
              <w:top w:val="nil"/>
              <w:left w:val="nil"/>
              <w:bottom w:val="nil"/>
              <w:right w:val="nil"/>
            </w:tcBorders>
            <w:noWrap/>
            <w:vAlign w:val="bottom"/>
            <w:hideMark/>
          </w:tcPr>
          <w:p w14:paraId="30FD32A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60</w:t>
            </w:r>
          </w:p>
        </w:tc>
        <w:tc>
          <w:tcPr>
            <w:tcW w:w="1320" w:type="dxa"/>
            <w:tcBorders>
              <w:top w:val="nil"/>
              <w:left w:val="nil"/>
              <w:bottom w:val="nil"/>
              <w:right w:val="nil"/>
            </w:tcBorders>
            <w:noWrap/>
            <w:vAlign w:val="bottom"/>
            <w:hideMark/>
          </w:tcPr>
          <w:p w14:paraId="7C8D997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29</w:t>
            </w:r>
          </w:p>
        </w:tc>
        <w:tc>
          <w:tcPr>
            <w:tcW w:w="1219" w:type="dxa"/>
            <w:tcBorders>
              <w:top w:val="nil"/>
              <w:left w:val="nil"/>
              <w:bottom w:val="nil"/>
              <w:right w:val="nil"/>
            </w:tcBorders>
            <w:noWrap/>
            <w:vAlign w:val="bottom"/>
            <w:hideMark/>
          </w:tcPr>
          <w:p w14:paraId="5F45782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071EFE7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2C778871" w14:textId="77777777" w:rsidTr="00C851AE">
        <w:trPr>
          <w:trHeight w:val="320"/>
        </w:trPr>
        <w:tc>
          <w:tcPr>
            <w:tcW w:w="476" w:type="dxa"/>
            <w:tcBorders>
              <w:top w:val="nil"/>
              <w:left w:val="nil"/>
              <w:bottom w:val="nil"/>
              <w:right w:val="nil"/>
            </w:tcBorders>
            <w:noWrap/>
            <w:vAlign w:val="bottom"/>
            <w:hideMark/>
          </w:tcPr>
          <w:p w14:paraId="134630A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06C57141"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Calmness</w:t>
            </w:r>
          </w:p>
        </w:tc>
        <w:tc>
          <w:tcPr>
            <w:tcW w:w="1174" w:type="dxa"/>
            <w:tcBorders>
              <w:top w:val="nil"/>
              <w:left w:val="nil"/>
              <w:bottom w:val="nil"/>
              <w:right w:val="nil"/>
            </w:tcBorders>
            <w:noWrap/>
            <w:vAlign w:val="bottom"/>
            <w:hideMark/>
          </w:tcPr>
          <w:p w14:paraId="5F96846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28</w:t>
            </w:r>
          </w:p>
        </w:tc>
        <w:tc>
          <w:tcPr>
            <w:tcW w:w="1272" w:type="dxa"/>
            <w:tcBorders>
              <w:top w:val="nil"/>
              <w:left w:val="nil"/>
              <w:bottom w:val="nil"/>
              <w:right w:val="nil"/>
            </w:tcBorders>
            <w:noWrap/>
            <w:vAlign w:val="bottom"/>
            <w:hideMark/>
          </w:tcPr>
          <w:p w14:paraId="2C617F2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52</w:t>
            </w:r>
          </w:p>
        </w:tc>
        <w:tc>
          <w:tcPr>
            <w:tcW w:w="1320" w:type="dxa"/>
            <w:tcBorders>
              <w:top w:val="nil"/>
              <w:left w:val="nil"/>
              <w:bottom w:val="nil"/>
              <w:right w:val="nil"/>
            </w:tcBorders>
            <w:noWrap/>
            <w:vAlign w:val="bottom"/>
            <w:hideMark/>
          </w:tcPr>
          <w:p w14:paraId="335846C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34</w:t>
            </w:r>
          </w:p>
        </w:tc>
        <w:tc>
          <w:tcPr>
            <w:tcW w:w="1219" w:type="dxa"/>
            <w:tcBorders>
              <w:top w:val="nil"/>
              <w:left w:val="nil"/>
              <w:bottom w:val="nil"/>
              <w:right w:val="nil"/>
            </w:tcBorders>
            <w:noWrap/>
            <w:vAlign w:val="bottom"/>
            <w:hideMark/>
          </w:tcPr>
          <w:p w14:paraId="5C9EFB1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c>
          <w:tcPr>
            <w:tcW w:w="1531" w:type="dxa"/>
            <w:tcBorders>
              <w:top w:val="nil"/>
              <w:left w:val="nil"/>
              <w:bottom w:val="nil"/>
              <w:right w:val="nil"/>
            </w:tcBorders>
            <w:noWrap/>
            <w:vAlign w:val="bottom"/>
            <w:hideMark/>
          </w:tcPr>
          <w:p w14:paraId="5A132B7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w:t>
            </w:r>
          </w:p>
        </w:tc>
      </w:tr>
      <w:tr w:rsidR="000A40F4" w:rsidRPr="004469B4" w14:paraId="0745B874" w14:textId="77777777" w:rsidTr="00C851AE">
        <w:trPr>
          <w:trHeight w:val="320"/>
        </w:trPr>
        <w:tc>
          <w:tcPr>
            <w:tcW w:w="476" w:type="dxa"/>
            <w:tcBorders>
              <w:top w:val="nil"/>
              <w:left w:val="nil"/>
              <w:bottom w:val="nil"/>
              <w:right w:val="nil"/>
            </w:tcBorders>
            <w:noWrap/>
            <w:vAlign w:val="bottom"/>
            <w:hideMark/>
          </w:tcPr>
          <w:p w14:paraId="00BA157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DD65BD4"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Optimism</w:t>
            </w:r>
          </w:p>
        </w:tc>
        <w:tc>
          <w:tcPr>
            <w:tcW w:w="1174" w:type="dxa"/>
            <w:tcBorders>
              <w:top w:val="nil"/>
              <w:left w:val="nil"/>
              <w:bottom w:val="nil"/>
              <w:right w:val="nil"/>
            </w:tcBorders>
            <w:noWrap/>
            <w:vAlign w:val="bottom"/>
            <w:hideMark/>
          </w:tcPr>
          <w:p w14:paraId="238DDFE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35</w:t>
            </w:r>
          </w:p>
        </w:tc>
        <w:tc>
          <w:tcPr>
            <w:tcW w:w="1272" w:type="dxa"/>
            <w:tcBorders>
              <w:top w:val="nil"/>
              <w:left w:val="nil"/>
              <w:bottom w:val="nil"/>
              <w:right w:val="nil"/>
            </w:tcBorders>
            <w:noWrap/>
            <w:vAlign w:val="bottom"/>
            <w:hideMark/>
          </w:tcPr>
          <w:p w14:paraId="14D3B17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63</w:t>
            </w:r>
          </w:p>
        </w:tc>
        <w:tc>
          <w:tcPr>
            <w:tcW w:w="1320" w:type="dxa"/>
            <w:tcBorders>
              <w:top w:val="nil"/>
              <w:left w:val="nil"/>
              <w:bottom w:val="nil"/>
              <w:right w:val="nil"/>
            </w:tcBorders>
            <w:noWrap/>
            <w:vAlign w:val="bottom"/>
            <w:hideMark/>
          </w:tcPr>
          <w:p w14:paraId="184B97B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19</w:t>
            </w:r>
          </w:p>
        </w:tc>
        <w:tc>
          <w:tcPr>
            <w:tcW w:w="1219" w:type="dxa"/>
            <w:tcBorders>
              <w:top w:val="nil"/>
              <w:left w:val="nil"/>
              <w:bottom w:val="nil"/>
              <w:right w:val="nil"/>
            </w:tcBorders>
            <w:noWrap/>
            <w:vAlign w:val="bottom"/>
            <w:hideMark/>
          </w:tcPr>
          <w:p w14:paraId="27091D6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w:t>
            </w:r>
          </w:p>
        </w:tc>
        <w:tc>
          <w:tcPr>
            <w:tcW w:w="1531" w:type="dxa"/>
            <w:tcBorders>
              <w:top w:val="nil"/>
              <w:left w:val="nil"/>
              <w:bottom w:val="nil"/>
              <w:right w:val="nil"/>
            </w:tcBorders>
            <w:noWrap/>
            <w:vAlign w:val="bottom"/>
            <w:hideMark/>
          </w:tcPr>
          <w:p w14:paraId="23B8E56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1C076448" w14:textId="77777777" w:rsidTr="00C851AE">
        <w:trPr>
          <w:trHeight w:val="320"/>
        </w:trPr>
        <w:tc>
          <w:tcPr>
            <w:tcW w:w="476" w:type="dxa"/>
            <w:tcBorders>
              <w:top w:val="nil"/>
              <w:left w:val="nil"/>
              <w:bottom w:val="nil"/>
              <w:right w:val="nil"/>
            </w:tcBorders>
            <w:noWrap/>
            <w:vAlign w:val="bottom"/>
            <w:hideMark/>
          </w:tcPr>
          <w:p w14:paraId="18C1DC5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602D95F1"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Engagement</w:t>
            </w:r>
          </w:p>
        </w:tc>
        <w:tc>
          <w:tcPr>
            <w:tcW w:w="1174" w:type="dxa"/>
            <w:tcBorders>
              <w:top w:val="nil"/>
              <w:left w:val="nil"/>
              <w:bottom w:val="nil"/>
              <w:right w:val="nil"/>
            </w:tcBorders>
            <w:noWrap/>
            <w:vAlign w:val="bottom"/>
            <w:hideMark/>
          </w:tcPr>
          <w:p w14:paraId="4FDE372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43</w:t>
            </w:r>
          </w:p>
        </w:tc>
        <w:tc>
          <w:tcPr>
            <w:tcW w:w="1272" w:type="dxa"/>
            <w:tcBorders>
              <w:top w:val="nil"/>
              <w:left w:val="nil"/>
              <w:bottom w:val="nil"/>
              <w:right w:val="nil"/>
            </w:tcBorders>
            <w:noWrap/>
            <w:vAlign w:val="bottom"/>
            <w:hideMark/>
          </w:tcPr>
          <w:p w14:paraId="1AF7F0D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55</w:t>
            </w:r>
          </w:p>
        </w:tc>
        <w:tc>
          <w:tcPr>
            <w:tcW w:w="1320" w:type="dxa"/>
            <w:tcBorders>
              <w:top w:val="nil"/>
              <w:left w:val="nil"/>
              <w:bottom w:val="nil"/>
              <w:right w:val="nil"/>
            </w:tcBorders>
            <w:noWrap/>
            <w:vAlign w:val="bottom"/>
            <w:hideMark/>
          </w:tcPr>
          <w:p w14:paraId="34DF887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20</w:t>
            </w:r>
          </w:p>
        </w:tc>
        <w:tc>
          <w:tcPr>
            <w:tcW w:w="1219" w:type="dxa"/>
            <w:tcBorders>
              <w:top w:val="nil"/>
              <w:left w:val="nil"/>
              <w:bottom w:val="nil"/>
              <w:right w:val="nil"/>
            </w:tcBorders>
            <w:noWrap/>
            <w:vAlign w:val="bottom"/>
            <w:hideMark/>
          </w:tcPr>
          <w:p w14:paraId="7E8298E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733038F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r>
      <w:tr w:rsidR="000A40F4" w:rsidRPr="004469B4" w14:paraId="5E079123" w14:textId="77777777" w:rsidTr="00C851AE">
        <w:trPr>
          <w:trHeight w:val="320"/>
        </w:trPr>
        <w:tc>
          <w:tcPr>
            <w:tcW w:w="476" w:type="dxa"/>
            <w:tcBorders>
              <w:top w:val="nil"/>
              <w:left w:val="nil"/>
              <w:bottom w:val="nil"/>
              <w:right w:val="nil"/>
            </w:tcBorders>
            <w:noWrap/>
            <w:vAlign w:val="bottom"/>
            <w:hideMark/>
          </w:tcPr>
          <w:p w14:paraId="629EE94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05695CA9"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Self-acceptance</w:t>
            </w:r>
          </w:p>
        </w:tc>
        <w:tc>
          <w:tcPr>
            <w:tcW w:w="1174" w:type="dxa"/>
            <w:tcBorders>
              <w:top w:val="nil"/>
              <w:left w:val="nil"/>
              <w:bottom w:val="nil"/>
              <w:right w:val="nil"/>
            </w:tcBorders>
            <w:noWrap/>
            <w:vAlign w:val="bottom"/>
            <w:hideMark/>
          </w:tcPr>
          <w:p w14:paraId="3614748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65</w:t>
            </w:r>
          </w:p>
        </w:tc>
        <w:tc>
          <w:tcPr>
            <w:tcW w:w="1272" w:type="dxa"/>
            <w:tcBorders>
              <w:top w:val="nil"/>
              <w:left w:val="nil"/>
              <w:bottom w:val="nil"/>
              <w:right w:val="nil"/>
            </w:tcBorders>
            <w:noWrap/>
            <w:vAlign w:val="bottom"/>
            <w:hideMark/>
          </w:tcPr>
          <w:p w14:paraId="49C6E3D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48</w:t>
            </w:r>
          </w:p>
        </w:tc>
        <w:tc>
          <w:tcPr>
            <w:tcW w:w="1320" w:type="dxa"/>
            <w:tcBorders>
              <w:top w:val="nil"/>
              <w:left w:val="nil"/>
              <w:bottom w:val="nil"/>
              <w:right w:val="nil"/>
            </w:tcBorders>
            <w:noWrap/>
            <w:vAlign w:val="bottom"/>
            <w:hideMark/>
          </w:tcPr>
          <w:p w14:paraId="6E1F7A8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w:t>
            </w:r>
          </w:p>
        </w:tc>
        <w:tc>
          <w:tcPr>
            <w:tcW w:w="1219" w:type="dxa"/>
            <w:tcBorders>
              <w:top w:val="nil"/>
              <w:left w:val="nil"/>
              <w:bottom w:val="nil"/>
              <w:right w:val="nil"/>
            </w:tcBorders>
            <w:noWrap/>
            <w:vAlign w:val="bottom"/>
            <w:hideMark/>
          </w:tcPr>
          <w:p w14:paraId="48AD966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4670520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0E73105E" w14:textId="77777777" w:rsidTr="00C851AE">
        <w:trPr>
          <w:trHeight w:val="320"/>
        </w:trPr>
        <w:tc>
          <w:tcPr>
            <w:tcW w:w="476" w:type="dxa"/>
            <w:tcBorders>
              <w:top w:val="nil"/>
              <w:left w:val="nil"/>
              <w:bottom w:val="nil"/>
              <w:right w:val="nil"/>
            </w:tcBorders>
            <w:noWrap/>
            <w:vAlign w:val="bottom"/>
            <w:hideMark/>
          </w:tcPr>
          <w:p w14:paraId="6357C73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3981E76A"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Competence</w:t>
            </w:r>
          </w:p>
        </w:tc>
        <w:tc>
          <w:tcPr>
            <w:tcW w:w="1174" w:type="dxa"/>
            <w:tcBorders>
              <w:top w:val="nil"/>
              <w:left w:val="nil"/>
              <w:bottom w:val="nil"/>
              <w:right w:val="nil"/>
            </w:tcBorders>
            <w:noWrap/>
            <w:vAlign w:val="bottom"/>
            <w:hideMark/>
          </w:tcPr>
          <w:p w14:paraId="479798F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272" w:type="dxa"/>
            <w:tcBorders>
              <w:top w:val="nil"/>
              <w:left w:val="nil"/>
              <w:bottom w:val="nil"/>
              <w:right w:val="nil"/>
            </w:tcBorders>
            <w:noWrap/>
            <w:vAlign w:val="bottom"/>
            <w:hideMark/>
          </w:tcPr>
          <w:p w14:paraId="1DD3EBD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55</w:t>
            </w:r>
          </w:p>
        </w:tc>
        <w:tc>
          <w:tcPr>
            <w:tcW w:w="1320" w:type="dxa"/>
            <w:tcBorders>
              <w:top w:val="nil"/>
              <w:left w:val="nil"/>
              <w:bottom w:val="nil"/>
              <w:right w:val="nil"/>
            </w:tcBorders>
            <w:noWrap/>
            <w:vAlign w:val="bottom"/>
            <w:hideMark/>
          </w:tcPr>
          <w:p w14:paraId="660B3BB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15</w:t>
            </w:r>
          </w:p>
        </w:tc>
        <w:tc>
          <w:tcPr>
            <w:tcW w:w="1219" w:type="dxa"/>
            <w:tcBorders>
              <w:top w:val="nil"/>
              <w:left w:val="nil"/>
              <w:bottom w:val="nil"/>
              <w:right w:val="nil"/>
            </w:tcBorders>
            <w:noWrap/>
            <w:vAlign w:val="bottom"/>
            <w:hideMark/>
          </w:tcPr>
          <w:p w14:paraId="57FFE16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w:t>
            </w:r>
          </w:p>
        </w:tc>
        <w:tc>
          <w:tcPr>
            <w:tcW w:w="1531" w:type="dxa"/>
            <w:tcBorders>
              <w:top w:val="nil"/>
              <w:left w:val="nil"/>
              <w:bottom w:val="nil"/>
              <w:right w:val="nil"/>
            </w:tcBorders>
            <w:noWrap/>
            <w:vAlign w:val="bottom"/>
            <w:hideMark/>
          </w:tcPr>
          <w:p w14:paraId="0E77368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4737F511" w14:textId="77777777" w:rsidTr="00C851AE">
        <w:trPr>
          <w:trHeight w:val="320"/>
        </w:trPr>
        <w:tc>
          <w:tcPr>
            <w:tcW w:w="476" w:type="dxa"/>
            <w:tcBorders>
              <w:top w:val="nil"/>
              <w:left w:val="nil"/>
              <w:bottom w:val="nil"/>
              <w:right w:val="nil"/>
            </w:tcBorders>
            <w:noWrap/>
            <w:vAlign w:val="bottom"/>
            <w:hideMark/>
          </w:tcPr>
          <w:p w14:paraId="6F47924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27C3AD79"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Development</w:t>
            </w:r>
          </w:p>
        </w:tc>
        <w:tc>
          <w:tcPr>
            <w:tcW w:w="1174" w:type="dxa"/>
            <w:tcBorders>
              <w:top w:val="nil"/>
              <w:left w:val="nil"/>
              <w:bottom w:val="nil"/>
              <w:right w:val="nil"/>
            </w:tcBorders>
            <w:noWrap/>
            <w:vAlign w:val="bottom"/>
            <w:hideMark/>
          </w:tcPr>
          <w:p w14:paraId="18E2C23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30</w:t>
            </w:r>
          </w:p>
        </w:tc>
        <w:tc>
          <w:tcPr>
            <w:tcW w:w="1272" w:type="dxa"/>
            <w:tcBorders>
              <w:top w:val="nil"/>
              <w:left w:val="nil"/>
              <w:bottom w:val="nil"/>
              <w:right w:val="nil"/>
            </w:tcBorders>
            <w:noWrap/>
            <w:vAlign w:val="bottom"/>
            <w:hideMark/>
          </w:tcPr>
          <w:p w14:paraId="4E4187D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69</w:t>
            </w:r>
          </w:p>
        </w:tc>
        <w:tc>
          <w:tcPr>
            <w:tcW w:w="1320" w:type="dxa"/>
            <w:tcBorders>
              <w:top w:val="nil"/>
              <w:left w:val="nil"/>
              <w:bottom w:val="nil"/>
              <w:right w:val="nil"/>
            </w:tcBorders>
            <w:noWrap/>
            <w:vAlign w:val="bottom"/>
            <w:hideMark/>
          </w:tcPr>
          <w:p w14:paraId="4305A82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23</w:t>
            </w:r>
          </w:p>
        </w:tc>
        <w:tc>
          <w:tcPr>
            <w:tcW w:w="1219" w:type="dxa"/>
            <w:tcBorders>
              <w:top w:val="nil"/>
              <w:left w:val="nil"/>
              <w:bottom w:val="nil"/>
              <w:right w:val="nil"/>
            </w:tcBorders>
            <w:noWrap/>
            <w:vAlign w:val="bottom"/>
            <w:hideMark/>
          </w:tcPr>
          <w:p w14:paraId="4B11114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c>
          <w:tcPr>
            <w:tcW w:w="1531" w:type="dxa"/>
            <w:tcBorders>
              <w:top w:val="nil"/>
              <w:left w:val="nil"/>
              <w:bottom w:val="nil"/>
              <w:right w:val="nil"/>
            </w:tcBorders>
            <w:noWrap/>
            <w:vAlign w:val="bottom"/>
            <w:hideMark/>
          </w:tcPr>
          <w:p w14:paraId="68D179B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r>
      <w:tr w:rsidR="000A40F4" w:rsidRPr="004469B4" w14:paraId="3931F1B4" w14:textId="77777777" w:rsidTr="00C851AE">
        <w:trPr>
          <w:trHeight w:val="320"/>
        </w:trPr>
        <w:tc>
          <w:tcPr>
            <w:tcW w:w="476" w:type="dxa"/>
            <w:tcBorders>
              <w:top w:val="nil"/>
              <w:left w:val="nil"/>
              <w:bottom w:val="nil"/>
              <w:right w:val="nil"/>
            </w:tcBorders>
            <w:noWrap/>
            <w:vAlign w:val="bottom"/>
            <w:hideMark/>
          </w:tcPr>
          <w:p w14:paraId="48C169D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3F071136"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 xml:space="preserve">Meaning and purpose </w:t>
            </w:r>
          </w:p>
        </w:tc>
        <w:tc>
          <w:tcPr>
            <w:tcW w:w="1174" w:type="dxa"/>
            <w:tcBorders>
              <w:top w:val="nil"/>
              <w:left w:val="nil"/>
              <w:bottom w:val="nil"/>
              <w:right w:val="nil"/>
            </w:tcBorders>
            <w:noWrap/>
            <w:vAlign w:val="bottom"/>
            <w:hideMark/>
          </w:tcPr>
          <w:p w14:paraId="0D2C1AD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78</w:t>
            </w:r>
          </w:p>
        </w:tc>
        <w:tc>
          <w:tcPr>
            <w:tcW w:w="1272" w:type="dxa"/>
            <w:tcBorders>
              <w:top w:val="nil"/>
              <w:left w:val="nil"/>
              <w:bottom w:val="nil"/>
              <w:right w:val="nil"/>
            </w:tcBorders>
            <w:noWrap/>
            <w:vAlign w:val="bottom"/>
            <w:hideMark/>
          </w:tcPr>
          <w:p w14:paraId="700F466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39</w:t>
            </w:r>
          </w:p>
        </w:tc>
        <w:tc>
          <w:tcPr>
            <w:tcW w:w="1320" w:type="dxa"/>
            <w:tcBorders>
              <w:top w:val="nil"/>
              <w:left w:val="nil"/>
              <w:bottom w:val="nil"/>
              <w:right w:val="nil"/>
            </w:tcBorders>
            <w:noWrap/>
            <w:vAlign w:val="bottom"/>
            <w:hideMark/>
          </w:tcPr>
          <w:p w14:paraId="150BFCF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w:t>
            </w:r>
          </w:p>
        </w:tc>
        <w:tc>
          <w:tcPr>
            <w:tcW w:w="1219" w:type="dxa"/>
            <w:tcBorders>
              <w:top w:val="nil"/>
              <w:left w:val="nil"/>
              <w:bottom w:val="nil"/>
              <w:right w:val="nil"/>
            </w:tcBorders>
            <w:noWrap/>
            <w:vAlign w:val="bottom"/>
            <w:hideMark/>
          </w:tcPr>
          <w:p w14:paraId="07F5323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6494BD6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r>
      <w:tr w:rsidR="000A40F4" w:rsidRPr="004469B4" w14:paraId="3FED442B" w14:textId="77777777" w:rsidTr="00C851AE">
        <w:trPr>
          <w:trHeight w:val="320"/>
        </w:trPr>
        <w:tc>
          <w:tcPr>
            <w:tcW w:w="476" w:type="dxa"/>
            <w:tcBorders>
              <w:top w:val="nil"/>
              <w:left w:val="nil"/>
              <w:bottom w:val="nil"/>
              <w:right w:val="nil"/>
            </w:tcBorders>
            <w:noWrap/>
            <w:vAlign w:val="bottom"/>
            <w:hideMark/>
          </w:tcPr>
          <w:p w14:paraId="4C125A7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725330F"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 xml:space="preserve">Self-congruence </w:t>
            </w:r>
          </w:p>
        </w:tc>
        <w:tc>
          <w:tcPr>
            <w:tcW w:w="1174" w:type="dxa"/>
            <w:tcBorders>
              <w:top w:val="nil"/>
              <w:left w:val="nil"/>
              <w:bottom w:val="nil"/>
              <w:right w:val="nil"/>
            </w:tcBorders>
            <w:noWrap/>
            <w:vAlign w:val="bottom"/>
            <w:hideMark/>
          </w:tcPr>
          <w:p w14:paraId="6924D09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51</w:t>
            </w:r>
          </w:p>
        </w:tc>
        <w:tc>
          <w:tcPr>
            <w:tcW w:w="1272" w:type="dxa"/>
            <w:tcBorders>
              <w:top w:val="nil"/>
              <w:left w:val="nil"/>
              <w:bottom w:val="nil"/>
              <w:right w:val="nil"/>
            </w:tcBorders>
            <w:noWrap/>
            <w:vAlign w:val="bottom"/>
            <w:hideMark/>
          </w:tcPr>
          <w:p w14:paraId="4464152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320" w:type="dxa"/>
            <w:tcBorders>
              <w:top w:val="nil"/>
              <w:left w:val="nil"/>
              <w:bottom w:val="nil"/>
              <w:right w:val="nil"/>
            </w:tcBorders>
            <w:noWrap/>
            <w:vAlign w:val="bottom"/>
            <w:hideMark/>
          </w:tcPr>
          <w:p w14:paraId="4E8BD47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23</w:t>
            </w:r>
          </w:p>
        </w:tc>
        <w:tc>
          <w:tcPr>
            <w:tcW w:w="1219" w:type="dxa"/>
            <w:tcBorders>
              <w:top w:val="nil"/>
              <w:left w:val="nil"/>
              <w:bottom w:val="nil"/>
              <w:right w:val="nil"/>
            </w:tcBorders>
            <w:noWrap/>
            <w:vAlign w:val="bottom"/>
            <w:hideMark/>
          </w:tcPr>
          <w:p w14:paraId="65623FD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0537921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504C17C6" w14:textId="77777777" w:rsidTr="00C851AE">
        <w:trPr>
          <w:trHeight w:val="320"/>
        </w:trPr>
        <w:tc>
          <w:tcPr>
            <w:tcW w:w="476" w:type="dxa"/>
            <w:tcBorders>
              <w:top w:val="nil"/>
              <w:left w:val="nil"/>
              <w:bottom w:val="nil"/>
              <w:right w:val="nil"/>
            </w:tcBorders>
            <w:noWrap/>
            <w:vAlign w:val="bottom"/>
            <w:hideMark/>
          </w:tcPr>
          <w:p w14:paraId="0C5CF31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64E6D8E0"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Belonging</w:t>
            </w:r>
          </w:p>
        </w:tc>
        <w:tc>
          <w:tcPr>
            <w:tcW w:w="1174" w:type="dxa"/>
            <w:tcBorders>
              <w:top w:val="nil"/>
              <w:left w:val="nil"/>
              <w:bottom w:val="nil"/>
              <w:right w:val="nil"/>
            </w:tcBorders>
            <w:noWrap/>
            <w:vAlign w:val="bottom"/>
            <w:hideMark/>
          </w:tcPr>
          <w:p w14:paraId="071AFE9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76</w:t>
            </w:r>
          </w:p>
        </w:tc>
        <w:tc>
          <w:tcPr>
            <w:tcW w:w="1272" w:type="dxa"/>
            <w:tcBorders>
              <w:top w:val="nil"/>
              <w:left w:val="nil"/>
              <w:bottom w:val="nil"/>
              <w:right w:val="nil"/>
            </w:tcBorders>
            <w:noWrap/>
            <w:vAlign w:val="bottom"/>
            <w:hideMark/>
          </w:tcPr>
          <w:p w14:paraId="31A4B77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37</w:t>
            </w:r>
          </w:p>
        </w:tc>
        <w:tc>
          <w:tcPr>
            <w:tcW w:w="1320" w:type="dxa"/>
            <w:tcBorders>
              <w:top w:val="nil"/>
              <w:left w:val="nil"/>
              <w:bottom w:val="nil"/>
              <w:right w:val="nil"/>
            </w:tcBorders>
            <w:noWrap/>
            <w:vAlign w:val="bottom"/>
            <w:hideMark/>
          </w:tcPr>
          <w:p w14:paraId="171E882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8</w:t>
            </w:r>
          </w:p>
        </w:tc>
        <w:tc>
          <w:tcPr>
            <w:tcW w:w="1219" w:type="dxa"/>
            <w:tcBorders>
              <w:top w:val="nil"/>
              <w:left w:val="nil"/>
              <w:bottom w:val="nil"/>
              <w:right w:val="nil"/>
            </w:tcBorders>
            <w:noWrap/>
            <w:vAlign w:val="bottom"/>
            <w:hideMark/>
          </w:tcPr>
          <w:p w14:paraId="0959FDB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c>
          <w:tcPr>
            <w:tcW w:w="1531" w:type="dxa"/>
            <w:tcBorders>
              <w:top w:val="nil"/>
              <w:left w:val="nil"/>
              <w:bottom w:val="nil"/>
              <w:right w:val="nil"/>
            </w:tcBorders>
            <w:noWrap/>
            <w:vAlign w:val="bottom"/>
            <w:hideMark/>
          </w:tcPr>
          <w:p w14:paraId="5C66014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39F2BF8A" w14:textId="77777777" w:rsidTr="00C851AE">
        <w:trPr>
          <w:trHeight w:val="320"/>
        </w:trPr>
        <w:tc>
          <w:tcPr>
            <w:tcW w:w="476" w:type="dxa"/>
            <w:tcBorders>
              <w:top w:val="nil"/>
              <w:left w:val="nil"/>
              <w:bottom w:val="nil"/>
              <w:right w:val="nil"/>
            </w:tcBorders>
            <w:noWrap/>
            <w:vAlign w:val="bottom"/>
            <w:hideMark/>
          </w:tcPr>
          <w:p w14:paraId="1238E0F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2B1C56DA"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Activities and functioning</w:t>
            </w:r>
          </w:p>
        </w:tc>
        <w:tc>
          <w:tcPr>
            <w:tcW w:w="1174" w:type="dxa"/>
            <w:tcBorders>
              <w:top w:val="nil"/>
              <w:left w:val="nil"/>
              <w:bottom w:val="nil"/>
              <w:right w:val="nil"/>
            </w:tcBorders>
            <w:noWrap/>
            <w:vAlign w:val="bottom"/>
            <w:hideMark/>
          </w:tcPr>
          <w:p w14:paraId="793CB63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28</w:t>
            </w:r>
          </w:p>
        </w:tc>
        <w:tc>
          <w:tcPr>
            <w:tcW w:w="1272" w:type="dxa"/>
            <w:tcBorders>
              <w:top w:val="nil"/>
              <w:left w:val="nil"/>
              <w:bottom w:val="nil"/>
              <w:right w:val="nil"/>
            </w:tcBorders>
            <w:noWrap/>
            <w:vAlign w:val="bottom"/>
            <w:hideMark/>
          </w:tcPr>
          <w:p w14:paraId="2927780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62</w:t>
            </w:r>
          </w:p>
        </w:tc>
        <w:tc>
          <w:tcPr>
            <w:tcW w:w="1320" w:type="dxa"/>
            <w:tcBorders>
              <w:top w:val="nil"/>
              <w:left w:val="nil"/>
              <w:bottom w:val="nil"/>
              <w:right w:val="nil"/>
            </w:tcBorders>
            <w:noWrap/>
            <w:vAlign w:val="bottom"/>
            <w:hideMark/>
          </w:tcPr>
          <w:p w14:paraId="6A3598B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25</w:t>
            </w:r>
          </w:p>
        </w:tc>
        <w:tc>
          <w:tcPr>
            <w:tcW w:w="1219" w:type="dxa"/>
            <w:tcBorders>
              <w:top w:val="nil"/>
              <w:left w:val="nil"/>
              <w:bottom w:val="nil"/>
              <w:right w:val="nil"/>
            </w:tcBorders>
            <w:noWrap/>
            <w:vAlign w:val="bottom"/>
            <w:hideMark/>
          </w:tcPr>
          <w:p w14:paraId="25305FF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w:t>
            </w:r>
          </w:p>
        </w:tc>
        <w:tc>
          <w:tcPr>
            <w:tcW w:w="1531" w:type="dxa"/>
            <w:tcBorders>
              <w:top w:val="nil"/>
              <w:left w:val="nil"/>
              <w:bottom w:val="nil"/>
              <w:right w:val="nil"/>
            </w:tcBorders>
            <w:noWrap/>
            <w:vAlign w:val="bottom"/>
            <w:hideMark/>
          </w:tcPr>
          <w:p w14:paraId="4BDEB5D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2E298AE0" w14:textId="77777777" w:rsidTr="00C851AE">
        <w:trPr>
          <w:trHeight w:val="320"/>
        </w:trPr>
        <w:tc>
          <w:tcPr>
            <w:tcW w:w="476" w:type="dxa"/>
            <w:tcBorders>
              <w:top w:val="nil"/>
              <w:left w:val="nil"/>
              <w:bottom w:val="nil"/>
              <w:right w:val="nil"/>
            </w:tcBorders>
            <w:noWrap/>
            <w:vAlign w:val="bottom"/>
            <w:hideMark/>
          </w:tcPr>
          <w:p w14:paraId="30AAE11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2689B534"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Physical health</w:t>
            </w:r>
          </w:p>
        </w:tc>
        <w:tc>
          <w:tcPr>
            <w:tcW w:w="1174" w:type="dxa"/>
            <w:tcBorders>
              <w:top w:val="nil"/>
              <w:left w:val="nil"/>
              <w:bottom w:val="nil"/>
              <w:right w:val="nil"/>
            </w:tcBorders>
            <w:noWrap/>
            <w:vAlign w:val="bottom"/>
            <w:hideMark/>
          </w:tcPr>
          <w:p w14:paraId="0BF945D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23</w:t>
            </w:r>
          </w:p>
        </w:tc>
        <w:tc>
          <w:tcPr>
            <w:tcW w:w="1272" w:type="dxa"/>
            <w:tcBorders>
              <w:top w:val="nil"/>
              <w:left w:val="nil"/>
              <w:bottom w:val="nil"/>
              <w:right w:val="nil"/>
            </w:tcBorders>
            <w:noWrap/>
            <w:vAlign w:val="bottom"/>
            <w:hideMark/>
          </w:tcPr>
          <w:p w14:paraId="74F7FFB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53</w:t>
            </w:r>
          </w:p>
        </w:tc>
        <w:tc>
          <w:tcPr>
            <w:tcW w:w="1320" w:type="dxa"/>
            <w:tcBorders>
              <w:top w:val="nil"/>
              <w:left w:val="nil"/>
              <w:bottom w:val="nil"/>
              <w:right w:val="nil"/>
            </w:tcBorders>
            <w:noWrap/>
            <w:vAlign w:val="bottom"/>
            <w:hideMark/>
          </w:tcPr>
          <w:p w14:paraId="6919464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35</w:t>
            </w:r>
          </w:p>
        </w:tc>
        <w:tc>
          <w:tcPr>
            <w:tcW w:w="1219" w:type="dxa"/>
            <w:tcBorders>
              <w:top w:val="nil"/>
              <w:left w:val="nil"/>
              <w:bottom w:val="nil"/>
              <w:right w:val="nil"/>
            </w:tcBorders>
            <w:noWrap/>
            <w:vAlign w:val="bottom"/>
            <w:hideMark/>
          </w:tcPr>
          <w:p w14:paraId="09A9D9F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10</w:t>
            </w:r>
          </w:p>
        </w:tc>
        <w:tc>
          <w:tcPr>
            <w:tcW w:w="1531" w:type="dxa"/>
            <w:tcBorders>
              <w:top w:val="nil"/>
              <w:left w:val="nil"/>
              <w:bottom w:val="nil"/>
              <w:right w:val="nil"/>
            </w:tcBorders>
            <w:noWrap/>
            <w:vAlign w:val="bottom"/>
            <w:hideMark/>
          </w:tcPr>
          <w:p w14:paraId="541B160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30D9A8FC" w14:textId="77777777" w:rsidTr="00C851AE">
        <w:trPr>
          <w:trHeight w:val="320"/>
        </w:trPr>
        <w:tc>
          <w:tcPr>
            <w:tcW w:w="476" w:type="dxa"/>
            <w:tcBorders>
              <w:top w:val="nil"/>
              <w:left w:val="nil"/>
              <w:bottom w:val="nil"/>
              <w:right w:val="nil"/>
            </w:tcBorders>
            <w:noWrap/>
            <w:vAlign w:val="bottom"/>
            <w:hideMark/>
          </w:tcPr>
          <w:p w14:paraId="0AC175E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3AD550E0"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Spirituality</w:t>
            </w:r>
          </w:p>
        </w:tc>
        <w:tc>
          <w:tcPr>
            <w:tcW w:w="1174" w:type="dxa"/>
            <w:tcBorders>
              <w:top w:val="nil"/>
              <w:left w:val="nil"/>
              <w:bottom w:val="nil"/>
              <w:right w:val="nil"/>
            </w:tcBorders>
            <w:noWrap/>
            <w:vAlign w:val="bottom"/>
            <w:hideMark/>
          </w:tcPr>
          <w:p w14:paraId="248C641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18</w:t>
            </w:r>
          </w:p>
        </w:tc>
        <w:tc>
          <w:tcPr>
            <w:tcW w:w="1272" w:type="dxa"/>
            <w:tcBorders>
              <w:top w:val="nil"/>
              <w:left w:val="nil"/>
              <w:bottom w:val="nil"/>
              <w:right w:val="nil"/>
            </w:tcBorders>
            <w:noWrap/>
            <w:vAlign w:val="bottom"/>
            <w:hideMark/>
          </w:tcPr>
          <w:p w14:paraId="38E7869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320" w:type="dxa"/>
            <w:tcBorders>
              <w:top w:val="nil"/>
              <w:left w:val="nil"/>
              <w:bottom w:val="nil"/>
              <w:right w:val="nil"/>
            </w:tcBorders>
            <w:noWrap/>
            <w:vAlign w:val="bottom"/>
            <w:hideMark/>
          </w:tcPr>
          <w:p w14:paraId="252415D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34</w:t>
            </w:r>
          </w:p>
        </w:tc>
        <w:tc>
          <w:tcPr>
            <w:tcW w:w="1219" w:type="dxa"/>
            <w:tcBorders>
              <w:top w:val="nil"/>
              <w:left w:val="nil"/>
              <w:bottom w:val="nil"/>
              <w:right w:val="nil"/>
            </w:tcBorders>
            <w:noWrap/>
            <w:vAlign w:val="bottom"/>
            <w:hideMark/>
          </w:tcPr>
          <w:p w14:paraId="7466CD0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19</w:t>
            </w:r>
          </w:p>
        </w:tc>
        <w:tc>
          <w:tcPr>
            <w:tcW w:w="1531" w:type="dxa"/>
            <w:tcBorders>
              <w:top w:val="nil"/>
              <w:left w:val="nil"/>
              <w:bottom w:val="nil"/>
              <w:right w:val="nil"/>
            </w:tcBorders>
            <w:noWrap/>
            <w:vAlign w:val="bottom"/>
            <w:hideMark/>
          </w:tcPr>
          <w:p w14:paraId="26D4129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w:t>
            </w:r>
          </w:p>
        </w:tc>
      </w:tr>
      <w:tr w:rsidR="000A40F4" w:rsidRPr="004469B4" w14:paraId="4ED80FB3" w14:textId="77777777" w:rsidTr="00C851AE">
        <w:trPr>
          <w:trHeight w:val="320"/>
        </w:trPr>
        <w:tc>
          <w:tcPr>
            <w:tcW w:w="476" w:type="dxa"/>
            <w:tcBorders>
              <w:top w:val="nil"/>
              <w:left w:val="nil"/>
              <w:bottom w:val="nil"/>
              <w:right w:val="nil"/>
            </w:tcBorders>
            <w:noWrap/>
            <w:vAlign w:val="bottom"/>
            <w:hideMark/>
          </w:tcPr>
          <w:p w14:paraId="293490A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609D5C75"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Personal circumstances</w:t>
            </w:r>
          </w:p>
        </w:tc>
        <w:tc>
          <w:tcPr>
            <w:tcW w:w="1174" w:type="dxa"/>
            <w:tcBorders>
              <w:top w:val="nil"/>
              <w:left w:val="nil"/>
              <w:bottom w:val="nil"/>
              <w:right w:val="nil"/>
            </w:tcBorders>
            <w:noWrap/>
            <w:vAlign w:val="bottom"/>
            <w:hideMark/>
          </w:tcPr>
          <w:p w14:paraId="0FF0EAE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30</w:t>
            </w:r>
          </w:p>
        </w:tc>
        <w:tc>
          <w:tcPr>
            <w:tcW w:w="1272" w:type="dxa"/>
            <w:tcBorders>
              <w:top w:val="nil"/>
              <w:left w:val="nil"/>
              <w:bottom w:val="nil"/>
              <w:right w:val="nil"/>
            </w:tcBorders>
            <w:noWrap/>
            <w:vAlign w:val="bottom"/>
            <w:hideMark/>
          </w:tcPr>
          <w:p w14:paraId="2870065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45</w:t>
            </w:r>
          </w:p>
        </w:tc>
        <w:tc>
          <w:tcPr>
            <w:tcW w:w="1320" w:type="dxa"/>
            <w:tcBorders>
              <w:top w:val="nil"/>
              <w:left w:val="nil"/>
              <w:bottom w:val="nil"/>
              <w:right w:val="nil"/>
            </w:tcBorders>
            <w:noWrap/>
            <w:vAlign w:val="bottom"/>
            <w:hideMark/>
          </w:tcPr>
          <w:p w14:paraId="6CB1204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36</w:t>
            </w:r>
          </w:p>
        </w:tc>
        <w:tc>
          <w:tcPr>
            <w:tcW w:w="1219" w:type="dxa"/>
            <w:tcBorders>
              <w:top w:val="nil"/>
              <w:left w:val="nil"/>
              <w:bottom w:val="nil"/>
              <w:right w:val="nil"/>
            </w:tcBorders>
            <w:noWrap/>
            <w:vAlign w:val="bottom"/>
            <w:hideMark/>
          </w:tcPr>
          <w:p w14:paraId="6231609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9</w:t>
            </w:r>
          </w:p>
        </w:tc>
        <w:tc>
          <w:tcPr>
            <w:tcW w:w="1531" w:type="dxa"/>
            <w:tcBorders>
              <w:top w:val="nil"/>
              <w:left w:val="nil"/>
              <w:bottom w:val="nil"/>
              <w:right w:val="nil"/>
            </w:tcBorders>
            <w:noWrap/>
            <w:vAlign w:val="bottom"/>
            <w:hideMark/>
          </w:tcPr>
          <w:p w14:paraId="1B52B43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59A95C98" w14:textId="77777777" w:rsidTr="00C851AE">
        <w:trPr>
          <w:trHeight w:val="320"/>
        </w:trPr>
        <w:tc>
          <w:tcPr>
            <w:tcW w:w="476" w:type="dxa"/>
            <w:tcBorders>
              <w:top w:val="nil"/>
              <w:left w:val="nil"/>
              <w:bottom w:val="nil"/>
              <w:right w:val="nil"/>
            </w:tcBorders>
            <w:noWrap/>
            <w:vAlign w:val="bottom"/>
            <w:hideMark/>
          </w:tcPr>
          <w:p w14:paraId="51DF139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5FEEE87"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Life satisfaction</w:t>
            </w:r>
          </w:p>
        </w:tc>
        <w:tc>
          <w:tcPr>
            <w:tcW w:w="1174" w:type="dxa"/>
            <w:tcBorders>
              <w:top w:val="nil"/>
              <w:left w:val="nil"/>
              <w:bottom w:val="nil"/>
              <w:right w:val="nil"/>
            </w:tcBorders>
            <w:noWrap/>
            <w:vAlign w:val="bottom"/>
            <w:hideMark/>
          </w:tcPr>
          <w:p w14:paraId="5011A21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72</w:t>
            </w:r>
          </w:p>
        </w:tc>
        <w:tc>
          <w:tcPr>
            <w:tcW w:w="1272" w:type="dxa"/>
            <w:tcBorders>
              <w:top w:val="nil"/>
              <w:left w:val="nil"/>
              <w:bottom w:val="nil"/>
              <w:right w:val="nil"/>
            </w:tcBorders>
            <w:noWrap/>
            <w:vAlign w:val="bottom"/>
            <w:hideMark/>
          </w:tcPr>
          <w:p w14:paraId="4F84E9C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43</w:t>
            </w:r>
          </w:p>
        </w:tc>
        <w:tc>
          <w:tcPr>
            <w:tcW w:w="1320" w:type="dxa"/>
            <w:tcBorders>
              <w:top w:val="nil"/>
              <w:left w:val="nil"/>
              <w:bottom w:val="nil"/>
              <w:right w:val="nil"/>
            </w:tcBorders>
            <w:noWrap/>
            <w:vAlign w:val="bottom"/>
            <w:hideMark/>
          </w:tcPr>
          <w:p w14:paraId="39088C4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w:t>
            </w:r>
          </w:p>
        </w:tc>
        <w:tc>
          <w:tcPr>
            <w:tcW w:w="1219" w:type="dxa"/>
            <w:tcBorders>
              <w:top w:val="nil"/>
              <w:left w:val="nil"/>
              <w:bottom w:val="nil"/>
              <w:right w:val="nil"/>
            </w:tcBorders>
            <w:noWrap/>
            <w:vAlign w:val="bottom"/>
            <w:hideMark/>
          </w:tcPr>
          <w:p w14:paraId="17FB0AC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c>
          <w:tcPr>
            <w:tcW w:w="1531" w:type="dxa"/>
            <w:tcBorders>
              <w:top w:val="nil"/>
              <w:left w:val="nil"/>
              <w:bottom w:val="nil"/>
              <w:right w:val="nil"/>
            </w:tcBorders>
            <w:noWrap/>
            <w:vAlign w:val="bottom"/>
            <w:hideMark/>
          </w:tcPr>
          <w:p w14:paraId="14D8BBC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r>
      <w:tr w:rsidR="000A40F4" w:rsidRPr="004469B4" w14:paraId="59C39EBF" w14:textId="77777777" w:rsidTr="00C851AE">
        <w:trPr>
          <w:trHeight w:val="320"/>
        </w:trPr>
        <w:tc>
          <w:tcPr>
            <w:tcW w:w="476" w:type="dxa"/>
            <w:tcBorders>
              <w:top w:val="nil"/>
              <w:left w:val="nil"/>
              <w:bottom w:val="nil"/>
              <w:right w:val="nil"/>
            </w:tcBorders>
            <w:noWrap/>
            <w:vAlign w:val="bottom"/>
            <w:hideMark/>
          </w:tcPr>
          <w:p w14:paraId="51522B1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584C7643"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Autonomy</w:t>
            </w:r>
          </w:p>
        </w:tc>
        <w:tc>
          <w:tcPr>
            <w:tcW w:w="1174" w:type="dxa"/>
            <w:tcBorders>
              <w:top w:val="nil"/>
              <w:left w:val="nil"/>
              <w:bottom w:val="nil"/>
              <w:right w:val="nil"/>
            </w:tcBorders>
            <w:noWrap/>
            <w:vAlign w:val="bottom"/>
            <w:hideMark/>
          </w:tcPr>
          <w:p w14:paraId="0861BED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55</w:t>
            </w:r>
          </w:p>
        </w:tc>
        <w:tc>
          <w:tcPr>
            <w:tcW w:w="1272" w:type="dxa"/>
            <w:tcBorders>
              <w:top w:val="nil"/>
              <w:left w:val="nil"/>
              <w:bottom w:val="nil"/>
              <w:right w:val="nil"/>
            </w:tcBorders>
            <w:noWrap/>
            <w:vAlign w:val="bottom"/>
            <w:hideMark/>
          </w:tcPr>
          <w:p w14:paraId="28E1D63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55</w:t>
            </w:r>
          </w:p>
        </w:tc>
        <w:tc>
          <w:tcPr>
            <w:tcW w:w="1320" w:type="dxa"/>
            <w:tcBorders>
              <w:top w:val="nil"/>
              <w:left w:val="nil"/>
              <w:bottom w:val="nil"/>
              <w:right w:val="nil"/>
            </w:tcBorders>
            <w:noWrap/>
            <w:vAlign w:val="bottom"/>
            <w:hideMark/>
          </w:tcPr>
          <w:p w14:paraId="7AE35BE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10</w:t>
            </w:r>
          </w:p>
        </w:tc>
        <w:tc>
          <w:tcPr>
            <w:tcW w:w="1219" w:type="dxa"/>
            <w:tcBorders>
              <w:top w:val="nil"/>
              <w:left w:val="nil"/>
              <w:bottom w:val="nil"/>
              <w:right w:val="nil"/>
            </w:tcBorders>
            <w:noWrap/>
            <w:vAlign w:val="bottom"/>
            <w:hideMark/>
          </w:tcPr>
          <w:p w14:paraId="7F49DD5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4FBE7CB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4DFC53C8" w14:textId="77777777" w:rsidTr="00C851AE">
        <w:trPr>
          <w:trHeight w:val="320"/>
        </w:trPr>
        <w:tc>
          <w:tcPr>
            <w:tcW w:w="476" w:type="dxa"/>
            <w:tcBorders>
              <w:top w:val="nil"/>
              <w:left w:val="nil"/>
              <w:bottom w:val="nil"/>
              <w:right w:val="nil"/>
            </w:tcBorders>
            <w:noWrap/>
            <w:vAlign w:val="bottom"/>
            <w:hideMark/>
          </w:tcPr>
          <w:p w14:paraId="40ADE18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69B2A1BB"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Sense of community</w:t>
            </w:r>
          </w:p>
        </w:tc>
        <w:tc>
          <w:tcPr>
            <w:tcW w:w="1174" w:type="dxa"/>
            <w:tcBorders>
              <w:top w:val="nil"/>
              <w:left w:val="nil"/>
              <w:bottom w:val="nil"/>
              <w:right w:val="nil"/>
            </w:tcBorders>
            <w:noWrap/>
            <w:vAlign w:val="bottom"/>
            <w:hideMark/>
          </w:tcPr>
          <w:p w14:paraId="04F3760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54</w:t>
            </w:r>
          </w:p>
        </w:tc>
        <w:tc>
          <w:tcPr>
            <w:tcW w:w="1272" w:type="dxa"/>
            <w:tcBorders>
              <w:top w:val="nil"/>
              <w:left w:val="nil"/>
              <w:bottom w:val="nil"/>
              <w:right w:val="nil"/>
            </w:tcBorders>
            <w:noWrap/>
            <w:vAlign w:val="bottom"/>
            <w:hideMark/>
          </w:tcPr>
          <w:p w14:paraId="0B039E0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320" w:type="dxa"/>
            <w:tcBorders>
              <w:top w:val="nil"/>
              <w:left w:val="nil"/>
              <w:bottom w:val="nil"/>
              <w:right w:val="nil"/>
            </w:tcBorders>
            <w:noWrap/>
            <w:vAlign w:val="bottom"/>
            <w:hideMark/>
          </w:tcPr>
          <w:p w14:paraId="24D1F77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19</w:t>
            </w:r>
          </w:p>
        </w:tc>
        <w:tc>
          <w:tcPr>
            <w:tcW w:w="1219" w:type="dxa"/>
            <w:tcBorders>
              <w:top w:val="nil"/>
              <w:left w:val="nil"/>
              <w:bottom w:val="nil"/>
              <w:right w:val="nil"/>
            </w:tcBorders>
            <w:noWrap/>
            <w:vAlign w:val="bottom"/>
            <w:hideMark/>
          </w:tcPr>
          <w:p w14:paraId="26104FC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c>
          <w:tcPr>
            <w:tcW w:w="1531" w:type="dxa"/>
            <w:tcBorders>
              <w:top w:val="nil"/>
              <w:left w:val="nil"/>
              <w:bottom w:val="nil"/>
              <w:right w:val="nil"/>
            </w:tcBorders>
            <w:noWrap/>
            <w:vAlign w:val="bottom"/>
            <w:hideMark/>
          </w:tcPr>
          <w:p w14:paraId="5AD239B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4CD9B2D5" w14:textId="77777777" w:rsidTr="00C851AE">
        <w:trPr>
          <w:trHeight w:val="320"/>
        </w:trPr>
        <w:tc>
          <w:tcPr>
            <w:tcW w:w="476" w:type="dxa"/>
            <w:tcBorders>
              <w:top w:val="nil"/>
              <w:left w:val="nil"/>
              <w:bottom w:val="nil"/>
              <w:right w:val="nil"/>
            </w:tcBorders>
            <w:noWrap/>
            <w:vAlign w:val="bottom"/>
            <w:hideMark/>
          </w:tcPr>
          <w:p w14:paraId="6426EBA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442A86BC"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Avoidant coping</w:t>
            </w:r>
          </w:p>
        </w:tc>
        <w:tc>
          <w:tcPr>
            <w:tcW w:w="1174" w:type="dxa"/>
            <w:tcBorders>
              <w:top w:val="nil"/>
              <w:left w:val="nil"/>
              <w:bottom w:val="nil"/>
              <w:right w:val="nil"/>
            </w:tcBorders>
            <w:noWrap/>
            <w:vAlign w:val="bottom"/>
            <w:hideMark/>
          </w:tcPr>
          <w:p w14:paraId="2E7FAED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w:t>
            </w:r>
          </w:p>
        </w:tc>
        <w:tc>
          <w:tcPr>
            <w:tcW w:w="1272" w:type="dxa"/>
            <w:tcBorders>
              <w:top w:val="nil"/>
              <w:left w:val="nil"/>
              <w:bottom w:val="nil"/>
              <w:right w:val="nil"/>
            </w:tcBorders>
            <w:noWrap/>
            <w:vAlign w:val="bottom"/>
            <w:hideMark/>
          </w:tcPr>
          <w:p w14:paraId="73625D9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17</w:t>
            </w:r>
          </w:p>
        </w:tc>
        <w:tc>
          <w:tcPr>
            <w:tcW w:w="1320" w:type="dxa"/>
            <w:tcBorders>
              <w:top w:val="nil"/>
              <w:left w:val="nil"/>
              <w:bottom w:val="nil"/>
              <w:right w:val="nil"/>
            </w:tcBorders>
            <w:noWrap/>
            <w:vAlign w:val="bottom"/>
            <w:hideMark/>
          </w:tcPr>
          <w:p w14:paraId="1FAC751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54</w:t>
            </w:r>
          </w:p>
        </w:tc>
        <w:tc>
          <w:tcPr>
            <w:tcW w:w="1219" w:type="dxa"/>
            <w:tcBorders>
              <w:top w:val="nil"/>
              <w:left w:val="nil"/>
              <w:bottom w:val="nil"/>
              <w:right w:val="nil"/>
            </w:tcBorders>
            <w:noWrap/>
            <w:vAlign w:val="bottom"/>
            <w:hideMark/>
          </w:tcPr>
          <w:p w14:paraId="3615DA0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36</w:t>
            </w:r>
          </w:p>
        </w:tc>
        <w:tc>
          <w:tcPr>
            <w:tcW w:w="1531" w:type="dxa"/>
            <w:tcBorders>
              <w:top w:val="nil"/>
              <w:left w:val="nil"/>
              <w:bottom w:val="nil"/>
              <w:right w:val="nil"/>
            </w:tcBorders>
            <w:noWrap/>
            <w:vAlign w:val="bottom"/>
            <w:hideMark/>
          </w:tcPr>
          <w:p w14:paraId="7F5A78D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9</w:t>
            </w:r>
          </w:p>
        </w:tc>
      </w:tr>
      <w:tr w:rsidR="000A40F4" w:rsidRPr="004469B4" w14:paraId="1AFDE8AD" w14:textId="77777777" w:rsidTr="00C851AE">
        <w:trPr>
          <w:trHeight w:val="320"/>
        </w:trPr>
        <w:tc>
          <w:tcPr>
            <w:tcW w:w="476" w:type="dxa"/>
            <w:tcBorders>
              <w:top w:val="nil"/>
              <w:left w:val="nil"/>
              <w:bottom w:val="nil"/>
              <w:right w:val="nil"/>
            </w:tcBorders>
            <w:noWrap/>
            <w:vAlign w:val="bottom"/>
            <w:hideMark/>
          </w:tcPr>
          <w:p w14:paraId="56AE652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B6C5A58"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Emotion-focused coping</w:t>
            </w:r>
          </w:p>
        </w:tc>
        <w:tc>
          <w:tcPr>
            <w:tcW w:w="1174" w:type="dxa"/>
            <w:tcBorders>
              <w:top w:val="nil"/>
              <w:left w:val="nil"/>
              <w:bottom w:val="nil"/>
              <w:right w:val="nil"/>
            </w:tcBorders>
            <w:noWrap/>
            <w:vAlign w:val="bottom"/>
            <w:hideMark/>
          </w:tcPr>
          <w:p w14:paraId="06D2CA7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22</w:t>
            </w:r>
          </w:p>
        </w:tc>
        <w:tc>
          <w:tcPr>
            <w:tcW w:w="1272" w:type="dxa"/>
            <w:tcBorders>
              <w:top w:val="nil"/>
              <w:left w:val="nil"/>
              <w:bottom w:val="nil"/>
              <w:right w:val="nil"/>
            </w:tcBorders>
            <w:noWrap/>
            <w:vAlign w:val="bottom"/>
            <w:hideMark/>
          </w:tcPr>
          <w:p w14:paraId="5FAF2C9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53</w:t>
            </w:r>
          </w:p>
        </w:tc>
        <w:tc>
          <w:tcPr>
            <w:tcW w:w="1320" w:type="dxa"/>
            <w:tcBorders>
              <w:top w:val="nil"/>
              <w:left w:val="nil"/>
              <w:bottom w:val="nil"/>
              <w:right w:val="nil"/>
            </w:tcBorders>
            <w:noWrap/>
            <w:vAlign w:val="bottom"/>
            <w:hideMark/>
          </w:tcPr>
          <w:p w14:paraId="5E4EC7D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33</w:t>
            </w:r>
          </w:p>
        </w:tc>
        <w:tc>
          <w:tcPr>
            <w:tcW w:w="1219" w:type="dxa"/>
            <w:tcBorders>
              <w:top w:val="nil"/>
              <w:left w:val="nil"/>
              <w:bottom w:val="nil"/>
              <w:right w:val="nil"/>
            </w:tcBorders>
            <w:noWrap/>
            <w:vAlign w:val="bottom"/>
            <w:hideMark/>
          </w:tcPr>
          <w:p w14:paraId="0F55704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w:t>
            </w:r>
          </w:p>
        </w:tc>
        <w:tc>
          <w:tcPr>
            <w:tcW w:w="1531" w:type="dxa"/>
            <w:tcBorders>
              <w:top w:val="nil"/>
              <w:left w:val="nil"/>
              <w:bottom w:val="nil"/>
              <w:right w:val="nil"/>
            </w:tcBorders>
            <w:noWrap/>
            <w:vAlign w:val="bottom"/>
            <w:hideMark/>
          </w:tcPr>
          <w:p w14:paraId="5BC1203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w:t>
            </w:r>
          </w:p>
        </w:tc>
      </w:tr>
      <w:tr w:rsidR="000A40F4" w:rsidRPr="004469B4" w14:paraId="5D4FD3AD" w14:textId="77777777" w:rsidTr="00C851AE">
        <w:trPr>
          <w:trHeight w:val="320"/>
        </w:trPr>
        <w:tc>
          <w:tcPr>
            <w:tcW w:w="476" w:type="dxa"/>
            <w:tcBorders>
              <w:top w:val="nil"/>
              <w:left w:val="nil"/>
              <w:bottom w:val="nil"/>
              <w:right w:val="nil"/>
            </w:tcBorders>
            <w:noWrap/>
            <w:vAlign w:val="bottom"/>
            <w:hideMark/>
          </w:tcPr>
          <w:p w14:paraId="19D3F0A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2C39B77"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Problem-focused coping</w:t>
            </w:r>
          </w:p>
        </w:tc>
        <w:tc>
          <w:tcPr>
            <w:tcW w:w="1174" w:type="dxa"/>
            <w:tcBorders>
              <w:top w:val="nil"/>
              <w:left w:val="nil"/>
              <w:bottom w:val="nil"/>
              <w:right w:val="nil"/>
            </w:tcBorders>
            <w:noWrap/>
            <w:vAlign w:val="bottom"/>
            <w:hideMark/>
          </w:tcPr>
          <w:p w14:paraId="553026E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19</w:t>
            </w:r>
          </w:p>
        </w:tc>
        <w:tc>
          <w:tcPr>
            <w:tcW w:w="1272" w:type="dxa"/>
            <w:tcBorders>
              <w:top w:val="nil"/>
              <w:left w:val="nil"/>
              <w:bottom w:val="nil"/>
              <w:right w:val="nil"/>
            </w:tcBorders>
            <w:noWrap/>
            <w:vAlign w:val="bottom"/>
            <w:hideMark/>
          </w:tcPr>
          <w:p w14:paraId="335163B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58</w:t>
            </w:r>
          </w:p>
        </w:tc>
        <w:tc>
          <w:tcPr>
            <w:tcW w:w="1320" w:type="dxa"/>
            <w:tcBorders>
              <w:top w:val="nil"/>
              <w:left w:val="nil"/>
              <w:bottom w:val="nil"/>
              <w:right w:val="nil"/>
            </w:tcBorders>
            <w:noWrap/>
            <w:vAlign w:val="bottom"/>
            <w:hideMark/>
          </w:tcPr>
          <w:p w14:paraId="546BC16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39</w:t>
            </w:r>
          </w:p>
        </w:tc>
        <w:tc>
          <w:tcPr>
            <w:tcW w:w="1219" w:type="dxa"/>
            <w:tcBorders>
              <w:top w:val="nil"/>
              <w:left w:val="nil"/>
              <w:bottom w:val="nil"/>
              <w:right w:val="nil"/>
            </w:tcBorders>
            <w:noWrap/>
            <w:vAlign w:val="bottom"/>
            <w:hideMark/>
          </w:tcPr>
          <w:p w14:paraId="44E8007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w:t>
            </w:r>
          </w:p>
        </w:tc>
        <w:tc>
          <w:tcPr>
            <w:tcW w:w="1531" w:type="dxa"/>
            <w:tcBorders>
              <w:top w:val="nil"/>
              <w:left w:val="nil"/>
              <w:bottom w:val="nil"/>
              <w:right w:val="nil"/>
            </w:tcBorders>
            <w:noWrap/>
            <w:vAlign w:val="bottom"/>
            <w:hideMark/>
          </w:tcPr>
          <w:p w14:paraId="1366798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4D96688C" w14:textId="77777777" w:rsidTr="00C851AE">
        <w:trPr>
          <w:trHeight w:val="320"/>
        </w:trPr>
        <w:tc>
          <w:tcPr>
            <w:tcW w:w="476" w:type="dxa"/>
            <w:tcBorders>
              <w:top w:val="nil"/>
              <w:left w:val="nil"/>
              <w:bottom w:val="nil"/>
              <w:right w:val="nil"/>
            </w:tcBorders>
            <w:noWrap/>
            <w:vAlign w:val="bottom"/>
            <w:hideMark/>
          </w:tcPr>
          <w:p w14:paraId="5A788C2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5DA6B5F9"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Acceptance</w:t>
            </w:r>
          </w:p>
        </w:tc>
        <w:tc>
          <w:tcPr>
            <w:tcW w:w="1174" w:type="dxa"/>
            <w:tcBorders>
              <w:top w:val="nil"/>
              <w:left w:val="nil"/>
              <w:bottom w:val="nil"/>
              <w:right w:val="nil"/>
            </w:tcBorders>
            <w:noWrap/>
            <w:vAlign w:val="bottom"/>
            <w:hideMark/>
          </w:tcPr>
          <w:p w14:paraId="5F9FF58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53</w:t>
            </w:r>
          </w:p>
        </w:tc>
        <w:tc>
          <w:tcPr>
            <w:tcW w:w="1272" w:type="dxa"/>
            <w:tcBorders>
              <w:top w:val="nil"/>
              <w:left w:val="nil"/>
              <w:bottom w:val="nil"/>
              <w:right w:val="nil"/>
            </w:tcBorders>
            <w:noWrap/>
            <w:vAlign w:val="bottom"/>
            <w:hideMark/>
          </w:tcPr>
          <w:p w14:paraId="169C629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49</w:t>
            </w:r>
          </w:p>
        </w:tc>
        <w:tc>
          <w:tcPr>
            <w:tcW w:w="1320" w:type="dxa"/>
            <w:tcBorders>
              <w:top w:val="nil"/>
              <w:left w:val="nil"/>
              <w:bottom w:val="nil"/>
              <w:right w:val="nil"/>
            </w:tcBorders>
            <w:noWrap/>
            <w:vAlign w:val="bottom"/>
            <w:hideMark/>
          </w:tcPr>
          <w:p w14:paraId="087E129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18</w:t>
            </w:r>
          </w:p>
        </w:tc>
        <w:tc>
          <w:tcPr>
            <w:tcW w:w="1219" w:type="dxa"/>
            <w:tcBorders>
              <w:top w:val="nil"/>
              <w:left w:val="nil"/>
              <w:bottom w:val="nil"/>
              <w:right w:val="nil"/>
            </w:tcBorders>
            <w:noWrap/>
            <w:vAlign w:val="bottom"/>
            <w:hideMark/>
          </w:tcPr>
          <w:p w14:paraId="679B1FD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45223D4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55365D16" w14:textId="77777777" w:rsidTr="00C851AE">
        <w:trPr>
          <w:trHeight w:val="320"/>
        </w:trPr>
        <w:tc>
          <w:tcPr>
            <w:tcW w:w="476" w:type="dxa"/>
            <w:tcBorders>
              <w:top w:val="nil"/>
              <w:left w:val="nil"/>
              <w:bottom w:val="nil"/>
              <w:right w:val="nil"/>
            </w:tcBorders>
            <w:noWrap/>
            <w:vAlign w:val="bottom"/>
            <w:hideMark/>
          </w:tcPr>
          <w:p w14:paraId="1E3597D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090E791C"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Fun</w:t>
            </w:r>
          </w:p>
        </w:tc>
        <w:tc>
          <w:tcPr>
            <w:tcW w:w="1174" w:type="dxa"/>
            <w:tcBorders>
              <w:top w:val="nil"/>
              <w:left w:val="nil"/>
              <w:bottom w:val="nil"/>
              <w:right w:val="nil"/>
            </w:tcBorders>
            <w:noWrap/>
            <w:vAlign w:val="bottom"/>
            <w:hideMark/>
          </w:tcPr>
          <w:p w14:paraId="0B48D98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37</w:t>
            </w:r>
          </w:p>
        </w:tc>
        <w:tc>
          <w:tcPr>
            <w:tcW w:w="1272" w:type="dxa"/>
            <w:tcBorders>
              <w:top w:val="nil"/>
              <w:left w:val="nil"/>
              <w:bottom w:val="nil"/>
              <w:right w:val="nil"/>
            </w:tcBorders>
            <w:noWrap/>
            <w:vAlign w:val="bottom"/>
            <w:hideMark/>
          </w:tcPr>
          <w:p w14:paraId="04CDC5E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57</w:t>
            </w:r>
          </w:p>
        </w:tc>
        <w:tc>
          <w:tcPr>
            <w:tcW w:w="1320" w:type="dxa"/>
            <w:tcBorders>
              <w:top w:val="nil"/>
              <w:left w:val="nil"/>
              <w:bottom w:val="nil"/>
              <w:right w:val="nil"/>
            </w:tcBorders>
            <w:noWrap/>
            <w:vAlign w:val="bottom"/>
            <w:hideMark/>
          </w:tcPr>
          <w:p w14:paraId="652E92D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25</w:t>
            </w:r>
          </w:p>
        </w:tc>
        <w:tc>
          <w:tcPr>
            <w:tcW w:w="1219" w:type="dxa"/>
            <w:tcBorders>
              <w:top w:val="nil"/>
              <w:left w:val="nil"/>
              <w:bottom w:val="nil"/>
              <w:right w:val="nil"/>
            </w:tcBorders>
            <w:noWrap/>
            <w:vAlign w:val="bottom"/>
            <w:hideMark/>
          </w:tcPr>
          <w:p w14:paraId="46C47DC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c>
          <w:tcPr>
            <w:tcW w:w="1531" w:type="dxa"/>
            <w:tcBorders>
              <w:top w:val="nil"/>
              <w:left w:val="nil"/>
              <w:bottom w:val="nil"/>
              <w:right w:val="nil"/>
            </w:tcBorders>
            <w:noWrap/>
            <w:vAlign w:val="bottom"/>
            <w:hideMark/>
          </w:tcPr>
          <w:p w14:paraId="7B1AFBA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664D361D" w14:textId="77777777" w:rsidTr="00C851AE">
        <w:trPr>
          <w:trHeight w:val="320"/>
        </w:trPr>
        <w:tc>
          <w:tcPr>
            <w:tcW w:w="476" w:type="dxa"/>
            <w:tcBorders>
              <w:top w:val="nil"/>
              <w:left w:val="nil"/>
              <w:bottom w:val="nil"/>
              <w:right w:val="nil"/>
            </w:tcBorders>
            <w:noWrap/>
            <w:vAlign w:val="bottom"/>
            <w:hideMark/>
          </w:tcPr>
          <w:p w14:paraId="219E003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457B150C"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Achievement</w:t>
            </w:r>
          </w:p>
        </w:tc>
        <w:tc>
          <w:tcPr>
            <w:tcW w:w="1174" w:type="dxa"/>
            <w:tcBorders>
              <w:top w:val="nil"/>
              <w:left w:val="nil"/>
              <w:bottom w:val="nil"/>
              <w:right w:val="nil"/>
            </w:tcBorders>
            <w:noWrap/>
            <w:vAlign w:val="bottom"/>
            <w:hideMark/>
          </w:tcPr>
          <w:p w14:paraId="1DE349C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22</w:t>
            </w:r>
          </w:p>
        </w:tc>
        <w:tc>
          <w:tcPr>
            <w:tcW w:w="1272" w:type="dxa"/>
            <w:tcBorders>
              <w:top w:val="nil"/>
              <w:left w:val="nil"/>
              <w:bottom w:val="nil"/>
              <w:right w:val="nil"/>
            </w:tcBorders>
            <w:noWrap/>
            <w:vAlign w:val="bottom"/>
            <w:hideMark/>
          </w:tcPr>
          <w:p w14:paraId="3390FCC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65</w:t>
            </w:r>
          </w:p>
        </w:tc>
        <w:tc>
          <w:tcPr>
            <w:tcW w:w="1320" w:type="dxa"/>
            <w:tcBorders>
              <w:top w:val="nil"/>
              <w:left w:val="nil"/>
              <w:bottom w:val="nil"/>
              <w:right w:val="nil"/>
            </w:tcBorders>
            <w:noWrap/>
            <w:vAlign w:val="bottom"/>
            <w:hideMark/>
          </w:tcPr>
          <w:p w14:paraId="5C3F2B3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30</w:t>
            </w:r>
          </w:p>
        </w:tc>
        <w:tc>
          <w:tcPr>
            <w:tcW w:w="1219" w:type="dxa"/>
            <w:tcBorders>
              <w:top w:val="nil"/>
              <w:left w:val="nil"/>
              <w:bottom w:val="nil"/>
              <w:right w:val="nil"/>
            </w:tcBorders>
            <w:noWrap/>
            <w:vAlign w:val="bottom"/>
            <w:hideMark/>
          </w:tcPr>
          <w:p w14:paraId="7E691E7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c>
          <w:tcPr>
            <w:tcW w:w="1531" w:type="dxa"/>
            <w:tcBorders>
              <w:top w:val="nil"/>
              <w:left w:val="nil"/>
              <w:bottom w:val="nil"/>
              <w:right w:val="nil"/>
            </w:tcBorders>
            <w:noWrap/>
            <w:vAlign w:val="bottom"/>
            <w:hideMark/>
          </w:tcPr>
          <w:p w14:paraId="21C38EE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r>
      <w:tr w:rsidR="000A40F4" w:rsidRPr="004469B4" w14:paraId="02CFAD49" w14:textId="77777777" w:rsidTr="00C851AE">
        <w:trPr>
          <w:trHeight w:val="320"/>
        </w:trPr>
        <w:tc>
          <w:tcPr>
            <w:tcW w:w="476" w:type="dxa"/>
            <w:tcBorders>
              <w:top w:val="nil"/>
              <w:left w:val="nil"/>
              <w:bottom w:val="nil"/>
              <w:right w:val="nil"/>
            </w:tcBorders>
            <w:noWrap/>
            <w:vAlign w:val="bottom"/>
            <w:hideMark/>
          </w:tcPr>
          <w:p w14:paraId="3B21D15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1B6922DE"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Accepting of others</w:t>
            </w:r>
          </w:p>
        </w:tc>
        <w:tc>
          <w:tcPr>
            <w:tcW w:w="1174" w:type="dxa"/>
            <w:tcBorders>
              <w:top w:val="nil"/>
              <w:left w:val="nil"/>
              <w:bottom w:val="nil"/>
              <w:right w:val="nil"/>
            </w:tcBorders>
            <w:noWrap/>
            <w:vAlign w:val="bottom"/>
            <w:hideMark/>
          </w:tcPr>
          <w:p w14:paraId="2B6B68D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30</w:t>
            </w:r>
          </w:p>
        </w:tc>
        <w:tc>
          <w:tcPr>
            <w:tcW w:w="1272" w:type="dxa"/>
            <w:tcBorders>
              <w:top w:val="nil"/>
              <w:left w:val="nil"/>
              <w:bottom w:val="nil"/>
              <w:right w:val="nil"/>
            </w:tcBorders>
            <w:noWrap/>
            <w:vAlign w:val="bottom"/>
            <w:hideMark/>
          </w:tcPr>
          <w:p w14:paraId="52A1601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53</w:t>
            </w:r>
          </w:p>
        </w:tc>
        <w:tc>
          <w:tcPr>
            <w:tcW w:w="1320" w:type="dxa"/>
            <w:tcBorders>
              <w:top w:val="nil"/>
              <w:left w:val="nil"/>
              <w:bottom w:val="nil"/>
              <w:right w:val="nil"/>
            </w:tcBorders>
            <w:noWrap/>
            <w:vAlign w:val="bottom"/>
            <w:hideMark/>
          </w:tcPr>
          <w:p w14:paraId="13F0FCD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35</w:t>
            </w:r>
          </w:p>
        </w:tc>
        <w:tc>
          <w:tcPr>
            <w:tcW w:w="1219" w:type="dxa"/>
            <w:tcBorders>
              <w:top w:val="nil"/>
              <w:left w:val="nil"/>
              <w:bottom w:val="nil"/>
              <w:right w:val="nil"/>
            </w:tcBorders>
            <w:noWrap/>
            <w:vAlign w:val="bottom"/>
            <w:hideMark/>
          </w:tcPr>
          <w:p w14:paraId="1F21C3A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c>
          <w:tcPr>
            <w:tcW w:w="1531" w:type="dxa"/>
            <w:tcBorders>
              <w:top w:val="nil"/>
              <w:left w:val="nil"/>
              <w:bottom w:val="nil"/>
              <w:right w:val="nil"/>
            </w:tcBorders>
            <w:noWrap/>
            <w:vAlign w:val="bottom"/>
            <w:hideMark/>
          </w:tcPr>
          <w:p w14:paraId="6D5C23A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0B947DB0" w14:textId="77777777" w:rsidTr="00C851AE">
        <w:trPr>
          <w:trHeight w:val="320"/>
        </w:trPr>
        <w:tc>
          <w:tcPr>
            <w:tcW w:w="476" w:type="dxa"/>
            <w:tcBorders>
              <w:top w:val="nil"/>
              <w:left w:val="nil"/>
              <w:bottom w:val="nil"/>
              <w:right w:val="nil"/>
            </w:tcBorders>
            <w:noWrap/>
            <w:vAlign w:val="bottom"/>
            <w:hideMark/>
          </w:tcPr>
          <w:p w14:paraId="74377C3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0FA6559C"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Novelty</w:t>
            </w:r>
          </w:p>
        </w:tc>
        <w:tc>
          <w:tcPr>
            <w:tcW w:w="1174" w:type="dxa"/>
            <w:tcBorders>
              <w:top w:val="nil"/>
              <w:left w:val="nil"/>
              <w:bottom w:val="nil"/>
              <w:right w:val="nil"/>
            </w:tcBorders>
            <w:noWrap/>
            <w:vAlign w:val="bottom"/>
            <w:hideMark/>
          </w:tcPr>
          <w:p w14:paraId="7B2EE84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11</w:t>
            </w:r>
          </w:p>
        </w:tc>
        <w:tc>
          <w:tcPr>
            <w:tcW w:w="1272" w:type="dxa"/>
            <w:tcBorders>
              <w:top w:val="nil"/>
              <w:left w:val="nil"/>
              <w:bottom w:val="nil"/>
              <w:right w:val="nil"/>
            </w:tcBorders>
            <w:noWrap/>
            <w:vAlign w:val="bottom"/>
            <w:hideMark/>
          </w:tcPr>
          <w:p w14:paraId="51911AB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32</w:t>
            </w:r>
          </w:p>
        </w:tc>
        <w:tc>
          <w:tcPr>
            <w:tcW w:w="1320" w:type="dxa"/>
            <w:tcBorders>
              <w:top w:val="nil"/>
              <w:left w:val="nil"/>
              <w:bottom w:val="nil"/>
              <w:right w:val="nil"/>
            </w:tcBorders>
            <w:noWrap/>
            <w:vAlign w:val="bottom"/>
            <w:hideMark/>
          </w:tcPr>
          <w:p w14:paraId="46BAF0A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59</w:t>
            </w:r>
          </w:p>
        </w:tc>
        <w:tc>
          <w:tcPr>
            <w:tcW w:w="1219" w:type="dxa"/>
            <w:tcBorders>
              <w:top w:val="nil"/>
              <w:left w:val="nil"/>
              <w:bottom w:val="nil"/>
              <w:right w:val="nil"/>
            </w:tcBorders>
            <w:noWrap/>
            <w:vAlign w:val="bottom"/>
            <w:hideMark/>
          </w:tcPr>
          <w:p w14:paraId="0CAF923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15</w:t>
            </w:r>
          </w:p>
        </w:tc>
        <w:tc>
          <w:tcPr>
            <w:tcW w:w="1531" w:type="dxa"/>
            <w:tcBorders>
              <w:top w:val="nil"/>
              <w:left w:val="nil"/>
              <w:bottom w:val="nil"/>
              <w:right w:val="nil"/>
            </w:tcBorders>
            <w:noWrap/>
            <w:vAlign w:val="bottom"/>
            <w:hideMark/>
          </w:tcPr>
          <w:p w14:paraId="4688DD0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w:t>
            </w:r>
          </w:p>
        </w:tc>
      </w:tr>
      <w:tr w:rsidR="000A40F4" w:rsidRPr="004469B4" w14:paraId="087F4BCB" w14:textId="77777777" w:rsidTr="00C851AE">
        <w:trPr>
          <w:trHeight w:val="320"/>
        </w:trPr>
        <w:tc>
          <w:tcPr>
            <w:tcW w:w="476" w:type="dxa"/>
            <w:tcBorders>
              <w:top w:val="nil"/>
              <w:left w:val="nil"/>
              <w:right w:val="nil"/>
            </w:tcBorders>
            <w:noWrap/>
            <w:vAlign w:val="bottom"/>
            <w:hideMark/>
          </w:tcPr>
          <w:p w14:paraId="5AA66D2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right w:val="nil"/>
            </w:tcBorders>
            <w:noWrap/>
            <w:vAlign w:val="bottom"/>
            <w:hideMark/>
          </w:tcPr>
          <w:p w14:paraId="3DB55A90"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174" w:type="dxa"/>
            <w:tcBorders>
              <w:top w:val="nil"/>
              <w:left w:val="nil"/>
              <w:bottom w:val="nil"/>
              <w:right w:val="nil"/>
            </w:tcBorders>
            <w:noWrap/>
            <w:vAlign w:val="bottom"/>
            <w:hideMark/>
          </w:tcPr>
          <w:p w14:paraId="71601C67"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72" w:type="dxa"/>
            <w:tcBorders>
              <w:top w:val="nil"/>
              <w:left w:val="nil"/>
              <w:bottom w:val="nil"/>
              <w:right w:val="nil"/>
            </w:tcBorders>
            <w:noWrap/>
            <w:vAlign w:val="bottom"/>
            <w:hideMark/>
          </w:tcPr>
          <w:p w14:paraId="0F2E904F"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320" w:type="dxa"/>
            <w:tcBorders>
              <w:top w:val="nil"/>
              <w:left w:val="nil"/>
              <w:bottom w:val="nil"/>
              <w:right w:val="nil"/>
            </w:tcBorders>
            <w:noWrap/>
            <w:vAlign w:val="bottom"/>
            <w:hideMark/>
          </w:tcPr>
          <w:p w14:paraId="0862E7F7"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19" w:type="dxa"/>
            <w:tcBorders>
              <w:top w:val="nil"/>
              <w:left w:val="nil"/>
              <w:bottom w:val="nil"/>
              <w:right w:val="nil"/>
            </w:tcBorders>
            <w:noWrap/>
            <w:vAlign w:val="bottom"/>
            <w:hideMark/>
          </w:tcPr>
          <w:p w14:paraId="5569AA39"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531" w:type="dxa"/>
            <w:tcBorders>
              <w:top w:val="nil"/>
              <w:left w:val="nil"/>
              <w:bottom w:val="nil"/>
              <w:right w:val="nil"/>
            </w:tcBorders>
            <w:noWrap/>
            <w:vAlign w:val="bottom"/>
            <w:hideMark/>
          </w:tcPr>
          <w:p w14:paraId="51B42F16"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r>
      <w:tr w:rsidR="000A40F4" w:rsidRPr="004469B4" w14:paraId="767A3184" w14:textId="77777777" w:rsidTr="00C851AE">
        <w:trPr>
          <w:trHeight w:val="320"/>
        </w:trPr>
        <w:tc>
          <w:tcPr>
            <w:tcW w:w="3827" w:type="dxa"/>
            <w:gridSpan w:val="2"/>
            <w:tcBorders>
              <w:top w:val="nil"/>
              <w:left w:val="nil"/>
              <w:right w:val="nil"/>
            </w:tcBorders>
            <w:noWrap/>
            <w:vAlign w:val="bottom"/>
            <w:hideMark/>
          </w:tcPr>
          <w:p w14:paraId="168B5456"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Round 2</w:t>
            </w:r>
          </w:p>
        </w:tc>
        <w:tc>
          <w:tcPr>
            <w:tcW w:w="1174" w:type="dxa"/>
            <w:tcBorders>
              <w:top w:val="nil"/>
              <w:left w:val="nil"/>
              <w:bottom w:val="nil"/>
              <w:right w:val="nil"/>
            </w:tcBorders>
            <w:noWrap/>
            <w:vAlign w:val="bottom"/>
            <w:hideMark/>
          </w:tcPr>
          <w:p w14:paraId="7A2F1372"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p>
        </w:tc>
        <w:tc>
          <w:tcPr>
            <w:tcW w:w="1272" w:type="dxa"/>
            <w:tcBorders>
              <w:top w:val="nil"/>
              <w:left w:val="nil"/>
              <w:bottom w:val="nil"/>
              <w:right w:val="nil"/>
            </w:tcBorders>
            <w:noWrap/>
            <w:vAlign w:val="bottom"/>
            <w:hideMark/>
          </w:tcPr>
          <w:p w14:paraId="7B0A030F"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320" w:type="dxa"/>
            <w:tcBorders>
              <w:top w:val="nil"/>
              <w:left w:val="nil"/>
              <w:bottom w:val="nil"/>
              <w:right w:val="nil"/>
            </w:tcBorders>
            <w:noWrap/>
            <w:vAlign w:val="bottom"/>
            <w:hideMark/>
          </w:tcPr>
          <w:p w14:paraId="4A244006"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19" w:type="dxa"/>
            <w:tcBorders>
              <w:top w:val="nil"/>
              <w:left w:val="nil"/>
              <w:bottom w:val="nil"/>
              <w:right w:val="nil"/>
            </w:tcBorders>
            <w:noWrap/>
            <w:vAlign w:val="bottom"/>
            <w:hideMark/>
          </w:tcPr>
          <w:p w14:paraId="6BB8FD78"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531" w:type="dxa"/>
            <w:tcBorders>
              <w:top w:val="nil"/>
              <w:left w:val="nil"/>
              <w:bottom w:val="nil"/>
              <w:right w:val="nil"/>
            </w:tcBorders>
            <w:noWrap/>
            <w:vAlign w:val="bottom"/>
            <w:hideMark/>
          </w:tcPr>
          <w:p w14:paraId="32E0D5E3"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r>
      <w:tr w:rsidR="000A40F4" w:rsidRPr="004469B4" w14:paraId="014B324A" w14:textId="77777777" w:rsidTr="00C851AE">
        <w:trPr>
          <w:trHeight w:val="320"/>
        </w:trPr>
        <w:tc>
          <w:tcPr>
            <w:tcW w:w="476" w:type="dxa"/>
            <w:tcBorders>
              <w:left w:val="nil"/>
              <w:bottom w:val="nil"/>
              <w:right w:val="nil"/>
            </w:tcBorders>
            <w:noWrap/>
            <w:vAlign w:val="bottom"/>
            <w:hideMark/>
          </w:tcPr>
          <w:p w14:paraId="48CA7CCE"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3351" w:type="dxa"/>
            <w:tcBorders>
              <w:left w:val="nil"/>
              <w:bottom w:val="nil"/>
              <w:right w:val="nil"/>
            </w:tcBorders>
            <w:noWrap/>
            <w:vAlign w:val="bottom"/>
            <w:hideMark/>
          </w:tcPr>
          <w:p w14:paraId="1B22BB63"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Calmness</w:t>
            </w:r>
          </w:p>
        </w:tc>
        <w:tc>
          <w:tcPr>
            <w:tcW w:w="1174" w:type="dxa"/>
            <w:tcBorders>
              <w:top w:val="nil"/>
              <w:left w:val="nil"/>
              <w:bottom w:val="nil"/>
              <w:right w:val="nil"/>
            </w:tcBorders>
            <w:noWrap/>
            <w:vAlign w:val="bottom"/>
            <w:hideMark/>
          </w:tcPr>
          <w:p w14:paraId="1E7B828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25</w:t>
            </w:r>
          </w:p>
        </w:tc>
        <w:tc>
          <w:tcPr>
            <w:tcW w:w="1272" w:type="dxa"/>
            <w:tcBorders>
              <w:top w:val="nil"/>
              <w:left w:val="nil"/>
              <w:bottom w:val="nil"/>
              <w:right w:val="nil"/>
            </w:tcBorders>
            <w:noWrap/>
            <w:vAlign w:val="bottom"/>
            <w:hideMark/>
          </w:tcPr>
          <w:p w14:paraId="034C674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320" w:type="dxa"/>
            <w:tcBorders>
              <w:top w:val="nil"/>
              <w:left w:val="nil"/>
              <w:bottom w:val="nil"/>
              <w:right w:val="nil"/>
            </w:tcBorders>
            <w:noWrap/>
            <w:vAlign w:val="bottom"/>
            <w:hideMark/>
          </w:tcPr>
          <w:p w14:paraId="252261D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21</w:t>
            </w:r>
          </w:p>
        </w:tc>
        <w:tc>
          <w:tcPr>
            <w:tcW w:w="1219" w:type="dxa"/>
            <w:tcBorders>
              <w:top w:val="nil"/>
              <w:left w:val="nil"/>
              <w:bottom w:val="nil"/>
              <w:right w:val="nil"/>
            </w:tcBorders>
            <w:noWrap/>
            <w:vAlign w:val="bottom"/>
            <w:hideMark/>
          </w:tcPr>
          <w:p w14:paraId="3310292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c>
          <w:tcPr>
            <w:tcW w:w="1531" w:type="dxa"/>
            <w:tcBorders>
              <w:top w:val="nil"/>
              <w:left w:val="nil"/>
              <w:bottom w:val="nil"/>
              <w:right w:val="nil"/>
            </w:tcBorders>
            <w:noWrap/>
            <w:vAlign w:val="bottom"/>
            <w:hideMark/>
          </w:tcPr>
          <w:p w14:paraId="0E08C3C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r>
      <w:tr w:rsidR="000A40F4" w:rsidRPr="004469B4" w14:paraId="3F9059A3" w14:textId="77777777" w:rsidTr="00C851AE">
        <w:trPr>
          <w:trHeight w:val="320"/>
        </w:trPr>
        <w:tc>
          <w:tcPr>
            <w:tcW w:w="476" w:type="dxa"/>
            <w:tcBorders>
              <w:top w:val="nil"/>
              <w:left w:val="nil"/>
              <w:bottom w:val="nil"/>
              <w:right w:val="nil"/>
            </w:tcBorders>
            <w:noWrap/>
            <w:vAlign w:val="bottom"/>
            <w:hideMark/>
          </w:tcPr>
          <w:p w14:paraId="3CD4EC9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4F844C8B"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Physical health</w:t>
            </w:r>
          </w:p>
        </w:tc>
        <w:tc>
          <w:tcPr>
            <w:tcW w:w="1174" w:type="dxa"/>
            <w:tcBorders>
              <w:top w:val="nil"/>
              <w:left w:val="nil"/>
              <w:bottom w:val="nil"/>
              <w:right w:val="nil"/>
            </w:tcBorders>
            <w:noWrap/>
            <w:vAlign w:val="bottom"/>
            <w:hideMark/>
          </w:tcPr>
          <w:p w14:paraId="21795BF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17</w:t>
            </w:r>
          </w:p>
        </w:tc>
        <w:tc>
          <w:tcPr>
            <w:tcW w:w="1272" w:type="dxa"/>
            <w:tcBorders>
              <w:top w:val="nil"/>
              <w:left w:val="nil"/>
              <w:bottom w:val="nil"/>
              <w:right w:val="nil"/>
            </w:tcBorders>
            <w:noWrap/>
            <w:vAlign w:val="bottom"/>
            <w:hideMark/>
          </w:tcPr>
          <w:p w14:paraId="47C9188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43</w:t>
            </w:r>
          </w:p>
        </w:tc>
        <w:tc>
          <w:tcPr>
            <w:tcW w:w="1320" w:type="dxa"/>
            <w:tcBorders>
              <w:top w:val="nil"/>
              <w:left w:val="nil"/>
              <w:bottom w:val="nil"/>
              <w:right w:val="nil"/>
            </w:tcBorders>
            <w:noWrap/>
            <w:vAlign w:val="bottom"/>
            <w:hideMark/>
          </w:tcPr>
          <w:p w14:paraId="08BE9CB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28</w:t>
            </w:r>
          </w:p>
        </w:tc>
        <w:tc>
          <w:tcPr>
            <w:tcW w:w="1219" w:type="dxa"/>
            <w:tcBorders>
              <w:top w:val="nil"/>
              <w:left w:val="nil"/>
              <w:bottom w:val="nil"/>
              <w:right w:val="nil"/>
            </w:tcBorders>
            <w:noWrap/>
            <w:vAlign w:val="bottom"/>
            <w:hideMark/>
          </w:tcPr>
          <w:p w14:paraId="138E7EE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9</w:t>
            </w:r>
          </w:p>
        </w:tc>
        <w:tc>
          <w:tcPr>
            <w:tcW w:w="1531" w:type="dxa"/>
            <w:tcBorders>
              <w:top w:val="nil"/>
              <w:left w:val="nil"/>
              <w:bottom w:val="nil"/>
              <w:right w:val="nil"/>
            </w:tcBorders>
            <w:noWrap/>
            <w:vAlign w:val="bottom"/>
            <w:hideMark/>
          </w:tcPr>
          <w:p w14:paraId="5CA84C9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r>
      <w:tr w:rsidR="000A40F4" w:rsidRPr="004469B4" w14:paraId="4361674A" w14:textId="77777777" w:rsidTr="00C851AE">
        <w:trPr>
          <w:trHeight w:val="320"/>
        </w:trPr>
        <w:tc>
          <w:tcPr>
            <w:tcW w:w="476" w:type="dxa"/>
            <w:tcBorders>
              <w:top w:val="nil"/>
              <w:left w:val="nil"/>
              <w:bottom w:val="nil"/>
              <w:right w:val="nil"/>
            </w:tcBorders>
            <w:noWrap/>
            <w:vAlign w:val="bottom"/>
            <w:hideMark/>
          </w:tcPr>
          <w:p w14:paraId="1FCB8EF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5F378D63"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Spirituality</w:t>
            </w:r>
          </w:p>
        </w:tc>
        <w:tc>
          <w:tcPr>
            <w:tcW w:w="1174" w:type="dxa"/>
            <w:tcBorders>
              <w:top w:val="nil"/>
              <w:left w:val="nil"/>
              <w:bottom w:val="nil"/>
              <w:right w:val="nil"/>
            </w:tcBorders>
            <w:noWrap/>
            <w:vAlign w:val="bottom"/>
            <w:hideMark/>
          </w:tcPr>
          <w:p w14:paraId="713806F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20</w:t>
            </w:r>
          </w:p>
        </w:tc>
        <w:tc>
          <w:tcPr>
            <w:tcW w:w="1272" w:type="dxa"/>
            <w:tcBorders>
              <w:top w:val="nil"/>
              <w:left w:val="nil"/>
              <w:bottom w:val="nil"/>
              <w:right w:val="nil"/>
            </w:tcBorders>
            <w:noWrap/>
            <w:vAlign w:val="bottom"/>
            <w:hideMark/>
          </w:tcPr>
          <w:p w14:paraId="0D71646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24</w:t>
            </w:r>
          </w:p>
        </w:tc>
        <w:tc>
          <w:tcPr>
            <w:tcW w:w="1320" w:type="dxa"/>
            <w:tcBorders>
              <w:top w:val="nil"/>
              <w:left w:val="nil"/>
              <w:bottom w:val="nil"/>
              <w:right w:val="nil"/>
            </w:tcBorders>
            <w:noWrap/>
            <w:vAlign w:val="bottom"/>
            <w:hideMark/>
          </w:tcPr>
          <w:p w14:paraId="52251EA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31</w:t>
            </w:r>
          </w:p>
        </w:tc>
        <w:tc>
          <w:tcPr>
            <w:tcW w:w="1219" w:type="dxa"/>
            <w:tcBorders>
              <w:top w:val="nil"/>
              <w:left w:val="nil"/>
              <w:bottom w:val="nil"/>
              <w:right w:val="nil"/>
            </w:tcBorders>
            <w:noWrap/>
            <w:vAlign w:val="bottom"/>
            <w:hideMark/>
          </w:tcPr>
          <w:p w14:paraId="7514D93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20</w:t>
            </w:r>
          </w:p>
        </w:tc>
        <w:tc>
          <w:tcPr>
            <w:tcW w:w="1531" w:type="dxa"/>
            <w:tcBorders>
              <w:top w:val="nil"/>
              <w:left w:val="nil"/>
              <w:bottom w:val="nil"/>
              <w:right w:val="nil"/>
            </w:tcBorders>
            <w:noWrap/>
            <w:vAlign w:val="bottom"/>
            <w:hideMark/>
          </w:tcPr>
          <w:p w14:paraId="3BDDB47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7D54C75F" w14:textId="77777777" w:rsidTr="00C851AE">
        <w:trPr>
          <w:trHeight w:val="320"/>
        </w:trPr>
        <w:tc>
          <w:tcPr>
            <w:tcW w:w="476" w:type="dxa"/>
            <w:tcBorders>
              <w:top w:val="nil"/>
              <w:left w:val="nil"/>
              <w:bottom w:val="nil"/>
              <w:right w:val="nil"/>
            </w:tcBorders>
            <w:noWrap/>
            <w:vAlign w:val="bottom"/>
            <w:hideMark/>
          </w:tcPr>
          <w:p w14:paraId="0AC459D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29B7BD1D"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Personal circumstances</w:t>
            </w:r>
          </w:p>
        </w:tc>
        <w:tc>
          <w:tcPr>
            <w:tcW w:w="1174" w:type="dxa"/>
            <w:tcBorders>
              <w:top w:val="nil"/>
              <w:left w:val="nil"/>
              <w:bottom w:val="nil"/>
              <w:right w:val="nil"/>
            </w:tcBorders>
            <w:noWrap/>
            <w:vAlign w:val="bottom"/>
            <w:hideMark/>
          </w:tcPr>
          <w:p w14:paraId="08DECED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21</w:t>
            </w:r>
          </w:p>
        </w:tc>
        <w:tc>
          <w:tcPr>
            <w:tcW w:w="1272" w:type="dxa"/>
            <w:tcBorders>
              <w:top w:val="nil"/>
              <w:left w:val="nil"/>
              <w:bottom w:val="nil"/>
              <w:right w:val="nil"/>
            </w:tcBorders>
            <w:noWrap/>
            <w:vAlign w:val="bottom"/>
            <w:hideMark/>
          </w:tcPr>
          <w:p w14:paraId="66B2B924"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36</w:t>
            </w:r>
          </w:p>
        </w:tc>
        <w:tc>
          <w:tcPr>
            <w:tcW w:w="1320" w:type="dxa"/>
            <w:tcBorders>
              <w:top w:val="nil"/>
              <w:left w:val="nil"/>
              <w:bottom w:val="nil"/>
              <w:right w:val="nil"/>
            </w:tcBorders>
            <w:noWrap/>
            <w:vAlign w:val="bottom"/>
            <w:hideMark/>
          </w:tcPr>
          <w:p w14:paraId="7175978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33</w:t>
            </w:r>
          </w:p>
        </w:tc>
        <w:tc>
          <w:tcPr>
            <w:tcW w:w="1219" w:type="dxa"/>
            <w:tcBorders>
              <w:top w:val="nil"/>
              <w:left w:val="nil"/>
              <w:bottom w:val="nil"/>
              <w:right w:val="nil"/>
            </w:tcBorders>
            <w:noWrap/>
            <w:vAlign w:val="bottom"/>
            <w:hideMark/>
          </w:tcPr>
          <w:p w14:paraId="4742329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w:t>
            </w:r>
          </w:p>
        </w:tc>
        <w:tc>
          <w:tcPr>
            <w:tcW w:w="1531" w:type="dxa"/>
            <w:tcBorders>
              <w:top w:val="nil"/>
              <w:left w:val="nil"/>
              <w:bottom w:val="nil"/>
              <w:right w:val="nil"/>
            </w:tcBorders>
            <w:noWrap/>
            <w:vAlign w:val="bottom"/>
            <w:hideMark/>
          </w:tcPr>
          <w:p w14:paraId="519C898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5912062A" w14:textId="77777777" w:rsidTr="00C851AE">
        <w:trPr>
          <w:trHeight w:val="320"/>
        </w:trPr>
        <w:tc>
          <w:tcPr>
            <w:tcW w:w="476" w:type="dxa"/>
            <w:tcBorders>
              <w:top w:val="nil"/>
              <w:left w:val="nil"/>
              <w:bottom w:val="nil"/>
              <w:right w:val="nil"/>
            </w:tcBorders>
            <w:noWrap/>
            <w:vAlign w:val="bottom"/>
            <w:hideMark/>
          </w:tcPr>
          <w:p w14:paraId="387184B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5FD4E66"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Emotion-focused coping</w:t>
            </w:r>
          </w:p>
        </w:tc>
        <w:tc>
          <w:tcPr>
            <w:tcW w:w="1174" w:type="dxa"/>
            <w:tcBorders>
              <w:top w:val="nil"/>
              <w:left w:val="nil"/>
              <w:bottom w:val="nil"/>
              <w:right w:val="nil"/>
            </w:tcBorders>
            <w:noWrap/>
            <w:vAlign w:val="bottom"/>
            <w:hideMark/>
          </w:tcPr>
          <w:p w14:paraId="11B58AC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20</w:t>
            </w:r>
          </w:p>
        </w:tc>
        <w:tc>
          <w:tcPr>
            <w:tcW w:w="1272" w:type="dxa"/>
            <w:tcBorders>
              <w:top w:val="nil"/>
              <w:left w:val="nil"/>
              <w:bottom w:val="nil"/>
              <w:right w:val="nil"/>
            </w:tcBorders>
            <w:noWrap/>
            <w:vAlign w:val="bottom"/>
            <w:hideMark/>
          </w:tcPr>
          <w:p w14:paraId="7C9ABC1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44</w:t>
            </w:r>
          </w:p>
        </w:tc>
        <w:tc>
          <w:tcPr>
            <w:tcW w:w="1320" w:type="dxa"/>
            <w:tcBorders>
              <w:top w:val="nil"/>
              <w:left w:val="nil"/>
              <w:bottom w:val="nil"/>
              <w:right w:val="nil"/>
            </w:tcBorders>
            <w:noWrap/>
            <w:vAlign w:val="bottom"/>
            <w:hideMark/>
          </w:tcPr>
          <w:p w14:paraId="572F254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27</w:t>
            </w:r>
          </w:p>
        </w:tc>
        <w:tc>
          <w:tcPr>
            <w:tcW w:w="1219" w:type="dxa"/>
            <w:tcBorders>
              <w:top w:val="nil"/>
              <w:left w:val="nil"/>
              <w:bottom w:val="nil"/>
              <w:right w:val="nil"/>
            </w:tcBorders>
            <w:noWrap/>
            <w:vAlign w:val="bottom"/>
            <w:hideMark/>
          </w:tcPr>
          <w:p w14:paraId="46B6347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w:t>
            </w:r>
          </w:p>
        </w:tc>
        <w:tc>
          <w:tcPr>
            <w:tcW w:w="1531" w:type="dxa"/>
            <w:tcBorders>
              <w:top w:val="nil"/>
              <w:left w:val="nil"/>
              <w:bottom w:val="nil"/>
              <w:right w:val="nil"/>
            </w:tcBorders>
            <w:noWrap/>
            <w:vAlign w:val="bottom"/>
            <w:hideMark/>
          </w:tcPr>
          <w:p w14:paraId="570795F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43E5FB02" w14:textId="77777777" w:rsidTr="00C851AE">
        <w:trPr>
          <w:trHeight w:val="320"/>
        </w:trPr>
        <w:tc>
          <w:tcPr>
            <w:tcW w:w="476" w:type="dxa"/>
            <w:tcBorders>
              <w:top w:val="nil"/>
              <w:left w:val="nil"/>
              <w:bottom w:val="nil"/>
              <w:right w:val="nil"/>
            </w:tcBorders>
            <w:noWrap/>
            <w:vAlign w:val="bottom"/>
            <w:hideMark/>
          </w:tcPr>
          <w:p w14:paraId="238371B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04AF62DD"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Problem-focused coping</w:t>
            </w:r>
          </w:p>
        </w:tc>
        <w:tc>
          <w:tcPr>
            <w:tcW w:w="1174" w:type="dxa"/>
            <w:tcBorders>
              <w:top w:val="nil"/>
              <w:left w:val="nil"/>
              <w:bottom w:val="nil"/>
              <w:right w:val="nil"/>
            </w:tcBorders>
            <w:noWrap/>
            <w:vAlign w:val="bottom"/>
            <w:hideMark/>
          </w:tcPr>
          <w:p w14:paraId="57706DC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18</w:t>
            </w:r>
          </w:p>
        </w:tc>
        <w:tc>
          <w:tcPr>
            <w:tcW w:w="1272" w:type="dxa"/>
            <w:tcBorders>
              <w:top w:val="nil"/>
              <w:left w:val="nil"/>
              <w:bottom w:val="nil"/>
              <w:right w:val="nil"/>
            </w:tcBorders>
            <w:noWrap/>
            <w:vAlign w:val="bottom"/>
            <w:hideMark/>
          </w:tcPr>
          <w:p w14:paraId="0F30860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40</w:t>
            </w:r>
          </w:p>
        </w:tc>
        <w:tc>
          <w:tcPr>
            <w:tcW w:w="1320" w:type="dxa"/>
            <w:tcBorders>
              <w:top w:val="nil"/>
              <w:left w:val="nil"/>
              <w:bottom w:val="nil"/>
              <w:right w:val="nil"/>
            </w:tcBorders>
            <w:noWrap/>
            <w:vAlign w:val="bottom"/>
            <w:hideMark/>
          </w:tcPr>
          <w:p w14:paraId="53924B0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30</w:t>
            </w:r>
          </w:p>
        </w:tc>
        <w:tc>
          <w:tcPr>
            <w:tcW w:w="1219" w:type="dxa"/>
            <w:tcBorders>
              <w:top w:val="nil"/>
              <w:left w:val="nil"/>
              <w:bottom w:val="nil"/>
              <w:right w:val="nil"/>
            </w:tcBorders>
            <w:noWrap/>
            <w:vAlign w:val="bottom"/>
            <w:hideMark/>
          </w:tcPr>
          <w:p w14:paraId="2E5523E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7</w:t>
            </w:r>
          </w:p>
        </w:tc>
        <w:tc>
          <w:tcPr>
            <w:tcW w:w="1531" w:type="dxa"/>
            <w:tcBorders>
              <w:top w:val="nil"/>
              <w:left w:val="nil"/>
              <w:bottom w:val="nil"/>
              <w:right w:val="nil"/>
            </w:tcBorders>
            <w:noWrap/>
            <w:vAlign w:val="bottom"/>
            <w:hideMark/>
          </w:tcPr>
          <w:p w14:paraId="134E74D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6385021C" w14:textId="77777777" w:rsidTr="00C851AE">
        <w:trPr>
          <w:trHeight w:val="320"/>
        </w:trPr>
        <w:tc>
          <w:tcPr>
            <w:tcW w:w="476" w:type="dxa"/>
            <w:tcBorders>
              <w:top w:val="nil"/>
              <w:left w:val="nil"/>
              <w:bottom w:val="nil"/>
              <w:right w:val="nil"/>
            </w:tcBorders>
            <w:noWrap/>
            <w:vAlign w:val="bottom"/>
            <w:hideMark/>
          </w:tcPr>
          <w:p w14:paraId="68DB427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3E916E53"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Achievement</w:t>
            </w:r>
          </w:p>
        </w:tc>
        <w:tc>
          <w:tcPr>
            <w:tcW w:w="1174" w:type="dxa"/>
            <w:tcBorders>
              <w:top w:val="nil"/>
              <w:left w:val="nil"/>
              <w:bottom w:val="nil"/>
              <w:right w:val="nil"/>
            </w:tcBorders>
            <w:noWrap/>
            <w:vAlign w:val="bottom"/>
            <w:hideMark/>
          </w:tcPr>
          <w:p w14:paraId="6C424E9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20</w:t>
            </w:r>
          </w:p>
        </w:tc>
        <w:tc>
          <w:tcPr>
            <w:tcW w:w="1272" w:type="dxa"/>
            <w:tcBorders>
              <w:top w:val="nil"/>
              <w:left w:val="nil"/>
              <w:bottom w:val="nil"/>
              <w:right w:val="nil"/>
            </w:tcBorders>
            <w:noWrap/>
            <w:vAlign w:val="bottom"/>
            <w:hideMark/>
          </w:tcPr>
          <w:p w14:paraId="46CE4BB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57</w:t>
            </w:r>
          </w:p>
        </w:tc>
        <w:tc>
          <w:tcPr>
            <w:tcW w:w="1320" w:type="dxa"/>
            <w:tcBorders>
              <w:top w:val="nil"/>
              <w:left w:val="nil"/>
              <w:bottom w:val="nil"/>
              <w:right w:val="nil"/>
            </w:tcBorders>
            <w:noWrap/>
            <w:vAlign w:val="bottom"/>
            <w:hideMark/>
          </w:tcPr>
          <w:p w14:paraId="733BFA0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14</w:t>
            </w:r>
          </w:p>
        </w:tc>
        <w:tc>
          <w:tcPr>
            <w:tcW w:w="1219" w:type="dxa"/>
            <w:tcBorders>
              <w:top w:val="nil"/>
              <w:left w:val="nil"/>
              <w:bottom w:val="nil"/>
              <w:right w:val="nil"/>
            </w:tcBorders>
            <w:noWrap/>
            <w:vAlign w:val="bottom"/>
            <w:hideMark/>
          </w:tcPr>
          <w:p w14:paraId="5EF4E2F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c>
          <w:tcPr>
            <w:tcW w:w="1531" w:type="dxa"/>
            <w:tcBorders>
              <w:top w:val="nil"/>
              <w:left w:val="nil"/>
              <w:bottom w:val="nil"/>
              <w:right w:val="nil"/>
            </w:tcBorders>
            <w:noWrap/>
            <w:vAlign w:val="bottom"/>
            <w:hideMark/>
          </w:tcPr>
          <w:p w14:paraId="73B435E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r>
      <w:tr w:rsidR="000A40F4" w:rsidRPr="004469B4" w14:paraId="715B83F5" w14:textId="77777777" w:rsidTr="00C851AE">
        <w:trPr>
          <w:trHeight w:val="320"/>
        </w:trPr>
        <w:tc>
          <w:tcPr>
            <w:tcW w:w="476" w:type="dxa"/>
            <w:tcBorders>
              <w:top w:val="nil"/>
              <w:left w:val="nil"/>
              <w:bottom w:val="nil"/>
              <w:right w:val="nil"/>
            </w:tcBorders>
            <w:noWrap/>
            <w:vAlign w:val="bottom"/>
            <w:hideMark/>
          </w:tcPr>
          <w:p w14:paraId="00AEDDB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4F7B89E5"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Accepting of others</w:t>
            </w:r>
          </w:p>
        </w:tc>
        <w:tc>
          <w:tcPr>
            <w:tcW w:w="1174" w:type="dxa"/>
            <w:tcBorders>
              <w:top w:val="nil"/>
              <w:left w:val="nil"/>
              <w:bottom w:val="nil"/>
              <w:right w:val="nil"/>
            </w:tcBorders>
            <w:noWrap/>
            <w:vAlign w:val="bottom"/>
            <w:hideMark/>
          </w:tcPr>
          <w:p w14:paraId="5165F1A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26</w:t>
            </w:r>
          </w:p>
        </w:tc>
        <w:tc>
          <w:tcPr>
            <w:tcW w:w="1272" w:type="dxa"/>
            <w:tcBorders>
              <w:top w:val="nil"/>
              <w:left w:val="nil"/>
              <w:bottom w:val="nil"/>
              <w:right w:val="nil"/>
            </w:tcBorders>
            <w:noWrap/>
            <w:vAlign w:val="bottom"/>
            <w:hideMark/>
          </w:tcPr>
          <w:p w14:paraId="4EF57D3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37</w:t>
            </w:r>
          </w:p>
        </w:tc>
        <w:tc>
          <w:tcPr>
            <w:tcW w:w="1320" w:type="dxa"/>
            <w:tcBorders>
              <w:top w:val="nil"/>
              <w:left w:val="nil"/>
              <w:bottom w:val="nil"/>
              <w:right w:val="nil"/>
            </w:tcBorders>
            <w:noWrap/>
            <w:vAlign w:val="bottom"/>
            <w:hideMark/>
          </w:tcPr>
          <w:p w14:paraId="3AD0D0F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27</w:t>
            </w:r>
          </w:p>
        </w:tc>
        <w:tc>
          <w:tcPr>
            <w:tcW w:w="1219" w:type="dxa"/>
            <w:tcBorders>
              <w:top w:val="nil"/>
              <w:left w:val="nil"/>
              <w:bottom w:val="nil"/>
              <w:right w:val="nil"/>
            </w:tcBorders>
            <w:noWrap/>
            <w:vAlign w:val="bottom"/>
            <w:hideMark/>
          </w:tcPr>
          <w:p w14:paraId="77ED597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w:t>
            </w:r>
          </w:p>
        </w:tc>
        <w:tc>
          <w:tcPr>
            <w:tcW w:w="1531" w:type="dxa"/>
            <w:tcBorders>
              <w:top w:val="nil"/>
              <w:left w:val="nil"/>
              <w:bottom w:val="nil"/>
              <w:right w:val="nil"/>
            </w:tcBorders>
            <w:noWrap/>
            <w:vAlign w:val="bottom"/>
            <w:hideMark/>
          </w:tcPr>
          <w:p w14:paraId="678EEE5E"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r>
      <w:tr w:rsidR="000A40F4" w:rsidRPr="004469B4" w14:paraId="75D8F020" w14:textId="77777777" w:rsidTr="00C851AE">
        <w:trPr>
          <w:trHeight w:val="320"/>
        </w:trPr>
        <w:tc>
          <w:tcPr>
            <w:tcW w:w="476" w:type="dxa"/>
            <w:tcBorders>
              <w:top w:val="nil"/>
              <w:left w:val="nil"/>
              <w:bottom w:val="nil"/>
              <w:right w:val="nil"/>
            </w:tcBorders>
            <w:noWrap/>
            <w:vAlign w:val="bottom"/>
            <w:hideMark/>
          </w:tcPr>
          <w:p w14:paraId="5EE238D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27ABDDEF"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Novelty</w:t>
            </w:r>
          </w:p>
        </w:tc>
        <w:tc>
          <w:tcPr>
            <w:tcW w:w="1174" w:type="dxa"/>
            <w:tcBorders>
              <w:top w:val="nil"/>
              <w:left w:val="nil"/>
              <w:bottom w:val="nil"/>
              <w:right w:val="nil"/>
            </w:tcBorders>
            <w:noWrap/>
            <w:vAlign w:val="bottom"/>
            <w:hideMark/>
          </w:tcPr>
          <w:p w14:paraId="076DF26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5</w:t>
            </w:r>
          </w:p>
        </w:tc>
        <w:tc>
          <w:tcPr>
            <w:tcW w:w="1272" w:type="dxa"/>
            <w:tcBorders>
              <w:top w:val="nil"/>
              <w:left w:val="nil"/>
              <w:bottom w:val="nil"/>
              <w:right w:val="nil"/>
            </w:tcBorders>
            <w:noWrap/>
            <w:vAlign w:val="bottom"/>
            <w:hideMark/>
          </w:tcPr>
          <w:p w14:paraId="1FF8B4A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22</w:t>
            </w:r>
          </w:p>
        </w:tc>
        <w:tc>
          <w:tcPr>
            <w:tcW w:w="1320" w:type="dxa"/>
            <w:tcBorders>
              <w:top w:val="nil"/>
              <w:left w:val="nil"/>
              <w:bottom w:val="nil"/>
              <w:right w:val="nil"/>
            </w:tcBorders>
            <w:noWrap/>
            <w:vAlign w:val="bottom"/>
            <w:hideMark/>
          </w:tcPr>
          <w:p w14:paraId="2336573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49</w:t>
            </w:r>
          </w:p>
        </w:tc>
        <w:tc>
          <w:tcPr>
            <w:tcW w:w="1219" w:type="dxa"/>
            <w:tcBorders>
              <w:top w:val="nil"/>
              <w:left w:val="nil"/>
              <w:bottom w:val="nil"/>
              <w:right w:val="nil"/>
            </w:tcBorders>
            <w:noWrap/>
            <w:vAlign w:val="bottom"/>
            <w:hideMark/>
          </w:tcPr>
          <w:p w14:paraId="76BC7A7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19</w:t>
            </w:r>
          </w:p>
        </w:tc>
        <w:tc>
          <w:tcPr>
            <w:tcW w:w="1531" w:type="dxa"/>
            <w:tcBorders>
              <w:top w:val="nil"/>
              <w:left w:val="nil"/>
              <w:bottom w:val="nil"/>
              <w:right w:val="nil"/>
            </w:tcBorders>
            <w:noWrap/>
            <w:vAlign w:val="bottom"/>
            <w:hideMark/>
          </w:tcPr>
          <w:p w14:paraId="37B3553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7886B01F" w14:textId="77777777" w:rsidTr="00C851AE">
        <w:trPr>
          <w:trHeight w:val="320"/>
        </w:trPr>
        <w:tc>
          <w:tcPr>
            <w:tcW w:w="476" w:type="dxa"/>
            <w:tcBorders>
              <w:top w:val="nil"/>
              <w:left w:val="nil"/>
              <w:bottom w:val="nil"/>
              <w:right w:val="nil"/>
            </w:tcBorders>
            <w:noWrap/>
            <w:vAlign w:val="bottom"/>
            <w:hideMark/>
          </w:tcPr>
          <w:p w14:paraId="1E80F0F7"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53A8F897"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Sense of safety</w:t>
            </w:r>
          </w:p>
        </w:tc>
        <w:tc>
          <w:tcPr>
            <w:tcW w:w="1174" w:type="dxa"/>
            <w:tcBorders>
              <w:top w:val="nil"/>
              <w:left w:val="nil"/>
              <w:bottom w:val="nil"/>
              <w:right w:val="nil"/>
            </w:tcBorders>
            <w:noWrap/>
            <w:vAlign w:val="bottom"/>
            <w:hideMark/>
          </w:tcPr>
          <w:p w14:paraId="14558FE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26</w:t>
            </w:r>
          </w:p>
        </w:tc>
        <w:tc>
          <w:tcPr>
            <w:tcW w:w="1272" w:type="dxa"/>
            <w:tcBorders>
              <w:top w:val="nil"/>
              <w:left w:val="nil"/>
              <w:bottom w:val="nil"/>
              <w:right w:val="nil"/>
            </w:tcBorders>
            <w:noWrap/>
            <w:vAlign w:val="bottom"/>
            <w:hideMark/>
          </w:tcPr>
          <w:p w14:paraId="317F2D1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320" w:type="dxa"/>
            <w:tcBorders>
              <w:top w:val="nil"/>
              <w:left w:val="nil"/>
              <w:bottom w:val="nil"/>
              <w:right w:val="nil"/>
            </w:tcBorders>
            <w:noWrap/>
            <w:vAlign w:val="bottom"/>
            <w:hideMark/>
          </w:tcPr>
          <w:p w14:paraId="76F2D6A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23</w:t>
            </w:r>
          </w:p>
        </w:tc>
        <w:tc>
          <w:tcPr>
            <w:tcW w:w="1219" w:type="dxa"/>
            <w:tcBorders>
              <w:top w:val="nil"/>
              <w:left w:val="nil"/>
              <w:bottom w:val="nil"/>
              <w:right w:val="nil"/>
            </w:tcBorders>
            <w:noWrap/>
            <w:vAlign w:val="bottom"/>
            <w:hideMark/>
          </w:tcPr>
          <w:p w14:paraId="5D22919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c>
          <w:tcPr>
            <w:tcW w:w="1531" w:type="dxa"/>
            <w:tcBorders>
              <w:top w:val="nil"/>
              <w:left w:val="nil"/>
              <w:bottom w:val="nil"/>
              <w:right w:val="nil"/>
            </w:tcBorders>
            <w:noWrap/>
            <w:vAlign w:val="bottom"/>
            <w:hideMark/>
          </w:tcPr>
          <w:p w14:paraId="12378F7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64FB70E9" w14:textId="77777777" w:rsidTr="00C851AE">
        <w:trPr>
          <w:trHeight w:val="320"/>
        </w:trPr>
        <w:tc>
          <w:tcPr>
            <w:tcW w:w="476" w:type="dxa"/>
            <w:tcBorders>
              <w:top w:val="nil"/>
              <w:left w:val="nil"/>
              <w:bottom w:val="nil"/>
              <w:right w:val="nil"/>
            </w:tcBorders>
            <w:noWrap/>
            <w:vAlign w:val="bottom"/>
            <w:hideMark/>
          </w:tcPr>
          <w:p w14:paraId="621F9FC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72427621"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Social contribution</w:t>
            </w:r>
          </w:p>
        </w:tc>
        <w:tc>
          <w:tcPr>
            <w:tcW w:w="1174" w:type="dxa"/>
            <w:tcBorders>
              <w:top w:val="nil"/>
              <w:left w:val="nil"/>
              <w:bottom w:val="nil"/>
              <w:right w:val="nil"/>
            </w:tcBorders>
            <w:noWrap/>
            <w:vAlign w:val="bottom"/>
            <w:hideMark/>
          </w:tcPr>
          <w:p w14:paraId="7ABAB716"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21</w:t>
            </w:r>
          </w:p>
        </w:tc>
        <w:tc>
          <w:tcPr>
            <w:tcW w:w="1272" w:type="dxa"/>
            <w:tcBorders>
              <w:top w:val="nil"/>
              <w:left w:val="nil"/>
              <w:bottom w:val="nil"/>
              <w:right w:val="nil"/>
            </w:tcBorders>
            <w:noWrap/>
            <w:vAlign w:val="bottom"/>
            <w:hideMark/>
          </w:tcPr>
          <w:p w14:paraId="680EC4C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46</w:t>
            </w:r>
          </w:p>
        </w:tc>
        <w:tc>
          <w:tcPr>
            <w:tcW w:w="1320" w:type="dxa"/>
            <w:tcBorders>
              <w:top w:val="nil"/>
              <w:left w:val="nil"/>
              <w:bottom w:val="nil"/>
              <w:right w:val="nil"/>
            </w:tcBorders>
            <w:noWrap/>
            <w:vAlign w:val="bottom"/>
            <w:hideMark/>
          </w:tcPr>
          <w:p w14:paraId="19A09F0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25</w:t>
            </w:r>
          </w:p>
        </w:tc>
        <w:tc>
          <w:tcPr>
            <w:tcW w:w="1219" w:type="dxa"/>
            <w:tcBorders>
              <w:top w:val="nil"/>
              <w:left w:val="nil"/>
              <w:bottom w:val="nil"/>
              <w:right w:val="nil"/>
            </w:tcBorders>
            <w:noWrap/>
            <w:vAlign w:val="bottom"/>
            <w:hideMark/>
          </w:tcPr>
          <w:p w14:paraId="4202808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c>
          <w:tcPr>
            <w:tcW w:w="1531" w:type="dxa"/>
            <w:tcBorders>
              <w:top w:val="nil"/>
              <w:left w:val="nil"/>
              <w:bottom w:val="nil"/>
              <w:right w:val="nil"/>
            </w:tcBorders>
            <w:noWrap/>
            <w:vAlign w:val="bottom"/>
            <w:hideMark/>
          </w:tcPr>
          <w:p w14:paraId="750892F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442ABA68" w14:textId="77777777" w:rsidTr="00C851AE">
        <w:trPr>
          <w:trHeight w:val="320"/>
        </w:trPr>
        <w:tc>
          <w:tcPr>
            <w:tcW w:w="476" w:type="dxa"/>
            <w:tcBorders>
              <w:top w:val="nil"/>
              <w:left w:val="nil"/>
              <w:bottom w:val="nil"/>
              <w:right w:val="nil"/>
            </w:tcBorders>
            <w:noWrap/>
            <w:vAlign w:val="bottom"/>
            <w:hideMark/>
          </w:tcPr>
          <w:p w14:paraId="1D2790A9"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bottom w:val="nil"/>
              <w:right w:val="nil"/>
            </w:tcBorders>
            <w:noWrap/>
            <w:vAlign w:val="bottom"/>
            <w:hideMark/>
          </w:tcPr>
          <w:p w14:paraId="11E55A18"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Positive views of others and society</w:t>
            </w:r>
          </w:p>
        </w:tc>
        <w:tc>
          <w:tcPr>
            <w:tcW w:w="1174" w:type="dxa"/>
            <w:tcBorders>
              <w:top w:val="nil"/>
              <w:left w:val="nil"/>
              <w:bottom w:val="nil"/>
              <w:right w:val="nil"/>
            </w:tcBorders>
            <w:noWrap/>
            <w:vAlign w:val="bottom"/>
            <w:hideMark/>
          </w:tcPr>
          <w:p w14:paraId="26BE1520"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10</w:t>
            </w:r>
          </w:p>
        </w:tc>
        <w:tc>
          <w:tcPr>
            <w:tcW w:w="1272" w:type="dxa"/>
            <w:tcBorders>
              <w:top w:val="nil"/>
              <w:left w:val="nil"/>
              <w:bottom w:val="nil"/>
              <w:right w:val="nil"/>
            </w:tcBorders>
            <w:noWrap/>
            <w:vAlign w:val="bottom"/>
            <w:hideMark/>
          </w:tcPr>
          <w:p w14:paraId="653D2E4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34</w:t>
            </w:r>
          </w:p>
        </w:tc>
        <w:tc>
          <w:tcPr>
            <w:tcW w:w="1320" w:type="dxa"/>
            <w:tcBorders>
              <w:top w:val="nil"/>
              <w:left w:val="nil"/>
              <w:bottom w:val="nil"/>
              <w:right w:val="nil"/>
            </w:tcBorders>
            <w:noWrap/>
            <w:vAlign w:val="bottom"/>
            <w:hideMark/>
          </w:tcPr>
          <w:p w14:paraId="77249EAC"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44</w:t>
            </w:r>
          </w:p>
        </w:tc>
        <w:tc>
          <w:tcPr>
            <w:tcW w:w="1219" w:type="dxa"/>
            <w:tcBorders>
              <w:top w:val="nil"/>
              <w:left w:val="nil"/>
              <w:bottom w:val="nil"/>
              <w:right w:val="nil"/>
            </w:tcBorders>
            <w:noWrap/>
            <w:vAlign w:val="bottom"/>
            <w:hideMark/>
          </w:tcPr>
          <w:p w14:paraId="52E8209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6</w:t>
            </w:r>
          </w:p>
        </w:tc>
        <w:tc>
          <w:tcPr>
            <w:tcW w:w="1531" w:type="dxa"/>
            <w:tcBorders>
              <w:top w:val="nil"/>
              <w:left w:val="nil"/>
              <w:bottom w:val="nil"/>
              <w:right w:val="nil"/>
            </w:tcBorders>
            <w:noWrap/>
            <w:vAlign w:val="bottom"/>
            <w:hideMark/>
          </w:tcPr>
          <w:p w14:paraId="2E386295"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w:t>
            </w:r>
          </w:p>
        </w:tc>
      </w:tr>
      <w:tr w:rsidR="000A40F4" w:rsidRPr="004469B4" w14:paraId="2DB97C3D" w14:textId="77777777" w:rsidTr="00C851AE">
        <w:trPr>
          <w:trHeight w:val="320"/>
        </w:trPr>
        <w:tc>
          <w:tcPr>
            <w:tcW w:w="476" w:type="dxa"/>
            <w:tcBorders>
              <w:top w:val="nil"/>
              <w:left w:val="nil"/>
              <w:right w:val="nil"/>
            </w:tcBorders>
            <w:noWrap/>
            <w:vAlign w:val="bottom"/>
            <w:hideMark/>
          </w:tcPr>
          <w:p w14:paraId="363DFE2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right w:val="nil"/>
            </w:tcBorders>
            <w:noWrap/>
            <w:vAlign w:val="bottom"/>
            <w:hideMark/>
          </w:tcPr>
          <w:p w14:paraId="034CC863"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Belonging</w:t>
            </w:r>
          </w:p>
        </w:tc>
        <w:tc>
          <w:tcPr>
            <w:tcW w:w="1174" w:type="dxa"/>
            <w:tcBorders>
              <w:top w:val="nil"/>
              <w:left w:val="nil"/>
              <w:right w:val="nil"/>
            </w:tcBorders>
            <w:noWrap/>
            <w:vAlign w:val="bottom"/>
            <w:hideMark/>
          </w:tcPr>
          <w:p w14:paraId="33B02EB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42</w:t>
            </w:r>
          </w:p>
        </w:tc>
        <w:tc>
          <w:tcPr>
            <w:tcW w:w="1272" w:type="dxa"/>
            <w:tcBorders>
              <w:top w:val="nil"/>
              <w:left w:val="nil"/>
              <w:right w:val="nil"/>
            </w:tcBorders>
            <w:noWrap/>
            <w:vAlign w:val="bottom"/>
            <w:hideMark/>
          </w:tcPr>
          <w:p w14:paraId="08FE126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41</w:t>
            </w:r>
          </w:p>
        </w:tc>
        <w:tc>
          <w:tcPr>
            <w:tcW w:w="1320" w:type="dxa"/>
            <w:tcBorders>
              <w:top w:val="nil"/>
              <w:left w:val="nil"/>
              <w:right w:val="nil"/>
            </w:tcBorders>
            <w:noWrap/>
            <w:vAlign w:val="bottom"/>
            <w:hideMark/>
          </w:tcPr>
          <w:p w14:paraId="1613FE8A"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12</w:t>
            </w:r>
          </w:p>
        </w:tc>
        <w:tc>
          <w:tcPr>
            <w:tcW w:w="1219" w:type="dxa"/>
            <w:tcBorders>
              <w:top w:val="nil"/>
              <w:left w:val="nil"/>
              <w:right w:val="nil"/>
            </w:tcBorders>
            <w:noWrap/>
            <w:vAlign w:val="bottom"/>
            <w:hideMark/>
          </w:tcPr>
          <w:p w14:paraId="1818ABCF"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0</w:t>
            </w:r>
          </w:p>
        </w:tc>
        <w:tc>
          <w:tcPr>
            <w:tcW w:w="1531" w:type="dxa"/>
            <w:tcBorders>
              <w:top w:val="nil"/>
              <w:left w:val="nil"/>
              <w:right w:val="nil"/>
            </w:tcBorders>
            <w:noWrap/>
            <w:vAlign w:val="bottom"/>
            <w:hideMark/>
          </w:tcPr>
          <w:p w14:paraId="0583D61B"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r w:rsidR="000A40F4" w:rsidRPr="004469B4" w14:paraId="41B4962A" w14:textId="77777777" w:rsidTr="00C851AE">
        <w:trPr>
          <w:trHeight w:val="320"/>
        </w:trPr>
        <w:tc>
          <w:tcPr>
            <w:tcW w:w="476" w:type="dxa"/>
            <w:tcBorders>
              <w:top w:val="nil"/>
              <w:left w:val="nil"/>
              <w:right w:val="nil"/>
            </w:tcBorders>
            <w:noWrap/>
            <w:vAlign w:val="bottom"/>
            <w:hideMark/>
          </w:tcPr>
          <w:p w14:paraId="3FDFED01"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p>
        </w:tc>
        <w:tc>
          <w:tcPr>
            <w:tcW w:w="3351" w:type="dxa"/>
            <w:tcBorders>
              <w:top w:val="nil"/>
              <w:left w:val="nil"/>
              <w:right w:val="nil"/>
            </w:tcBorders>
            <w:noWrap/>
            <w:vAlign w:val="bottom"/>
            <w:hideMark/>
          </w:tcPr>
          <w:p w14:paraId="0C9405B9"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174" w:type="dxa"/>
            <w:tcBorders>
              <w:top w:val="nil"/>
              <w:left w:val="nil"/>
              <w:bottom w:val="nil"/>
              <w:right w:val="nil"/>
            </w:tcBorders>
            <w:noWrap/>
            <w:vAlign w:val="bottom"/>
            <w:hideMark/>
          </w:tcPr>
          <w:p w14:paraId="25AC5330"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72" w:type="dxa"/>
            <w:tcBorders>
              <w:top w:val="nil"/>
              <w:left w:val="nil"/>
              <w:bottom w:val="nil"/>
              <w:right w:val="nil"/>
            </w:tcBorders>
            <w:noWrap/>
            <w:vAlign w:val="bottom"/>
            <w:hideMark/>
          </w:tcPr>
          <w:p w14:paraId="5F002F21"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320" w:type="dxa"/>
            <w:tcBorders>
              <w:top w:val="nil"/>
              <w:left w:val="nil"/>
              <w:bottom w:val="nil"/>
              <w:right w:val="nil"/>
            </w:tcBorders>
            <w:noWrap/>
            <w:vAlign w:val="bottom"/>
            <w:hideMark/>
          </w:tcPr>
          <w:p w14:paraId="251CE4E6"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19" w:type="dxa"/>
            <w:tcBorders>
              <w:top w:val="nil"/>
              <w:left w:val="nil"/>
              <w:bottom w:val="nil"/>
              <w:right w:val="nil"/>
            </w:tcBorders>
            <w:noWrap/>
            <w:vAlign w:val="bottom"/>
            <w:hideMark/>
          </w:tcPr>
          <w:p w14:paraId="60861236"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531" w:type="dxa"/>
            <w:tcBorders>
              <w:top w:val="nil"/>
              <w:left w:val="nil"/>
              <w:bottom w:val="nil"/>
              <w:right w:val="nil"/>
            </w:tcBorders>
            <w:noWrap/>
            <w:vAlign w:val="bottom"/>
            <w:hideMark/>
          </w:tcPr>
          <w:p w14:paraId="12758679"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r>
      <w:tr w:rsidR="000A40F4" w:rsidRPr="004469B4" w14:paraId="3E1D155D" w14:textId="77777777" w:rsidTr="00C851AE">
        <w:trPr>
          <w:trHeight w:val="320"/>
        </w:trPr>
        <w:tc>
          <w:tcPr>
            <w:tcW w:w="3827" w:type="dxa"/>
            <w:gridSpan w:val="2"/>
            <w:tcBorders>
              <w:top w:val="nil"/>
              <w:left w:val="nil"/>
              <w:right w:val="nil"/>
            </w:tcBorders>
            <w:noWrap/>
            <w:vAlign w:val="bottom"/>
            <w:hideMark/>
          </w:tcPr>
          <w:p w14:paraId="47F1AAAA"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Round 3</w:t>
            </w:r>
          </w:p>
        </w:tc>
        <w:tc>
          <w:tcPr>
            <w:tcW w:w="1174" w:type="dxa"/>
            <w:tcBorders>
              <w:top w:val="nil"/>
              <w:left w:val="nil"/>
              <w:bottom w:val="nil"/>
              <w:right w:val="nil"/>
            </w:tcBorders>
            <w:noWrap/>
            <w:vAlign w:val="bottom"/>
            <w:hideMark/>
          </w:tcPr>
          <w:p w14:paraId="1D2D1AB2"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p>
        </w:tc>
        <w:tc>
          <w:tcPr>
            <w:tcW w:w="1272" w:type="dxa"/>
            <w:tcBorders>
              <w:top w:val="nil"/>
              <w:left w:val="nil"/>
              <w:bottom w:val="nil"/>
              <w:right w:val="nil"/>
            </w:tcBorders>
            <w:noWrap/>
            <w:vAlign w:val="bottom"/>
            <w:hideMark/>
          </w:tcPr>
          <w:p w14:paraId="6665D775"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320" w:type="dxa"/>
            <w:tcBorders>
              <w:top w:val="nil"/>
              <w:left w:val="nil"/>
              <w:bottom w:val="nil"/>
              <w:right w:val="nil"/>
            </w:tcBorders>
            <w:noWrap/>
            <w:vAlign w:val="bottom"/>
            <w:hideMark/>
          </w:tcPr>
          <w:p w14:paraId="6C079791"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219" w:type="dxa"/>
            <w:tcBorders>
              <w:top w:val="nil"/>
              <w:left w:val="nil"/>
              <w:bottom w:val="nil"/>
              <w:right w:val="nil"/>
            </w:tcBorders>
            <w:noWrap/>
            <w:vAlign w:val="bottom"/>
            <w:hideMark/>
          </w:tcPr>
          <w:p w14:paraId="7A4E7D60"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1531" w:type="dxa"/>
            <w:tcBorders>
              <w:top w:val="nil"/>
              <w:left w:val="nil"/>
              <w:bottom w:val="nil"/>
              <w:right w:val="nil"/>
            </w:tcBorders>
            <w:noWrap/>
            <w:vAlign w:val="bottom"/>
            <w:hideMark/>
          </w:tcPr>
          <w:p w14:paraId="302CB4B3"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r>
      <w:tr w:rsidR="000A40F4" w:rsidRPr="004469B4" w14:paraId="30311895" w14:textId="77777777" w:rsidTr="00C851AE">
        <w:trPr>
          <w:trHeight w:val="320"/>
        </w:trPr>
        <w:tc>
          <w:tcPr>
            <w:tcW w:w="476" w:type="dxa"/>
            <w:tcBorders>
              <w:left w:val="nil"/>
              <w:bottom w:val="single" w:sz="4" w:space="0" w:color="auto"/>
              <w:right w:val="nil"/>
            </w:tcBorders>
            <w:noWrap/>
            <w:vAlign w:val="bottom"/>
            <w:hideMark/>
          </w:tcPr>
          <w:p w14:paraId="7CC95E8F" w14:textId="77777777" w:rsidR="000A40F4" w:rsidRPr="004469B4" w:rsidRDefault="000A40F4" w:rsidP="00C851AE">
            <w:pPr>
              <w:spacing w:after="0" w:line="240" w:lineRule="auto"/>
              <w:rPr>
                <w:rFonts w:ascii="Times New Roman" w:eastAsia="Times New Roman" w:hAnsi="Times New Roman" w:cs="Times New Roman"/>
                <w:kern w:val="0"/>
                <w:lang w:eastAsia="en-GB"/>
                <w14:ligatures w14:val="none"/>
              </w:rPr>
            </w:pPr>
          </w:p>
        </w:tc>
        <w:tc>
          <w:tcPr>
            <w:tcW w:w="3351" w:type="dxa"/>
            <w:tcBorders>
              <w:left w:val="nil"/>
              <w:bottom w:val="single" w:sz="4" w:space="0" w:color="auto"/>
              <w:right w:val="nil"/>
            </w:tcBorders>
            <w:noWrap/>
            <w:vAlign w:val="bottom"/>
            <w:hideMark/>
          </w:tcPr>
          <w:p w14:paraId="543D829E" w14:textId="77777777" w:rsidR="000A40F4" w:rsidRPr="004469B4" w:rsidRDefault="000A40F4" w:rsidP="00C851AE">
            <w:pPr>
              <w:spacing w:after="0" w:line="240" w:lineRule="auto"/>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Social Contribution</w:t>
            </w:r>
          </w:p>
        </w:tc>
        <w:tc>
          <w:tcPr>
            <w:tcW w:w="1174" w:type="dxa"/>
            <w:tcBorders>
              <w:top w:val="nil"/>
              <w:left w:val="nil"/>
              <w:bottom w:val="single" w:sz="4" w:space="0" w:color="auto"/>
              <w:right w:val="nil"/>
            </w:tcBorders>
            <w:noWrap/>
            <w:hideMark/>
          </w:tcPr>
          <w:p w14:paraId="56C8CC2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17</w:t>
            </w:r>
          </w:p>
        </w:tc>
        <w:tc>
          <w:tcPr>
            <w:tcW w:w="1272" w:type="dxa"/>
            <w:tcBorders>
              <w:top w:val="nil"/>
              <w:left w:val="nil"/>
              <w:bottom w:val="single" w:sz="4" w:space="0" w:color="auto"/>
              <w:right w:val="nil"/>
            </w:tcBorders>
            <w:noWrap/>
            <w:hideMark/>
          </w:tcPr>
          <w:p w14:paraId="704DBFF3"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39</w:t>
            </w:r>
          </w:p>
        </w:tc>
        <w:tc>
          <w:tcPr>
            <w:tcW w:w="1320" w:type="dxa"/>
            <w:tcBorders>
              <w:top w:val="nil"/>
              <w:left w:val="nil"/>
              <w:bottom w:val="single" w:sz="4" w:space="0" w:color="auto"/>
              <w:right w:val="nil"/>
            </w:tcBorders>
            <w:noWrap/>
            <w:hideMark/>
          </w:tcPr>
          <w:p w14:paraId="71C9B2CD"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22</w:t>
            </w:r>
          </w:p>
        </w:tc>
        <w:tc>
          <w:tcPr>
            <w:tcW w:w="1219" w:type="dxa"/>
            <w:tcBorders>
              <w:top w:val="nil"/>
              <w:left w:val="nil"/>
              <w:bottom w:val="single" w:sz="4" w:space="0" w:color="auto"/>
              <w:right w:val="nil"/>
            </w:tcBorders>
            <w:noWrap/>
            <w:hideMark/>
          </w:tcPr>
          <w:p w14:paraId="61DD6778"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3</w:t>
            </w:r>
          </w:p>
        </w:tc>
        <w:tc>
          <w:tcPr>
            <w:tcW w:w="1531" w:type="dxa"/>
            <w:tcBorders>
              <w:top w:val="nil"/>
              <w:left w:val="nil"/>
              <w:bottom w:val="single" w:sz="4" w:space="0" w:color="auto"/>
              <w:right w:val="nil"/>
            </w:tcBorders>
            <w:noWrap/>
            <w:vAlign w:val="bottom"/>
            <w:hideMark/>
          </w:tcPr>
          <w:p w14:paraId="05D75052" w14:textId="77777777" w:rsidR="000A40F4" w:rsidRPr="004469B4" w:rsidRDefault="000A40F4" w:rsidP="00C851AE">
            <w:pPr>
              <w:spacing w:after="0" w:line="240" w:lineRule="auto"/>
              <w:jc w:val="right"/>
              <w:rPr>
                <w:rFonts w:ascii="Times New Roman" w:eastAsia="Times New Roman" w:hAnsi="Times New Roman" w:cs="Times New Roman"/>
                <w:color w:val="000000"/>
                <w:kern w:val="0"/>
                <w:lang w:eastAsia="en-GB"/>
                <w14:ligatures w14:val="none"/>
              </w:rPr>
            </w:pPr>
            <w:r w:rsidRPr="004469B4">
              <w:rPr>
                <w:rFonts w:ascii="Times New Roman" w:eastAsia="Times New Roman" w:hAnsi="Times New Roman" w:cs="Times New Roman"/>
                <w:color w:val="000000"/>
                <w:kern w:val="0"/>
                <w:lang w:eastAsia="en-GB"/>
                <w14:ligatures w14:val="none"/>
              </w:rPr>
              <w:t>1</w:t>
            </w:r>
          </w:p>
        </w:tc>
      </w:tr>
    </w:tbl>
    <w:p w14:paraId="6688C7D8" w14:textId="77777777" w:rsidR="000A40F4" w:rsidRPr="004469B4" w:rsidRDefault="000A40F4" w:rsidP="000A40F4">
      <w:pPr>
        <w:rPr>
          <w:rFonts w:ascii="Times New Roman" w:hAnsi="Times New Roman" w:cs="Times New Roman"/>
        </w:rPr>
      </w:pPr>
    </w:p>
    <w:p w14:paraId="2867A0C2"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br w:type="page"/>
      </w:r>
    </w:p>
    <w:p w14:paraId="2A8EEC8C"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lastRenderedPageBreak/>
        <w:t>Table A3: List of Expert-suggested Dimensions and Author’s rationale for inclusion/exclusion</w:t>
      </w:r>
    </w:p>
    <w:p w14:paraId="481587EE"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t>Comments on Missing Dimensions</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3489"/>
        <w:gridCol w:w="3489"/>
        <w:gridCol w:w="3490"/>
        <w:gridCol w:w="3490"/>
      </w:tblGrid>
      <w:tr w:rsidR="000A40F4" w:rsidRPr="004469B4" w14:paraId="2583CAAB" w14:textId="77777777" w:rsidTr="00C851AE">
        <w:tc>
          <w:tcPr>
            <w:tcW w:w="1250" w:type="pct"/>
          </w:tcPr>
          <w:p w14:paraId="7D0CA3D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Dimension name</w:t>
            </w:r>
          </w:p>
        </w:tc>
        <w:tc>
          <w:tcPr>
            <w:tcW w:w="1250" w:type="pct"/>
          </w:tcPr>
          <w:p w14:paraId="68F5EB3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Participant comment</w:t>
            </w:r>
          </w:p>
        </w:tc>
        <w:tc>
          <w:tcPr>
            <w:tcW w:w="1250" w:type="pct"/>
          </w:tcPr>
          <w:p w14:paraId="3D4D3F6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Team Comment</w:t>
            </w:r>
          </w:p>
        </w:tc>
        <w:tc>
          <w:tcPr>
            <w:tcW w:w="1250" w:type="pct"/>
          </w:tcPr>
          <w:p w14:paraId="578507A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Recommendation</w:t>
            </w:r>
          </w:p>
        </w:tc>
      </w:tr>
      <w:tr w:rsidR="000A40F4" w:rsidRPr="004469B4" w14:paraId="287D6C1A" w14:textId="77777777" w:rsidTr="00C851AE">
        <w:tc>
          <w:tcPr>
            <w:tcW w:w="1250" w:type="pct"/>
          </w:tcPr>
          <w:p w14:paraId="4C02C7A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Self-efficacy / Grit / Perseverance / Tenacity</w:t>
            </w:r>
          </w:p>
        </w:tc>
        <w:tc>
          <w:tcPr>
            <w:tcW w:w="1250" w:type="pct"/>
          </w:tcPr>
          <w:p w14:paraId="21B2411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Self-efficacy, as the belief in one’s capacity or competence to manage a stressor or challenge, is missing. This concept is crucial and distinct from mastery or achievement. Resilience was voted four times: (1) capacity to adapt and grow through adversity; (2) “I have the skills and resources to handle anything that comes my way.”</w:t>
            </w:r>
          </w:p>
        </w:tc>
        <w:tc>
          <w:tcPr>
            <w:tcW w:w="1250" w:type="pct"/>
          </w:tcPr>
          <w:p w14:paraId="4E77C6A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Self-efficacy is multidimensional and overlaps with several of our existing dimensions. Conceptually similar to competence. Note overlap with resilience, which is here construed as an umbrella construct. </w:t>
            </w:r>
          </w:p>
          <w:p w14:paraId="640CD07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Covered under Competence</w:t>
            </w:r>
          </w:p>
        </w:tc>
        <w:tc>
          <w:tcPr>
            <w:tcW w:w="1250" w:type="pct"/>
          </w:tcPr>
          <w:p w14:paraId="5AA5DF8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2E43FB21" w14:textId="77777777" w:rsidTr="00C851AE">
        <w:tc>
          <w:tcPr>
            <w:tcW w:w="1250" w:type="pct"/>
          </w:tcPr>
          <w:p w14:paraId="6EA8F96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Social contribution</w:t>
            </w:r>
          </w:p>
        </w:tc>
        <w:tc>
          <w:tcPr>
            <w:tcW w:w="1250" w:type="pct"/>
          </w:tcPr>
          <w:p w14:paraId="6375146C"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Considered the most important construct in Keyes’ model; mentioned by two participants.</w:t>
            </w:r>
          </w:p>
        </w:tc>
        <w:tc>
          <w:tcPr>
            <w:tcW w:w="1250" w:type="pct"/>
          </w:tcPr>
          <w:p w14:paraId="1D9D670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Aligns with our themes of sense of community, although not supported by factor analysis in previous publication. </w:t>
            </w:r>
          </w:p>
          <w:p w14:paraId="3A8536D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Will separate from the broader dimension ‘Sense of Community’.</w:t>
            </w:r>
          </w:p>
        </w:tc>
        <w:tc>
          <w:tcPr>
            <w:tcW w:w="1250" w:type="pct"/>
          </w:tcPr>
          <w:p w14:paraId="239535F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Include in Round 2</w:t>
            </w:r>
          </w:p>
        </w:tc>
      </w:tr>
      <w:tr w:rsidR="000A40F4" w:rsidRPr="004469B4" w14:paraId="4EE1A7A3" w14:textId="77777777" w:rsidTr="00C851AE">
        <w:tc>
          <w:tcPr>
            <w:tcW w:w="1250" w:type="pct"/>
          </w:tcPr>
          <w:p w14:paraId="0105F5E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Virtue / Having good character</w:t>
            </w:r>
          </w:p>
        </w:tc>
        <w:tc>
          <w:tcPr>
            <w:tcW w:w="1250" w:type="pct"/>
          </w:tcPr>
          <w:p w14:paraId="5CB6B13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Central to eudaimonic conceptions of wellbeing; should be represented.</w:t>
            </w:r>
          </w:p>
        </w:tc>
        <w:tc>
          <w:tcPr>
            <w:tcW w:w="1250" w:type="pct"/>
          </w:tcPr>
          <w:p w14:paraId="67B9B48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Covered within self-congruence and self-acceptance, without the </w:t>
            </w:r>
            <w:r w:rsidRPr="004469B4">
              <w:rPr>
                <w:rFonts w:ascii="Times New Roman" w:hAnsi="Times New Roman" w:cs="Times New Roman"/>
              </w:rPr>
              <w:lastRenderedPageBreak/>
              <w:t>moral or value-laden framing of “good character.”</w:t>
            </w:r>
          </w:p>
        </w:tc>
        <w:tc>
          <w:tcPr>
            <w:tcW w:w="1250" w:type="pct"/>
          </w:tcPr>
          <w:p w14:paraId="5A501FD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Do not present to Expert Panel</w:t>
            </w:r>
          </w:p>
        </w:tc>
      </w:tr>
      <w:tr w:rsidR="000A40F4" w:rsidRPr="004469B4" w14:paraId="25CFCE73" w14:textId="77777777" w:rsidTr="00C851AE">
        <w:tc>
          <w:tcPr>
            <w:tcW w:w="1250" w:type="pct"/>
          </w:tcPr>
          <w:p w14:paraId="41E8E4B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Authenticity</w:t>
            </w:r>
          </w:p>
        </w:tc>
        <w:tc>
          <w:tcPr>
            <w:tcW w:w="1250" w:type="pct"/>
          </w:tcPr>
          <w:p w14:paraId="1E9B2BC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Acting in a way that feels authentic to who you are. Possibly overlaps with self-congruence.</w:t>
            </w:r>
          </w:p>
        </w:tc>
        <w:tc>
          <w:tcPr>
            <w:tcW w:w="1250" w:type="pct"/>
          </w:tcPr>
          <w:p w14:paraId="41EB4F5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Similar to self-congruence.</w:t>
            </w:r>
          </w:p>
        </w:tc>
        <w:tc>
          <w:tcPr>
            <w:tcW w:w="1250" w:type="pct"/>
          </w:tcPr>
          <w:p w14:paraId="7B4F21C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43F43C64" w14:textId="77777777" w:rsidTr="00C851AE">
        <w:tc>
          <w:tcPr>
            <w:tcW w:w="1250" w:type="pct"/>
          </w:tcPr>
          <w:p w14:paraId="302FCEB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Prosociality</w:t>
            </w:r>
          </w:p>
        </w:tc>
        <w:tc>
          <w:tcPr>
            <w:tcW w:w="1250" w:type="pct"/>
          </w:tcPr>
          <w:p w14:paraId="35194FF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Propensity to engage in behaviour that benefits others or the community.</w:t>
            </w:r>
          </w:p>
        </w:tc>
        <w:tc>
          <w:tcPr>
            <w:tcW w:w="1250" w:type="pct"/>
          </w:tcPr>
          <w:p w14:paraId="271E882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Captured currently within the sense of community factor. </w:t>
            </w:r>
          </w:p>
          <w:p w14:paraId="5959576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Will separate from the broader dimension ‘Sense of Community’ as ‘social contribution’. </w:t>
            </w:r>
          </w:p>
        </w:tc>
        <w:tc>
          <w:tcPr>
            <w:tcW w:w="1250" w:type="pct"/>
          </w:tcPr>
          <w:p w14:paraId="537B804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Include in Round 2</w:t>
            </w:r>
          </w:p>
        </w:tc>
      </w:tr>
      <w:tr w:rsidR="000A40F4" w:rsidRPr="004469B4" w14:paraId="5955B445" w14:textId="77777777" w:rsidTr="00C851AE">
        <w:tc>
          <w:tcPr>
            <w:tcW w:w="1250" w:type="pct"/>
          </w:tcPr>
          <w:p w14:paraId="0BBDAF0F"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Felt importance / Mattering (feeling valued)</w:t>
            </w:r>
          </w:p>
        </w:tc>
        <w:tc>
          <w:tcPr>
            <w:tcW w:w="1250" w:type="pct"/>
          </w:tcPr>
          <w:p w14:paraId="06F1870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sense that one’s major activities are valuable or significant.” Distinct from meaning/purpose, as one may lack a sense of meaning but still value feeling significant. Mattering defined as “feeling valued by and adding value to self and others.”</w:t>
            </w:r>
          </w:p>
        </w:tc>
        <w:tc>
          <w:tcPr>
            <w:tcW w:w="1250" w:type="pct"/>
          </w:tcPr>
          <w:p w14:paraId="7AD6C4D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An emerging concept in the literature. Likely captured within subdomains of self-acceptance.</w:t>
            </w:r>
          </w:p>
        </w:tc>
        <w:tc>
          <w:tcPr>
            <w:tcW w:w="1250" w:type="pct"/>
          </w:tcPr>
          <w:p w14:paraId="1C49E15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 — potential if self-acceptance is not included in next round.</w:t>
            </w:r>
          </w:p>
        </w:tc>
      </w:tr>
      <w:tr w:rsidR="000A40F4" w:rsidRPr="004469B4" w14:paraId="44C66D71" w14:textId="77777777" w:rsidTr="00C851AE">
        <w:tc>
          <w:tcPr>
            <w:tcW w:w="1250" w:type="pct"/>
          </w:tcPr>
          <w:p w14:paraId="47F19EB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Flow</w:t>
            </w:r>
          </w:p>
        </w:tc>
        <w:tc>
          <w:tcPr>
            <w:tcW w:w="1250" w:type="pct"/>
          </w:tcPr>
          <w:p w14:paraId="1B62E90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The experience of complete harmony and absorption in the moment, lasting seconds or minutes but with lasting impact </w:t>
            </w:r>
            <w:r w:rsidRPr="004469B4">
              <w:rPr>
                <w:rFonts w:ascii="Times New Roman" w:hAnsi="Times New Roman" w:cs="Times New Roman"/>
              </w:rPr>
              <w:lastRenderedPageBreak/>
              <w:t xml:space="preserve">on wellbeing. Suggested by two participants. </w:t>
            </w:r>
          </w:p>
        </w:tc>
        <w:tc>
          <w:tcPr>
            <w:tcW w:w="1250" w:type="pct"/>
          </w:tcPr>
          <w:p w14:paraId="3C91EEB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Included under Engagement.</w:t>
            </w:r>
          </w:p>
        </w:tc>
        <w:tc>
          <w:tcPr>
            <w:tcW w:w="1250" w:type="pct"/>
          </w:tcPr>
          <w:p w14:paraId="457F6EB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54EF6C3C" w14:textId="77777777" w:rsidTr="00C851AE">
        <w:tc>
          <w:tcPr>
            <w:tcW w:w="1250" w:type="pct"/>
          </w:tcPr>
          <w:p w14:paraId="0B616C8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Hope</w:t>
            </w:r>
          </w:p>
        </w:tc>
        <w:tc>
          <w:tcPr>
            <w:tcW w:w="1250" w:type="pct"/>
          </w:tcPr>
          <w:p w14:paraId="338D672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Willingness to plan for the future and strive toward goals (“will of power and way”). Suggested by three participants </w:t>
            </w:r>
          </w:p>
        </w:tc>
        <w:tc>
          <w:tcPr>
            <w:tcW w:w="1250" w:type="pct"/>
          </w:tcPr>
          <w:p w14:paraId="52BA795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Not sufficiently distinct from Optimism.</w:t>
            </w:r>
          </w:p>
        </w:tc>
        <w:tc>
          <w:tcPr>
            <w:tcW w:w="1250" w:type="pct"/>
          </w:tcPr>
          <w:p w14:paraId="56CEC1D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588D150C" w14:textId="77777777" w:rsidTr="00C851AE">
        <w:tc>
          <w:tcPr>
            <w:tcW w:w="1250" w:type="pct"/>
          </w:tcPr>
          <w:p w14:paraId="001821C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Access and connection with nature</w:t>
            </w:r>
          </w:p>
        </w:tc>
        <w:tc>
          <w:tcPr>
            <w:tcW w:w="1250" w:type="pct"/>
          </w:tcPr>
          <w:p w14:paraId="38D56D7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Connection with nature as a practical, daily interaction — e.g., awareness of weather, gardening, or interacting with other species. Seen as distinct from spirituality but potentially critical. Suggested by two reviewers</w:t>
            </w:r>
          </w:p>
        </w:tc>
        <w:tc>
          <w:tcPr>
            <w:tcW w:w="1250" w:type="pct"/>
          </w:tcPr>
          <w:p w14:paraId="6ED47C3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Touches on spirituality and personal circumstances; difficult to generalise and may be value-laden.</w:t>
            </w:r>
          </w:p>
        </w:tc>
        <w:tc>
          <w:tcPr>
            <w:tcW w:w="1250" w:type="pct"/>
          </w:tcPr>
          <w:p w14:paraId="68AD39B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25368823" w14:textId="77777777" w:rsidTr="00C851AE">
        <w:tc>
          <w:tcPr>
            <w:tcW w:w="1250" w:type="pct"/>
          </w:tcPr>
          <w:p w14:paraId="376D643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Savouring / Mindfulness</w:t>
            </w:r>
          </w:p>
        </w:tc>
        <w:tc>
          <w:tcPr>
            <w:tcW w:w="1250" w:type="pct"/>
          </w:tcPr>
          <w:p w14:paraId="7AA9AF26"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Being present and enjoying the moment.</w:t>
            </w:r>
          </w:p>
        </w:tc>
        <w:tc>
          <w:tcPr>
            <w:tcW w:w="1250" w:type="pct"/>
          </w:tcPr>
          <w:p w14:paraId="5AB12E9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Overlaps with Engagement.</w:t>
            </w:r>
          </w:p>
        </w:tc>
        <w:tc>
          <w:tcPr>
            <w:tcW w:w="1250" w:type="pct"/>
          </w:tcPr>
          <w:p w14:paraId="5A55B61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26777C90" w14:textId="77777777" w:rsidTr="00C851AE">
        <w:tc>
          <w:tcPr>
            <w:tcW w:w="1250" w:type="pct"/>
          </w:tcPr>
          <w:p w14:paraId="3811780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Help-seeking</w:t>
            </w:r>
          </w:p>
        </w:tc>
        <w:tc>
          <w:tcPr>
            <w:tcW w:w="1250" w:type="pct"/>
          </w:tcPr>
          <w:p w14:paraId="1135E80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ability to seek support from others.</w:t>
            </w:r>
          </w:p>
        </w:tc>
        <w:tc>
          <w:tcPr>
            <w:tcW w:w="1250" w:type="pct"/>
          </w:tcPr>
          <w:p w14:paraId="5C122AD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Behavioural application of problem- or emotion-focused coping; too practical as a standalone dimension.</w:t>
            </w:r>
          </w:p>
        </w:tc>
        <w:tc>
          <w:tcPr>
            <w:tcW w:w="1250" w:type="pct"/>
          </w:tcPr>
          <w:p w14:paraId="4001F74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09B7676F" w14:textId="77777777" w:rsidTr="00C851AE">
        <w:tc>
          <w:tcPr>
            <w:tcW w:w="1250" w:type="pct"/>
          </w:tcPr>
          <w:p w14:paraId="50F2752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Freedom of choice</w:t>
            </w:r>
          </w:p>
        </w:tc>
        <w:tc>
          <w:tcPr>
            <w:tcW w:w="1250" w:type="pct"/>
          </w:tcPr>
          <w:p w14:paraId="00846482"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sense of having opportunities and freedom to pursue valued goals in work, relationships, or life; related to self-actualisation and freedom of expression.</w:t>
            </w:r>
          </w:p>
        </w:tc>
        <w:tc>
          <w:tcPr>
            <w:tcW w:w="1250" w:type="pct"/>
          </w:tcPr>
          <w:p w14:paraId="721089D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Aligns with Autonomy from our factor analysis in previous paper. </w:t>
            </w:r>
          </w:p>
        </w:tc>
        <w:tc>
          <w:tcPr>
            <w:tcW w:w="1250" w:type="pct"/>
          </w:tcPr>
          <w:p w14:paraId="7F8418C6"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32FCF7BC" w14:textId="77777777" w:rsidTr="00C851AE">
        <w:tc>
          <w:tcPr>
            <w:tcW w:w="1250" w:type="pct"/>
          </w:tcPr>
          <w:p w14:paraId="5C07B86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 xml:space="preserve">Belonging </w:t>
            </w:r>
          </w:p>
        </w:tc>
        <w:tc>
          <w:tcPr>
            <w:tcW w:w="1250" w:type="pct"/>
          </w:tcPr>
          <w:p w14:paraId="2F3A58A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experience of belonging and being accepted.</w:t>
            </w:r>
          </w:p>
        </w:tc>
        <w:tc>
          <w:tcPr>
            <w:tcW w:w="1250" w:type="pct"/>
          </w:tcPr>
          <w:p w14:paraId="6C66F31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Overlaps with sense of community in factor structure and themes.</w:t>
            </w:r>
          </w:p>
        </w:tc>
        <w:tc>
          <w:tcPr>
            <w:tcW w:w="1250" w:type="pct"/>
          </w:tcPr>
          <w:p w14:paraId="448810E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Include in Round 2</w:t>
            </w:r>
          </w:p>
        </w:tc>
      </w:tr>
      <w:tr w:rsidR="000A40F4" w:rsidRPr="004469B4" w14:paraId="0FC6BB88" w14:textId="77777777" w:rsidTr="00C851AE">
        <w:tc>
          <w:tcPr>
            <w:tcW w:w="1250" w:type="pct"/>
          </w:tcPr>
          <w:p w14:paraId="2DB8B94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Feeling accepted by society</w:t>
            </w:r>
          </w:p>
        </w:tc>
        <w:tc>
          <w:tcPr>
            <w:tcW w:w="1250" w:type="pct"/>
          </w:tcPr>
          <w:p w14:paraId="22A85AF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Importance of societal acceptance, particularly for marginalised groups (e.g., poverty, race, sexuality).</w:t>
            </w:r>
          </w:p>
        </w:tc>
        <w:tc>
          <w:tcPr>
            <w:tcW w:w="1250" w:type="pct"/>
          </w:tcPr>
          <w:p w14:paraId="2FB699D6"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Aligns with self-acceptance construct.</w:t>
            </w:r>
          </w:p>
        </w:tc>
        <w:tc>
          <w:tcPr>
            <w:tcW w:w="1250" w:type="pct"/>
          </w:tcPr>
          <w:p w14:paraId="0B3873FF"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709E6CB7" w14:textId="77777777" w:rsidTr="00C851AE">
        <w:tc>
          <w:tcPr>
            <w:tcW w:w="1250" w:type="pct"/>
          </w:tcPr>
          <w:p w14:paraId="5615053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Curiosity</w:t>
            </w:r>
          </w:p>
        </w:tc>
        <w:tc>
          <w:tcPr>
            <w:tcW w:w="1250" w:type="pct"/>
          </w:tcPr>
          <w:p w14:paraId="7F76847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w:t>
            </w:r>
          </w:p>
        </w:tc>
        <w:tc>
          <w:tcPr>
            <w:tcW w:w="1250" w:type="pct"/>
          </w:tcPr>
          <w:p w14:paraId="00C3E55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Not sufficiently distinct from Novelty</w:t>
            </w:r>
          </w:p>
        </w:tc>
        <w:tc>
          <w:tcPr>
            <w:tcW w:w="1250" w:type="pct"/>
          </w:tcPr>
          <w:p w14:paraId="764282BC"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17822983" w14:textId="77777777" w:rsidTr="00C851AE">
        <w:tc>
          <w:tcPr>
            <w:tcW w:w="1250" w:type="pct"/>
          </w:tcPr>
          <w:p w14:paraId="08BDAEF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Memory</w:t>
            </w:r>
          </w:p>
        </w:tc>
        <w:tc>
          <w:tcPr>
            <w:tcW w:w="1250" w:type="pct"/>
          </w:tcPr>
          <w:p w14:paraId="6FEE887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Memory supports sense-making and the ability to look forward, not only reflection on the past (see article cited).</w:t>
            </w:r>
          </w:p>
        </w:tc>
        <w:tc>
          <w:tcPr>
            <w:tcW w:w="1250" w:type="pct"/>
          </w:tcPr>
          <w:p w14:paraId="2CF5CFF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Conceptually aligns with meaning-making under emotion-focused coping.</w:t>
            </w:r>
          </w:p>
        </w:tc>
        <w:tc>
          <w:tcPr>
            <w:tcW w:w="1250" w:type="pct"/>
          </w:tcPr>
          <w:p w14:paraId="6D37FA1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051A9AD7" w14:textId="77777777" w:rsidTr="00C851AE">
        <w:tc>
          <w:tcPr>
            <w:tcW w:w="1250" w:type="pct"/>
          </w:tcPr>
          <w:p w14:paraId="777F427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Stability</w:t>
            </w:r>
          </w:p>
        </w:tc>
        <w:tc>
          <w:tcPr>
            <w:tcW w:w="1250" w:type="pct"/>
          </w:tcPr>
          <w:p w14:paraId="6825615C"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Basic security needs (housing, finances, food).</w:t>
            </w:r>
          </w:p>
        </w:tc>
        <w:tc>
          <w:tcPr>
            <w:tcW w:w="1250" w:type="pct"/>
          </w:tcPr>
          <w:p w14:paraId="7D15051F"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Captured within personal circumstances.</w:t>
            </w:r>
          </w:p>
        </w:tc>
        <w:tc>
          <w:tcPr>
            <w:tcW w:w="1250" w:type="pct"/>
          </w:tcPr>
          <w:p w14:paraId="2A727C6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not present to Expert Panel</w:t>
            </w:r>
          </w:p>
        </w:tc>
      </w:tr>
      <w:tr w:rsidR="000A40F4" w:rsidRPr="004469B4" w14:paraId="3D481BE2" w14:textId="77777777" w:rsidTr="00C851AE">
        <w:tc>
          <w:tcPr>
            <w:tcW w:w="1250" w:type="pct"/>
          </w:tcPr>
          <w:p w14:paraId="68B2D86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Safety</w:t>
            </w:r>
          </w:p>
        </w:tc>
        <w:tc>
          <w:tcPr>
            <w:tcW w:w="1250" w:type="pct"/>
          </w:tcPr>
          <w:p w14:paraId="302517B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 wonder whether other aspects such as positive family support and feelings of safety and security may help those (usually women, often migrant women) who have subordinate roles</w:t>
            </w:r>
          </w:p>
        </w:tc>
        <w:tc>
          <w:tcPr>
            <w:tcW w:w="1250" w:type="pct"/>
          </w:tcPr>
          <w:p w14:paraId="1A0BFD6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May be considered more ‘subjective’ or ‘psychological’ (i.e., more relevant) than personal circumstances or physical health. </w:t>
            </w:r>
          </w:p>
        </w:tc>
        <w:tc>
          <w:tcPr>
            <w:tcW w:w="1250" w:type="pct"/>
          </w:tcPr>
          <w:p w14:paraId="5905598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Include in Round 2</w:t>
            </w:r>
          </w:p>
        </w:tc>
      </w:tr>
    </w:tbl>
    <w:p w14:paraId="12627B68"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br w:type="page"/>
      </w:r>
    </w:p>
    <w:p w14:paraId="6724F123" w14:textId="77777777" w:rsidR="000A40F4" w:rsidRPr="004469B4" w:rsidRDefault="000A40F4" w:rsidP="000A40F4">
      <w:pPr>
        <w:rPr>
          <w:rFonts w:ascii="Times New Roman" w:hAnsi="Times New Roman" w:cs="Times New Roman"/>
        </w:rPr>
      </w:pPr>
      <w:r w:rsidRPr="004469B4">
        <w:rPr>
          <w:rFonts w:ascii="Times New Roman" w:hAnsi="Times New Roman" w:cs="Times New Roman"/>
        </w:rPr>
        <w:lastRenderedPageBreak/>
        <w:t xml:space="preserve">Table A4: Themes arising from Expert’s comments and reflections of the development of a taxonomy.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263"/>
        <w:gridCol w:w="4962"/>
        <w:gridCol w:w="6723"/>
      </w:tblGrid>
      <w:tr w:rsidR="000A40F4" w:rsidRPr="004469B4" w14:paraId="18F59E87" w14:textId="77777777" w:rsidTr="00C851AE">
        <w:tc>
          <w:tcPr>
            <w:tcW w:w="2263" w:type="dxa"/>
          </w:tcPr>
          <w:p w14:paraId="0F43B9F0" w14:textId="77777777" w:rsidR="000A40F4" w:rsidRPr="004469B4" w:rsidRDefault="000A40F4" w:rsidP="00C851AE">
            <w:pPr>
              <w:jc w:val="cente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Theme</w:t>
            </w:r>
          </w:p>
        </w:tc>
        <w:tc>
          <w:tcPr>
            <w:tcW w:w="4962" w:type="dxa"/>
          </w:tcPr>
          <w:p w14:paraId="3440E715" w14:textId="77777777" w:rsidR="000A40F4" w:rsidRPr="004469B4" w:rsidRDefault="000A40F4" w:rsidP="00C851AE">
            <w:pPr>
              <w:jc w:val="cente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Description</w:t>
            </w:r>
          </w:p>
        </w:tc>
        <w:tc>
          <w:tcPr>
            <w:tcW w:w="6723" w:type="dxa"/>
          </w:tcPr>
          <w:p w14:paraId="38EDE1A1" w14:textId="77777777" w:rsidR="000A40F4" w:rsidRPr="004469B4" w:rsidRDefault="000A40F4" w:rsidP="00C851AE">
            <w:pPr>
              <w:jc w:val="cente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Representative Quote</w:t>
            </w:r>
          </w:p>
        </w:tc>
      </w:tr>
      <w:tr w:rsidR="000A40F4" w:rsidRPr="004469B4" w14:paraId="0CEC2343" w14:textId="77777777" w:rsidTr="00C851AE">
        <w:tc>
          <w:tcPr>
            <w:tcW w:w="2263" w:type="dxa"/>
          </w:tcPr>
          <w:p w14:paraId="21CF6DFF"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t>Cultural and Contextual Variability</w:t>
            </w:r>
          </w:p>
          <w:p w14:paraId="2DBB9805" w14:textId="77777777" w:rsidR="000A40F4" w:rsidRPr="004469B4" w:rsidRDefault="000A40F4" w:rsidP="00C851AE">
            <w:pPr>
              <w:rPr>
                <w:rFonts w:ascii="Times New Roman" w:eastAsia="Arial" w:hAnsi="Times New Roman" w:cs="Times New Roman"/>
                <w:color w:val="000000" w:themeColor="text1"/>
              </w:rPr>
            </w:pPr>
          </w:p>
        </w:tc>
        <w:tc>
          <w:tcPr>
            <w:tcW w:w="4962" w:type="dxa"/>
          </w:tcPr>
          <w:p w14:paraId="10C3BD21"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Many experts emphasized the importance of accounting for cultural differences in conceptualizing and measuring positive mental health, noting that dimensions and their relative importance vary across cultures, languages, and societal contexts (e.g., individualistic vs. collectivistic societies). They expressed concerns about the taxonomy being overly Western-centric and suggested incorporating perspectives from indigenous groups, marginalized populations, and diverse cultural frameworks to ensure broad applicability.</w:t>
            </w:r>
          </w:p>
        </w:tc>
        <w:tc>
          <w:tcPr>
            <w:tcW w:w="6723" w:type="dxa"/>
          </w:tcPr>
          <w:p w14:paraId="403B4F24"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“Consider cultural differences - their relevance and interpretation likely differ across cultures and languages.”</w:t>
            </w:r>
          </w:p>
          <w:p w14:paraId="3E57DBBD" w14:textId="77777777" w:rsidR="000A40F4" w:rsidRPr="004469B4" w:rsidRDefault="000A40F4" w:rsidP="00C851AE">
            <w:pPr>
              <w:rPr>
                <w:rFonts w:ascii="Times New Roman" w:eastAsia="Arial" w:hAnsi="Times New Roman" w:cs="Times New Roman"/>
                <w:color w:val="000000" w:themeColor="text1"/>
              </w:rPr>
            </w:pPr>
          </w:p>
          <w:p w14:paraId="4B95BC53"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 xml:space="preserve"> “Maybe the questions and assumptions are a bit Western oriented? How about the views of indigenous people? How about the role of religiosity in helping people to maintain a positive mind?”</w:t>
            </w:r>
          </w:p>
          <w:p w14:paraId="4A668DC0" w14:textId="77777777" w:rsidR="000A40F4" w:rsidRPr="004469B4" w:rsidRDefault="000A40F4" w:rsidP="00C851AE">
            <w:pPr>
              <w:rPr>
                <w:rFonts w:ascii="Times New Roman" w:eastAsia="Arial" w:hAnsi="Times New Roman" w:cs="Times New Roman"/>
                <w:color w:val="000000" w:themeColor="text1"/>
              </w:rPr>
            </w:pPr>
          </w:p>
          <w:p w14:paraId="5B58D12B"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“I hope that you come to reflect on the culture embeddedness of the concepts that you consider... a lot of what was presented seems to be very much related to a Western concept of wellbeing, as part of a neoliberal, high modern society, that emphasizes competence, control, responsibility, autonomy, a fixation on ‘the self’.”</w:t>
            </w:r>
          </w:p>
          <w:p w14:paraId="795D5754" w14:textId="77777777" w:rsidR="000A40F4" w:rsidRPr="004469B4" w:rsidRDefault="000A40F4" w:rsidP="00C851AE">
            <w:pPr>
              <w:rPr>
                <w:rFonts w:ascii="Times New Roman" w:eastAsia="Arial" w:hAnsi="Times New Roman" w:cs="Times New Roman"/>
                <w:color w:val="000000" w:themeColor="text1"/>
              </w:rPr>
            </w:pPr>
          </w:p>
        </w:tc>
      </w:tr>
      <w:tr w:rsidR="000A40F4" w:rsidRPr="004469B4" w14:paraId="47E47F5D" w14:textId="77777777" w:rsidTr="00C851AE">
        <w:tc>
          <w:tcPr>
            <w:tcW w:w="2263" w:type="dxa"/>
          </w:tcPr>
          <w:p w14:paraId="5A116AA0"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t>Distinction Between Dimensions, Causes, and Outcomes</w:t>
            </w:r>
          </w:p>
        </w:tc>
        <w:tc>
          <w:tcPr>
            <w:tcW w:w="4962" w:type="dxa"/>
          </w:tcPr>
          <w:p w14:paraId="6934592F"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t>Experts highlighted the need to clearly differentiate between the core dimensions of positive mental health (e.g., self-acceptance, positive affect) and their antecedents (e.g., personal circumstances, coping strategies) or correlates (e.g., life satisfaction). They cautioned that conflating these risks creating a muddled taxonomy and suggested a hierarchical or matrix-based structure to organize dimensions, causes, and outcomes systematically.</w:t>
            </w:r>
          </w:p>
          <w:p w14:paraId="184E50D8" w14:textId="77777777" w:rsidR="000A40F4" w:rsidRPr="004469B4" w:rsidRDefault="000A40F4" w:rsidP="00C851AE">
            <w:pPr>
              <w:rPr>
                <w:rFonts w:ascii="Times New Roman" w:eastAsia="Arial" w:hAnsi="Times New Roman" w:cs="Times New Roman"/>
                <w:color w:val="000000" w:themeColor="text1"/>
              </w:rPr>
            </w:pPr>
          </w:p>
        </w:tc>
        <w:tc>
          <w:tcPr>
            <w:tcW w:w="6723" w:type="dxa"/>
          </w:tcPr>
          <w:p w14:paraId="0F80301C"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“The taxonomy -understood as a list of dimensions that ‘define’ mental health- may confuse causes, correlates, and constituents of mental health. For example, financial stress may be a cause, but not a constituent of mental health. Another example: Life satisfaction may correlate with mental health, and you can use one to predict -up to some level- the other, but it is not a constituent of mental health.”</w:t>
            </w:r>
          </w:p>
          <w:p w14:paraId="43C25A25" w14:textId="77777777" w:rsidR="000A40F4" w:rsidRPr="004469B4" w:rsidRDefault="000A40F4" w:rsidP="00C851AE">
            <w:pPr>
              <w:rPr>
                <w:rFonts w:ascii="Times New Roman" w:eastAsia="Arial" w:hAnsi="Times New Roman" w:cs="Times New Roman"/>
                <w:color w:val="000000" w:themeColor="text1"/>
              </w:rPr>
            </w:pPr>
          </w:p>
          <w:p w14:paraId="12090B38"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“As you mentioned in the video, some of these dimensions can be perceived as direct measures of wellbeing, while other can be perceived as causes or necessary conditions. I found it non-trivial to compare importance across these groups. I would have found it easier if I were given a matrix with groups as columns (e.g. aspects, sources, etc) and importance as rows.”</w:t>
            </w:r>
          </w:p>
          <w:p w14:paraId="00002BA7" w14:textId="77777777" w:rsidR="000A40F4" w:rsidRPr="004469B4" w:rsidRDefault="000A40F4" w:rsidP="00C851AE">
            <w:pPr>
              <w:rPr>
                <w:rFonts w:ascii="Times New Roman" w:eastAsia="Arial" w:hAnsi="Times New Roman" w:cs="Times New Roman"/>
                <w:color w:val="000000" w:themeColor="text1"/>
              </w:rPr>
            </w:pPr>
          </w:p>
          <w:p w14:paraId="21976403"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lastRenderedPageBreak/>
              <w:t>“Some factors, like personal circumstances may be thought of as a cause or a condition, and not necessarily an aspect of it. conceptually speaking, I think personal circumstances pertains to the context of a person’s life. It is conceptually distinct from other dimensions such as self-acceptance or autonomy.”</w:t>
            </w:r>
          </w:p>
        </w:tc>
      </w:tr>
      <w:tr w:rsidR="000A40F4" w:rsidRPr="004469B4" w14:paraId="46DEF9DC" w14:textId="77777777" w:rsidTr="00C851AE">
        <w:tc>
          <w:tcPr>
            <w:tcW w:w="2263" w:type="dxa"/>
          </w:tcPr>
          <w:p w14:paraId="23F6E3DC"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lastRenderedPageBreak/>
              <w:t>Challenges in Defining and Measuring Positive Mental Health</w:t>
            </w:r>
          </w:p>
        </w:tc>
        <w:tc>
          <w:tcPr>
            <w:tcW w:w="4962" w:type="dxa"/>
          </w:tcPr>
          <w:p w14:paraId="519036ED"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t>Several responses underscored the complexity of defining positive mental health and developing a taxonomy, given the overlap with related concepts (e.g., well-being, mental health) and the lack of consensus on whether positive mental health is distinct or part of a continuum. Experts questioned the reliability of subjective self-ratings, the appropriateness of existing measures (e.g., POMS), and the feasibility of creating a universal taxonomy without empirical validation.</w:t>
            </w:r>
          </w:p>
          <w:p w14:paraId="2498114B" w14:textId="77777777" w:rsidR="000A40F4" w:rsidRPr="004469B4" w:rsidRDefault="000A40F4" w:rsidP="00C851AE">
            <w:pPr>
              <w:rPr>
                <w:rFonts w:ascii="Times New Roman" w:eastAsia="Arial" w:hAnsi="Times New Roman" w:cs="Times New Roman"/>
                <w:color w:val="000000" w:themeColor="text1"/>
              </w:rPr>
            </w:pPr>
          </w:p>
        </w:tc>
        <w:tc>
          <w:tcPr>
            <w:tcW w:w="6723" w:type="dxa"/>
          </w:tcPr>
          <w:p w14:paraId="78DC3300"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 xml:space="preserve"> “You’ll have to consider how mental health, well-being, and positive mental health are conceptualised. Some people see them as the same thing (or different ends of the same spectrums), some different. Is absence of MH presence of positive MH, etc?”</w:t>
            </w:r>
          </w:p>
          <w:p w14:paraId="329D6F27" w14:textId="77777777" w:rsidR="000A40F4" w:rsidRPr="004469B4" w:rsidRDefault="000A40F4" w:rsidP="00C851AE">
            <w:pPr>
              <w:rPr>
                <w:rFonts w:ascii="Times New Roman" w:eastAsia="Arial" w:hAnsi="Times New Roman" w:cs="Times New Roman"/>
                <w:color w:val="000000" w:themeColor="text1"/>
              </w:rPr>
            </w:pPr>
          </w:p>
          <w:p w14:paraId="5CBDF139"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“Positive mental health is essentially an objective phenomenon which only partly reflects in subjective self-ratings (like test intelligence and self-rated intelligence). This was already noted by Jahoda but that basic insight got lost.”</w:t>
            </w:r>
          </w:p>
          <w:p w14:paraId="7DDC1189" w14:textId="77777777" w:rsidR="000A40F4" w:rsidRPr="004469B4" w:rsidRDefault="000A40F4" w:rsidP="00C851AE">
            <w:pPr>
              <w:rPr>
                <w:rFonts w:ascii="Times New Roman" w:eastAsia="Arial" w:hAnsi="Times New Roman" w:cs="Times New Roman"/>
                <w:color w:val="000000" w:themeColor="text1"/>
              </w:rPr>
            </w:pPr>
          </w:p>
          <w:p w14:paraId="7E99C24E"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“I was not aware that coping strategies fell under the umbrella of positive mental health. I think it is an interesting initiative to develop a taxonomy of positive mental health; it makes me think of the HiTOP initiative. However, I am unsure of the importance of having a Delphi survey letting researchers rate the importance of the different dimensions – that part seems to be more relevant to examine empirically.”</w:t>
            </w:r>
          </w:p>
          <w:p w14:paraId="6BC02F2E" w14:textId="77777777" w:rsidR="000A40F4" w:rsidRPr="004469B4" w:rsidRDefault="000A40F4" w:rsidP="00C851AE">
            <w:pPr>
              <w:rPr>
                <w:rFonts w:ascii="Times New Roman" w:eastAsia="Arial" w:hAnsi="Times New Roman" w:cs="Times New Roman"/>
                <w:color w:val="000000" w:themeColor="text1"/>
              </w:rPr>
            </w:pPr>
          </w:p>
        </w:tc>
      </w:tr>
      <w:tr w:rsidR="000A40F4" w:rsidRPr="004469B4" w14:paraId="3C397456" w14:textId="77777777" w:rsidTr="00C851AE">
        <w:tc>
          <w:tcPr>
            <w:tcW w:w="2263" w:type="dxa"/>
          </w:tcPr>
          <w:p w14:paraId="73245A64" w14:textId="77777777" w:rsidR="000A40F4" w:rsidRPr="004469B4" w:rsidRDefault="000A40F4" w:rsidP="00C851AE">
            <w:pPr>
              <w:rPr>
                <w:rFonts w:ascii="Times New Roman" w:hAnsi="Times New Roman" w:cs="Times New Roman"/>
                <w:color w:val="000000"/>
              </w:rPr>
            </w:pPr>
            <w:r w:rsidRPr="004469B4">
              <w:rPr>
                <w:rFonts w:ascii="Times New Roman" w:eastAsia="Arial" w:hAnsi="Times New Roman" w:cs="Times New Roman"/>
                <w:color w:val="000000" w:themeColor="text1"/>
              </w:rPr>
              <w:t>I</w:t>
            </w:r>
            <w:r w:rsidRPr="004469B4">
              <w:rPr>
                <w:rFonts w:ascii="Times New Roman" w:hAnsi="Times New Roman" w:cs="Times New Roman"/>
                <w:color w:val="000000"/>
              </w:rPr>
              <w:t>nclusion of Diverse Perspectives and Stakeholders</w:t>
            </w:r>
          </w:p>
        </w:tc>
        <w:tc>
          <w:tcPr>
            <w:tcW w:w="4962" w:type="dxa"/>
          </w:tcPr>
          <w:p w14:paraId="54AC96A1"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t xml:space="preserve">Experts advocated for involving a broader range of stakeholders, including individuals with lived experience of mental health challenges, marginalized groups, and non-academic professionals (e.g., clinicians, people with chronic illnesses). They argued that a taxonomy should reflect diverse experiences, including those of individuals facing structural barriers </w:t>
            </w:r>
            <w:r w:rsidRPr="004469B4">
              <w:rPr>
                <w:rFonts w:ascii="Times New Roman" w:hAnsi="Times New Roman" w:cs="Times New Roman"/>
                <w:color w:val="000000"/>
              </w:rPr>
              <w:lastRenderedPageBreak/>
              <w:t>(e.g., racism, environmental injustice), to avoid a narrow or elitist framework.</w:t>
            </w:r>
          </w:p>
          <w:p w14:paraId="7C1B7254" w14:textId="77777777" w:rsidR="000A40F4" w:rsidRPr="004469B4" w:rsidRDefault="000A40F4" w:rsidP="00C851AE">
            <w:pPr>
              <w:rPr>
                <w:rFonts w:ascii="Times New Roman" w:eastAsia="Arial" w:hAnsi="Times New Roman" w:cs="Times New Roman"/>
                <w:color w:val="000000" w:themeColor="text1"/>
              </w:rPr>
            </w:pPr>
          </w:p>
        </w:tc>
        <w:tc>
          <w:tcPr>
            <w:tcW w:w="6723" w:type="dxa"/>
          </w:tcPr>
          <w:p w14:paraId="43FE0A89"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lastRenderedPageBreak/>
              <w:t>“I think it would be good to invite people with a lived experience of mental health challenges who consider themselves to be on a recovery journey.”</w:t>
            </w:r>
          </w:p>
          <w:p w14:paraId="03E6F3BA" w14:textId="77777777" w:rsidR="000A40F4" w:rsidRPr="004469B4" w:rsidRDefault="000A40F4" w:rsidP="00C851AE">
            <w:pPr>
              <w:rPr>
                <w:rFonts w:ascii="Times New Roman" w:eastAsia="Arial" w:hAnsi="Times New Roman" w:cs="Times New Roman"/>
                <w:color w:val="000000" w:themeColor="text1"/>
              </w:rPr>
            </w:pPr>
          </w:p>
          <w:p w14:paraId="4E20E4C3"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“Perhaps not ask only authors of scientific articles, but also other stakeholders for the Delphi study? (for example, professionals in psychology and health, experts by experience, f.e. people with chronic illness, poeple experiencing mental health problems, young people, parents, elderly)”</w:t>
            </w:r>
          </w:p>
          <w:p w14:paraId="5EF4DD89" w14:textId="77777777" w:rsidR="000A40F4" w:rsidRPr="004469B4" w:rsidRDefault="000A40F4" w:rsidP="00C851AE">
            <w:pPr>
              <w:rPr>
                <w:rFonts w:ascii="Times New Roman" w:eastAsia="Arial" w:hAnsi="Times New Roman" w:cs="Times New Roman"/>
                <w:color w:val="000000" w:themeColor="text1"/>
              </w:rPr>
            </w:pPr>
          </w:p>
          <w:p w14:paraId="72E3C2A8"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“I appreciate this effort and also think it is important to consider whose experiences are prioritized/valued by WEIRD-biased studies. How might a taxonomy speak to ‘typical’ or ‘mainstream’ experiences and those of persons marginalized by life circumstances (e.g. serious illness, discrimination, war) often viewed as fairly incompatible with well-being?”</w:t>
            </w:r>
          </w:p>
          <w:p w14:paraId="26AFAAD5" w14:textId="77777777" w:rsidR="000A40F4" w:rsidRPr="004469B4" w:rsidRDefault="000A40F4" w:rsidP="00C851AE">
            <w:pPr>
              <w:rPr>
                <w:rFonts w:ascii="Times New Roman" w:eastAsia="Arial" w:hAnsi="Times New Roman" w:cs="Times New Roman"/>
                <w:color w:val="000000" w:themeColor="text1"/>
              </w:rPr>
            </w:pPr>
          </w:p>
        </w:tc>
      </w:tr>
      <w:tr w:rsidR="000A40F4" w:rsidRPr="004469B4" w14:paraId="67789C36" w14:textId="77777777" w:rsidTr="00C851AE">
        <w:tc>
          <w:tcPr>
            <w:tcW w:w="2263" w:type="dxa"/>
          </w:tcPr>
          <w:p w14:paraId="0330E19C"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lastRenderedPageBreak/>
              <w:t>Contextual and Developmental Considerations</w:t>
            </w:r>
          </w:p>
          <w:p w14:paraId="054BD366" w14:textId="77777777" w:rsidR="000A40F4" w:rsidRPr="004469B4" w:rsidRDefault="000A40F4" w:rsidP="00C851AE">
            <w:pPr>
              <w:rPr>
                <w:rFonts w:ascii="Times New Roman" w:eastAsia="Arial" w:hAnsi="Times New Roman" w:cs="Times New Roman"/>
                <w:color w:val="000000" w:themeColor="text1"/>
              </w:rPr>
            </w:pPr>
          </w:p>
        </w:tc>
        <w:tc>
          <w:tcPr>
            <w:tcW w:w="4962" w:type="dxa"/>
          </w:tcPr>
          <w:p w14:paraId="48F9AC99"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The feedback emphasized that positive mental health dimensions may vary by context (e.g., routine vs. extreme situations), age, and individual differences (e.g., personality, gender). Experts suggested tailoring the taxonomy to account for developmental stages, situational contexts, and individual heterogeneity to ensure relevance across diverse populations.</w:t>
            </w:r>
          </w:p>
          <w:p w14:paraId="2D5F516D" w14:textId="77777777" w:rsidR="000A40F4" w:rsidRPr="004469B4" w:rsidRDefault="000A40F4" w:rsidP="00C851AE">
            <w:pPr>
              <w:rPr>
                <w:rFonts w:ascii="Times New Roman" w:eastAsia="Arial" w:hAnsi="Times New Roman" w:cs="Times New Roman"/>
                <w:color w:val="000000" w:themeColor="text1"/>
              </w:rPr>
            </w:pPr>
          </w:p>
        </w:tc>
        <w:tc>
          <w:tcPr>
            <w:tcW w:w="6723" w:type="dxa"/>
          </w:tcPr>
          <w:p w14:paraId="3CC383B6"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“Maybe distinguish between routine situations and extreme situations because positive mental health in routine (such as fun or the type of coping) is very different in extreme situations.”</w:t>
            </w:r>
          </w:p>
          <w:p w14:paraId="33A0B10A" w14:textId="77777777" w:rsidR="000A40F4" w:rsidRPr="004469B4" w:rsidRDefault="000A40F4" w:rsidP="00C851AE">
            <w:pPr>
              <w:rPr>
                <w:rFonts w:ascii="Times New Roman" w:eastAsia="Arial" w:hAnsi="Times New Roman" w:cs="Times New Roman"/>
                <w:color w:val="000000" w:themeColor="text1"/>
              </w:rPr>
            </w:pPr>
          </w:p>
          <w:p w14:paraId="36B490E5"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“Good idea! There may be developmental/lifespan changes in how we define positive mental health that need to be taken into consideration. For example, physical capacity/well-being may be less critical to positive mental health in those 80 and older than among young adults.”</w:t>
            </w:r>
          </w:p>
          <w:p w14:paraId="482766E0" w14:textId="77777777" w:rsidR="000A40F4" w:rsidRPr="004469B4" w:rsidRDefault="000A40F4" w:rsidP="00C851AE">
            <w:pPr>
              <w:rPr>
                <w:rFonts w:ascii="Times New Roman" w:eastAsia="Arial" w:hAnsi="Times New Roman" w:cs="Times New Roman"/>
                <w:color w:val="000000" w:themeColor="text1"/>
              </w:rPr>
            </w:pPr>
          </w:p>
          <w:p w14:paraId="2AA2765E"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“The relative importance of the items probably depend on other attributes of individuals. There is an implicit assumption in the taxonomy that we are all homogeneous. How do you recognise heterogeneity in the population and hence that the weighting we attach to each item is contingent (e.g. on age, sex, etc.).”</w:t>
            </w:r>
          </w:p>
          <w:p w14:paraId="35A3C991" w14:textId="77777777" w:rsidR="000A40F4" w:rsidRPr="004469B4" w:rsidRDefault="000A40F4" w:rsidP="00C851AE">
            <w:pPr>
              <w:rPr>
                <w:rFonts w:ascii="Times New Roman" w:eastAsia="Arial" w:hAnsi="Times New Roman" w:cs="Times New Roman"/>
                <w:color w:val="000000" w:themeColor="text1"/>
              </w:rPr>
            </w:pPr>
          </w:p>
        </w:tc>
      </w:tr>
      <w:tr w:rsidR="000A40F4" w:rsidRPr="004469B4" w14:paraId="4C6B2931" w14:textId="77777777" w:rsidTr="00C851AE">
        <w:tc>
          <w:tcPr>
            <w:tcW w:w="2263" w:type="dxa"/>
          </w:tcPr>
          <w:p w14:paraId="190DA9F9"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t>Purpose and Application of the Taxonomy</w:t>
            </w:r>
          </w:p>
          <w:p w14:paraId="3C3E6D94" w14:textId="77777777" w:rsidR="000A40F4" w:rsidRPr="004469B4" w:rsidRDefault="000A40F4" w:rsidP="00C851AE">
            <w:pPr>
              <w:rPr>
                <w:rFonts w:ascii="Times New Roman" w:eastAsia="Arial" w:hAnsi="Times New Roman" w:cs="Times New Roman"/>
                <w:color w:val="000000" w:themeColor="text1"/>
              </w:rPr>
            </w:pPr>
          </w:p>
        </w:tc>
        <w:tc>
          <w:tcPr>
            <w:tcW w:w="4962" w:type="dxa"/>
          </w:tcPr>
          <w:p w14:paraId="41FEA27A"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Experts raised questions about the intended use of the taxonomy, its target audience, and its practical impact. They suggested it could standardize language, guide interventions, or inform measurement but cautioned against creating a rigid or overly prescriptive framework that might not account for individual or contextual nuances.</w:t>
            </w:r>
          </w:p>
        </w:tc>
        <w:tc>
          <w:tcPr>
            <w:tcW w:w="6723" w:type="dxa"/>
          </w:tcPr>
          <w:p w14:paraId="60AC08BF"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“It would be interesting to know where the researchers envision the taxonomy being applied. I’m not sure how relevant taxonomies are to my research - except for in the development of health behaviour change interventions, as those have been really impactful.”</w:t>
            </w:r>
          </w:p>
          <w:p w14:paraId="42D86CD7" w14:textId="77777777" w:rsidR="000A40F4" w:rsidRPr="004469B4" w:rsidRDefault="000A40F4" w:rsidP="00C851AE">
            <w:pPr>
              <w:rPr>
                <w:rFonts w:ascii="Times New Roman" w:eastAsia="Arial" w:hAnsi="Times New Roman" w:cs="Times New Roman"/>
                <w:color w:val="000000" w:themeColor="text1"/>
              </w:rPr>
            </w:pPr>
          </w:p>
          <w:p w14:paraId="03D44BB3"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 xml:space="preserve">“this is an important study and will yield: a) consistent language; b) development of behavioral interventions that support positive </w:t>
            </w:r>
            <w:r w:rsidRPr="004469B4">
              <w:rPr>
                <w:rFonts w:ascii="Times New Roman" w:eastAsia="Arial" w:hAnsi="Times New Roman" w:cs="Times New Roman"/>
                <w:color w:val="000000" w:themeColor="text1"/>
              </w:rPr>
              <w:lastRenderedPageBreak/>
              <w:t>mental health and reflect strength based interventions; and c) new measures for each of the final set of dimensions.”</w:t>
            </w:r>
          </w:p>
          <w:p w14:paraId="0268D278" w14:textId="77777777" w:rsidR="000A40F4" w:rsidRPr="004469B4" w:rsidRDefault="000A40F4" w:rsidP="00C851AE">
            <w:pPr>
              <w:rPr>
                <w:rFonts w:ascii="Times New Roman" w:eastAsia="Arial" w:hAnsi="Times New Roman" w:cs="Times New Roman"/>
                <w:color w:val="000000" w:themeColor="text1"/>
              </w:rPr>
            </w:pPr>
          </w:p>
          <w:p w14:paraId="0A5F012A"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“What will it be used for? What’s the point? Could be useful, but must apply with caution and reflect on those in society for whom experiences and outlook (including positive mental health) do not align with the majority.”</w:t>
            </w:r>
          </w:p>
          <w:p w14:paraId="79BC6B3E" w14:textId="77777777" w:rsidR="000A40F4" w:rsidRPr="004469B4" w:rsidRDefault="000A40F4" w:rsidP="00C851AE">
            <w:pPr>
              <w:rPr>
                <w:rFonts w:ascii="Times New Roman" w:eastAsia="Arial" w:hAnsi="Times New Roman" w:cs="Times New Roman"/>
                <w:color w:val="000000" w:themeColor="text1"/>
              </w:rPr>
            </w:pPr>
          </w:p>
        </w:tc>
      </w:tr>
      <w:tr w:rsidR="000A40F4" w:rsidRPr="004469B4" w14:paraId="5A6C4B39" w14:textId="77777777" w:rsidTr="00C851AE">
        <w:tc>
          <w:tcPr>
            <w:tcW w:w="2263" w:type="dxa"/>
          </w:tcPr>
          <w:p w14:paraId="46181B49" w14:textId="77777777" w:rsidR="000A40F4" w:rsidRPr="004469B4" w:rsidRDefault="000A40F4" w:rsidP="00C851AE">
            <w:pPr>
              <w:rPr>
                <w:rFonts w:ascii="Times New Roman" w:hAnsi="Times New Roman" w:cs="Times New Roman"/>
                <w:color w:val="000000"/>
              </w:rPr>
            </w:pPr>
            <w:r w:rsidRPr="004469B4">
              <w:rPr>
                <w:rFonts w:ascii="Times New Roman" w:hAnsi="Times New Roman" w:cs="Times New Roman"/>
                <w:color w:val="000000"/>
              </w:rPr>
              <w:lastRenderedPageBreak/>
              <w:t xml:space="preserve">Incorporation of Specific Dimensions </w:t>
            </w:r>
          </w:p>
          <w:p w14:paraId="25DB9B3C" w14:textId="77777777" w:rsidR="000A40F4" w:rsidRPr="004469B4" w:rsidRDefault="000A40F4" w:rsidP="00C851AE">
            <w:pPr>
              <w:rPr>
                <w:rFonts w:ascii="Times New Roman" w:eastAsia="Arial" w:hAnsi="Times New Roman" w:cs="Times New Roman"/>
                <w:color w:val="000000" w:themeColor="text1"/>
              </w:rPr>
            </w:pPr>
          </w:p>
        </w:tc>
        <w:tc>
          <w:tcPr>
            <w:tcW w:w="4962" w:type="dxa"/>
          </w:tcPr>
          <w:p w14:paraId="74DF0CDC"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Several experts noted the omission of specific dimensions, such as spirituality, self-esteem, gratitude, or positive affectivity, and questioned whether these were intentionally excluded or overlooked. They suggested clarifying whether such factors are core components of positive mental health or predictors/outcomes and emphasized their relevance in certain cultural or individual contexts.</w:t>
            </w:r>
          </w:p>
          <w:p w14:paraId="2BFD3960" w14:textId="77777777" w:rsidR="000A40F4" w:rsidRPr="004469B4" w:rsidRDefault="000A40F4" w:rsidP="00C851AE">
            <w:pPr>
              <w:rPr>
                <w:rFonts w:ascii="Times New Roman" w:eastAsia="Arial" w:hAnsi="Times New Roman" w:cs="Times New Roman"/>
                <w:color w:val="000000" w:themeColor="text1"/>
              </w:rPr>
            </w:pPr>
          </w:p>
        </w:tc>
        <w:tc>
          <w:tcPr>
            <w:tcW w:w="6723" w:type="dxa"/>
          </w:tcPr>
          <w:p w14:paraId="2C8EEF9E"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“Spirituality may be characterized as religious belief or simply mental wellbeing. Important to differentiate, and possible include theism vs atheism agnosticism, if you want to capture if people feel faith is an important component of positive mental health or not.”</w:t>
            </w:r>
          </w:p>
          <w:p w14:paraId="028B4EC7" w14:textId="77777777" w:rsidR="000A40F4" w:rsidRPr="004469B4" w:rsidRDefault="000A40F4" w:rsidP="00C851AE">
            <w:pPr>
              <w:rPr>
                <w:rFonts w:ascii="Times New Roman" w:eastAsia="Arial" w:hAnsi="Times New Roman" w:cs="Times New Roman"/>
                <w:color w:val="000000" w:themeColor="text1"/>
              </w:rPr>
            </w:pPr>
          </w:p>
          <w:p w14:paraId="3559DB9F"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“I found it interesting that your approach largely left character strengths and particular emotional dispositions (affective traits) off of your list. Although it included a few (e.g., optimism and vitality), traits that have some of the strongest relationships with happiness (e.g., gratitude), are not found on this list.”</w:t>
            </w:r>
          </w:p>
          <w:p w14:paraId="534B2680" w14:textId="77777777" w:rsidR="000A40F4" w:rsidRPr="004469B4" w:rsidRDefault="000A40F4" w:rsidP="00C851AE">
            <w:pPr>
              <w:rPr>
                <w:rFonts w:ascii="Times New Roman" w:eastAsia="Arial" w:hAnsi="Times New Roman" w:cs="Times New Roman"/>
                <w:color w:val="000000" w:themeColor="text1"/>
              </w:rPr>
            </w:pPr>
          </w:p>
          <w:p w14:paraId="0510CEC6" w14:textId="77777777" w:rsidR="000A40F4" w:rsidRPr="004469B4" w:rsidRDefault="000A40F4" w:rsidP="00C851AE">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“Self-esteem is missing, but this may perhaps be subsumed in the dimension of ‘self-acceptance.’ Similarly, self-efficacy may be included in ‘control over life.’”</w:t>
            </w:r>
          </w:p>
          <w:p w14:paraId="70D94656" w14:textId="77777777" w:rsidR="000A40F4" w:rsidRPr="004469B4" w:rsidRDefault="000A40F4" w:rsidP="00C851AE">
            <w:pPr>
              <w:rPr>
                <w:rFonts w:ascii="Times New Roman" w:eastAsia="Arial" w:hAnsi="Times New Roman" w:cs="Times New Roman"/>
                <w:color w:val="000000" w:themeColor="text1"/>
              </w:rPr>
            </w:pPr>
          </w:p>
        </w:tc>
      </w:tr>
    </w:tbl>
    <w:p w14:paraId="078EBED3" w14:textId="77777777" w:rsidR="000A40F4" w:rsidRPr="004469B4" w:rsidRDefault="000A40F4" w:rsidP="000A40F4">
      <w:pPr>
        <w:rPr>
          <w:rFonts w:ascii="Times New Roman" w:eastAsia="Arial" w:hAnsi="Times New Roman" w:cs="Times New Roman"/>
          <w:b/>
          <w:bCs/>
          <w:color w:val="000000" w:themeColor="text1"/>
        </w:rPr>
      </w:pPr>
    </w:p>
    <w:p w14:paraId="0A3B5476" w14:textId="77777777" w:rsidR="000A40F4" w:rsidRPr="004469B4" w:rsidRDefault="000A40F4" w:rsidP="000A40F4">
      <w:pPr>
        <w:rPr>
          <w:rFonts w:ascii="Times New Roman" w:eastAsia="Arial" w:hAnsi="Times New Roman" w:cs="Times New Roman"/>
          <w:b/>
          <w:bCs/>
          <w:color w:val="000000" w:themeColor="text1"/>
        </w:rPr>
        <w:sectPr w:rsidR="000A40F4" w:rsidRPr="004469B4" w:rsidSect="000A40F4">
          <w:pgSz w:w="16838" w:h="11906" w:orient="landscape"/>
          <w:pgMar w:top="1440" w:right="1440" w:bottom="1440" w:left="1440" w:header="708" w:footer="708" w:gutter="0"/>
          <w:cols w:space="708"/>
          <w:docGrid w:linePitch="360"/>
        </w:sectPr>
      </w:pPr>
      <w:r w:rsidRPr="004469B4">
        <w:rPr>
          <w:rFonts w:ascii="Times New Roman" w:eastAsia="Arial" w:hAnsi="Times New Roman" w:cs="Times New Roman"/>
          <w:b/>
          <w:bCs/>
          <w:color w:val="000000" w:themeColor="text1"/>
        </w:rPr>
        <w:br w:type="page"/>
      </w:r>
    </w:p>
    <w:p w14:paraId="2123E200"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lastRenderedPageBreak/>
        <w:t>Table A5: Themes arising from Expert’s regarding the working definition of Positive Mental Health</w:t>
      </w:r>
    </w:p>
    <w:p w14:paraId="78A1D723"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t>Original Definition:</w:t>
      </w:r>
    </w:p>
    <w:p w14:paraId="73C7624E" w14:textId="77777777" w:rsidR="000A40F4" w:rsidRPr="004469B4" w:rsidRDefault="000A40F4" w:rsidP="000A40F4">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Positive Mental Health is a personal and subjective experience, where we view ourselves and our lives positively.</w:t>
      </w:r>
    </w:p>
    <w:p w14:paraId="43134FA2" w14:textId="77777777" w:rsidR="000A40F4" w:rsidRPr="004469B4" w:rsidRDefault="000A40F4" w:rsidP="000A40F4">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Our level of positive mental health goes up and down and is influenced by the way we adapt to the challenges and opportunities we face. It’s impacted by our environment, life experiences, cultural background, and behaviours.</w:t>
      </w:r>
    </w:p>
    <w:p w14:paraId="56E2D916" w14:textId="77777777" w:rsidR="000A40F4" w:rsidRPr="004469B4" w:rsidRDefault="000A40F4" w:rsidP="000A40F4">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Everyone has some level of positive mental health, and we can improve it by taking action, even when we experience a mental health condition.</w:t>
      </w:r>
    </w:p>
    <w:p w14:paraId="57AEF5A9" w14:textId="77777777" w:rsidR="000A40F4" w:rsidRPr="004469B4" w:rsidRDefault="000A40F4" w:rsidP="000A40F4">
      <w:pPr>
        <w:rPr>
          <w:rFonts w:ascii="Times New Roman" w:eastAsia="Arial" w:hAnsi="Times New Roman" w:cs="Times New Roman"/>
          <w:b/>
          <w:bCs/>
          <w:color w:val="000000" w:themeColor="text1"/>
        </w:rPr>
      </w:pPr>
    </w:p>
    <w:p w14:paraId="6E1337F9"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t>Feedback Themes and Representative Quotes:</w:t>
      </w:r>
    </w:p>
    <w:p w14:paraId="725734A7"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t xml:space="preserv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405"/>
        <w:gridCol w:w="4678"/>
        <w:gridCol w:w="6441"/>
      </w:tblGrid>
      <w:tr w:rsidR="000A40F4" w:rsidRPr="004469B4" w14:paraId="360E3648" w14:textId="77777777" w:rsidTr="00C851AE">
        <w:tc>
          <w:tcPr>
            <w:tcW w:w="2405" w:type="dxa"/>
          </w:tcPr>
          <w:p w14:paraId="168BEBC6" w14:textId="77777777" w:rsidR="000A40F4" w:rsidRPr="004469B4" w:rsidRDefault="000A40F4" w:rsidP="00C851AE">
            <w:pPr>
              <w:jc w:val="center"/>
              <w:rPr>
                <w:rFonts w:ascii="Times New Roman" w:hAnsi="Times New Roman" w:cs="Times New Roman"/>
              </w:rPr>
            </w:pPr>
            <w:r w:rsidRPr="004469B4">
              <w:rPr>
                <w:rFonts w:ascii="Times New Roman" w:hAnsi="Times New Roman" w:cs="Times New Roman"/>
              </w:rPr>
              <w:t>Theme</w:t>
            </w:r>
          </w:p>
        </w:tc>
        <w:tc>
          <w:tcPr>
            <w:tcW w:w="4678" w:type="dxa"/>
          </w:tcPr>
          <w:p w14:paraId="10E0BD36" w14:textId="77777777" w:rsidR="000A40F4" w:rsidRPr="004469B4" w:rsidRDefault="000A40F4" w:rsidP="00C851AE">
            <w:pPr>
              <w:jc w:val="center"/>
              <w:rPr>
                <w:rFonts w:ascii="Times New Roman" w:hAnsi="Times New Roman" w:cs="Times New Roman"/>
              </w:rPr>
            </w:pPr>
            <w:r w:rsidRPr="004469B4">
              <w:rPr>
                <w:rFonts w:ascii="Times New Roman" w:hAnsi="Times New Roman" w:cs="Times New Roman"/>
              </w:rPr>
              <w:t>Description</w:t>
            </w:r>
          </w:p>
        </w:tc>
        <w:tc>
          <w:tcPr>
            <w:tcW w:w="6441" w:type="dxa"/>
          </w:tcPr>
          <w:p w14:paraId="18C76F86" w14:textId="77777777" w:rsidR="000A40F4" w:rsidRPr="004469B4" w:rsidRDefault="000A40F4" w:rsidP="00C851AE">
            <w:pPr>
              <w:jc w:val="center"/>
              <w:rPr>
                <w:rFonts w:ascii="Times New Roman" w:hAnsi="Times New Roman" w:cs="Times New Roman"/>
              </w:rPr>
            </w:pPr>
            <w:r w:rsidRPr="004469B4">
              <w:rPr>
                <w:rFonts w:ascii="Times New Roman" w:hAnsi="Times New Roman" w:cs="Times New Roman"/>
              </w:rPr>
              <w:t>Representative Quote</w:t>
            </w:r>
          </w:p>
        </w:tc>
      </w:tr>
      <w:tr w:rsidR="000A40F4" w:rsidRPr="004469B4" w14:paraId="238E5564" w14:textId="77777777" w:rsidTr="00C851AE">
        <w:tc>
          <w:tcPr>
            <w:tcW w:w="2405" w:type="dxa"/>
          </w:tcPr>
          <w:p w14:paraId="5A45306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Concerns About Subjectivity and Scientific Credibility</w:t>
            </w:r>
          </w:p>
          <w:p w14:paraId="2B5E23B4" w14:textId="77777777" w:rsidR="000A40F4" w:rsidRPr="004469B4" w:rsidRDefault="000A40F4" w:rsidP="00C851AE">
            <w:pPr>
              <w:rPr>
                <w:rFonts w:ascii="Times New Roman" w:hAnsi="Times New Roman" w:cs="Times New Roman"/>
              </w:rPr>
            </w:pPr>
          </w:p>
        </w:tc>
        <w:tc>
          <w:tcPr>
            <w:tcW w:w="4678" w:type="dxa"/>
          </w:tcPr>
          <w:p w14:paraId="558C6CC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Several experts expressed concern that the definition’s emphasis on “subjective” and “personal” experiences risks portraying positive mental health as unreliable or overly individualistic, potentially undermining its scientific credibility. They suggest balancing subjective experiences with measurable or objective components, such as psychological strengths or social functioning, and question the necessity of emphasizing subjectivity when all human experiences are inherently subjective.</w:t>
            </w:r>
          </w:p>
          <w:p w14:paraId="07361DEF" w14:textId="77777777" w:rsidR="000A40F4" w:rsidRPr="004469B4" w:rsidRDefault="000A40F4" w:rsidP="00C851AE">
            <w:pPr>
              <w:rPr>
                <w:rFonts w:ascii="Times New Roman" w:hAnsi="Times New Roman" w:cs="Times New Roman"/>
              </w:rPr>
            </w:pPr>
          </w:p>
        </w:tc>
        <w:tc>
          <w:tcPr>
            <w:tcW w:w="6441" w:type="dxa"/>
          </w:tcPr>
          <w:p w14:paraId="4227152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 “Although it is difficult to make an operational definition of positive mental health (positive mental health), I have two main observations: 1) In my opinion, the definition overemphasizes the subjective component. Although this component is important, it would seem that positive mental health is something that depends only on the judgment of the individual... the term ‘subjective’ is often associated with something unreliable, unstable, and difficult to do solid science on.”</w:t>
            </w:r>
          </w:p>
          <w:p w14:paraId="7063E710" w14:textId="77777777" w:rsidR="000A40F4" w:rsidRPr="004469B4" w:rsidRDefault="000A40F4" w:rsidP="00C851AE">
            <w:pPr>
              <w:rPr>
                <w:rFonts w:ascii="Times New Roman" w:hAnsi="Times New Roman" w:cs="Times New Roman"/>
              </w:rPr>
            </w:pPr>
          </w:p>
          <w:p w14:paraId="43A445D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“Do you need the word subjective in here and personal - aren’t all experiences subjective.”</w:t>
            </w:r>
          </w:p>
          <w:p w14:paraId="10188B8C" w14:textId="77777777" w:rsidR="000A40F4" w:rsidRPr="004469B4" w:rsidRDefault="000A40F4" w:rsidP="00C851AE">
            <w:pPr>
              <w:rPr>
                <w:rFonts w:ascii="Times New Roman" w:hAnsi="Times New Roman" w:cs="Times New Roman"/>
              </w:rPr>
            </w:pPr>
          </w:p>
          <w:p w14:paraId="18AE3B0D"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“I would recommend further exploration of what ‘human experience’ is. Any human experience is subjective, in the sense that it requires a person for the experience to exist. There is no </w:t>
            </w:r>
            <w:r w:rsidRPr="004469B4">
              <w:rPr>
                <w:rFonts w:ascii="Times New Roman" w:hAnsi="Times New Roman" w:cs="Times New Roman"/>
              </w:rPr>
              <w:lastRenderedPageBreak/>
              <w:t>‘objective experience’; since experiences do not take place in the realm of objects but in the realm of persons.”</w:t>
            </w:r>
          </w:p>
          <w:p w14:paraId="6F1C163F" w14:textId="77777777" w:rsidR="000A40F4" w:rsidRPr="004469B4" w:rsidRDefault="000A40F4" w:rsidP="00C851AE">
            <w:pPr>
              <w:rPr>
                <w:rFonts w:ascii="Times New Roman" w:hAnsi="Times New Roman" w:cs="Times New Roman"/>
              </w:rPr>
            </w:pPr>
          </w:p>
        </w:tc>
      </w:tr>
      <w:tr w:rsidR="000A40F4" w:rsidRPr="004469B4" w14:paraId="1B26C02F" w14:textId="77777777" w:rsidTr="00C851AE">
        <w:tc>
          <w:tcPr>
            <w:tcW w:w="2405" w:type="dxa"/>
          </w:tcPr>
          <w:p w14:paraId="266EA36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Need for Clarity in Defining Features vs. Antecedents</w:t>
            </w:r>
          </w:p>
          <w:p w14:paraId="7D7EE06E" w14:textId="77777777" w:rsidR="000A40F4" w:rsidRPr="004469B4" w:rsidRDefault="000A40F4" w:rsidP="00C851AE">
            <w:pPr>
              <w:rPr>
                <w:rFonts w:ascii="Times New Roman" w:hAnsi="Times New Roman" w:cs="Times New Roman"/>
              </w:rPr>
            </w:pPr>
          </w:p>
        </w:tc>
        <w:tc>
          <w:tcPr>
            <w:tcW w:w="4678" w:type="dxa"/>
          </w:tcPr>
          <w:p w14:paraId="0774E98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Many reviewers noted that the definition conflates the core characteristics of positive mental health (e.g., positive affect, functioning) with its antecedents (e.g., environment, behaviors). They argue that a definition should focus on what positive mental health is rather than what influences it, as including predictors risks creating a circular or overly broad definition.</w:t>
            </w:r>
          </w:p>
          <w:p w14:paraId="2B2EB1FC" w14:textId="77777777" w:rsidR="000A40F4" w:rsidRPr="004469B4" w:rsidRDefault="000A40F4" w:rsidP="00C851AE">
            <w:pPr>
              <w:rPr>
                <w:rFonts w:ascii="Times New Roman" w:hAnsi="Times New Roman" w:cs="Times New Roman"/>
              </w:rPr>
            </w:pPr>
          </w:p>
        </w:tc>
        <w:tc>
          <w:tcPr>
            <w:tcW w:w="6441" w:type="dxa"/>
          </w:tcPr>
          <w:p w14:paraId="396EEC4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“if this is your definition, most of the dimenions become antecedent not defining features. optimal functioning is ignored in your definition.”</w:t>
            </w:r>
          </w:p>
          <w:p w14:paraId="6F6A8667"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 </w:t>
            </w:r>
          </w:p>
          <w:p w14:paraId="64B302D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“Why do you include predictors/antecedents in a definition that should primarily be about an outcome variable?”</w:t>
            </w:r>
          </w:p>
          <w:p w14:paraId="4281FCC1" w14:textId="77777777" w:rsidR="000A40F4" w:rsidRPr="004469B4" w:rsidRDefault="000A40F4" w:rsidP="00C851AE">
            <w:pPr>
              <w:rPr>
                <w:rFonts w:ascii="Times New Roman" w:hAnsi="Times New Roman" w:cs="Times New Roman"/>
              </w:rPr>
            </w:pPr>
          </w:p>
          <w:p w14:paraId="0FCA467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“It’s unclear to me why contributors to positive mental health are spelled out in the definition (‘the way we adapt to challenges and opportunities ... our environment, life experiences, cultural background, and behaviours ... we can improve it by taking action.’) Isn’t this an empirical question?”</w:t>
            </w:r>
          </w:p>
          <w:p w14:paraId="5DFF0319" w14:textId="77777777" w:rsidR="000A40F4" w:rsidRPr="004469B4" w:rsidRDefault="000A40F4" w:rsidP="00C851AE">
            <w:pPr>
              <w:rPr>
                <w:rFonts w:ascii="Times New Roman" w:hAnsi="Times New Roman" w:cs="Times New Roman"/>
              </w:rPr>
            </w:pPr>
          </w:p>
        </w:tc>
      </w:tr>
      <w:tr w:rsidR="000A40F4" w:rsidRPr="004469B4" w14:paraId="720A324E" w14:textId="77777777" w:rsidTr="00C851AE">
        <w:tc>
          <w:tcPr>
            <w:tcW w:w="2405" w:type="dxa"/>
          </w:tcPr>
          <w:p w14:paraId="38A7865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Support for the Dual-Continua Model</w:t>
            </w:r>
          </w:p>
          <w:p w14:paraId="0DD9AB73" w14:textId="77777777" w:rsidR="000A40F4" w:rsidRPr="004469B4" w:rsidRDefault="000A40F4" w:rsidP="00C851AE">
            <w:pPr>
              <w:rPr>
                <w:rFonts w:ascii="Times New Roman" w:hAnsi="Times New Roman" w:cs="Times New Roman"/>
              </w:rPr>
            </w:pPr>
          </w:p>
        </w:tc>
        <w:tc>
          <w:tcPr>
            <w:tcW w:w="4678" w:type="dxa"/>
          </w:tcPr>
          <w:p w14:paraId="7293073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feedback strongly supports the dual-continua model, emphasizing that positive mental health can coexist with mental health challenges. Experts appreciate the acknowledgment that individuals with mental health conditions can still experience positive mental health but suggest clarifying terms like “condition” to avoid medicalized connotations and better reflect the coexistence of positive and negative mental health states.</w:t>
            </w:r>
          </w:p>
          <w:p w14:paraId="0D887172" w14:textId="77777777" w:rsidR="000A40F4" w:rsidRPr="004469B4" w:rsidRDefault="000A40F4" w:rsidP="00C851AE">
            <w:pPr>
              <w:rPr>
                <w:rFonts w:ascii="Times New Roman" w:hAnsi="Times New Roman" w:cs="Times New Roman"/>
              </w:rPr>
            </w:pPr>
          </w:p>
        </w:tc>
        <w:tc>
          <w:tcPr>
            <w:tcW w:w="6441" w:type="dxa"/>
          </w:tcPr>
          <w:p w14:paraId="4674D93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 “I really like the explicit acknowledgement that people who experience a mental health condition can still have and still deserve attention to focus on improvement of positive mental health.”</w:t>
            </w:r>
          </w:p>
          <w:p w14:paraId="0BBCD7D0" w14:textId="77777777" w:rsidR="000A40F4" w:rsidRPr="004469B4" w:rsidRDefault="000A40F4" w:rsidP="00C851AE">
            <w:pPr>
              <w:rPr>
                <w:rFonts w:ascii="Times New Roman" w:hAnsi="Times New Roman" w:cs="Times New Roman"/>
              </w:rPr>
            </w:pPr>
          </w:p>
          <w:p w14:paraId="66B0041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“I’m not sure this sufficiently targets/identifies positive mental health. One could substitute negative for positive in the second paragraph and little would change. What seems to be lacking here is a recognition that positive mental health can often be accompanied (within a time interval) by negative mental health.”</w:t>
            </w:r>
          </w:p>
          <w:p w14:paraId="099951FB" w14:textId="77777777" w:rsidR="000A40F4" w:rsidRPr="004469B4" w:rsidRDefault="000A40F4" w:rsidP="00C851AE">
            <w:pPr>
              <w:rPr>
                <w:rFonts w:ascii="Times New Roman" w:hAnsi="Times New Roman" w:cs="Times New Roman"/>
              </w:rPr>
            </w:pPr>
          </w:p>
          <w:p w14:paraId="59EAAE1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 “I like the concept of wellness within illness. Your formulation has clinical utility and heuristic value for further research both within sociocultural framework and within a biological framework (e.g., epigenetics).”</w:t>
            </w:r>
          </w:p>
          <w:p w14:paraId="1B24E8F8" w14:textId="77777777" w:rsidR="000A40F4" w:rsidRPr="004469B4" w:rsidRDefault="000A40F4" w:rsidP="00C851AE">
            <w:pPr>
              <w:rPr>
                <w:rFonts w:ascii="Times New Roman" w:hAnsi="Times New Roman" w:cs="Times New Roman"/>
              </w:rPr>
            </w:pPr>
          </w:p>
        </w:tc>
      </w:tr>
      <w:tr w:rsidR="000A40F4" w:rsidRPr="004469B4" w14:paraId="5FAE8DD2" w14:textId="77777777" w:rsidTr="00C851AE">
        <w:tc>
          <w:tcPr>
            <w:tcW w:w="2405" w:type="dxa"/>
          </w:tcPr>
          <w:p w14:paraId="0C38CDB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Omission of Key Influences (e.g., Relationships, Biology, Goals)</w:t>
            </w:r>
          </w:p>
          <w:p w14:paraId="7A3927EB" w14:textId="77777777" w:rsidR="000A40F4" w:rsidRPr="004469B4" w:rsidRDefault="000A40F4" w:rsidP="00C851AE">
            <w:pPr>
              <w:rPr>
                <w:rFonts w:ascii="Times New Roman" w:hAnsi="Times New Roman" w:cs="Times New Roman"/>
              </w:rPr>
            </w:pPr>
          </w:p>
        </w:tc>
        <w:tc>
          <w:tcPr>
            <w:tcW w:w="4678" w:type="dxa"/>
          </w:tcPr>
          <w:p w14:paraId="7DBD49E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Reviewers frequently pointed out missing factors that influence positive mental health, such as relationships, biological factors (e.g., genetics), goals, values, and individual strengths like resilience. They argue that these are critical for a comprehensive understanding of positive mental health and should be explicitly included.</w:t>
            </w:r>
          </w:p>
          <w:p w14:paraId="61C9BDC5" w14:textId="77777777" w:rsidR="000A40F4" w:rsidRPr="004469B4" w:rsidRDefault="000A40F4" w:rsidP="00C851AE">
            <w:pPr>
              <w:rPr>
                <w:rFonts w:ascii="Times New Roman" w:hAnsi="Times New Roman" w:cs="Times New Roman"/>
              </w:rPr>
            </w:pPr>
          </w:p>
        </w:tc>
        <w:tc>
          <w:tcPr>
            <w:tcW w:w="6441" w:type="dxa"/>
          </w:tcPr>
          <w:p w14:paraId="13822315"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 would humbly suggest that ‘relationships’ be added to the list of factors that impact positive mental health. Relationships are the mirrors in which us to determine if others see, value, and appreciate us as we would like to be seen, valued, and appreciated.”</w:t>
            </w:r>
          </w:p>
          <w:p w14:paraId="0288A16B" w14:textId="77777777" w:rsidR="000A40F4" w:rsidRPr="004469B4" w:rsidRDefault="000A40F4" w:rsidP="00C851AE">
            <w:pPr>
              <w:rPr>
                <w:rFonts w:ascii="Times New Roman" w:hAnsi="Times New Roman" w:cs="Times New Roman"/>
              </w:rPr>
            </w:pPr>
          </w:p>
          <w:p w14:paraId="4EA52F9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“It’s also impacted by our opportunities in life (unless you think this is covered by life experiences), and our level of energy and motivation.”</w:t>
            </w:r>
          </w:p>
          <w:p w14:paraId="32202DD2" w14:textId="77777777" w:rsidR="000A40F4" w:rsidRPr="004469B4" w:rsidRDefault="000A40F4" w:rsidP="00C851AE">
            <w:pPr>
              <w:rPr>
                <w:rFonts w:ascii="Times New Roman" w:hAnsi="Times New Roman" w:cs="Times New Roman"/>
              </w:rPr>
            </w:pPr>
          </w:p>
          <w:p w14:paraId="178A99F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“It’s impacted by our environment, life experiences, cultural background, and behaviours.’ - Today we know that this also has genetic (biological) influence.”</w:t>
            </w:r>
          </w:p>
          <w:p w14:paraId="3B41A047" w14:textId="77777777" w:rsidR="000A40F4" w:rsidRPr="004469B4" w:rsidRDefault="000A40F4" w:rsidP="00C851AE">
            <w:pPr>
              <w:rPr>
                <w:rFonts w:ascii="Times New Roman" w:hAnsi="Times New Roman" w:cs="Times New Roman"/>
              </w:rPr>
            </w:pPr>
          </w:p>
        </w:tc>
      </w:tr>
      <w:tr w:rsidR="000A40F4" w:rsidRPr="004469B4" w14:paraId="6D2875EA" w14:textId="77777777" w:rsidTr="00C851AE">
        <w:tc>
          <w:tcPr>
            <w:tcW w:w="2405" w:type="dxa"/>
          </w:tcPr>
          <w:p w14:paraId="46839CD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Criticism of Tautology and Vague Language</w:t>
            </w:r>
          </w:p>
          <w:p w14:paraId="4223A424" w14:textId="77777777" w:rsidR="000A40F4" w:rsidRPr="004469B4" w:rsidRDefault="000A40F4" w:rsidP="00C851AE">
            <w:pPr>
              <w:rPr>
                <w:rFonts w:ascii="Times New Roman" w:hAnsi="Times New Roman" w:cs="Times New Roman"/>
              </w:rPr>
            </w:pPr>
          </w:p>
        </w:tc>
        <w:tc>
          <w:tcPr>
            <w:tcW w:w="4678" w:type="dxa"/>
          </w:tcPr>
          <w:p w14:paraId="6C5CC4F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use of “positively” to define positive mental health is criticized as tautological, and terms like “condition,” “taking action,” and “goes up and down” are seen as vague or misleading. Experts suggest more descriptive or precise language, such as “contentment,” “purpose,” or “favorable view,” and question the implication that positive mental health is highly fluctuating or solely dependent on individual action.</w:t>
            </w:r>
          </w:p>
          <w:p w14:paraId="3DFDAB19" w14:textId="77777777" w:rsidR="000A40F4" w:rsidRPr="004469B4" w:rsidRDefault="000A40F4" w:rsidP="00C851AE">
            <w:pPr>
              <w:rPr>
                <w:rFonts w:ascii="Times New Roman" w:hAnsi="Times New Roman" w:cs="Times New Roman"/>
              </w:rPr>
            </w:pPr>
          </w:p>
        </w:tc>
        <w:tc>
          <w:tcPr>
            <w:tcW w:w="6441" w:type="dxa"/>
          </w:tcPr>
          <w:p w14:paraId="4799B6B9"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 am unsure about using the word ‘positively’ to be defining positive mental health e.g., ‘we view ourselves and our lives positively.’ It does not add to the definition by using the same terms, it should be, in my opinion more descriptive, for example, where we are content with ourselves and our lives.”</w:t>
            </w:r>
          </w:p>
          <w:p w14:paraId="6F03AC79" w14:textId="77777777" w:rsidR="000A40F4" w:rsidRPr="004469B4" w:rsidRDefault="000A40F4" w:rsidP="00C851AE">
            <w:pPr>
              <w:rPr>
                <w:rFonts w:ascii="Times New Roman" w:hAnsi="Times New Roman" w:cs="Times New Roman"/>
              </w:rPr>
            </w:pPr>
          </w:p>
          <w:p w14:paraId="7AFC92E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“I’m not a huge fan of defining a term with the same word - ‘positively’ as part of the ‘positive mental health’ definition. That said, I’m struggling to identify a better term - healthy, generous, compassionate, or favorable come to mind but all have limitations.”</w:t>
            </w:r>
          </w:p>
          <w:p w14:paraId="469D300A" w14:textId="77777777" w:rsidR="000A40F4" w:rsidRPr="004469B4" w:rsidRDefault="000A40F4" w:rsidP="00C851AE">
            <w:pPr>
              <w:rPr>
                <w:rFonts w:ascii="Times New Roman" w:hAnsi="Times New Roman" w:cs="Times New Roman"/>
              </w:rPr>
            </w:pPr>
          </w:p>
          <w:p w14:paraId="1748D46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first sentence is somehow redundant. Perhaps instead of ‘positively’ at the end, you can consider something like ‘fully and meaningful’, or other dimensions that proved to be relevant.”</w:t>
            </w:r>
          </w:p>
          <w:p w14:paraId="6009A5BF" w14:textId="77777777" w:rsidR="000A40F4" w:rsidRPr="004469B4" w:rsidRDefault="000A40F4" w:rsidP="00C851AE">
            <w:pPr>
              <w:rPr>
                <w:rFonts w:ascii="Times New Roman" w:hAnsi="Times New Roman" w:cs="Times New Roman"/>
              </w:rPr>
            </w:pPr>
          </w:p>
        </w:tc>
      </w:tr>
      <w:tr w:rsidR="000A40F4" w:rsidRPr="004469B4" w14:paraId="3035B431" w14:textId="77777777" w:rsidTr="00C851AE">
        <w:tc>
          <w:tcPr>
            <w:tcW w:w="2405" w:type="dxa"/>
          </w:tcPr>
          <w:p w14:paraId="4440709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Importance of Social and Collective Dimensions</w:t>
            </w:r>
          </w:p>
          <w:p w14:paraId="772B4D81" w14:textId="77777777" w:rsidR="000A40F4" w:rsidRPr="004469B4" w:rsidRDefault="000A40F4" w:rsidP="00C851AE">
            <w:pPr>
              <w:rPr>
                <w:rFonts w:ascii="Times New Roman" w:hAnsi="Times New Roman" w:cs="Times New Roman"/>
              </w:rPr>
            </w:pPr>
          </w:p>
        </w:tc>
        <w:tc>
          <w:tcPr>
            <w:tcW w:w="4678" w:type="dxa"/>
          </w:tcPr>
          <w:p w14:paraId="53493E1B"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Experts advocate for including social and community aspects, noting that positive mental health is not solely an individual experience but is shaped by relationships, societal structures, and collective well-being. They highlight the need to address structural inequalities and the role of community support.</w:t>
            </w:r>
          </w:p>
          <w:p w14:paraId="3BE06F8B" w14:textId="77777777" w:rsidR="000A40F4" w:rsidRPr="004469B4" w:rsidRDefault="000A40F4" w:rsidP="00C851AE">
            <w:pPr>
              <w:rPr>
                <w:rFonts w:ascii="Times New Roman" w:hAnsi="Times New Roman" w:cs="Times New Roman"/>
              </w:rPr>
            </w:pPr>
          </w:p>
        </w:tc>
        <w:tc>
          <w:tcPr>
            <w:tcW w:w="6441" w:type="dxa"/>
          </w:tcPr>
          <w:p w14:paraId="2C240A41"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“Perhaps the definition of positive mental health could leave some room for more social or community aspects of the concept. If one thinks of indicators such as the United Nations Human Development Index, an initial definition of positive mental health focused exclusively on the subjective experiences of the individual could unnecessarily narrow the scope.”</w:t>
            </w:r>
          </w:p>
          <w:p w14:paraId="7DAA2285" w14:textId="77777777" w:rsidR="000A40F4" w:rsidRPr="004469B4" w:rsidRDefault="000A40F4" w:rsidP="00C851AE">
            <w:pPr>
              <w:rPr>
                <w:rFonts w:ascii="Times New Roman" w:hAnsi="Times New Roman" w:cs="Times New Roman"/>
              </w:rPr>
            </w:pPr>
          </w:p>
          <w:p w14:paraId="02FB506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“This definition is individual positive MH what about collective positive MH impacting families and communities?”</w:t>
            </w:r>
          </w:p>
          <w:p w14:paraId="7E47BA68" w14:textId="77777777" w:rsidR="000A40F4" w:rsidRPr="004469B4" w:rsidRDefault="000A40F4" w:rsidP="00C851AE">
            <w:pPr>
              <w:rPr>
                <w:rFonts w:ascii="Times New Roman" w:hAnsi="Times New Roman" w:cs="Times New Roman"/>
              </w:rPr>
            </w:pPr>
          </w:p>
          <w:p w14:paraId="20C71CD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 think there should be a clearer acknowledgment of the community of support. Presumably, that’s captured within environment, but I think it’s important to specifically call out the friends/family (or chosen family) nature inherent to strengthening positive mental health.”</w:t>
            </w:r>
          </w:p>
          <w:p w14:paraId="11A98A92" w14:textId="77777777" w:rsidR="000A40F4" w:rsidRPr="004469B4" w:rsidRDefault="000A40F4" w:rsidP="00C851AE">
            <w:pPr>
              <w:rPr>
                <w:rFonts w:ascii="Times New Roman" w:hAnsi="Times New Roman" w:cs="Times New Roman"/>
              </w:rPr>
            </w:pPr>
          </w:p>
        </w:tc>
      </w:tr>
      <w:tr w:rsidR="000A40F4" w:rsidRPr="004469B4" w14:paraId="59552798" w14:textId="77777777" w:rsidTr="00C851AE">
        <w:tc>
          <w:tcPr>
            <w:tcW w:w="2405" w:type="dxa"/>
          </w:tcPr>
          <w:p w14:paraId="174E9BA3"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Dynamic Nature and Stability of positive mental health</w:t>
            </w:r>
          </w:p>
          <w:p w14:paraId="3DB57BE8" w14:textId="77777777" w:rsidR="000A40F4" w:rsidRPr="004469B4" w:rsidRDefault="000A40F4" w:rsidP="00C851AE">
            <w:pPr>
              <w:rPr>
                <w:rFonts w:ascii="Times New Roman" w:hAnsi="Times New Roman" w:cs="Times New Roman"/>
              </w:rPr>
            </w:pPr>
          </w:p>
        </w:tc>
        <w:tc>
          <w:tcPr>
            <w:tcW w:w="4678" w:type="dxa"/>
          </w:tcPr>
          <w:p w14:paraId="765F35E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dynamic nature of positive mental health is appreciated, but some experts suggest that it should be framed as varying within limits rather than fluctuating like mood. Others emphasize concepts like post-traumatic growth or skill-building to highlight development and resilience.</w:t>
            </w:r>
          </w:p>
          <w:p w14:paraId="3DA35806" w14:textId="77777777" w:rsidR="000A40F4" w:rsidRPr="004469B4" w:rsidRDefault="000A40F4" w:rsidP="00C851AE">
            <w:pPr>
              <w:rPr>
                <w:rFonts w:ascii="Times New Roman" w:hAnsi="Times New Roman" w:cs="Times New Roman"/>
              </w:rPr>
            </w:pPr>
          </w:p>
        </w:tc>
        <w:tc>
          <w:tcPr>
            <w:tcW w:w="6441" w:type="dxa"/>
          </w:tcPr>
          <w:p w14:paraId="3E74C31C"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“Great definition! Perhaps ‘goes up and down’ seems a bit too much fluctuations (like happiness) while I view positive mental health as a bit more stable (but can vary over time depending on the challenges and opportunities). So perhaps ‘can vary over time’ is more appropriate?”</w:t>
            </w:r>
          </w:p>
          <w:p w14:paraId="206DD65A" w14:textId="77777777" w:rsidR="000A40F4" w:rsidRPr="004469B4" w:rsidRDefault="000A40F4" w:rsidP="00C851AE">
            <w:pPr>
              <w:rPr>
                <w:rFonts w:ascii="Times New Roman" w:hAnsi="Times New Roman" w:cs="Times New Roman"/>
              </w:rPr>
            </w:pPr>
          </w:p>
          <w:p w14:paraId="30C4F19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 agree to all three sentences, but I miss (or lack) the perception of growth and development, after having gone through a difficult life experience. The aspect of ‘post traumatic growth’. Which is connected to the ‘improvement by taking action’.”</w:t>
            </w:r>
          </w:p>
          <w:p w14:paraId="0E7619B6" w14:textId="77777777" w:rsidR="000A40F4" w:rsidRPr="004469B4" w:rsidRDefault="000A40F4" w:rsidP="00C851AE">
            <w:pPr>
              <w:rPr>
                <w:rFonts w:ascii="Times New Roman" w:hAnsi="Times New Roman" w:cs="Times New Roman"/>
              </w:rPr>
            </w:pPr>
          </w:p>
          <w:p w14:paraId="63C51064"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“‘Our level of positive mental health goes up and down’- The rise and fall are within a certain limit. It is not a mood that changes like the wind. It should be noted that it is within the limit and relatively stable most of the time.”</w:t>
            </w:r>
          </w:p>
          <w:p w14:paraId="1A12ABCA" w14:textId="77777777" w:rsidR="000A40F4" w:rsidRPr="004469B4" w:rsidRDefault="000A40F4" w:rsidP="00C851AE">
            <w:pPr>
              <w:rPr>
                <w:rFonts w:ascii="Times New Roman" w:hAnsi="Times New Roman" w:cs="Times New Roman"/>
              </w:rPr>
            </w:pPr>
          </w:p>
        </w:tc>
      </w:tr>
      <w:tr w:rsidR="000A40F4" w:rsidRPr="004469B4" w14:paraId="54C80EC6" w14:textId="77777777" w:rsidTr="00C851AE">
        <w:tc>
          <w:tcPr>
            <w:tcW w:w="2405" w:type="dxa"/>
          </w:tcPr>
          <w:p w14:paraId="32DCC97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lastRenderedPageBreak/>
              <w:t>Scepticism About Universal positive mental health</w:t>
            </w:r>
          </w:p>
          <w:p w14:paraId="5B2891A5" w14:textId="77777777" w:rsidR="000A40F4" w:rsidRPr="004469B4" w:rsidRDefault="000A40F4" w:rsidP="00C851AE">
            <w:pPr>
              <w:rPr>
                <w:rFonts w:ascii="Times New Roman" w:hAnsi="Times New Roman" w:cs="Times New Roman"/>
              </w:rPr>
            </w:pPr>
          </w:p>
        </w:tc>
        <w:tc>
          <w:tcPr>
            <w:tcW w:w="4678" w:type="dxa"/>
          </w:tcPr>
          <w:p w14:paraId="3E685D7A"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The claim that “everyone has some level of positive mental health” is contested, particularly for individuals with severe mental health challenges. Experts suggest this may be aspirational rather than universally true and recommend softening or removing the claim.</w:t>
            </w:r>
          </w:p>
          <w:p w14:paraId="44D6F8CC" w14:textId="77777777" w:rsidR="000A40F4" w:rsidRPr="004469B4" w:rsidRDefault="000A40F4" w:rsidP="00C851AE">
            <w:pPr>
              <w:rPr>
                <w:rFonts w:ascii="Times New Roman" w:hAnsi="Times New Roman" w:cs="Times New Roman"/>
              </w:rPr>
            </w:pPr>
          </w:p>
        </w:tc>
        <w:tc>
          <w:tcPr>
            <w:tcW w:w="6441" w:type="dxa"/>
          </w:tcPr>
          <w:p w14:paraId="06137E08"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 xml:space="preserve"> “I don’t agree that everyone has some level of positive mental health. I have patients that are depressed I can not find any qualities of positive mental health. If keeping the statement could change everyone to most people.”</w:t>
            </w:r>
          </w:p>
          <w:p w14:paraId="34D6BD2B" w14:textId="77777777" w:rsidR="000A40F4" w:rsidRPr="004469B4" w:rsidRDefault="000A40F4" w:rsidP="00C851AE">
            <w:pPr>
              <w:rPr>
                <w:rFonts w:ascii="Times New Roman" w:hAnsi="Times New Roman" w:cs="Times New Roman"/>
              </w:rPr>
            </w:pPr>
          </w:p>
          <w:p w14:paraId="2D23E04E"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“I’m unsure if the statement ‘everyone has some level of positive mental health’ is universally true. I would hope so on the aspirational level. But in reality, I’m convinced, through personal experience as a mental health researchers and provider, that some people really may lack any experience of positive mental health (at the extreme, of course).”</w:t>
            </w:r>
          </w:p>
          <w:p w14:paraId="5460E754" w14:textId="77777777" w:rsidR="000A40F4" w:rsidRPr="004469B4" w:rsidRDefault="000A40F4" w:rsidP="00C851AE">
            <w:pPr>
              <w:rPr>
                <w:rFonts w:ascii="Times New Roman" w:hAnsi="Times New Roman" w:cs="Times New Roman"/>
              </w:rPr>
            </w:pPr>
          </w:p>
          <w:p w14:paraId="249756F0" w14:textId="77777777" w:rsidR="000A40F4" w:rsidRPr="004469B4" w:rsidRDefault="000A40F4" w:rsidP="00C851AE">
            <w:pPr>
              <w:rPr>
                <w:rFonts w:ascii="Times New Roman" w:hAnsi="Times New Roman" w:cs="Times New Roman"/>
              </w:rPr>
            </w:pPr>
            <w:r w:rsidRPr="004469B4">
              <w:rPr>
                <w:rFonts w:ascii="Times New Roman" w:hAnsi="Times New Roman" w:cs="Times New Roman"/>
              </w:rPr>
              <w:t>“Everyone has some level of positive mental health, and this can be improved by taking action, even when people experience a mental health condition. Not sure its value. again puts the onus on the person to create positive mental health. We have all experienced positive mental health - might be better as at some points in time people may not recognise positive mental health in themselves.”</w:t>
            </w:r>
          </w:p>
          <w:p w14:paraId="5CEEEB5C" w14:textId="77777777" w:rsidR="000A40F4" w:rsidRPr="004469B4" w:rsidRDefault="000A40F4" w:rsidP="00C851AE">
            <w:pPr>
              <w:rPr>
                <w:rFonts w:ascii="Times New Roman" w:hAnsi="Times New Roman" w:cs="Times New Roman"/>
              </w:rPr>
            </w:pPr>
          </w:p>
        </w:tc>
      </w:tr>
    </w:tbl>
    <w:p w14:paraId="19EBA06B" w14:textId="77777777" w:rsidR="000A40F4" w:rsidRPr="004469B4" w:rsidRDefault="000A40F4" w:rsidP="000A40F4">
      <w:pPr>
        <w:rPr>
          <w:rFonts w:ascii="Times New Roman" w:eastAsia="Arial" w:hAnsi="Times New Roman" w:cs="Times New Roman"/>
          <w:b/>
          <w:bCs/>
          <w:color w:val="000000" w:themeColor="text1"/>
        </w:rPr>
      </w:pPr>
    </w:p>
    <w:p w14:paraId="7F75DE37"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br w:type="page"/>
      </w:r>
    </w:p>
    <w:p w14:paraId="67DAF0C5" w14:textId="77777777" w:rsidR="000A40F4" w:rsidRPr="004469B4" w:rsidRDefault="000A40F4" w:rsidP="000A40F4">
      <w:pPr>
        <w:rPr>
          <w:rFonts w:ascii="Times New Roman" w:eastAsia="Arial" w:hAnsi="Times New Roman" w:cs="Times New Roman"/>
          <w:b/>
          <w:bCs/>
          <w:color w:val="000000" w:themeColor="text1"/>
        </w:rPr>
      </w:pPr>
      <w:r w:rsidRPr="004469B4">
        <w:rPr>
          <w:rFonts w:ascii="Times New Roman" w:eastAsia="Arial" w:hAnsi="Times New Roman" w:cs="Times New Roman"/>
          <w:b/>
          <w:bCs/>
          <w:color w:val="000000" w:themeColor="text1"/>
        </w:rPr>
        <w:lastRenderedPageBreak/>
        <w:t xml:space="preserve">Acknowledgements: </w:t>
      </w:r>
    </w:p>
    <w:p w14:paraId="55539B18" w14:textId="77777777" w:rsidR="000A40F4" w:rsidRPr="004469B4" w:rsidRDefault="000A40F4" w:rsidP="000A40F4">
      <w:p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rPr>
        <w:t>Expert panel members were asked if they wished to be formally acknowledged below. We express gratitude to both these participants and those who chose anonymity for their valuable contributions to our study.</w:t>
      </w:r>
    </w:p>
    <w:p w14:paraId="0371C648"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sectPr w:rsidR="000A40F4" w:rsidRPr="004469B4" w:rsidSect="000A40F4">
          <w:pgSz w:w="16838" w:h="11906" w:orient="landscape"/>
          <w:pgMar w:top="1440" w:right="1440" w:bottom="1440" w:left="1440" w:header="708" w:footer="708" w:gutter="0"/>
          <w:cols w:space="708"/>
          <w:docGrid w:linePitch="360"/>
        </w:sectPr>
      </w:pPr>
    </w:p>
    <w:p w14:paraId="3ED0747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Alan S. Waterman, The College of New Jersey</w:t>
      </w:r>
    </w:p>
    <w:p w14:paraId="5E112843"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Ali Eryılmaz, Yıldız Technical University</w:t>
      </w:r>
    </w:p>
    <w:p w14:paraId="5342782B"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Amy Witkoski Stimpfel, New York University</w:t>
      </w:r>
    </w:p>
    <w:p w14:paraId="3808DDB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Clin. Prof. Andrew Garner, Case Western Reserve University</w:t>
      </w:r>
    </w:p>
    <w:p w14:paraId="472DA17F"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Andrew Steptoe, University College London</w:t>
      </w:r>
    </w:p>
    <w:p w14:paraId="3C9968F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Andy P. Siddaway, University of Glasgow</w:t>
      </w:r>
    </w:p>
    <w:p w14:paraId="645BBD4A"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Angela Taft, Latrobe University</w:t>
      </w:r>
    </w:p>
    <w:p w14:paraId="2E79B49F"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Angela Webster, University of Sydney</w:t>
      </w:r>
    </w:p>
    <w:p w14:paraId="0E13117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Ann Hemingway, Bournemouth University</w:t>
      </w:r>
    </w:p>
    <w:p w14:paraId="0C9152E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Antonio Branco Vasco, Universidade de Lisboa</w:t>
      </w:r>
    </w:p>
    <w:p w14:paraId="3E253D02"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Bernie Garrett, University of British Columbia</w:t>
      </w:r>
    </w:p>
    <w:p w14:paraId="35A2433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Carl Weems, Iowa State University</w:t>
      </w:r>
    </w:p>
    <w:p w14:paraId="2CF8F4B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Carmelo Vazquez, Complutense University of Madrid</w:t>
      </w:r>
    </w:p>
    <w:p w14:paraId="65CFD2C3"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Carol Rockhill, University of Washington</w:t>
      </w:r>
    </w:p>
    <w:p w14:paraId="70D55FF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Charles Bernstein, University of Manitoba</w:t>
      </w:r>
    </w:p>
    <w:p w14:paraId="44CFCB3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Charles F. Reynolds III, University of Pittsburgh</w:t>
      </w:r>
    </w:p>
    <w:p w14:paraId="72B2FAD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Chiara Ruini, University of Bologna</w:t>
      </w:r>
    </w:p>
    <w:p w14:paraId="574D83A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Christina Lee, University of Queensland</w:t>
      </w:r>
    </w:p>
    <w:p w14:paraId="53C0D2EB"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Claire Adams, McGill University</w:t>
      </w:r>
    </w:p>
    <w:p w14:paraId="27686A1F"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Professor Claire Haworth, University of Bristol</w:t>
      </w:r>
    </w:p>
    <w:p w14:paraId="6BBBFE8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Clare M. Eddy, University of Birmingham</w:t>
      </w:r>
    </w:p>
    <w:p w14:paraId="2621588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Colin P. West, Mayo Clinic</w:t>
      </w:r>
    </w:p>
    <w:p w14:paraId="684D8C0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Professor Daisy Fancourt, University College London</w:t>
      </w:r>
    </w:p>
    <w:p w14:paraId="0200EA38"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Daniel Hernandez-Torrano, Nazarbayev Universit</w:t>
      </w:r>
    </w:p>
    <w:p w14:paraId="7826106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David Disabato, Baldwin Wallace University</w:t>
      </w:r>
    </w:p>
    <w:p w14:paraId="674F2F42"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Davina Porock, Edith Cowan University</w:t>
      </w:r>
    </w:p>
    <w:p w14:paraId="63D4D59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Diane Whiting</w:t>
      </w:r>
    </w:p>
    <w:p w14:paraId="7713AB5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Edna Rabenu, Tel-Hai Academic College</w:t>
      </w:r>
    </w:p>
    <w:p w14:paraId="48A046F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Ekaterina Oparina, London School of Economics</w:t>
      </w:r>
    </w:p>
    <w:p w14:paraId="47CFA4B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Emily Richard, University of New Brunswick</w:t>
      </w:r>
    </w:p>
    <w:p w14:paraId="03EF97D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Emily Willroth, Washington University in St Louis</w:t>
      </w:r>
    </w:p>
    <w:p w14:paraId="199FE66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Esther Lopez-Zafra, University of Jaén</w:t>
      </w:r>
    </w:p>
    <w:p w14:paraId="265696BF"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Fabienne T. Amstad, Pedagogical College Bern</w:t>
      </w:r>
    </w:p>
    <w:p w14:paraId="62E1DFFF"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Fang Lee Cooke, Monash University</w:t>
      </w:r>
    </w:p>
    <w:p w14:paraId="0E5B25D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Francesco Pagnini, Università Cattolica</w:t>
      </w:r>
    </w:p>
    <w:p w14:paraId="59C7414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Grant Bickerton</w:t>
      </w:r>
    </w:p>
    <w:p w14:paraId="4C2140E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Guy Fletcher, University of Edinburgh</w:t>
      </w:r>
    </w:p>
    <w:p w14:paraId="32C2AEA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Habib Tiliouine, University of Oran 2</w:t>
      </w:r>
    </w:p>
    <w:p w14:paraId="71B368B3"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Hannah Metzler, Complexity Science Hub Vienna</w:t>
      </w:r>
    </w:p>
    <w:p w14:paraId="0AC49D08"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Helen Spencer-Oatey, University of Warwick</w:t>
      </w:r>
    </w:p>
    <w:p w14:paraId="33C8F51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Holly Blake, University of Nottingham</w:t>
      </w:r>
    </w:p>
    <w:p w14:paraId="3F6ECA72"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Isaac Prilleltensky, University of Miami</w:t>
      </w:r>
    </w:p>
    <w:p w14:paraId="18594A83"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Ivan J Perry, University College Cork</w:t>
      </w:r>
    </w:p>
    <w:p w14:paraId="348C47E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James E. Maddux, George Mason University</w:t>
      </w:r>
    </w:p>
    <w:p w14:paraId="04B01BC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Jeanette M. Bennett, University of North Carolina</w:t>
      </w:r>
    </w:p>
    <w:p w14:paraId="7325679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lastRenderedPageBreak/>
        <w:t>Dr Jenny Groarke, University of Galway</w:t>
      </w:r>
    </w:p>
    <w:p w14:paraId="7D05148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Jessica L Martin, University at Albany</w:t>
      </w:r>
    </w:p>
    <w:p w14:paraId="46F264A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Jeylan Mortimer, University of Minnesota</w:t>
      </w:r>
    </w:p>
    <w:p w14:paraId="5C0D19A3"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Joel Vos PhD, Metanoia Institute</w:t>
      </w:r>
    </w:p>
    <w:p w14:paraId="7D9D656B"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John M. Salsman, Wake Forrest University</w:t>
      </w:r>
    </w:p>
    <w:p w14:paraId="1A48A698"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Jon Hall, United Nations Development Programme</w:t>
      </w:r>
    </w:p>
    <w:p w14:paraId="702BDE45"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Jose A. Piqueras, Universidad Miguel Hernández</w:t>
      </w:r>
    </w:p>
    <w:p w14:paraId="5DFB0117"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Jose Marquez, University of Manchester</w:t>
      </w:r>
    </w:p>
    <w:p w14:paraId="0165AB4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Julia Rowland, Smith Centre</w:t>
      </w:r>
    </w:p>
    <w:p w14:paraId="34693137"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Jun Jiang, Shanghai Normal University</w:t>
      </w:r>
    </w:p>
    <w:p w14:paraId="4291E412"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Karen-Marie Yust, Union Presbyterian Seminary</w:t>
      </w:r>
    </w:p>
    <w:p w14:paraId="71E76AC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Karina Nielsen, University of Sheffield</w:t>
      </w:r>
    </w:p>
    <w:p w14:paraId="55F758F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Kate Ward, Marquette University</w:t>
      </w:r>
    </w:p>
    <w:p w14:paraId="0D1CB01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Koichiro Shiba, Boston University</w:t>
      </w:r>
    </w:p>
    <w:p w14:paraId="209CD46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Lara Aknin, Simon Fraser University</w:t>
      </w:r>
    </w:p>
    <w:p w14:paraId="3B8C352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Laura N. Gitlin, Drexel University</w:t>
      </w:r>
    </w:p>
    <w:p w14:paraId="0CE0D212"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Lianne de Vries, Vrije Universiteit Amsterdam</w:t>
      </w:r>
    </w:p>
    <w:p w14:paraId="27E7C46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Linda Bolier, Trimbos Institute</w:t>
      </w:r>
    </w:p>
    <w:p w14:paraId="016637F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Lydia Brown, University of Melbourne</w:t>
      </w:r>
    </w:p>
    <w:p w14:paraId="497D364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 Elizabeth Lewis Hall, Biola University</w:t>
      </w:r>
    </w:p>
    <w:p w14:paraId="639802D4"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Machteld Hube , Institute for Positive Health</w:t>
      </w:r>
    </w:p>
    <w:p w14:paraId="59B17DCB"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Maike Luhmann, Ruhr University Bochum</w:t>
      </w:r>
    </w:p>
    <w:p w14:paraId="0933BB7A"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Manacy Pai, Kent State University</w:t>
      </w:r>
    </w:p>
    <w:p w14:paraId="20ABEBE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Marco te Brömmelstroet, University of Amsterdam</w:t>
      </w:r>
    </w:p>
    <w:p w14:paraId="7E8683D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Clin Prof Margo Mountjoy, McMaster University</w:t>
      </w:r>
    </w:p>
    <w:p w14:paraId="097CB76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Mariano Rojas, The Latin American Faculty of Social Sciences</w:t>
      </w:r>
    </w:p>
    <w:p w14:paraId="1094E4A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Marijke Schotanus-Dijkstra, University of Twente</w:t>
      </w:r>
    </w:p>
    <w:p w14:paraId="3B13B1C8"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Martijn Burger, Open University of the Netherlands</w:t>
      </w:r>
    </w:p>
    <w:p w14:paraId="7D980F75"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Martin Knapp, London School of Economics</w:t>
      </w:r>
    </w:p>
    <w:p w14:paraId="4D95F87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Mary Jo Kreitzer, University of Minnesota</w:t>
      </w:r>
    </w:p>
    <w:p w14:paraId="0D6A85F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Masashi Soga, The University of Tokyo</w:t>
      </w:r>
    </w:p>
    <w:p w14:paraId="4AA305B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Mr Max Norton, University of British Columbia</w:t>
      </w:r>
    </w:p>
    <w:p w14:paraId="6B1E156A"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Michaela C. Schippers, Erasmus University Rotterdam</w:t>
      </w:r>
    </w:p>
    <w:p w14:paraId="7C28739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Michelle N. Shiota, Arizona State University</w:t>
      </w:r>
    </w:p>
    <w:p w14:paraId="36E7AA98"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Mohsen Joshanloo, Keimyung University</w:t>
      </w:r>
    </w:p>
    <w:p w14:paraId="7088665A"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Nicola Magnavita, Università Cattolica</w:t>
      </w:r>
    </w:p>
    <w:p w14:paraId="3BCB826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Paul R Hunter, University of East Anglia</w:t>
      </w:r>
    </w:p>
    <w:p w14:paraId="095799F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Pedro Morgado, University of Minho</w:t>
      </w:r>
    </w:p>
    <w:p w14:paraId="00BB6B8F"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Peter Taylor, University of Manchester</w:t>
      </w:r>
    </w:p>
    <w:p w14:paraId="311A0EF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Philip Asherson, Kings College London</w:t>
      </w:r>
    </w:p>
    <w:p w14:paraId="4FBCCE2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Philip S. Morrison, Victoria University</w:t>
      </w:r>
    </w:p>
    <w:p w14:paraId="193EA5C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Philip Watkins, Eastern Washington University</w:t>
      </w:r>
    </w:p>
    <w:p w14:paraId="1369694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Piet Bracke, Ghent University</w:t>
      </w:r>
    </w:p>
    <w:p w14:paraId="4DF7A66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Ruut Veenhoven, Erasmus University</w:t>
      </w:r>
    </w:p>
    <w:p w14:paraId="30B865D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Sarah Murray, Johns Hopkins University</w:t>
      </w:r>
    </w:p>
    <w:p w14:paraId="2D278C19"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Sebastian Filep, Bond University</w:t>
      </w:r>
    </w:p>
    <w:p w14:paraId="61366E4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Shane Clifton, University of Sydney</w:t>
      </w:r>
    </w:p>
    <w:p w14:paraId="00307EEC"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Sherry Hamby, University of the South</w:t>
      </w:r>
    </w:p>
    <w:p w14:paraId="5F81C5E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Soo Downe, University of Central Lancashire</w:t>
      </w:r>
    </w:p>
    <w:p w14:paraId="1092022B"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Stefan De Hert, Ghent University</w:t>
      </w:r>
    </w:p>
    <w:p w14:paraId="4C69E5EA"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lastRenderedPageBreak/>
        <w:t>Prof Emeritus Stephen Zubrick, University of Western Australia</w:t>
      </w:r>
    </w:p>
    <w:p w14:paraId="15A627FD"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Thomas B. Randrup, Swedish University of Agricultural Sciences</w:t>
      </w:r>
    </w:p>
    <w:p w14:paraId="2258D08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Timothy Chen, University of Sydney</w:t>
      </w:r>
    </w:p>
    <w:p w14:paraId="4445A18A"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Tyler L. Renshaw, Utah State University</w:t>
      </w:r>
    </w:p>
    <w:p w14:paraId="3E530FB0"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Emeritus Valerie Møller, Rhodes University</w:t>
      </w:r>
    </w:p>
    <w:p w14:paraId="138DA3A3"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Dr Vanessa Pinfold, McPin Foundation</w:t>
      </w:r>
    </w:p>
    <w:p w14:paraId="3BCB6FBE"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A/Prof Weiyun Chen, University of Michigan</w:t>
      </w:r>
    </w:p>
    <w:p w14:paraId="068AA97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Yaakov Stern, Columbia University</w:t>
      </w:r>
    </w:p>
    <w:p w14:paraId="1093DAC1"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lang w:val="en-GB"/>
        </w:rPr>
      </w:pPr>
      <w:r w:rsidRPr="004469B4">
        <w:rPr>
          <w:rFonts w:ascii="Times New Roman" w:eastAsia="Arial" w:hAnsi="Times New Roman" w:cs="Times New Roman"/>
          <w:color w:val="000000" w:themeColor="text1"/>
          <w:lang w:val="en-GB"/>
        </w:rPr>
        <w:t>Prof Yin Paradies, Deakin University</w:t>
      </w:r>
    </w:p>
    <w:p w14:paraId="133BCB26" w14:textId="77777777" w:rsidR="000A40F4" w:rsidRPr="004469B4" w:rsidRDefault="000A40F4" w:rsidP="000A40F4">
      <w:pPr>
        <w:pStyle w:val="ListParagraph"/>
        <w:numPr>
          <w:ilvl w:val="0"/>
          <w:numId w:val="17"/>
        </w:numPr>
        <w:rPr>
          <w:rFonts w:ascii="Times New Roman" w:eastAsia="Arial" w:hAnsi="Times New Roman" w:cs="Times New Roman"/>
          <w:color w:val="000000" w:themeColor="text1"/>
        </w:rPr>
      </w:pPr>
      <w:r w:rsidRPr="004469B4">
        <w:rPr>
          <w:rFonts w:ascii="Times New Roman" w:eastAsia="Arial" w:hAnsi="Times New Roman" w:cs="Times New Roman"/>
          <w:color w:val="000000" w:themeColor="text1"/>
          <w:lang w:val="en-GB"/>
        </w:rPr>
        <w:t>Prof Zella E. Moore, Touro University</w:t>
      </w:r>
    </w:p>
    <w:p w14:paraId="1E4930DD" w14:textId="77777777" w:rsidR="00A91650" w:rsidRDefault="00A91650"/>
    <w:sectPr w:rsidR="00A91650" w:rsidSect="000A40F4">
      <w:type w:val="continuous"/>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6870"/>
    <w:multiLevelType w:val="multilevel"/>
    <w:tmpl w:val="DAA4663E"/>
    <w:lvl w:ilvl="0">
      <w:start w:val="3"/>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5814A83"/>
    <w:multiLevelType w:val="multilevel"/>
    <w:tmpl w:val="A9DE24C4"/>
    <w:lvl w:ilvl="0">
      <w:start w:val="8"/>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2CC188E"/>
    <w:multiLevelType w:val="hybridMultilevel"/>
    <w:tmpl w:val="651C43D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1EC337D"/>
    <w:multiLevelType w:val="multilevel"/>
    <w:tmpl w:val="F070B0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837D0C"/>
    <w:multiLevelType w:val="multilevel"/>
    <w:tmpl w:val="0A94396A"/>
    <w:lvl w:ilvl="0">
      <w:start w:val="7"/>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49BF6DC6"/>
    <w:multiLevelType w:val="multilevel"/>
    <w:tmpl w:val="06C6243E"/>
    <w:lvl w:ilvl="0">
      <w:start w:val="1"/>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58730204"/>
    <w:multiLevelType w:val="multilevel"/>
    <w:tmpl w:val="E2C8D218"/>
    <w:lvl w:ilvl="0">
      <w:start w:val="6"/>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5C347FDB"/>
    <w:multiLevelType w:val="multilevel"/>
    <w:tmpl w:val="9BC8E44E"/>
    <w:lvl w:ilvl="0">
      <w:start w:val="10"/>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5C4A3C7D"/>
    <w:multiLevelType w:val="multilevel"/>
    <w:tmpl w:val="7496125E"/>
    <w:lvl w:ilvl="0">
      <w:start w:val="4"/>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6020670E"/>
    <w:multiLevelType w:val="hybridMultilevel"/>
    <w:tmpl w:val="8FC028C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A1338FB"/>
    <w:multiLevelType w:val="multilevel"/>
    <w:tmpl w:val="483ED7C2"/>
    <w:lvl w:ilvl="0">
      <w:start w:val="9"/>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6C264CC5"/>
    <w:multiLevelType w:val="hybridMultilevel"/>
    <w:tmpl w:val="DF50A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5C9716B"/>
    <w:multiLevelType w:val="multilevel"/>
    <w:tmpl w:val="CB005C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641C29"/>
    <w:multiLevelType w:val="multilevel"/>
    <w:tmpl w:val="1CFEA8C6"/>
    <w:lvl w:ilvl="0">
      <w:start w:val="5"/>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77A9537B"/>
    <w:multiLevelType w:val="multilevel"/>
    <w:tmpl w:val="D3C6DDE2"/>
    <w:lvl w:ilvl="0">
      <w:start w:val="2"/>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77DE64F3"/>
    <w:multiLevelType w:val="hybridMultilevel"/>
    <w:tmpl w:val="54082A58"/>
    <w:lvl w:ilvl="0" w:tplc="8E5E5398">
      <w:start w:val="75"/>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ACE15E8"/>
    <w:multiLevelType w:val="hybridMultilevel"/>
    <w:tmpl w:val="12E8D6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5060251">
    <w:abstractNumId w:val="15"/>
  </w:num>
  <w:num w:numId="2" w16cid:durableId="1559781954">
    <w:abstractNumId w:val="12"/>
  </w:num>
  <w:num w:numId="3" w16cid:durableId="1571454675">
    <w:abstractNumId w:val="3"/>
  </w:num>
  <w:num w:numId="4" w16cid:durableId="642463506">
    <w:abstractNumId w:val="16"/>
  </w:num>
  <w:num w:numId="5" w16cid:durableId="147678322">
    <w:abstractNumId w:val="8"/>
  </w:num>
  <w:num w:numId="6" w16cid:durableId="648510969">
    <w:abstractNumId w:val="13"/>
  </w:num>
  <w:num w:numId="7" w16cid:durableId="2105614393">
    <w:abstractNumId w:val="5"/>
  </w:num>
  <w:num w:numId="8" w16cid:durableId="811673067">
    <w:abstractNumId w:val="10"/>
  </w:num>
  <w:num w:numId="9" w16cid:durableId="1519152009">
    <w:abstractNumId w:val="1"/>
  </w:num>
  <w:num w:numId="10" w16cid:durableId="335881743">
    <w:abstractNumId w:val="6"/>
  </w:num>
  <w:num w:numId="11" w16cid:durableId="852036716">
    <w:abstractNumId w:val="0"/>
  </w:num>
  <w:num w:numId="12" w16cid:durableId="217668232">
    <w:abstractNumId w:val="4"/>
  </w:num>
  <w:num w:numId="13" w16cid:durableId="396905169">
    <w:abstractNumId w:val="14"/>
  </w:num>
  <w:num w:numId="14" w16cid:durableId="1879271597">
    <w:abstractNumId w:val="7"/>
  </w:num>
  <w:num w:numId="15" w16cid:durableId="25642274">
    <w:abstractNumId w:val="9"/>
  </w:num>
  <w:num w:numId="16" w16cid:durableId="962007128">
    <w:abstractNumId w:val="2"/>
  </w:num>
  <w:num w:numId="17" w16cid:durableId="14608821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0F4"/>
    <w:rsid w:val="000A40F4"/>
    <w:rsid w:val="000E2EDD"/>
    <w:rsid w:val="00A47A63"/>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7B302"/>
  <w15:chartTrackingRefBased/>
  <w15:docId w15:val="{3E6A2777-7EE7-4676-BE8D-41A726923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40F4"/>
    <w:rPr>
      <w:lang w:val="en-AU"/>
    </w:rPr>
  </w:style>
  <w:style w:type="paragraph" w:styleId="Heading1">
    <w:name w:val="heading 1"/>
    <w:basedOn w:val="Normal"/>
    <w:next w:val="Normal"/>
    <w:link w:val="Heading1Char"/>
    <w:uiPriority w:val="9"/>
    <w:qFormat/>
    <w:rsid w:val="000A40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40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40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40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40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40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40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40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40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0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40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40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40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40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40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40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40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40F4"/>
    <w:rPr>
      <w:rFonts w:eastAsiaTheme="majorEastAsia" w:cstheme="majorBidi"/>
      <w:color w:val="272727" w:themeColor="text1" w:themeTint="D8"/>
    </w:rPr>
  </w:style>
  <w:style w:type="paragraph" w:styleId="Title">
    <w:name w:val="Title"/>
    <w:basedOn w:val="Normal"/>
    <w:next w:val="Normal"/>
    <w:link w:val="TitleChar"/>
    <w:uiPriority w:val="10"/>
    <w:qFormat/>
    <w:rsid w:val="000A40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0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40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40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40F4"/>
    <w:pPr>
      <w:spacing w:before="160"/>
      <w:jc w:val="center"/>
    </w:pPr>
    <w:rPr>
      <w:i/>
      <w:iCs/>
      <w:color w:val="404040" w:themeColor="text1" w:themeTint="BF"/>
    </w:rPr>
  </w:style>
  <w:style w:type="character" w:customStyle="1" w:styleId="QuoteChar">
    <w:name w:val="Quote Char"/>
    <w:basedOn w:val="DefaultParagraphFont"/>
    <w:link w:val="Quote"/>
    <w:uiPriority w:val="29"/>
    <w:rsid w:val="000A40F4"/>
    <w:rPr>
      <w:i/>
      <w:iCs/>
      <w:color w:val="404040" w:themeColor="text1" w:themeTint="BF"/>
    </w:rPr>
  </w:style>
  <w:style w:type="paragraph" w:styleId="ListParagraph">
    <w:name w:val="List Paragraph"/>
    <w:basedOn w:val="Normal"/>
    <w:uiPriority w:val="34"/>
    <w:qFormat/>
    <w:rsid w:val="000A40F4"/>
    <w:pPr>
      <w:ind w:left="720"/>
      <w:contextualSpacing/>
    </w:pPr>
  </w:style>
  <w:style w:type="character" w:styleId="IntenseEmphasis">
    <w:name w:val="Intense Emphasis"/>
    <w:basedOn w:val="DefaultParagraphFont"/>
    <w:uiPriority w:val="21"/>
    <w:qFormat/>
    <w:rsid w:val="000A40F4"/>
    <w:rPr>
      <w:i/>
      <w:iCs/>
      <w:color w:val="0F4761" w:themeColor="accent1" w:themeShade="BF"/>
    </w:rPr>
  </w:style>
  <w:style w:type="paragraph" w:styleId="IntenseQuote">
    <w:name w:val="Intense Quote"/>
    <w:basedOn w:val="Normal"/>
    <w:next w:val="Normal"/>
    <w:link w:val="IntenseQuoteChar"/>
    <w:uiPriority w:val="30"/>
    <w:qFormat/>
    <w:rsid w:val="000A40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40F4"/>
    <w:rPr>
      <w:i/>
      <w:iCs/>
      <w:color w:val="0F4761" w:themeColor="accent1" w:themeShade="BF"/>
    </w:rPr>
  </w:style>
  <w:style w:type="character" w:styleId="IntenseReference">
    <w:name w:val="Intense Reference"/>
    <w:basedOn w:val="DefaultParagraphFont"/>
    <w:uiPriority w:val="32"/>
    <w:qFormat/>
    <w:rsid w:val="000A40F4"/>
    <w:rPr>
      <w:b/>
      <w:bCs/>
      <w:smallCaps/>
      <w:color w:val="0F4761" w:themeColor="accent1" w:themeShade="BF"/>
      <w:spacing w:val="5"/>
    </w:rPr>
  </w:style>
  <w:style w:type="character" w:customStyle="1" w:styleId="anchor-text">
    <w:name w:val="anchor-text"/>
    <w:basedOn w:val="DefaultParagraphFont"/>
    <w:rsid w:val="000A40F4"/>
  </w:style>
  <w:style w:type="character" w:styleId="Hyperlink">
    <w:name w:val="Hyperlink"/>
    <w:basedOn w:val="DefaultParagraphFont"/>
    <w:uiPriority w:val="99"/>
    <w:unhideWhenUsed/>
    <w:rsid w:val="000A40F4"/>
    <w:rPr>
      <w:color w:val="467886" w:themeColor="hyperlink"/>
      <w:u w:val="single"/>
    </w:rPr>
  </w:style>
  <w:style w:type="character" w:styleId="UnresolvedMention">
    <w:name w:val="Unresolved Mention"/>
    <w:basedOn w:val="DefaultParagraphFont"/>
    <w:uiPriority w:val="99"/>
    <w:semiHidden/>
    <w:unhideWhenUsed/>
    <w:rsid w:val="000A40F4"/>
    <w:rPr>
      <w:color w:val="605E5C"/>
      <w:shd w:val="clear" w:color="auto" w:fill="E1DFDD"/>
    </w:rPr>
  </w:style>
  <w:style w:type="paragraph" w:customStyle="1" w:styleId="EndNoteBibliographyTitle">
    <w:name w:val="EndNote Bibliography Title"/>
    <w:basedOn w:val="Normal"/>
    <w:link w:val="EndNoteBibliographyTitleChar"/>
    <w:rsid w:val="000A40F4"/>
    <w:pPr>
      <w:spacing w:after="0"/>
      <w:jc w:val="center"/>
    </w:pPr>
    <w:rPr>
      <w:rFonts w:ascii="Aptos" w:hAnsi="Aptos"/>
      <w:lang w:val="en-US"/>
    </w:rPr>
  </w:style>
  <w:style w:type="character" w:customStyle="1" w:styleId="EndNoteBibliographyTitleChar">
    <w:name w:val="EndNote Bibliography Title Char"/>
    <w:basedOn w:val="DefaultParagraphFont"/>
    <w:link w:val="EndNoteBibliographyTitle"/>
    <w:rsid w:val="000A40F4"/>
    <w:rPr>
      <w:rFonts w:ascii="Aptos" w:hAnsi="Aptos"/>
      <w:lang w:val="en-US"/>
    </w:rPr>
  </w:style>
  <w:style w:type="paragraph" w:customStyle="1" w:styleId="EndNoteBibliography">
    <w:name w:val="EndNote Bibliography"/>
    <w:basedOn w:val="Normal"/>
    <w:link w:val="EndNoteBibliographyChar"/>
    <w:rsid w:val="000A40F4"/>
    <w:pPr>
      <w:spacing w:line="240" w:lineRule="auto"/>
    </w:pPr>
    <w:rPr>
      <w:rFonts w:ascii="Aptos" w:hAnsi="Aptos"/>
      <w:lang w:val="en-US"/>
    </w:rPr>
  </w:style>
  <w:style w:type="character" w:customStyle="1" w:styleId="EndNoteBibliographyChar">
    <w:name w:val="EndNote Bibliography Char"/>
    <w:basedOn w:val="DefaultParagraphFont"/>
    <w:link w:val="EndNoteBibliography"/>
    <w:rsid w:val="000A40F4"/>
    <w:rPr>
      <w:rFonts w:ascii="Aptos" w:hAnsi="Aptos"/>
      <w:lang w:val="en-US"/>
    </w:rPr>
  </w:style>
  <w:style w:type="paragraph" w:styleId="CommentText">
    <w:name w:val="annotation text"/>
    <w:basedOn w:val="Normal"/>
    <w:link w:val="CommentTextChar"/>
    <w:uiPriority w:val="99"/>
    <w:unhideWhenUsed/>
    <w:rsid w:val="000A40F4"/>
    <w:pPr>
      <w:spacing w:line="240" w:lineRule="auto"/>
    </w:pPr>
    <w:rPr>
      <w:rFonts w:eastAsiaTheme="minorEastAsia"/>
      <w:kern w:val="0"/>
      <w:sz w:val="20"/>
      <w:szCs w:val="20"/>
      <w:lang w:val="en-US" w:eastAsia="ja-JP"/>
      <w14:ligatures w14:val="none"/>
    </w:rPr>
  </w:style>
  <w:style w:type="character" w:customStyle="1" w:styleId="CommentTextChar">
    <w:name w:val="Comment Text Char"/>
    <w:basedOn w:val="DefaultParagraphFont"/>
    <w:link w:val="CommentText"/>
    <w:uiPriority w:val="99"/>
    <w:rsid w:val="000A40F4"/>
    <w:rPr>
      <w:rFonts w:eastAsiaTheme="minorEastAsia"/>
      <w:kern w:val="0"/>
      <w:sz w:val="20"/>
      <w:szCs w:val="20"/>
      <w:lang w:val="en-US" w:eastAsia="ja-JP"/>
      <w14:ligatures w14:val="none"/>
    </w:rPr>
  </w:style>
  <w:style w:type="character" w:styleId="CommentReference">
    <w:name w:val="annotation reference"/>
    <w:basedOn w:val="DefaultParagraphFont"/>
    <w:uiPriority w:val="99"/>
    <w:semiHidden/>
    <w:unhideWhenUsed/>
    <w:rsid w:val="000A40F4"/>
    <w:rPr>
      <w:sz w:val="16"/>
      <w:szCs w:val="16"/>
    </w:rPr>
  </w:style>
  <w:style w:type="character" w:customStyle="1" w:styleId="normaltextrun">
    <w:name w:val="normaltextrun"/>
    <w:basedOn w:val="DefaultParagraphFont"/>
    <w:rsid w:val="000A40F4"/>
  </w:style>
  <w:style w:type="character" w:customStyle="1" w:styleId="eop">
    <w:name w:val="eop"/>
    <w:basedOn w:val="DefaultParagraphFont"/>
    <w:rsid w:val="000A40F4"/>
  </w:style>
  <w:style w:type="table" w:styleId="TableGrid">
    <w:name w:val="Table Grid"/>
    <w:basedOn w:val="TableNormal"/>
    <w:uiPriority w:val="39"/>
    <w:rsid w:val="000A40F4"/>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ss-1jxf684">
    <w:name w:val="css-1jxf684"/>
    <w:basedOn w:val="DefaultParagraphFont"/>
    <w:rsid w:val="000A40F4"/>
  </w:style>
  <w:style w:type="paragraph" w:customStyle="1" w:styleId="paragraph">
    <w:name w:val="paragraph"/>
    <w:basedOn w:val="Normal"/>
    <w:rsid w:val="000A40F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CommentSubject">
    <w:name w:val="annotation subject"/>
    <w:basedOn w:val="CommentText"/>
    <w:next w:val="CommentText"/>
    <w:link w:val="CommentSubjectChar"/>
    <w:uiPriority w:val="99"/>
    <w:semiHidden/>
    <w:unhideWhenUsed/>
    <w:rsid w:val="000A40F4"/>
    <w:rPr>
      <w:rFonts w:eastAsiaTheme="minorHAnsi"/>
      <w:b/>
      <w:bCs/>
      <w:kern w:val="2"/>
      <w:lang w:val="en-AU" w:eastAsia="en-US"/>
      <w14:ligatures w14:val="standardContextual"/>
    </w:rPr>
  </w:style>
  <w:style w:type="character" w:customStyle="1" w:styleId="CommentSubjectChar">
    <w:name w:val="Comment Subject Char"/>
    <w:basedOn w:val="CommentTextChar"/>
    <w:link w:val="CommentSubject"/>
    <w:uiPriority w:val="99"/>
    <w:semiHidden/>
    <w:rsid w:val="000A40F4"/>
    <w:rPr>
      <w:rFonts w:eastAsiaTheme="minorEastAsia"/>
      <w:b/>
      <w:bCs/>
      <w:kern w:val="0"/>
      <w:sz w:val="20"/>
      <w:szCs w:val="20"/>
      <w:lang w:val="en-AU" w:eastAsia="ja-JP"/>
      <w14:ligatures w14:val="none"/>
    </w:rPr>
  </w:style>
  <w:style w:type="paragraph" w:styleId="Revision">
    <w:name w:val="Revision"/>
    <w:hidden/>
    <w:uiPriority w:val="99"/>
    <w:semiHidden/>
    <w:rsid w:val="000A40F4"/>
    <w:pPr>
      <w:spacing w:after="0" w:line="240" w:lineRule="auto"/>
    </w:pPr>
    <w:rPr>
      <w:lang w:val="en-AU"/>
    </w:rPr>
  </w:style>
  <w:style w:type="character" w:styleId="PlaceholderText">
    <w:name w:val="Placeholder Text"/>
    <w:basedOn w:val="DefaultParagraphFont"/>
    <w:uiPriority w:val="99"/>
    <w:semiHidden/>
    <w:rsid w:val="000A40F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5603</Words>
  <Characters>31487</Characters>
  <Application>Microsoft Office Word</Application>
  <DocSecurity>0</DocSecurity>
  <Lines>1300</Lines>
  <Paragraphs>650</Paragraphs>
  <ScaleCrop>false</ScaleCrop>
  <Company/>
  <LinksUpToDate>false</LinksUpToDate>
  <CharactersWithSpaces>36635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2025-12-04T08:33:00Z</dcterms:created>
  <dcterms:modified xsi:type="dcterms:W3CDTF">2025-12-04T08:33:00Z</dcterms:modified>
</cp:coreProperties>
</file>