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5EFE1" w14:textId="0E6BB50A" w:rsidR="0036709B" w:rsidRDefault="0075761C" w:rsidP="00515F7D">
      <w:pPr>
        <w:pStyle w:val="Heading2"/>
        <w:rPr>
          <w:rFonts w:ascii="Times New Roman" w:hAnsi="Times New Roman" w:cs="Times New Roman"/>
          <w:b/>
          <w:bCs/>
          <w:color w:val="000000" w:themeColor="text1"/>
          <w:sz w:val="24"/>
          <w:szCs w:val="24"/>
        </w:rPr>
      </w:pPr>
      <w:r w:rsidRPr="0075761C">
        <w:rPr>
          <w:rFonts w:ascii="Times New Roman" w:hAnsi="Times New Roman" w:cs="Times New Roman"/>
          <w:b/>
          <w:bCs/>
          <w:color w:val="000000" w:themeColor="text1"/>
          <w:sz w:val="24"/>
          <w:szCs w:val="24"/>
        </w:rPr>
        <w:t xml:space="preserve">Appendix </w:t>
      </w:r>
      <w:r w:rsidR="00854E43">
        <w:rPr>
          <w:rFonts w:ascii="Times New Roman" w:hAnsi="Times New Roman" w:cs="Times New Roman"/>
          <w:b/>
          <w:bCs/>
          <w:color w:val="000000" w:themeColor="text1"/>
          <w:sz w:val="24"/>
          <w:szCs w:val="24"/>
        </w:rPr>
        <w:t>1</w:t>
      </w:r>
      <w:r w:rsidRPr="0075761C">
        <w:rPr>
          <w:rFonts w:ascii="Times New Roman" w:hAnsi="Times New Roman" w:cs="Times New Roman"/>
          <w:b/>
          <w:bCs/>
          <w:color w:val="000000" w:themeColor="text1"/>
          <w:sz w:val="24"/>
          <w:szCs w:val="24"/>
        </w:rPr>
        <w:t>.</w:t>
      </w:r>
      <w:r w:rsidR="00B76B9A" w:rsidRPr="00B76B9A">
        <w:rPr>
          <w:rFonts w:ascii="Times New Roman" w:hAnsi="Times New Roman" w:cs="Times New Roman"/>
          <w:color w:val="000000" w:themeColor="text1"/>
          <w:sz w:val="24"/>
          <w:szCs w:val="24"/>
          <w:lang w:val="en-US"/>
        </w:rPr>
        <w:t xml:space="preserve"> </w:t>
      </w:r>
      <w:r w:rsidR="00B76B9A" w:rsidRPr="00B76B9A">
        <w:rPr>
          <w:rFonts w:ascii="Times New Roman" w:hAnsi="Times New Roman" w:cs="Times New Roman"/>
          <w:b/>
          <w:bCs/>
          <w:color w:val="000000" w:themeColor="text1"/>
          <w:sz w:val="24"/>
          <w:szCs w:val="24"/>
          <w:lang w:val="en-US"/>
        </w:rPr>
        <w:t>Consolidated Health Economic Evaluation Reporting Standards (CHEERS) statement</w:t>
      </w:r>
    </w:p>
    <w:p w14:paraId="2B38A6BB" w14:textId="31D46EFB" w:rsidR="00515F7D" w:rsidRDefault="00A6400B" w:rsidP="00515F7D">
      <w:r>
        <w:rPr>
          <w:noProof/>
          <w14:ligatures w14:val="standardContextual"/>
        </w:rPr>
        <w:drawing>
          <wp:inline distT="0" distB="0" distL="0" distR="0" wp14:anchorId="3DB26F7F" wp14:editId="2A224EB5">
            <wp:extent cx="3608938" cy="5369522"/>
            <wp:effectExtent l="0" t="0" r="0" b="3175"/>
            <wp:docPr id="1148459387" name="Picture 5"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59387" name="Picture 5" descr="A document with text on i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8938" cy="5369522"/>
                    </a:xfrm>
                    <a:prstGeom prst="rect">
                      <a:avLst/>
                    </a:prstGeom>
                  </pic:spPr>
                </pic:pic>
              </a:graphicData>
            </a:graphic>
          </wp:inline>
        </w:drawing>
      </w:r>
    </w:p>
    <w:p w14:paraId="25F218EE" w14:textId="77777777" w:rsidR="00515F7D" w:rsidRPr="00515F7D" w:rsidRDefault="00515F7D" w:rsidP="00515F7D"/>
    <w:p w14:paraId="39C49260" w14:textId="254BD5E5" w:rsidR="0036709B" w:rsidRPr="0065333F" w:rsidRDefault="0036709B" w:rsidP="0036709B">
      <w:pPr>
        <w:pStyle w:val="Heading2"/>
        <w:rPr>
          <w:rFonts w:ascii="Times New Roman" w:hAnsi="Times New Roman" w:cs="Times New Roman"/>
          <w:color w:val="000000" w:themeColor="text1"/>
          <w:sz w:val="24"/>
          <w:szCs w:val="24"/>
        </w:rPr>
      </w:pPr>
      <w:r w:rsidRPr="0065333F">
        <w:rPr>
          <w:rFonts w:ascii="Times New Roman" w:hAnsi="Times New Roman" w:cs="Times New Roman"/>
          <w:b/>
          <w:bCs/>
          <w:color w:val="000000" w:themeColor="text1"/>
          <w:sz w:val="24"/>
          <w:szCs w:val="24"/>
        </w:rPr>
        <w:lastRenderedPageBreak/>
        <w:t xml:space="preserve">Appendix </w:t>
      </w:r>
      <w:r w:rsidR="00750EC3">
        <w:rPr>
          <w:rFonts w:ascii="Times New Roman" w:hAnsi="Times New Roman" w:cs="Times New Roman"/>
          <w:b/>
          <w:bCs/>
          <w:color w:val="000000" w:themeColor="text1"/>
          <w:sz w:val="24"/>
          <w:szCs w:val="24"/>
        </w:rPr>
        <w:t>2</w:t>
      </w:r>
      <w:r w:rsidRPr="0065333F">
        <w:rPr>
          <w:rFonts w:ascii="Times New Roman" w:hAnsi="Times New Roman" w:cs="Times New Roman"/>
          <w:b/>
          <w:bCs/>
          <w:color w:val="000000" w:themeColor="text1"/>
          <w:sz w:val="24"/>
          <w:szCs w:val="24"/>
        </w:rPr>
        <w:t>.</w:t>
      </w:r>
      <w:r w:rsidRPr="0065333F">
        <w:rPr>
          <w:rFonts w:ascii="Times New Roman" w:hAnsi="Times New Roman" w:cs="Times New Roman"/>
          <w:color w:val="000000" w:themeColor="text1"/>
          <w:sz w:val="24"/>
          <w:szCs w:val="24"/>
        </w:rPr>
        <w:t xml:space="preserve"> </w:t>
      </w:r>
      <w:r w:rsidRPr="00A036B3">
        <w:rPr>
          <w:rFonts w:ascii="Times New Roman" w:hAnsi="Times New Roman" w:cs="Times New Roman"/>
          <w:b/>
          <w:bCs/>
          <w:color w:val="000000" w:themeColor="text1"/>
          <w:sz w:val="24"/>
          <w:szCs w:val="24"/>
        </w:rPr>
        <w:t>MEDLINE search from inception up to March 15, 2025</w:t>
      </w:r>
    </w:p>
    <w:tbl>
      <w:tblPr>
        <w:tblStyle w:val="TableGrid"/>
        <w:tblW w:w="0" w:type="auto"/>
        <w:tblLook w:val="04A0" w:firstRow="1" w:lastRow="0" w:firstColumn="1" w:lastColumn="0" w:noHBand="0" w:noVBand="1"/>
      </w:tblPr>
      <w:tblGrid>
        <w:gridCol w:w="456"/>
        <w:gridCol w:w="11438"/>
        <w:gridCol w:w="1056"/>
      </w:tblGrid>
      <w:tr w:rsidR="0036709B" w:rsidRPr="0065333F" w14:paraId="0A156158" w14:textId="77777777" w:rsidTr="004B7290">
        <w:tc>
          <w:tcPr>
            <w:tcW w:w="0" w:type="auto"/>
          </w:tcPr>
          <w:p w14:paraId="45304B36"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 xml:space="preserve"> 1</w:t>
            </w:r>
          </w:p>
        </w:tc>
        <w:tc>
          <w:tcPr>
            <w:tcW w:w="8037" w:type="dxa"/>
            <w:hideMark/>
          </w:tcPr>
          <w:p w14:paraId="68C22464"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exp Brain Hemorrhage, Traumatic/ or exp Brain Injuries, Traumatic/ or exp Intracranial Hemorrhage, Traumatic/</w:t>
            </w:r>
          </w:p>
        </w:tc>
        <w:tc>
          <w:tcPr>
            <w:tcW w:w="899" w:type="dxa"/>
            <w:hideMark/>
          </w:tcPr>
          <w:p w14:paraId="7AFAFEFE"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42308</w:t>
            </w:r>
          </w:p>
        </w:tc>
      </w:tr>
      <w:tr w:rsidR="0036709B" w:rsidRPr="0065333F" w14:paraId="2EE4FACE" w14:textId="77777777" w:rsidTr="004B7290">
        <w:tc>
          <w:tcPr>
            <w:tcW w:w="414" w:type="dxa"/>
            <w:hideMark/>
          </w:tcPr>
          <w:p w14:paraId="7144253D"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w:t>
            </w:r>
          </w:p>
        </w:tc>
        <w:tc>
          <w:tcPr>
            <w:tcW w:w="0" w:type="auto"/>
            <w:hideMark/>
          </w:tcPr>
          <w:p w14:paraId="5E557ECF"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Brain concussion/ or contrecoup injury/ or post-concussion syndrome/ or head injuries, penetrating/ or intracranial hemorrhage, traumatic/ or brain hemorrhage, traumatic/ or brain stem hemorrhage, traumatic/ or cerebral hemorrhage, traumatic/ or hematoma, epidural, cranial/ or hematoma, subdural/ or hematoma, subdural, acute/ or hematoma, subdural, chronic/ or hematoma, subdural, intracranial/ or subarachnoid hemorrhage, traumatic/ or skull fractures/ or skull fracture, basilar/ or skull fracture, depressed/ [****</w:t>
            </w:r>
            <w:proofErr w:type="spellStart"/>
            <w:r w:rsidRPr="0065333F">
              <w:rPr>
                <w:rFonts w:ascii="Times New Roman" w:eastAsia="Times New Roman" w:hAnsi="Times New Roman" w:cs="Times New Roman"/>
                <w:color w:val="000000" w:themeColor="text1"/>
              </w:rPr>
              <w:t>MeSH</w:t>
            </w:r>
            <w:proofErr w:type="spellEnd"/>
            <w:r w:rsidRPr="0065333F">
              <w:rPr>
                <w:rFonts w:ascii="Times New Roman" w:eastAsia="Times New Roman" w:hAnsi="Times New Roman" w:cs="Times New Roman"/>
                <w:color w:val="000000" w:themeColor="text1"/>
              </w:rPr>
              <w:t xml:space="preserve"> terms****]</w:t>
            </w:r>
          </w:p>
        </w:tc>
        <w:tc>
          <w:tcPr>
            <w:tcW w:w="899" w:type="dxa"/>
            <w:hideMark/>
          </w:tcPr>
          <w:p w14:paraId="10EEA963"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38796</w:t>
            </w:r>
          </w:p>
        </w:tc>
      </w:tr>
      <w:tr w:rsidR="0036709B" w:rsidRPr="0065333F" w14:paraId="69753FD5" w14:textId="77777777" w:rsidTr="004B7290">
        <w:tc>
          <w:tcPr>
            <w:tcW w:w="414" w:type="dxa"/>
            <w:hideMark/>
          </w:tcPr>
          <w:p w14:paraId="21768163"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w:t>
            </w:r>
          </w:p>
        </w:tc>
        <w:tc>
          <w:tcPr>
            <w:tcW w:w="0" w:type="auto"/>
            <w:hideMark/>
          </w:tcPr>
          <w:p w14:paraId="5A4E708E"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(trauma* adj (Head or brain or "intra-cranial*" or "intra cranial*" or intracranial* or "extra dural*" or "extra-dural*" or extradural* or "epi-dural*" or "epi dural*" or epidural* or "sub-dural*" or subdural* or "sub-arachnoid*" or "sub arachnoid*" or subarachnoid* or "diffuse axonal") adj2 (</w:t>
            </w:r>
            <w:proofErr w:type="spellStart"/>
            <w:r w:rsidRPr="0065333F">
              <w:rPr>
                <w:rFonts w:ascii="Times New Roman" w:eastAsia="Times New Roman" w:hAnsi="Times New Roman" w:cs="Times New Roman"/>
                <w:color w:val="000000" w:themeColor="text1"/>
              </w:rPr>
              <w:t>injur</w:t>
            </w:r>
            <w:proofErr w:type="spellEnd"/>
            <w:r w:rsidRPr="0065333F">
              <w:rPr>
                <w:rFonts w:ascii="Times New Roman" w:eastAsia="Times New Roman" w:hAnsi="Times New Roman" w:cs="Times New Roman"/>
                <w:color w:val="000000" w:themeColor="text1"/>
              </w:rPr>
              <w:t>* or damage* or trauma*)).</w:t>
            </w:r>
            <w:proofErr w:type="spellStart"/>
            <w:r w:rsidRPr="0065333F">
              <w:rPr>
                <w:rFonts w:ascii="Times New Roman" w:eastAsia="Times New Roman" w:hAnsi="Times New Roman" w:cs="Times New Roman"/>
                <w:color w:val="000000" w:themeColor="text1"/>
              </w:rPr>
              <w:t>ti,ab,kf</w:t>
            </w:r>
            <w:proofErr w:type="spellEnd"/>
            <w:r w:rsidRPr="0065333F">
              <w:rPr>
                <w:rFonts w:ascii="Times New Roman" w:eastAsia="Times New Roman" w:hAnsi="Times New Roman" w:cs="Times New Roman"/>
                <w:color w:val="000000" w:themeColor="text1"/>
              </w:rPr>
              <w:t>.</w:t>
            </w:r>
          </w:p>
        </w:tc>
        <w:tc>
          <w:tcPr>
            <w:tcW w:w="899" w:type="dxa"/>
            <w:hideMark/>
          </w:tcPr>
          <w:p w14:paraId="0E40DD44"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59698</w:t>
            </w:r>
          </w:p>
        </w:tc>
      </w:tr>
      <w:tr w:rsidR="0036709B" w:rsidRPr="0065333F" w14:paraId="5D5D2E22" w14:textId="77777777" w:rsidTr="004B7290">
        <w:tc>
          <w:tcPr>
            <w:tcW w:w="414" w:type="dxa"/>
            <w:hideMark/>
          </w:tcPr>
          <w:p w14:paraId="521ECF2E"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w:t>
            </w:r>
          </w:p>
        </w:tc>
        <w:tc>
          <w:tcPr>
            <w:tcW w:w="0" w:type="auto"/>
            <w:hideMark/>
          </w:tcPr>
          <w:p w14:paraId="02FEFAC5"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w:t>
            </w:r>
            <w:proofErr w:type="spellStart"/>
            <w:r w:rsidRPr="0065333F">
              <w:rPr>
                <w:rFonts w:ascii="Times New Roman" w:eastAsia="Times New Roman" w:hAnsi="Times New Roman" w:cs="Times New Roman"/>
                <w:color w:val="000000" w:themeColor="text1"/>
              </w:rPr>
              <w:t>tbi</w:t>
            </w:r>
            <w:proofErr w:type="spellEnd"/>
            <w:r w:rsidRPr="0065333F">
              <w:rPr>
                <w:rFonts w:ascii="Times New Roman" w:eastAsia="Times New Roman" w:hAnsi="Times New Roman" w:cs="Times New Roman"/>
                <w:color w:val="000000" w:themeColor="text1"/>
              </w:rPr>
              <w:t xml:space="preserve">* or </w:t>
            </w:r>
            <w:proofErr w:type="spellStart"/>
            <w:r w:rsidRPr="0065333F">
              <w:rPr>
                <w:rFonts w:ascii="Times New Roman" w:eastAsia="Times New Roman" w:hAnsi="Times New Roman" w:cs="Times New Roman"/>
                <w:color w:val="000000" w:themeColor="text1"/>
              </w:rPr>
              <w:t>dai</w:t>
            </w:r>
            <w:proofErr w:type="spellEnd"/>
            <w:r w:rsidRPr="0065333F">
              <w:rPr>
                <w:rFonts w:ascii="Times New Roman" w:eastAsia="Times New Roman" w:hAnsi="Times New Roman" w:cs="Times New Roman"/>
                <w:color w:val="000000" w:themeColor="text1"/>
              </w:rPr>
              <w:t>*</w:t>
            </w:r>
            <w:proofErr w:type="gramStart"/>
            <w:r w:rsidRPr="0065333F">
              <w:rPr>
                <w:rFonts w:ascii="Times New Roman" w:eastAsia="Times New Roman" w:hAnsi="Times New Roman" w:cs="Times New Roman"/>
                <w:color w:val="000000" w:themeColor="text1"/>
              </w:rPr>
              <w:t>).</w:t>
            </w:r>
            <w:proofErr w:type="spellStart"/>
            <w:r w:rsidRPr="0065333F">
              <w:rPr>
                <w:rFonts w:ascii="Times New Roman" w:eastAsia="Times New Roman" w:hAnsi="Times New Roman" w:cs="Times New Roman"/>
                <w:color w:val="000000" w:themeColor="text1"/>
              </w:rPr>
              <w:t>ti</w:t>
            </w:r>
            <w:proofErr w:type="gramEnd"/>
            <w:r w:rsidRPr="0065333F">
              <w:rPr>
                <w:rFonts w:ascii="Times New Roman" w:eastAsia="Times New Roman" w:hAnsi="Times New Roman" w:cs="Times New Roman"/>
                <w:color w:val="000000" w:themeColor="text1"/>
              </w:rPr>
              <w:t>,</w:t>
            </w:r>
            <w:proofErr w:type="gramStart"/>
            <w:r w:rsidRPr="0065333F">
              <w:rPr>
                <w:rFonts w:ascii="Times New Roman" w:eastAsia="Times New Roman" w:hAnsi="Times New Roman" w:cs="Times New Roman"/>
                <w:color w:val="000000" w:themeColor="text1"/>
              </w:rPr>
              <w:t>ab,kf</w:t>
            </w:r>
            <w:proofErr w:type="spellEnd"/>
            <w:proofErr w:type="gramEnd"/>
            <w:r w:rsidRPr="0065333F">
              <w:rPr>
                <w:rFonts w:ascii="Times New Roman" w:eastAsia="Times New Roman" w:hAnsi="Times New Roman" w:cs="Times New Roman"/>
                <w:color w:val="000000" w:themeColor="text1"/>
              </w:rPr>
              <w:t>.</w:t>
            </w:r>
          </w:p>
        </w:tc>
        <w:tc>
          <w:tcPr>
            <w:tcW w:w="899" w:type="dxa"/>
            <w:hideMark/>
          </w:tcPr>
          <w:p w14:paraId="0AE70FFE"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819494</w:t>
            </w:r>
          </w:p>
        </w:tc>
      </w:tr>
      <w:tr w:rsidR="0036709B" w:rsidRPr="0065333F" w14:paraId="12F4BE88" w14:textId="77777777" w:rsidTr="004B7290">
        <w:tc>
          <w:tcPr>
            <w:tcW w:w="414" w:type="dxa"/>
            <w:hideMark/>
          </w:tcPr>
          <w:p w14:paraId="5ABFBB49"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5</w:t>
            </w:r>
          </w:p>
        </w:tc>
        <w:tc>
          <w:tcPr>
            <w:tcW w:w="0" w:type="auto"/>
            <w:hideMark/>
          </w:tcPr>
          <w:p w14:paraId="0880D47C"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or/1-4 [****TBI terms****]</w:t>
            </w:r>
          </w:p>
        </w:tc>
        <w:tc>
          <w:tcPr>
            <w:tcW w:w="899" w:type="dxa"/>
            <w:hideMark/>
          </w:tcPr>
          <w:p w14:paraId="51646147"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879788</w:t>
            </w:r>
          </w:p>
        </w:tc>
      </w:tr>
      <w:tr w:rsidR="0036709B" w:rsidRPr="0065333F" w14:paraId="3F239A25" w14:textId="77777777" w:rsidTr="004B7290">
        <w:tc>
          <w:tcPr>
            <w:tcW w:w="414" w:type="dxa"/>
            <w:hideMark/>
          </w:tcPr>
          <w:p w14:paraId="523E23CC"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6</w:t>
            </w:r>
          </w:p>
        </w:tc>
        <w:tc>
          <w:tcPr>
            <w:tcW w:w="0" w:type="auto"/>
            <w:hideMark/>
          </w:tcPr>
          <w:p w14:paraId="34F03262"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exp "Aged, 80 and over"/ or exp Aged/</w:t>
            </w:r>
          </w:p>
        </w:tc>
        <w:tc>
          <w:tcPr>
            <w:tcW w:w="899" w:type="dxa"/>
            <w:hideMark/>
          </w:tcPr>
          <w:p w14:paraId="7DC9BB4E"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3659500</w:t>
            </w:r>
          </w:p>
        </w:tc>
      </w:tr>
      <w:tr w:rsidR="0036709B" w:rsidRPr="0065333F" w14:paraId="4DE9D212" w14:textId="77777777" w:rsidTr="004B7290">
        <w:tc>
          <w:tcPr>
            <w:tcW w:w="414" w:type="dxa"/>
            <w:hideMark/>
          </w:tcPr>
          <w:p w14:paraId="53DD4C31"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7</w:t>
            </w:r>
          </w:p>
        </w:tc>
        <w:tc>
          <w:tcPr>
            <w:tcW w:w="0" w:type="auto"/>
            <w:hideMark/>
          </w:tcPr>
          <w:p w14:paraId="6BC0C9F7"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exp Aging/ or exp Cognitive Aging/</w:t>
            </w:r>
          </w:p>
        </w:tc>
        <w:tc>
          <w:tcPr>
            <w:tcW w:w="899" w:type="dxa"/>
            <w:hideMark/>
          </w:tcPr>
          <w:p w14:paraId="5E110496"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307118</w:t>
            </w:r>
          </w:p>
        </w:tc>
      </w:tr>
      <w:tr w:rsidR="0036709B" w:rsidRPr="0065333F" w14:paraId="56986D10" w14:textId="77777777" w:rsidTr="004B7290">
        <w:tc>
          <w:tcPr>
            <w:tcW w:w="414" w:type="dxa"/>
            <w:hideMark/>
          </w:tcPr>
          <w:p w14:paraId="1E2CE5BE"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8</w:t>
            </w:r>
          </w:p>
        </w:tc>
        <w:tc>
          <w:tcPr>
            <w:tcW w:w="0" w:type="auto"/>
            <w:hideMark/>
          </w:tcPr>
          <w:p w14:paraId="3B765E66"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exp Geriatrics/</w:t>
            </w:r>
          </w:p>
        </w:tc>
        <w:tc>
          <w:tcPr>
            <w:tcW w:w="899" w:type="dxa"/>
            <w:hideMark/>
          </w:tcPr>
          <w:p w14:paraId="4710479F"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32105</w:t>
            </w:r>
          </w:p>
        </w:tc>
      </w:tr>
      <w:tr w:rsidR="0036709B" w:rsidRPr="0065333F" w14:paraId="7ED32B98" w14:textId="77777777" w:rsidTr="004B7290">
        <w:tc>
          <w:tcPr>
            <w:tcW w:w="414" w:type="dxa"/>
            <w:hideMark/>
          </w:tcPr>
          <w:p w14:paraId="309CD189"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9</w:t>
            </w:r>
          </w:p>
        </w:tc>
        <w:tc>
          <w:tcPr>
            <w:tcW w:w="0" w:type="auto"/>
            <w:hideMark/>
          </w:tcPr>
          <w:p w14:paraId="0B1F3CA1"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(geriatric* or elder* or older* or ageing or aging or senior* or older adult* or retired or retiree* or elder* or pensioner* or nursing home* or older people or older patient* or gerontology or Sexagenarian* or septuagenarian* or octogenarian or nonagenarian* or centenarian* or sixties or seventies or eighties or nineties</w:t>
            </w:r>
            <w:proofErr w:type="gramStart"/>
            <w:r w:rsidRPr="0065333F">
              <w:rPr>
                <w:rFonts w:ascii="Times New Roman" w:eastAsia="Times New Roman" w:hAnsi="Times New Roman" w:cs="Times New Roman"/>
                <w:color w:val="000000" w:themeColor="text1"/>
              </w:rPr>
              <w:t>).</w:t>
            </w:r>
            <w:proofErr w:type="spellStart"/>
            <w:r w:rsidRPr="0065333F">
              <w:rPr>
                <w:rFonts w:ascii="Times New Roman" w:eastAsia="Times New Roman" w:hAnsi="Times New Roman" w:cs="Times New Roman"/>
                <w:color w:val="000000" w:themeColor="text1"/>
              </w:rPr>
              <w:t>kf</w:t>
            </w:r>
            <w:proofErr w:type="gramEnd"/>
            <w:r w:rsidRPr="0065333F">
              <w:rPr>
                <w:rFonts w:ascii="Times New Roman" w:eastAsia="Times New Roman" w:hAnsi="Times New Roman" w:cs="Times New Roman"/>
                <w:color w:val="000000" w:themeColor="text1"/>
              </w:rPr>
              <w:t>,tw</w:t>
            </w:r>
            <w:proofErr w:type="spellEnd"/>
            <w:r w:rsidRPr="0065333F">
              <w:rPr>
                <w:rFonts w:ascii="Times New Roman" w:eastAsia="Times New Roman" w:hAnsi="Times New Roman" w:cs="Times New Roman"/>
                <w:color w:val="000000" w:themeColor="text1"/>
              </w:rPr>
              <w:t>.</w:t>
            </w:r>
          </w:p>
        </w:tc>
        <w:tc>
          <w:tcPr>
            <w:tcW w:w="899" w:type="dxa"/>
            <w:hideMark/>
          </w:tcPr>
          <w:p w14:paraId="4865A762"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1256871</w:t>
            </w:r>
          </w:p>
        </w:tc>
      </w:tr>
      <w:tr w:rsidR="0036709B" w:rsidRPr="0065333F" w14:paraId="75585068" w14:textId="77777777" w:rsidTr="004B7290">
        <w:tc>
          <w:tcPr>
            <w:tcW w:w="414" w:type="dxa"/>
            <w:hideMark/>
          </w:tcPr>
          <w:p w14:paraId="063C73FD"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10</w:t>
            </w:r>
          </w:p>
        </w:tc>
        <w:tc>
          <w:tcPr>
            <w:tcW w:w="0" w:type="auto"/>
            <w:hideMark/>
          </w:tcPr>
          <w:p w14:paraId="583A577F"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6 or 7 or 8 or 9 [****Age restriction to older adults****]</w:t>
            </w:r>
          </w:p>
        </w:tc>
        <w:tc>
          <w:tcPr>
            <w:tcW w:w="899" w:type="dxa"/>
            <w:hideMark/>
          </w:tcPr>
          <w:p w14:paraId="513B91E1"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4440200</w:t>
            </w:r>
          </w:p>
        </w:tc>
      </w:tr>
      <w:tr w:rsidR="0036709B" w:rsidRPr="0065333F" w14:paraId="14952B5A" w14:textId="77777777" w:rsidTr="004B7290">
        <w:tc>
          <w:tcPr>
            <w:tcW w:w="414" w:type="dxa"/>
            <w:hideMark/>
          </w:tcPr>
          <w:p w14:paraId="5811A6A8"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11</w:t>
            </w:r>
          </w:p>
        </w:tc>
        <w:tc>
          <w:tcPr>
            <w:tcW w:w="0" w:type="auto"/>
            <w:hideMark/>
          </w:tcPr>
          <w:p w14:paraId="3833650E"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limit 5 to "all aged (65 and over)" or (5 and 10)</w:t>
            </w:r>
          </w:p>
        </w:tc>
        <w:tc>
          <w:tcPr>
            <w:tcW w:w="899" w:type="dxa"/>
            <w:hideMark/>
          </w:tcPr>
          <w:p w14:paraId="26B8A4C0"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191313</w:t>
            </w:r>
          </w:p>
        </w:tc>
      </w:tr>
      <w:tr w:rsidR="0036709B" w:rsidRPr="0065333F" w14:paraId="0328A364" w14:textId="77777777" w:rsidTr="004B7290">
        <w:tc>
          <w:tcPr>
            <w:tcW w:w="414" w:type="dxa"/>
            <w:hideMark/>
          </w:tcPr>
          <w:p w14:paraId="39ACC7C1"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12</w:t>
            </w:r>
          </w:p>
        </w:tc>
        <w:tc>
          <w:tcPr>
            <w:tcW w:w="0" w:type="auto"/>
            <w:hideMark/>
          </w:tcPr>
          <w:p w14:paraId="34780976"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exp delirium/ or exp dementia/ or exp cognition disorders/</w:t>
            </w:r>
          </w:p>
        </w:tc>
        <w:tc>
          <w:tcPr>
            <w:tcW w:w="899" w:type="dxa"/>
            <w:hideMark/>
          </w:tcPr>
          <w:p w14:paraId="7C0FBF3E"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321111</w:t>
            </w:r>
          </w:p>
        </w:tc>
      </w:tr>
      <w:tr w:rsidR="0036709B" w:rsidRPr="0065333F" w14:paraId="0ABAA922" w14:textId="77777777" w:rsidTr="004B7290">
        <w:tc>
          <w:tcPr>
            <w:tcW w:w="414" w:type="dxa"/>
            <w:hideMark/>
          </w:tcPr>
          <w:p w14:paraId="4910DC2A"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13</w:t>
            </w:r>
          </w:p>
        </w:tc>
        <w:tc>
          <w:tcPr>
            <w:tcW w:w="0" w:type="auto"/>
            <w:hideMark/>
          </w:tcPr>
          <w:p w14:paraId="26DB10E0"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 xml:space="preserve">cognition/ or awareness/ or cognitive dissonance/ or cognitive reserve/ or comprehension/ or consciousness/ or metacognition/ or rumination, cognitive/ or executive function/ or higher nervous activity/ or intention/ or learning/ or association/ or association learning/ or avoidance learning/ or memory/ or </w:t>
            </w:r>
            <w:proofErr w:type="spellStart"/>
            <w:r w:rsidRPr="0065333F">
              <w:rPr>
                <w:rFonts w:ascii="Times New Roman" w:eastAsia="Times New Roman" w:hAnsi="Times New Roman" w:cs="Times New Roman"/>
                <w:color w:val="000000" w:themeColor="text1"/>
              </w:rPr>
              <w:t>deja</w:t>
            </w:r>
            <w:proofErr w:type="spellEnd"/>
            <w:r w:rsidRPr="0065333F">
              <w:rPr>
                <w:rFonts w:ascii="Times New Roman" w:eastAsia="Times New Roman" w:hAnsi="Times New Roman" w:cs="Times New Roman"/>
                <w:color w:val="000000" w:themeColor="text1"/>
              </w:rPr>
              <w:t xml:space="preserve"> vu/ or memory, episodic/ or memory, long-term/ or memory consolidation/ or memory, short-term/ or mental recall/ or recognition, psychology/ or repetition priming/ or retention, psychology/ or spatial memory/ or neurolinguistic programming/ or probability learning/ or problem-based learning/ or problem solving/ or heuristics/ or spatial learning/ or maze learning/ or elevated plus maze test/ or </w:t>
            </w:r>
            <w:proofErr w:type="spellStart"/>
            <w:r w:rsidRPr="0065333F">
              <w:rPr>
                <w:rFonts w:ascii="Times New Roman" w:eastAsia="Times New Roman" w:hAnsi="Times New Roman" w:cs="Times New Roman"/>
                <w:color w:val="000000" w:themeColor="text1"/>
              </w:rPr>
              <w:t>morris</w:t>
            </w:r>
            <w:proofErr w:type="spellEnd"/>
            <w:r w:rsidRPr="0065333F">
              <w:rPr>
                <w:rFonts w:ascii="Times New Roman" w:eastAsia="Times New Roman" w:hAnsi="Times New Roman" w:cs="Times New Roman"/>
                <w:color w:val="000000" w:themeColor="text1"/>
              </w:rPr>
              <w:t xml:space="preserve"> water maze test/ or open field test/ or verbal learning/ or paired-associate learning/ or serial learning/ or thinking/ or concept formation/ or creativity/ or decision making/ or consensus/ or judgment/ or neurocognitive disorders/ or amnesia/ or amnesia, anterograde/ or amnesia, retrograde/ or amnesia, transient global/ or cognition disorders/ or cognitive dysfunction/ or postoperative cognitive complications/ or delirium/ or emergence delirium/ or dementia/ or </w:t>
            </w:r>
            <w:proofErr w:type="spellStart"/>
            <w:r w:rsidRPr="0065333F">
              <w:rPr>
                <w:rFonts w:ascii="Times New Roman" w:eastAsia="Times New Roman" w:hAnsi="Times New Roman" w:cs="Times New Roman"/>
                <w:color w:val="000000" w:themeColor="text1"/>
              </w:rPr>
              <w:t>alzheimer</w:t>
            </w:r>
            <w:proofErr w:type="spellEnd"/>
            <w:r w:rsidRPr="0065333F">
              <w:rPr>
                <w:rFonts w:ascii="Times New Roman" w:eastAsia="Times New Roman" w:hAnsi="Times New Roman" w:cs="Times New Roman"/>
                <w:color w:val="000000" w:themeColor="text1"/>
              </w:rPr>
              <w:t xml:space="preserve"> disease/ or dementia, vascular/ or dementia, multi-infarct/ or diffuse </w:t>
            </w:r>
            <w:r w:rsidRPr="0065333F">
              <w:rPr>
                <w:rFonts w:ascii="Times New Roman" w:eastAsia="Times New Roman" w:hAnsi="Times New Roman" w:cs="Times New Roman"/>
                <w:color w:val="000000" w:themeColor="text1"/>
              </w:rPr>
              <w:lastRenderedPageBreak/>
              <w:t xml:space="preserve">neurofibrillary tangles with calcification/ or frontotemporal lobar degeneration/ or frontotemporal dementia/ or </w:t>
            </w:r>
            <w:proofErr w:type="spellStart"/>
            <w:r w:rsidRPr="0065333F">
              <w:rPr>
                <w:rFonts w:ascii="Times New Roman" w:eastAsia="Times New Roman" w:hAnsi="Times New Roman" w:cs="Times New Roman"/>
                <w:color w:val="000000" w:themeColor="text1"/>
              </w:rPr>
              <w:t>lewy</w:t>
            </w:r>
            <w:proofErr w:type="spellEnd"/>
            <w:r w:rsidRPr="0065333F">
              <w:rPr>
                <w:rFonts w:ascii="Times New Roman" w:eastAsia="Times New Roman" w:hAnsi="Times New Roman" w:cs="Times New Roman"/>
                <w:color w:val="000000" w:themeColor="text1"/>
              </w:rPr>
              <w:t xml:space="preserve"> body disease/</w:t>
            </w:r>
          </w:p>
        </w:tc>
        <w:tc>
          <w:tcPr>
            <w:tcW w:w="899" w:type="dxa"/>
            <w:hideMark/>
          </w:tcPr>
          <w:p w14:paraId="3D233525"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lastRenderedPageBreak/>
              <w:t>910242</w:t>
            </w:r>
          </w:p>
        </w:tc>
      </w:tr>
      <w:tr w:rsidR="0036709B" w:rsidRPr="0065333F" w14:paraId="247CFF81" w14:textId="77777777" w:rsidTr="004B7290">
        <w:tc>
          <w:tcPr>
            <w:tcW w:w="414" w:type="dxa"/>
            <w:hideMark/>
          </w:tcPr>
          <w:p w14:paraId="35F724EA"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14</w:t>
            </w:r>
          </w:p>
        </w:tc>
        <w:tc>
          <w:tcPr>
            <w:tcW w:w="0" w:type="auto"/>
            <w:hideMark/>
          </w:tcPr>
          <w:p w14:paraId="654FFB40"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12 or 13</w:t>
            </w:r>
          </w:p>
        </w:tc>
        <w:tc>
          <w:tcPr>
            <w:tcW w:w="899" w:type="dxa"/>
            <w:hideMark/>
          </w:tcPr>
          <w:p w14:paraId="4866A2B6"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934688</w:t>
            </w:r>
          </w:p>
        </w:tc>
      </w:tr>
      <w:tr w:rsidR="0036709B" w:rsidRPr="0065333F" w14:paraId="4E8C3406" w14:textId="77777777" w:rsidTr="004B7290">
        <w:tc>
          <w:tcPr>
            <w:tcW w:w="414" w:type="dxa"/>
            <w:hideMark/>
          </w:tcPr>
          <w:p w14:paraId="6A62B41A"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15</w:t>
            </w:r>
          </w:p>
        </w:tc>
        <w:tc>
          <w:tcPr>
            <w:tcW w:w="0" w:type="auto"/>
            <w:hideMark/>
          </w:tcPr>
          <w:p w14:paraId="67A44B25"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11 and 14 [****Age and cog impairment****]</w:t>
            </w:r>
          </w:p>
        </w:tc>
        <w:tc>
          <w:tcPr>
            <w:tcW w:w="899" w:type="dxa"/>
            <w:hideMark/>
          </w:tcPr>
          <w:p w14:paraId="24E3B464"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15716</w:t>
            </w:r>
          </w:p>
        </w:tc>
      </w:tr>
      <w:tr w:rsidR="0036709B" w:rsidRPr="0065333F" w14:paraId="6F94FC7D" w14:textId="77777777" w:rsidTr="004B7290">
        <w:tc>
          <w:tcPr>
            <w:tcW w:w="414" w:type="dxa"/>
            <w:hideMark/>
          </w:tcPr>
          <w:p w14:paraId="73B49FE5"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16</w:t>
            </w:r>
          </w:p>
        </w:tc>
        <w:tc>
          <w:tcPr>
            <w:tcW w:w="0" w:type="auto"/>
            <w:hideMark/>
          </w:tcPr>
          <w:p w14:paraId="73670C99"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exp Rehabilitation/</w:t>
            </w:r>
          </w:p>
        </w:tc>
        <w:tc>
          <w:tcPr>
            <w:tcW w:w="899" w:type="dxa"/>
            <w:hideMark/>
          </w:tcPr>
          <w:p w14:paraId="535B45E3"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375931</w:t>
            </w:r>
          </w:p>
        </w:tc>
      </w:tr>
      <w:tr w:rsidR="0036709B" w:rsidRPr="0065333F" w14:paraId="14882053" w14:textId="77777777" w:rsidTr="004B7290">
        <w:tc>
          <w:tcPr>
            <w:tcW w:w="414" w:type="dxa"/>
            <w:hideMark/>
          </w:tcPr>
          <w:p w14:paraId="41A73E3F"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17</w:t>
            </w:r>
          </w:p>
        </w:tc>
        <w:tc>
          <w:tcPr>
            <w:tcW w:w="0" w:type="auto"/>
            <w:hideMark/>
          </w:tcPr>
          <w:p w14:paraId="480BD3DF"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cognitive behavioral therapy/ or "acceptance and commitment therapy"/ or cognitive restructuring/ or mindfulness/</w:t>
            </w:r>
          </w:p>
        </w:tc>
        <w:tc>
          <w:tcPr>
            <w:tcW w:w="899" w:type="dxa"/>
            <w:hideMark/>
          </w:tcPr>
          <w:p w14:paraId="08CBFBD0"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40528</w:t>
            </w:r>
          </w:p>
        </w:tc>
      </w:tr>
      <w:tr w:rsidR="0036709B" w:rsidRPr="0065333F" w14:paraId="289B10E6" w14:textId="77777777" w:rsidTr="004B7290">
        <w:tc>
          <w:tcPr>
            <w:tcW w:w="414" w:type="dxa"/>
            <w:hideMark/>
          </w:tcPr>
          <w:p w14:paraId="454CC7C0"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18</w:t>
            </w:r>
          </w:p>
        </w:tc>
        <w:tc>
          <w:tcPr>
            <w:tcW w:w="0" w:type="auto"/>
            <w:hideMark/>
          </w:tcPr>
          <w:p w14:paraId="2D97E20C"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cognitive behavioral therapy/ or "acceptance and commitment therapy"/ or cognitive restructuring/ or mindfulness/</w:t>
            </w:r>
          </w:p>
        </w:tc>
        <w:tc>
          <w:tcPr>
            <w:tcW w:w="899" w:type="dxa"/>
            <w:hideMark/>
          </w:tcPr>
          <w:p w14:paraId="36C7C345"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40528</w:t>
            </w:r>
          </w:p>
        </w:tc>
      </w:tr>
      <w:tr w:rsidR="0036709B" w:rsidRPr="0065333F" w14:paraId="73790F61" w14:textId="77777777" w:rsidTr="004B7290">
        <w:tc>
          <w:tcPr>
            <w:tcW w:w="414" w:type="dxa"/>
            <w:hideMark/>
          </w:tcPr>
          <w:p w14:paraId="5FE4116F"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19</w:t>
            </w:r>
          </w:p>
        </w:tc>
        <w:tc>
          <w:tcPr>
            <w:tcW w:w="0" w:type="auto"/>
            <w:hideMark/>
          </w:tcPr>
          <w:p w14:paraId="4B7DACE9"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 xml:space="preserve">(compensatory adj2 (skill* or </w:t>
            </w:r>
            <w:proofErr w:type="spellStart"/>
            <w:r w:rsidRPr="0065333F">
              <w:rPr>
                <w:rFonts w:ascii="Times New Roman" w:eastAsia="Times New Roman" w:hAnsi="Times New Roman" w:cs="Times New Roman"/>
                <w:color w:val="000000" w:themeColor="text1"/>
              </w:rPr>
              <w:t>strateg</w:t>
            </w:r>
            <w:proofErr w:type="spellEnd"/>
            <w:r w:rsidRPr="0065333F">
              <w:rPr>
                <w:rFonts w:ascii="Times New Roman" w:eastAsia="Times New Roman" w:hAnsi="Times New Roman" w:cs="Times New Roman"/>
                <w:color w:val="000000" w:themeColor="text1"/>
              </w:rPr>
              <w:t xml:space="preserve">*) adj2 (train* or </w:t>
            </w:r>
            <w:proofErr w:type="spellStart"/>
            <w:r w:rsidRPr="0065333F">
              <w:rPr>
                <w:rFonts w:ascii="Times New Roman" w:eastAsia="Times New Roman" w:hAnsi="Times New Roman" w:cs="Times New Roman"/>
                <w:color w:val="000000" w:themeColor="text1"/>
              </w:rPr>
              <w:t>educat</w:t>
            </w:r>
            <w:proofErr w:type="spellEnd"/>
            <w:r w:rsidRPr="0065333F">
              <w:rPr>
                <w:rFonts w:ascii="Times New Roman" w:eastAsia="Times New Roman" w:hAnsi="Times New Roman" w:cs="Times New Roman"/>
                <w:color w:val="000000" w:themeColor="text1"/>
              </w:rPr>
              <w:t xml:space="preserve">* or learn* or </w:t>
            </w:r>
            <w:proofErr w:type="spellStart"/>
            <w:r w:rsidRPr="0065333F">
              <w:rPr>
                <w:rFonts w:ascii="Times New Roman" w:eastAsia="Times New Roman" w:hAnsi="Times New Roman" w:cs="Times New Roman"/>
                <w:color w:val="000000" w:themeColor="text1"/>
              </w:rPr>
              <w:t>therap</w:t>
            </w:r>
            <w:proofErr w:type="spellEnd"/>
            <w:r w:rsidRPr="0065333F">
              <w:rPr>
                <w:rFonts w:ascii="Times New Roman" w:eastAsia="Times New Roman" w:hAnsi="Times New Roman" w:cs="Times New Roman"/>
                <w:color w:val="000000" w:themeColor="text1"/>
              </w:rPr>
              <w:t>*)</w:t>
            </w:r>
            <w:proofErr w:type="gramStart"/>
            <w:r w:rsidRPr="0065333F">
              <w:rPr>
                <w:rFonts w:ascii="Times New Roman" w:eastAsia="Times New Roman" w:hAnsi="Times New Roman" w:cs="Times New Roman"/>
                <w:color w:val="000000" w:themeColor="text1"/>
              </w:rPr>
              <w:t>).</w:t>
            </w:r>
            <w:proofErr w:type="spellStart"/>
            <w:r w:rsidRPr="0065333F">
              <w:rPr>
                <w:rFonts w:ascii="Times New Roman" w:eastAsia="Times New Roman" w:hAnsi="Times New Roman" w:cs="Times New Roman"/>
                <w:color w:val="000000" w:themeColor="text1"/>
              </w:rPr>
              <w:t>ti</w:t>
            </w:r>
            <w:proofErr w:type="gramEnd"/>
            <w:r w:rsidRPr="0065333F">
              <w:rPr>
                <w:rFonts w:ascii="Times New Roman" w:eastAsia="Times New Roman" w:hAnsi="Times New Roman" w:cs="Times New Roman"/>
                <w:color w:val="000000" w:themeColor="text1"/>
              </w:rPr>
              <w:t>,</w:t>
            </w:r>
            <w:proofErr w:type="gramStart"/>
            <w:r w:rsidRPr="0065333F">
              <w:rPr>
                <w:rFonts w:ascii="Times New Roman" w:eastAsia="Times New Roman" w:hAnsi="Times New Roman" w:cs="Times New Roman"/>
                <w:color w:val="000000" w:themeColor="text1"/>
              </w:rPr>
              <w:t>ab,kf</w:t>
            </w:r>
            <w:proofErr w:type="spellEnd"/>
            <w:proofErr w:type="gramEnd"/>
            <w:r w:rsidRPr="0065333F">
              <w:rPr>
                <w:rFonts w:ascii="Times New Roman" w:eastAsia="Times New Roman" w:hAnsi="Times New Roman" w:cs="Times New Roman"/>
                <w:color w:val="000000" w:themeColor="text1"/>
              </w:rPr>
              <w:t>.</w:t>
            </w:r>
          </w:p>
        </w:tc>
        <w:tc>
          <w:tcPr>
            <w:tcW w:w="899" w:type="dxa"/>
            <w:hideMark/>
          </w:tcPr>
          <w:p w14:paraId="2F5F3B77"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103</w:t>
            </w:r>
          </w:p>
        </w:tc>
      </w:tr>
      <w:tr w:rsidR="0036709B" w:rsidRPr="0065333F" w14:paraId="096A3513" w14:textId="77777777" w:rsidTr="004B7290">
        <w:tc>
          <w:tcPr>
            <w:tcW w:w="414" w:type="dxa"/>
            <w:hideMark/>
          </w:tcPr>
          <w:p w14:paraId="06500390"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20</w:t>
            </w:r>
          </w:p>
        </w:tc>
        <w:tc>
          <w:tcPr>
            <w:tcW w:w="0" w:type="auto"/>
            <w:hideMark/>
          </w:tcPr>
          <w:p w14:paraId="46A56070"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 xml:space="preserve">(metacognitive adj2 (skill* or </w:t>
            </w:r>
            <w:proofErr w:type="spellStart"/>
            <w:r w:rsidRPr="0065333F">
              <w:rPr>
                <w:rFonts w:ascii="Times New Roman" w:eastAsia="Times New Roman" w:hAnsi="Times New Roman" w:cs="Times New Roman"/>
                <w:color w:val="000000" w:themeColor="text1"/>
              </w:rPr>
              <w:t>strateg</w:t>
            </w:r>
            <w:proofErr w:type="spellEnd"/>
            <w:r w:rsidRPr="0065333F">
              <w:rPr>
                <w:rFonts w:ascii="Times New Roman" w:eastAsia="Times New Roman" w:hAnsi="Times New Roman" w:cs="Times New Roman"/>
                <w:color w:val="000000" w:themeColor="text1"/>
              </w:rPr>
              <w:t xml:space="preserve">*) adj2 (train* or </w:t>
            </w:r>
            <w:proofErr w:type="spellStart"/>
            <w:r w:rsidRPr="0065333F">
              <w:rPr>
                <w:rFonts w:ascii="Times New Roman" w:eastAsia="Times New Roman" w:hAnsi="Times New Roman" w:cs="Times New Roman"/>
                <w:color w:val="000000" w:themeColor="text1"/>
              </w:rPr>
              <w:t>educat</w:t>
            </w:r>
            <w:proofErr w:type="spellEnd"/>
            <w:r w:rsidRPr="0065333F">
              <w:rPr>
                <w:rFonts w:ascii="Times New Roman" w:eastAsia="Times New Roman" w:hAnsi="Times New Roman" w:cs="Times New Roman"/>
                <w:color w:val="000000" w:themeColor="text1"/>
              </w:rPr>
              <w:t xml:space="preserve">* or learn* or </w:t>
            </w:r>
            <w:proofErr w:type="spellStart"/>
            <w:r w:rsidRPr="0065333F">
              <w:rPr>
                <w:rFonts w:ascii="Times New Roman" w:eastAsia="Times New Roman" w:hAnsi="Times New Roman" w:cs="Times New Roman"/>
                <w:color w:val="000000" w:themeColor="text1"/>
              </w:rPr>
              <w:t>therap</w:t>
            </w:r>
            <w:proofErr w:type="spellEnd"/>
            <w:r w:rsidRPr="0065333F">
              <w:rPr>
                <w:rFonts w:ascii="Times New Roman" w:eastAsia="Times New Roman" w:hAnsi="Times New Roman" w:cs="Times New Roman"/>
                <w:color w:val="000000" w:themeColor="text1"/>
              </w:rPr>
              <w:t>*)</w:t>
            </w:r>
            <w:proofErr w:type="gramStart"/>
            <w:r w:rsidRPr="0065333F">
              <w:rPr>
                <w:rFonts w:ascii="Times New Roman" w:eastAsia="Times New Roman" w:hAnsi="Times New Roman" w:cs="Times New Roman"/>
                <w:color w:val="000000" w:themeColor="text1"/>
              </w:rPr>
              <w:t>).</w:t>
            </w:r>
            <w:proofErr w:type="spellStart"/>
            <w:r w:rsidRPr="0065333F">
              <w:rPr>
                <w:rFonts w:ascii="Times New Roman" w:eastAsia="Times New Roman" w:hAnsi="Times New Roman" w:cs="Times New Roman"/>
                <w:color w:val="000000" w:themeColor="text1"/>
              </w:rPr>
              <w:t>ti</w:t>
            </w:r>
            <w:proofErr w:type="gramEnd"/>
            <w:r w:rsidRPr="0065333F">
              <w:rPr>
                <w:rFonts w:ascii="Times New Roman" w:eastAsia="Times New Roman" w:hAnsi="Times New Roman" w:cs="Times New Roman"/>
                <w:color w:val="000000" w:themeColor="text1"/>
              </w:rPr>
              <w:t>,</w:t>
            </w:r>
            <w:proofErr w:type="gramStart"/>
            <w:r w:rsidRPr="0065333F">
              <w:rPr>
                <w:rFonts w:ascii="Times New Roman" w:eastAsia="Times New Roman" w:hAnsi="Times New Roman" w:cs="Times New Roman"/>
                <w:color w:val="000000" w:themeColor="text1"/>
              </w:rPr>
              <w:t>ab,kf</w:t>
            </w:r>
            <w:proofErr w:type="spellEnd"/>
            <w:proofErr w:type="gramEnd"/>
            <w:r w:rsidRPr="0065333F">
              <w:rPr>
                <w:rFonts w:ascii="Times New Roman" w:eastAsia="Times New Roman" w:hAnsi="Times New Roman" w:cs="Times New Roman"/>
                <w:color w:val="000000" w:themeColor="text1"/>
              </w:rPr>
              <w:t>.</w:t>
            </w:r>
          </w:p>
        </w:tc>
        <w:tc>
          <w:tcPr>
            <w:tcW w:w="899" w:type="dxa"/>
            <w:hideMark/>
          </w:tcPr>
          <w:p w14:paraId="51717A35"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101</w:t>
            </w:r>
          </w:p>
        </w:tc>
      </w:tr>
      <w:tr w:rsidR="0036709B" w:rsidRPr="0065333F" w14:paraId="39B7ED5F" w14:textId="77777777" w:rsidTr="004B7290">
        <w:tc>
          <w:tcPr>
            <w:tcW w:w="414" w:type="dxa"/>
            <w:hideMark/>
          </w:tcPr>
          <w:p w14:paraId="4A82CA02"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21</w:t>
            </w:r>
          </w:p>
        </w:tc>
        <w:tc>
          <w:tcPr>
            <w:tcW w:w="0" w:type="auto"/>
            <w:hideMark/>
          </w:tcPr>
          <w:p w14:paraId="168C79BC"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 xml:space="preserve">("Attention process train*" or "memory train*" or "problem-solving train*" or "problem solving train*" or "goal management train*" or "language train*" or "communication train*" or "computer assisted train*" or "Lee Silverman voice treatment" or "vision restoration </w:t>
            </w:r>
            <w:proofErr w:type="spellStart"/>
            <w:r w:rsidRPr="0065333F">
              <w:rPr>
                <w:rFonts w:ascii="Times New Roman" w:eastAsia="Times New Roman" w:hAnsi="Times New Roman" w:cs="Times New Roman"/>
                <w:color w:val="000000" w:themeColor="text1"/>
              </w:rPr>
              <w:t>therap</w:t>
            </w:r>
            <w:proofErr w:type="spellEnd"/>
            <w:r w:rsidRPr="0065333F">
              <w:rPr>
                <w:rFonts w:ascii="Times New Roman" w:eastAsia="Times New Roman" w:hAnsi="Times New Roman" w:cs="Times New Roman"/>
                <w:color w:val="000000" w:themeColor="text1"/>
              </w:rPr>
              <w:t xml:space="preserve">*" or "family </w:t>
            </w:r>
            <w:proofErr w:type="spellStart"/>
            <w:r w:rsidRPr="0065333F">
              <w:rPr>
                <w:rFonts w:ascii="Times New Roman" w:eastAsia="Times New Roman" w:hAnsi="Times New Roman" w:cs="Times New Roman"/>
                <w:color w:val="000000" w:themeColor="text1"/>
              </w:rPr>
              <w:t>therap</w:t>
            </w:r>
            <w:proofErr w:type="spellEnd"/>
            <w:r w:rsidRPr="0065333F">
              <w:rPr>
                <w:rFonts w:ascii="Times New Roman" w:eastAsia="Times New Roman" w:hAnsi="Times New Roman" w:cs="Times New Roman"/>
                <w:color w:val="000000" w:themeColor="text1"/>
              </w:rPr>
              <w:t>*" or "</w:t>
            </w:r>
            <w:proofErr w:type="spellStart"/>
            <w:r w:rsidRPr="0065333F">
              <w:rPr>
                <w:rFonts w:ascii="Times New Roman" w:eastAsia="Times New Roman" w:hAnsi="Times New Roman" w:cs="Times New Roman"/>
                <w:color w:val="000000" w:themeColor="text1"/>
              </w:rPr>
              <w:t>noninvasive</w:t>
            </w:r>
            <w:proofErr w:type="spellEnd"/>
            <w:r w:rsidRPr="0065333F">
              <w:rPr>
                <w:rFonts w:ascii="Times New Roman" w:eastAsia="Times New Roman" w:hAnsi="Times New Roman" w:cs="Times New Roman"/>
                <w:color w:val="000000" w:themeColor="text1"/>
              </w:rPr>
              <w:t xml:space="preserve"> brain stimulation" or "neuropsychological rehab*").</w:t>
            </w:r>
            <w:proofErr w:type="spellStart"/>
            <w:r w:rsidRPr="0065333F">
              <w:rPr>
                <w:rFonts w:ascii="Times New Roman" w:eastAsia="Times New Roman" w:hAnsi="Times New Roman" w:cs="Times New Roman"/>
                <w:color w:val="000000" w:themeColor="text1"/>
              </w:rPr>
              <w:t>tw,kf</w:t>
            </w:r>
            <w:proofErr w:type="spellEnd"/>
            <w:r w:rsidRPr="0065333F">
              <w:rPr>
                <w:rFonts w:ascii="Times New Roman" w:eastAsia="Times New Roman" w:hAnsi="Times New Roman" w:cs="Times New Roman"/>
                <w:color w:val="000000" w:themeColor="text1"/>
              </w:rPr>
              <w:t>.</w:t>
            </w:r>
          </w:p>
        </w:tc>
        <w:tc>
          <w:tcPr>
            <w:tcW w:w="899" w:type="dxa"/>
            <w:hideMark/>
          </w:tcPr>
          <w:p w14:paraId="2626CDF5"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10433</w:t>
            </w:r>
          </w:p>
        </w:tc>
      </w:tr>
      <w:tr w:rsidR="0036709B" w:rsidRPr="0065333F" w14:paraId="5BCA8FD2" w14:textId="77777777" w:rsidTr="004B7290">
        <w:tc>
          <w:tcPr>
            <w:tcW w:w="414" w:type="dxa"/>
            <w:hideMark/>
          </w:tcPr>
          <w:p w14:paraId="601A2648"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22</w:t>
            </w:r>
          </w:p>
        </w:tc>
        <w:tc>
          <w:tcPr>
            <w:tcW w:w="0" w:type="auto"/>
            <w:hideMark/>
          </w:tcPr>
          <w:p w14:paraId="663B9103"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16 or 17 or 18 or 19 or 20 or 21 [****Cog interventions****]</w:t>
            </w:r>
          </w:p>
        </w:tc>
        <w:tc>
          <w:tcPr>
            <w:tcW w:w="899" w:type="dxa"/>
            <w:hideMark/>
          </w:tcPr>
          <w:p w14:paraId="16371FC5"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422116</w:t>
            </w:r>
          </w:p>
        </w:tc>
      </w:tr>
      <w:tr w:rsidR="0036709B" w:rsidRPr="0065333F" w14:paraId="6D4A1A17" w14:textId="77777777" w:rsidTr="004B7290">
        <w:tc>
          <w:tcPr>
            <w:tcW w:w="414" w:type="dxa"/>
            <w:hideMark/>
          </w:tcPr>
          <w:p w14:paraId="04FC6188"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23</w:t>
            </w:r>
          </w:p>
        </w:tc>
        <w:tc>
          <w:tcPr>
            <w:tcW w:w="0" w:type="auto"/>
            <w:hideMark/>
          </w:tcPr>
          <w:p w14:paraId="613643A5"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15 and 22 [****Age + cog impairment + cog interventions****]</w:t>
            </w:r>
          </w:p>
        </w:tc>
        <w:tc>
          <w:tcPr>
            <w:tcW w:w="899" w:type="dxa"/>
            <w:hideMark/>
          </w:tcPr>
          <w:p w14:paraId="79CDF558"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5874</w:t>
            </w:r>
          </w:p>
        </w:tc>
      </w:tr>
      <w:tr w:rsidR="0036709B" w:rsidRPr="0065333F" w14:paraId="073EC411" w14:textId="77777777" w:rsidTr="004B7290">
        <w:tc>
          <w:tcPr>
            <w:tcW w:w="414" w:type="dxa"/>
            <w:hideMark/>
          </w:tcPr>
          <w:p w14:paraId="4ED7DE90"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24</w:t>
            </w:r>
          </w:p>
        </w:tc>
        <w:tc>
          <w:tcPr>
            <w:tcW w:w="0" w:type="auto"/>
            <w:hideMark/>
          </w:tcPr>
          <w:p w14:paraId="4A821E0B" w14:textId="77777777" w:rsidR="0036709B" w:rsidRPr="0065333F" w:rsidRDefault="0036709B" w:rsidP="004B7290">
            <w:pPr>
              <w:pStyle w:val="NoSpacing"/>
              <w:rPr>
                <w:rFonts w:ascii="Times New Roman" w:eastAsia="Times New Roman" w:hAnsi="Times New Roman" w:cs="Times New Roman"/>
                <w:color w:val="000000" w:themeColor="text1"/>
              </w:rPr>
            </w:pPr>
            <w:proofErr w:type="spellStart"/>
            <w:r w:rsidRPr="0065333F">
              <w:rPr>
                <w:rFonts w:ascii="Times New Roman" w:eastAsia="Times New Roman" w:hAnsi="Times New Roman" w:cs="Times New Roman"/>
                <w:color w:val="000000" w:themeColor="text1"/>
              </w:rPr>
              <w:t>th.fs</w:t>
            </w:r>
            <w:proofErr w:type="spellEnd"/>
            <w:r w:rsidRPr="0065333F">
              <w:rPr>
                <w:rFonts w:ascii="Times New Roman" w:eastAsia="Times New Roman" w:hAnsi="Times New Roman" w:cs="Times New Roman"/>
                <w:color w:val="000000" w:themeColor="text1"/>
              </w:rPr>
              <w:t>. [****</w:t>
            </w:r>
            <w:proofErr w:type="spellStart"/>
            <w:r w:rsidRPr="0065333F">
              <w:rPr>
                <w:rFonts w:ascii="Times New Roman" w:eastAsia="Times New Roman" w:hAnsi="Times New Roman" w:cs="Times New Roman"/>
                <w:color w:val="000000" w:themeColor="text1"/>
              </w:rPr>
              <w:t>MeSH</w:t>
            </w:r>
            <w:proofErr w:type="spellEnd"/>
            <w:r w:rsidRPr="0065333F">
              <w:rPr>
                <w:rFonts w:ascii="Times New Roman" w:eastAsia="Times New Roman" w:hAnsi="Times New Roman" w:cs="Times New Roman"/>
                <w:color w:val="000000" w:themeColor="text1"/>
              </w:rPr>
              <w:t xml:space="preserve"> term for therapy****]</w:t>
            </w:r>
          </w:p>
        </w:tc>
        <w:tc>
          <w:tcPr>
            <w:tcW w:w="899" w:type="dxa"/>
            <w:hideMark/>
          </w:tcPr>
          <w:p w14:paraId="7CC75CC4"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2256466</w:t>
            </w:r>
          </w:p>
        </w:tc>
      </w:tr>
      <w:tr w:rsidR="0036709B" w:rsidRPr="0065333F" w14:paraId="292914B9" w14:textId="77777777" w:rsidTr="004B7290">
        <w:tc>
          <w:tcPr>
            <w:tcW w:w="414" w:type="dxa"/>
            <w:hideMark/>
          </w:tcPr>
          <w:p w14:paraId="0DF47335"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25</w:t>
            </w:r>
          </w:p>
        </w:tc>
        <w:tc>
          <w:tcPr>
            <w:tcW w:w="0" w:type="auto"/>
            <w:hideMark/>
          </w:tcPr>
          <w:p w14:paraId="75F4601D"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15 and 24</w:t>
            </w:r>
          </w:p>
        </w:tc>
        <w:tc>
          <w:tcPr>
            <w:tcW w:w="899" w:type="dxa"/>
            <w:hideMark/>
          </w:tcPr>
          <w:p w14:paraId="3B182AA7"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1718</w:t>
            </w:r>
          </w:p>
        </w:tc>
      </w:tr>
      <w:tr w:rsidR="0036709B" w:rsidRPr="0065333F" w14:paraId="4570FCEF" w14:textId="77777777" w:rsidTr="004B7290">
        <w:tc>
          <w:tcPr>
            <w:tcW w:w="414" w:type="dxa"/>
            <w:hideMark/>
          </w:tcPr>
          <w:p w14:paraId="280CBEB2"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26</w:t>
            </w:r>
          </w:p>
        </w:tc>
        <w:tc>
          <w:tcPr>
            <w:tcW w:w="0" w:type="auto"/>
            <w:hideMark/>
          </w:tcPr>
          <w:p w14:paraId="0BFC8311"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23 or 25 [****2 ways to capture cog interventions****]</w:t>
            </w:r>
          </w:p>
        </w:tc>
        <w:tc>
          <w:tcPr>
            <w:tcW w:w="899" w:type="dxa"/>
            <w:hideMark/>
          </w:tcPr>
          <w:p w14:paraId="713CD2D4"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6802</w:t>
            </w:r>
          </w:p>
        </w:tc>
      </w:tr>
      <w:tr w:rsidR="0036709B" w:rsidRPr="0065333F" w14:paraId="43C04D96" w14:textId="77777777" w:rsidTr="004B7290">
        <w:tc>
          <w:tcPr>
            <w:tcW w:w="414" w:type="dxa"/>
            <w:hideMark/>
          </w:tcPr>
          <w:p w14:paraId="1AA448A6"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27</w:t>
            </w:r>
          </w:p>
        </w:tc>
        <w:tc>
          <w:tcPr>
            <w:tcW w:w="0" w:type="auto"/>
            <w:hideMark/>
          </w:tcPr>
          <w:p w14:paraId="2B83CA65"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(randomized controlled trial or controlled clinical trial</w:t>
            </w:r>
            <w:proofErr w:type="gramStart"/>
            <w:r w:rsidRPr="0065333F">
              <w:rPr>
                <w:rFonts w:ascii="Times New Roman" w:eastAsia="Times New Roman" w:hAnsi="Times New Roman" w:cs="Times New Roman"/>
                <w:color w:val="000000" w:themeColor="text1"/>
              </w:rPr>
              <w:t>).pt.</w:t>
            </w:r>
            <w:proofErr w:type="gramEnd"/>
            <w:r w:rsidRPr="0065333F">
              <w:rPr>
                <w:rFonts w:ascii="Times New Roman" w:eastAsia="Times New Roman" w:hAnsi="Times New Roman" w:cs="Times New Roman"/>
                <w:color w:val="000000" w:themeColor="text1"/>
              </w:rPr>
              <w:t xml:space="preserve"> or (randomized or placebo or randomly</w:t>
            </w:r>
            <w:proofErr w:type="gramStart"/>
            <w:r w:rsidRPr="0065333F">
              <w:rPr>
                <w:rFonts w:ascii="Times New Roman" w:eastAsia="Times New Roman" w:hAnsi="Times New Roman" w:cs="Times New Roman"/>
                <w:color w:val="000000" w:themeColor="text1"/>
              </w:rPr>
              <w:t>).ab.</w:t>
            </w:r>
            <w:proofErr w:type="gramEnd"/>
            <w:r w:rsidRPr="0065333F">
              <w:rPr>
                <w:rFonts w:ascii="Times New Roman" w:eastAsia="Times New Roman" w:hAnsi="Times New Roman" w:cs="Times New Roman"/>
                <w:color w:val="000000" w:themeColor="text1"/>
              </w:rPr>
              <w:t xml:space="preserve"> or clinical trials as topic/ or </w:t>
            </w:r>
            <w:proofErr w:type="spellStart"/>
            <w:r w:rsidRPr="0065333F">
              <w:rPr>
                <w:rFonts w:ascii="Times New Roman" w:eastAsia="Times New Roman" w:hAnsi="Times New Roman" w:cs="Times New Roman"/>
                <w:color w:val="000000" w:themeColor="text1"/>
              </w:rPr>
              <w:t>trial.ti</w:t>
            </w:r>
            <w:proofErr w:type="spellEnd"/>
            <w:r w:rsidRPr="0065333F">
              <w:rPr>
                <w:rFonts w:ascii="Times New Roman" w:eastAsia="Times New Roman" w:hAnsi="Times New Roman" w:cs="Times New Roman"/>
                <w:color w:val="000000" w:themeColor="text1"/>
              </w:rPr>
              <w:t>.</w:t>
            </w:r>
          </w:p>
        </w:tc>
        <w:tc>
          <w:tcPr>
            <w:tcW w:w="899" w:type="dxa"/>
            <w:hideMark/>
          </w:tcPr>
          <w:p w14:paraId="79F8401B"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1673637</w:t>
            </w:r>
          </w:p>
        </w:tc>
      </w:tr>
      <w:tr w:rsidR="0036709B" w:rsidRPr="0065333F" w14:paraId="23F93CE6" w14:textId="77777777" w:rsidTr="004B7290">
        <w:tc>
          <w:tcPr>
            <w:tcW w:w="414" w:type="dxa"/>
            <w:hideMark/>
          </w:tcPr>
          <w:p w14:paraId="436D3E0C"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28</w:t>
            </w:r>
          </w:p>
        </w:tc>
        <w:tc>
          <w:tcPr>
            <w:tcW w:w="0" w:type="auto"/>
            <w:hideMark/>
          </w:tcPr>
          <w:p w14:paraId="50F221EF"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(26 and 27) not (exp animals/ not humans.sh.)</w:t>
            </w:r>
          </w:p>
        </w:tc>
        <w:tc>
          <w:tcPr>
            <w:tcW w:w="899" w:type="dxa"/>
            <w:hideMark/>
          </w:tcPr>
          <w:p w14:paraId="740CA3EA"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1330</w:t>
            </w:r>
          </w:p>
        </w:tc>
      </w:tr>
      <w:tr w:rsidR="0036709B" w:rsidRPr="0065333F" w14:paraId="13C6F412" w14:textId="77777777" w:rsidTr="004B7290">
        <w:tc>
          <w:tcPr>
            <w:tcW w:w="414" w:type="dxa"/>
            <w:hideMark/>
          </w:tcPr>
          <w:p w14:paraId="2BA204D2"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29</w:t>
            </w:r>
          </w:p>
        </w:tc>
        <w:tc>
          <w:tcPr>
            <w:tcW w:w="0" w:type="auto"/>
            <w:hideMark/>
          </w:tcPr>
          <w:p w14:paraId="019FA7C9"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Epidemiologic Studies/</w:t>
            </w:r>
          </w:p>
        </w:tc>
        <w:tc>
          <w:tcPr>
            <w:tcW w:w="899" w:type="dxa"/>
            <w:hideMark/>
          </w:tcPr>
          <w:p w14:paraId="64F48609"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9675</w:t>
            </w:r>
          </w:p>
        </w:tc>
      </w:tr>
      <w:tr w:rsidR="0036709B" w:rsidRPr="0065333F" w14:paraId="215521F0" w14:textId="77777777" w:rsidTr="004B7290">
        <w:tc>
          <w:tcPr>
            <w:tcW w:w="414" w:type="dxa"/>
            <w:hideMark/>
          </w:tcPr>
          <w:p w14:paraId="528E0B96"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30</w:t>
            </w:r>
          </w:p>
        </w:tc>
        <w:tc>
          <w:tcPr>
            <w:tcW w:w="0" w:type="auto"/>
            <w:hideMark/>
          </w:tcPr>
          <w:p w14:paraId="2E5F6A69"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exp Case Control Studies/</w:t>
            </w:r>
          </w:p>
        </w:tc>
        <w:tc>
          <w:tcPr>
            <w:tcW w:w="899" w:type="dxa"/>
            <w:hideMark/>
          </w:tcPr>
          <w:p w14:paraId="1D820DB9"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1585585</w:t>
            </w:r>
          </w:p>
        </w:tc>
      </w:tr>
      <w:tr w:rsidR="0036709B" w:rsidRPr="0065333F" w14:paraId="42F76B1F" w14:textId="77777777" w:rsidTr="004B7290">
        <w:tc>
          <w:tcPr>
            <w:tcW w:w="414" w:type="dxa"/>
            <w:hideMark/>
          </w:tcPr>
          <w:p w14:paraId="5A03C2B6"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31</w:t>
            </w:r>
          </w:p>
        </w:tc>
        <w:tc>
          <w:tcPr>
            <w:tcW w:w="0" w:type="auto"/>
            <w:hideMark/>
          </w:tcPr>
          <w:p w14:paraId="5D51A7BE"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exp Cohort Studies/</w:t>
            </w:r>
          </w:p>
        </w:tc>
        <w:tc>
          <w:tcPr>
            <w:tcW w:w="899" w:type="dxa"/>
            <w:hideMark/>
          </w:tcPr>
          <w:p w14:paraId="209D05E2"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2719874</w:t>
            </w:r>
          </w:p>
        </w:tc>
      </w:tr>
      <w:tr w:rsidR="0036709B" w:rsidRPr="0065333F" w14:paraId="45153D97" w14:textId="77777777" w:rsidTr="004B7290">
        <w:tc>
          <w:tcPr>
            <w:tcW w:w="414" w:type="dxa"/>
            <w:hideMark/>
          </w:tcPr>
          <w:p w14:paraId="28D54AB2"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32</w:t>
            </w:r>
          </w:p>
        </w:tc>
        <w:tc>
          <w:tcPr>
            <w:tcW w:w="0" w:type="auto"/>
            <w:hideMark/>
          </w:tcPr>
          <w:p w14:paraId="199F5E9D"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Cross Sectional Studies/</w:t>
            </w:r>
          </w:p>
        </w:tc>
        <w:tc>
          <w:tcPr>
            <w:tcW w:w="899" w:type="dxa"/>
            <w:hideMark/>
          </w:tcPr>
          <w:p w14:paraId="11FD7F9C"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535817</w:t>
            </w:r>
          </w:p>
        </w:tc>
      </w:tr>
      <w:tr w:rsidR="0036709B" w:rsidRPr="0065333F" w14:paraId="519EF874" w14:textId="77777777" w:rsidTr="004B7290">
        <w:tc>
          <w:tcPr>
            <w:tcW w:w="414" w:type="dxa"/>
            <w:hideMark/>
          </w:tcPr>
          <w:p w14:paraId="5AE8B35A"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33</w:t>
            </w:r>
          </w:p>
        </w:tc>
        <w:tc>
          <w:tcPr>
            <w:tcW w:w="0" w:type="auto"/>
            <w:hideMark/>
          </w:tcPr>
          <w:p w14:paraId="2C357A4F"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(epidemiologic adj (study or studies)</w:t>
            </w:r>
            <w:proofErr w:type="gramStart"/>
            <w:r w:rsidRPr="0065333F">
              <w:rPr>
                <w:rFonts w:ascii="Times New Roman" w:eastAsia="Times New Roman" w:hAnsi="Times New Roman" w:cs="Times New Roman"/>
                <w:color w:val="000000" w:themeColor="text1"/>
              </w:rPr>
              <w:t>).</w:t>
            </w:r>
            <w:proofErr w:type="spellStart"/>
            <w:r w:rsidRPr="0065333F">
              <w:rPr>
                <w:rFonts w:ascii="Times New Roman" w:eastAsia="Times New Roman" w:hAnsi="Times New Roman" w:cs="Times New Roman"/>
                <w:color w:val="000000" w:themeColor="text1"/>
              </w:rPr>
              <w:t>ab</w:t>
            </w:r>
            <w:proofErr w:type="gramEnd"/>
            <w:r w:rsidRPr="0065333F">
              <w:rPr>
                <w:rFonts w:ascii="Times New Roman" w:eastAsia="Times New Roman" w:hAnsi="Times New Roman" w:cs="Times New Roman"/>
                <w:color w:val="000000" w:themeColor="text1"/>
              </w:rPr>
              <w:t>,ti</w:t>
            </w:r>
            <w:proofErr w:type="spellEnd"/>
            <w:r w:rsidRPr="0065333F">
              <w:rPr>
                <w:rFonts w:ascii="Times New Roman" w:eastAsia="Times New Roman" w:hAnsi="Times New Roman" w:cs="Times New Roman"/>
                <w:color w:val="000000" w:themeColor="text1"/>
              </w:rPr>
              <w:t>.</w:t>
            </w:r>
          </w:p>
        </w:tc>
        <w:tc>
          <w:tcPr>
            <w:tcW w:w="899" w:type="dxa"/>
            <w:hideMark/>
          </w:tcPr>
          <w:p w14:paraId="1AA1F0C8"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30119</w:t>
            </w:r>
          </w:p>
        </w:tc>
      </w:tr>
      <w:tr w:rsidR="0036709B" w:rsidRPr="0065333F" w14:paraId="3C55B5F0" w14:textId="77777777" w:rsidTr="004B7290">
        <w:tc>
          <w:tcPr>
            <w:tcW w:w="414" w:type="dxa"/>
            <w:hideMark/>
          </w:tcPr>
          <w:p w14:paraId="5AAE6523"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34</w:t>
            </w:r>
          </w:p>
        </w:tc>
        <w:tc>
          <w:tcPr>
            <w:tcW w:w="0" w:type="auto"/>
            <w:hideMark/>
          </w:tcPr>
          <w:p w14:paraId="6F6AD83D"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 xml:space="preserve">case </w:t>
            </w:r>
            <w:proofErr w:type="spellStart"/>
            <w:proofErr w:type="gramStart"/>
            <w:r w:rsidRPr="0065333F">
              <w:rPr>
                <w:rFonts w:ascii="Times New Roman" w:eastAsia="Times New Roman" w:hAnsi="Times New Roman" w:cs="Times New Roman"/>
                <w:color w:val="000000" w:themeColor="text1"/>
              </w:rPr>
              <w:t>control.ab</w:t>
            </w:r>
            <w:proofErr w:type="gramEnd"/>
            <w:r w:rsidRPr="0065333F">
              <w:rPr>
                <w:rFonts w:ascii="Times New Roman" w:eastAsia="Times New Roman" w:hAnsi="Times New Roman" w:cs="Times New Roman"/>
                <w:color w:val="000000" w:themeColor="text1"/>
              </w:rPr>
              <w:t>,ti</w:t>
            </w:r>
            <w:proofErr w:type="spellEnd"/>
            <w:r w:rsidRPr="0065333F">
              <w:rPr>
                <w:rFonts w:ascii="Times New Roman" w:eastAsia="Times New Roman" w:hAnsi="Times New Roman" w:cs="Times New Roman"/>
                <w:color w:val="000000" w:themeColor="text1"/>
              </w:rPr>
              <w:t>.</w:t>
            </w:r>
          </w:p>
        </w:tc>
        <w:tc>
          <w:tcPr>
            <w:tcW w:w="899" w:type="dxa"/>
            <w:hideMark/>
          </w:tcPr>
          <w:p w14:paraId="70F684E8"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170620</w:t>
            </w:r>
          </w:p>
        </w:tc>
      </w:tr>
      <w:tr w:rsidR="0036709B" w:rsidRPr="0065333F" w14:paraId="6EF98596" w14:textId="77777777" w:rsidTr="004B7290">
        <w:tc>
          <w:tcPr>
            <w:tcW w:w="414" w:type="dxa"/>
            <w:hideMark/>
          </w:tcPr>
          <w:p w14:paraId="3F318331"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35</w:t>
            </w:r>
          </w:p>
        </w:tc>
        <w:tc>
          <w:tcPr>
            <w:tcW w:w="0" w:type="auto"/>
            <w:hideMark/>
          </w:tcPr>
          <w:p w14:paraId="6982C1D2"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(cohort adj (study or studies)</w:t>
            </w:r>
            <w:proofErr w:type="gramStart"/>
            <w:r w:rsidRPr="0065333F">
              <w:rPr>
                <w:rFonts w:ascii="Times New Roman" w:eastAsia="Times New Roman" w:hAnsi="Times New Roman" w:cs="Times New Roman"/>
                <w:color w:val="000000" w:themeColor="text1"/>
              </w:rPr>
              <w:t>).</w:t>
            </w:r>
            <w:proofErr w:type="spellStart"/>
            <w:r w:rsidRPr="0065333F">
              <w:rPr>
                <w:rFonts w:ascii="Times New Roman" w:eastAsia="Times New Roman" w:hAnsi="Times New Roman" w:cs="Times New Roman"/>
                <w:color w:val="000000" w:themeColor="text1"/>
              </w:rPr>
              <w:t>ab</w:t>
            </w:r>
            <w:proofErr w:type="gramEnd"/>
            <w:r w:rsidRPr="0065333F">
              <w:rPr>
                <w:rFonts w:ascii="Times New Roman" w:eastAsia="Times New Roman" w:hAnsi="Times New Roman" w:cs="Times New Roman"/>
                <w:color w:val="000000" w:themeColor="text1"/>
              </w:rPr>
              <w:t>,ti</w:t>
            </w:r>
            <w:proofErr w:type="spellEnd"/>
            <w:r w:rsidRPr="0065333F">
              <w:rPr>
                <w:rFonts w:ascii="Times New Roman" w:eastAsia="Times New Roman" w:hAnsi="Times New Roman" w:cs="Times New Roman"/>
                <w:color w:val="000000" w:themeColor="text1"/>
              </w:rPr>
              <w:t>.</w:t>
            </w:r>
          </w:p>
        </w:tc>
        <w:tc>
          <w:tcPr>
            <w:tcW w:w="899" w:type="dxa"/>
            <w:hideMark/>
          </w:tcPr>
          <w:p w14:paraId="58527904"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391369</w:t>
            </w:r>
          </w:p>
        </w:tc>
      </w:tr>
      <w:tr w:rsidR="0036709B" w:rsidRPr="0065333F" w14:paraId="57BADBF7" w14:textId="77777777" w:rsidTr="004B7290">
        <w:tc>
          <w:tcPr>
            <w:tcW w:w="414" w:type="dxa"/>
            <w:hideMark/>
          </w:tcPr>
          <w:p w14:paraId="7586C459"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36</w:t>
            </w:r>
          </w:p>
        </w:tc>
        <w:tc>
          <w:tcPr>
            <w:tcW w:w="0" w:type="auto"/>
            <w:hideMark/>
          </w:tcPr>
          <w:p w14:paraId="4E278A16"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 xml:space="preserve">cross </w:t>
            </w:r>
            <w:proofErr w:type="spellStart"/>
            <w:proofErr w:type="gramStart"/>
            <w:r w:rsidRPr="0065333F">
              <w:rPr>
                <w:rFonts w:ascii="Times New Roman" w:eastAsia="Times New Roman" w:hAnsi="Times New Roman" w:cs="Times New Roman"/>
                <w:color w:val="000000" w:themeColor="text1"/>
              </w:rPr>
              <w:t>sectional.ab</w:t>
            </w:r>
            <w:proofErr w:type="gramEnd"/>
            <w:r w:rsidRPr="0065333F">
              <w:rPr>
                <w:rFonts w:ascii="Times New Roman" w:eastAsia="Times New Roman" w:hAnsi="Times New Roman" w:cs="Times New Roman"/>
                <w:color w:val="000000" w:themeColor="text1"/>
              </w:rPr>
              <w:t>,ti</w:t>
            </w:r>
            <w:proofErr w:type="spellEnd"/>
            <w:r w:rsidRPr="0065333F">
              <w:rPr>
                <w:rFonts w:ascii="Times New Roman" w:eastAsia="Times New Roman" w:hAnsi="Times New Roman" w:cs="Times New Roman"/>
                <w:color w:val="000000" w:themeColor="text1"/>
              </w:rPr>
              <w:t>.</w:t>
            </w:r>
          </w:p>
        </w:tc>
        <w:tc>
          <w:tcPr>
            <w:tcW w:w="899" w:type="dxa"/>
            <w:hideMark/>
          </w:tcPr>
          <w:p w14:paraId="5DE93C4A"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617646</w:t>
            </w:r>
          </w:p>
        </w:tc>
      </w:tr>
      <w:tr w:rsidR="0036709B" w:rsidRPr="0065333F" w14:paraId="7955A19A" w14:textId="77777777" w:rsidTr="004B7290">
        <w:tc>
          <w:tcPr>
            <w:tcW w:w="414" w:type="dxa"/>
            <w:hideMark/>
          </w:tcPr>
          <w:p w14:paraId="369580F3"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37</w:t>
            </w:r>
          </w:p>
        </w:tc>
        <w:tc>
          <w:tcPr>
            <w:tcW w:w="0" w:type="auto"/>
            <w:hideMark/>
          </w:tcPr>
          <w:p w14:paraId="2080CB89"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 xml:space="preserve">cohort </w:t>
            </w:r>
            <w:proofErr w:type="spellStart"/>
            <w:r w:rsidRPr="0065333F">
              <w:rPr>
                <w:rFonts w:ascii="Times New Roman" w:eastAsia="Times New Roman" w:hAnsi="Times New Roman" w:cs="Times New Roman"/>
                <w:color w:val="000000" w:themeColor="text1"/>
              </w:rPr>
              <w:t>analy</w:t>
            </w:r>
            <w:proofErr w:type="spellEnd"/>
            <w:proofErr w:type="gramStart"/>
            <w:r w:rsidRPr="0065333F">
              <w:rPr>
                <w:rFonts w:ascii="Times New Roman" w:eastAsia="Times New Roman" w:hAnsi="Times New Roman" w:cs="Times New Roman"/>
                <w:color w:val="000000" w:themeColor="text1"/>
              </w:rPr>
              <w:t>$.</w:t>
            </w:r>
            <w:proofErr w:type="spellStart"/>
            <w:r w:rsidRPr="0065333F">
              <w:rPr>
                <w:rFonts w:ascii="Times New Roman" w:eastAsia="Times New Roman" w:hAnsi="Times New Roman" w:cs="Times New Roman"/>
                <w:color w:val="000000" w:themeColor="text1"/>
              </w:rPr>
              <w:t>ab</w:t>
            </w:r>
            <w:proofErr w:type="gramEnd"/>
            <w:r w:rsidRPr="0065333F">
              <w:rPr>
                <w:rFonts w:ascii="Times New Roman" w:eastAsia="Times New Roman" w:hAnsi="Times New Roman" w:cs="Times New Roman"/>
                <w:color w:val="000000" w:themeColor="text1"/>
              </w:rPr>
              <w:t>,ti</w:t>
            </w:r>
            <w:proofErr w:type="spellEnd"/>
            <w:r w:rsidRPr="0065333F">
              <w:rPr>
                <w:rFonts w:ascii="Times New Roman" w:eastAsia="Times New Roman" w:hAnsi="Times New Roman" w:cs="Times New Roman"/>
                <w:color w:val="000000" w:themeColor="text1"/>
              </w:rPr>
              <w:t>.</w:t>
            </w:r>
          </w:p>
        </w:tc>
        <w:tc>
          <w:tcPr>
            <w:tcW w:w="899" w:type="dxa"/>
            <w:hideMark/>
          </w:tcPr>
          <w:p w14:paraId="080D17C5"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14631</w:t>
            </w:r>
          </w:p>
        </w:tc>
      </w:tr>
      <w:tr w:rsidR="0036709B" w:rsidRPr="0065333F" w14:paraId="4AA1485B" w14:textId="77777777" w:rsidTr="004B7290">
        <w:tc>
          <w:tcPr>
            <w:tcW w:w="414" w:type="dxa"/>
            <w:hideMark/>
          </w:tcPr>
          <w:p w14:paraId="65258442"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38</w:t>
            </w:r>
          </w:p>
        </w:tc>
        <w:tc>
          <w:tcPr>
            <w:tcW w:w="0" w:type="auto"/>
            <w:hideMark/>
          </w:tcPr>
          <w:p w14:paraId="6B4FC6CB"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(follow up adj (study or studies)</w:t>
            </w:r>
            <w:proofErr w:type="gramStart"/>
            <w:r w:rsidRPr="0065333F">
              <w:rPr>
                <w:rFonts w:ascii="Times New Roman" w:eastAsia="Times New Roman" w:hAnsi="Times New Roman" w:cs="Times New Roman"/>
                <w:color w:val="000000" w:themeColor="text1"/>
              </w:rPr>
              <w:t>).</w:t>
            </w:r>
            <w:proofErr w:type="spellStart"/>
            <w:r w:rsidRPr="0065333F">
              <w:rPr>
                <w:rFonts w:ascii="Times New Roman" w:eastAsia="Times New Roman" w:hAnsi="Times New Roman" w:cs="Times New Roman"/>
                <w:color w:val="000000" w:themeColor="text1"/>
              </w:rPr>
              <w:t>ab</w:t>
            </w:r>
            <w:proofErr w:type="gramEnd"/>
            <w:r w:rsidRPr="0065333F">
              <w:rPr>
                <w:rFonts w:ascii="Times New Roman" w:eastAsia="Times New Roman" w:hAnsi="Times New Roman" w:cs="Times New Roman"/>
                <w:color w:val="000000" w:themeColor="text1"/>
              </w:rPr>
              <w:t>,ti</w:t>
            </w:r>
            <w:proofErr w:type="spellEnd"/>
            <w:r w:rsidRPr="0065333F">
              <w:rPr>
                <w:rFonts w:ascii="Times New Roman" w:eastAsia="Times New Roman" w:hAnsi="Times New Roman" w:cs="Times New Roman"/>
                <w:color w:val="000000" w:themeColor="text1"/>
              </w:rPr>
              <w:t>.</w:t>
            </w:r>
          </w:p>
        </w:tc>
        <w:tc>
          <w:tcPr>
            <w:tcW w:w="899" w:type="dxa"/>
            <w:hideMark/>
          </w:tcPr>
          <w:p w14:paraId="6E8A4C62"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60098</w:t>
            </w:r>
          </w:p>
        </w:tc>
      </w:tr>
      <w:tr w:rsidR="0036709B" w:rsidRPr="0065333F" w14:paraId="76A8B11A" w14:textId="77777777" w:rsidTr="004B7290">
        <w:tc>
          <w:tcPr>
            <w:tcW w:w="414" w:type="dxa"/>
            <w:hideMark/>
          </w:tcPr>
          <w:p w14:paraId="2861B589"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39</w:t>
            </w:r>
          </w:p>
        </w:tc>
        <w:tc>
          <w:tcPr>
            <w:tcW w:w="0" w:type="auto"/>
            <w:hideMark/>
          </w:tcPr>
          <w:p w14:paraId="477E0084" w14:textId="77777777" w:rsidR="0036709B" w:rsidRPr="0065333F" w:rsidRDefault="0036709B" w:rsidP="004B7290">
            <w:pPr>
              <w:pStyle w:val="NoSpacing"/>
              <w:rPr>
                <w:rFonts w:ascii="Times New Roman" w:eastAsia="Times New Roman" w:hAnsi="Times New Roman" w:cs="Times New Roman"/>
                <w:color w:val="000000" w:themeColor="text1"/>
              </w:rPr>
            </w:pPr>
            <w:proofErr w:type="spellStart"/>
            <w:proofErr w:type="gramStart"/>
            <w:r w:rsidRPr="0065333F">
              <w:rPr>
                <w:rFonts w:ascii="Times New Roman" w:eastAsia="Times New Roman" w:hAnsi="Times New Roman" w:cs="Times New Roman"/>
                <w:color w:val="000000" w:themeColor="text1"/>
              </w:rPr>
              <w:t>longitudinal.ab</w:t>
            </w:r>
            <w:proofErr w:type="gramEnd"/>
            <w:r w:rsidRPr="0065333F">
              <w:rPr>
                <w:rFonts w:ascii="Times New Roman" w:eastAsia="Times New Roman" w:hAnsi="Times New Roman" w:cs="Times New Roman"/>
                <w:color w:val="000000" w:themeColor="text1"/>
              </w:rPr>
              <w:t>,ti</w:t>
            </w:r>
            <w:proofErr w:type="spellEnd"/>
            <w:r w:rsidRPr="0065333F">
              <w:rPr>
                <w:rFonts w:ascii="Times New Roman" w:eastAsia="Times New Roman" w:hAnsi="Times New Roman" w:cs="Times New Roman"/>
                <w:color w:val="000000" w:themeColor="text1"/>
              </w:rPr>
              <w:t>.</w:t>
            </w:r>
          </w:p>
        </w:tc>
        <w:tc>
          <w:tcPr>
            <w:tcW w:w="899" w:type="dxa"/>
            <w:hideMark/>
          </w:tcPr>
          <w:p w14:paraId="47E6A730"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371727</w:t>
            </w:r>
          </w:p>
        </w:tc>
      </w:tr>
      <w:tr w:rsidR="0036709B" w:rsidRPr="0065333F" w14:paraId="1AB40D18" w14:textId="77777777" w:rsidTr="004B7290">
        <w:tc>
          <w:tcPr>
            <w:tcW w:w="414" w:type="dxa"/>
            <w:hideMark/>
          </w:tcPr>
          <w:p w14:paraId="409F3C63"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lastRenderedPageBreak/>
              <w:t>40</w:t>
            </w:r>
          </w:p>
        </w:tc>
        <w:tc>
          <w:tcPr>
            <w:tcW w:w="0" w:type="auto"/>
            <w:hideMark/>
          </w:tcPr>
          <w:p w14:paraId="37DC8B3D"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retrospective</w:t>
            </w:r>
            <w:proofErr w:type="gramStart"/>
            <w:r w:rsidRPr="0065333F">
              <w:rPr>
                <w:rFonts w:ascii="Times New Roman" w:eastAsia="Times New Roman" w:hAnsi="Times New Roman" w:cs="Times New Roman"/>
                <w:color w:val="000000" w:themeColor="text1"/>
              </w:rPr>
              <w:t>$.</w:t>
            </w:r>
            <w:proofErr w:type="spellStart"/>
            <w:r w:rsidRPr="0065333F">
              <w:rPr>
                <w:rFonts w:ascii="Times New Roman" w:eastAsia="Times New Roman" w:hAnsi="Times New Roman" w:cs="Times New Roman"/>
                <w:color w:val="000000" w:themeColor="text1"/>
              </w:rPr>
              <w:t>ab</w:t>
            </w:r>
            <w:proofErr w:type="gramEnd"/>
            <w:r w:rsidRPr="0065333F">
              <w:rPr>
                <w:rFonts w:ascii="Times New Roman" w:eastAsia="Times New Roman" w:hAnsi="Times New Roman" w:cs="Times New Roman"/>
                <w:color w:val="000000" w:themeColor="text1"/>
              </w:rPr>
              <w:t>,ti</w:t>
            </w:r>
            <w:proofErr w:type="spellEnd"/>
            <w:r w:rsidRPr="0065333F">
              <w:rPr>
                <w:rFonts w:ascii="Times New Roman" w:eastAsia="Times New Roman" w:hAnsi="Times New Roman" w:cs="Times New Roman"/>
                <w:color w:val="000000" w:themeColor="text1"/>
              </w:rPr>
              <w:t>.</w:t>
            </w:r>
          </w:p>
        </w:tc>
        <w:tc>
          <w:tcPr>
            <w:tcW w:w="899" w:type="dxa"/>
            <w:hideMark/>
          </w:tcPr>
          <w:p w14:paraId="22D684DE"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1206333</w:t>
            </w:r>
          </w:p>
        </w:tc>
      </w:tr>
      <w:tr w:rsidR="0036709B" w:rsidRPr="0065333F" w14:paraId="49AB1F2E" w14:textId="77777777" w:rsidTr="004B7290">
        <w:tc>
          <w:tcPr>
            <w:tcW w:w="414" w:type="dxa"/>
            <w:hideMark/>
          </w:tcPr>
          <w:p w14:paraId="08672066"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41</w:t>
            </w:r>
          </w:p>
        </w:tc>
        <w:tc>
          <w:tcPr>
            <w:tcW w:w="0" w:type="auto"/>
            <w:hideMark/>
          </w:tcPr>
          <w:p w14:paraId="775291E3"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prospective</w:t>
            </w:r>
            <w:proofErr w:type="gramStart"/>
            <w:r w:rsidRPr="0065333F">
              <w:rPr>
                <w:rFonts w:ascii="Times New Roman" w:eastAsia="Times New Roman" w:hAnsi="Times New Roman" w:cs="Times New Roman"/>
                <w:color w:val="000000" w:themeColor="text1"/>
              </w:rPr>
              <w:t>$.</w:t>
            </w:r>
            <w:proofErr w:type="spellStart"/>
            <w:r w:rsidRPr="0065333F">
              <w:rPr>
                <w:rFonts w:ascii="Times New Roman" w:eastAsia="Times New Roman" w:hAnsi="Times New Roman" w:cs="Times New Roman"/>
                <w:color w:val="000000" w:themeColor="text1"/>
              </w:rPr>
              <w:t>ab</w:t>
            </w:r>
            <w:proofErr w:type="gramEnd"/>
            <w:r w:rsidRPr="0065333F">
              <w:rPr>
                <w:rFonts w:ascii="Times New Roman" w:eastAsia="Times New Roman" w:hAnsi="Times New Roman" w:cs="Times New Roman"/>
                <w:color w:val="000000" w:themeColor="text1"/>
              </w:rPr>
              <w:t>,ti</w:t>
            </w:r>
            <w:proofErr w:type="spellEnd"/>
            <w:r w:rsidRPr="0065333F">
              <w:rPr>
                <w:rFonts w:ascii="Times New Roman" w:eastAsia="Times New Roman" w:hAnsi="Times New Roman" w:cs="Times New Roman"/>
                <w:color w:val="000000" w:themeColor="text1"/>
              </w:rPr>
              <w:t>.</w:t>
            </w:r>
          </w:p>
        </w:tc>
        <w:tc>
          <w:tcPr>
            <w:tcW w:w="899" w:type="dxa"/>
            <w:hideMark/>
          </w:tcPr>
          <w:p w14:paraId="35B3B171"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970366</w:t>
            </w:r>
          </w:p>
        </w:tc>
      </w:tr>
      <w:tr w:rsidR="0036709B" w:rsidRPr="0065333F" w14:paraId="5F383B98" w14:textId="77777777" w:rsidTr="004B7290">
        <w:tc>
          <w:tcPr>
            <w:tcW w:w="414" w:type="dxa"/>
            <w:hideMark/>
          </w:tcPr>
          <w:p w14:paraId="44D80D77"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42</w:t>
            </w:r>
          </w:p>
        </w:tc>
        <w:tc>
          <w:tcPr>
            <w:tcW w:w="0" w:type="auto"/>
            <w:hideMark/>
          </w:tcPr>
          <w:p w14:paraId="2F895B55"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w:t>
            </w:r>
            <w:proofErr w:type="spellStart"/>
            <w:r w:rsidRPr="0065333F">
              <w:rPr>
                <w:rFonts w:ascii="Times New Roman" w:eastAsia="Times New Roman" w:hAnsi="Times New Roman" w:cs="Times New Roman"/>
                <w:color w:val="000000" w:themeColor="text1"/>
              </w:rPr>
              <w:t>observ</w:t>
            </w:r>
            <w:proofErr w:type="spellEnd"/>
            <w:r w:rsidRPr="0065333F">
              <w:rPr>
                <w:rFonts w:ascii="Times New Roman" w:eastAsia="Times New Roman" w:hAnsi="Times New Roman" w:cs="Times New Roman"/>
                <w:color w:val="000000" w:themeColor="text1"/>
              </w:rPr>
              <w:t>$ adj3 (study or studies)</w:t>
            </w:r>
            <w:proofErr w:type="gramStart"/>
            <w:r w:rsidRPr="0065333F">
              <w:rPr>
                <w:rFonts w:ascii="Times New Roman" w:eastAsia="Times New Roman" w:hAnsi="Times New Roman" w:cs="Times New Roman"/>
                <w:color w:val="000000" w:themeColor="text1"/>
              </w:rPr>
              <w:t>).</w:t>
            </w:r>
            <w:proofErr w:type="spellStart"/>
            <w:r w:rsidRPr="0065333F">
              <w:rPr>
                <w:rFonts w:ascii="Times New Roman" w:eastAsia="Times New Roman" w:hAnsi="Times New Roman" w:cs="Times New Roman"/>
                <w:color w:val="000000" w:themeColor="text1"/>
              </w:rPr>
              <w:t>ab</w:t>
            </w:r>
            <w:proofErr w:type="gramEnd"/>
            <w:r w:rsidRPr="0065333F">
              <w:rPr>
                <w:rFonts w:ascii="Times New Roman" w:eastAsia="Times New Roman" w:hAnsi="Times New Roman" w:cs="Times New Roman"/>
                <w:color w:val="000000" w:themeColor="text1"/>
              </w:rPr>
              <w:t>,ti</w:t>
            </w:r>
            <w:proofErr w:type="spellEnd"/>
            <w:r w:rsidRPr="0065333F">
              <w:rPr>
                <w:rFonts w:ascii="Times New Roman" w:eastAsia="Times New Roman" w:hAnsi="Times New Roman" w:cs="Times New Roman"/>
                <w:color w:val="000000" w:themeColor="text1"/>
              </w:rPr>
              <w:t>.</w:t>
            </w:r>
          </w:p>
        </w:tc>
        <w:tc>
          <w:tcPr>
            <w:tcW w:w="899" w:type="dxa"/>
            <w:hideMark/>
          </w:tcPr>
          <w:p w14:paraId="4381A232"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334824</w:t>
            </w:r>
          </w:p>
        </w:tc>
      </w:tr>
      <w:tr w:rsidR="0036709B" w:rsidRPr="0065333F" w14:paraId="225F37BF" w14:textId="77777777" w:rsidTr="004B7290">
        <w:tc>
          <w:tcPr>
            <w:tcW w:w="414" w:type="dxa"/>
            <w:hideMark/>
          </w:tcPr>
          <w:p w14:paraId="0B53117C"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43</w:t>
            </w:r>
          </w:p>
        </w:tc>
        <w:tc>
          <w:tcPr>
            <w:tcW w:w="0" w:type="auto"/>
            <w:hideMark/>
          </w:tcPr>
          <w:p w14:paraId="0CD27EAB"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 xml:space="preserve">adverse </w:t>
            </w:r>
            <w:proofErr w:type="gramStart"/>
            <w:r w:rsidRPr="0065333F">
              <w:rPr>
                <w:rFonts w:ascii="Times New Roman" w:eastAsia="Times New Roman" w:hAnsi="Times New Roman" w:cs="Times New Roman"/>
                <w:color w:val="000000" w:themeColor="text1"/>
              </w:rPr>
              <w:t>effect?.</w:t>
            </w:r>
            <w:proofErr w:type="spellStart"/>
            <w:r w:rsidRPr="0065333F">
              <w:rPr>
                <w:rFonts w:ascii="Times New Roman" w:eastAsia="Times New Roman" w:hAnsi="Times New Roman" w:cs="Times New Roman"/>
                <w:color w:val="000000" w:themeColor="text1"/>
              </w:rPr>
              <w:t>ab,ti</w:t>
            </w:r>
            <w:proofErr w:type="spellEnd"/>
            <w:proofErr w:type="gramEnd"/>
            <w:r w:rsidRPr="0065333F">
              <w:rPr>
                <w:rFonts w:ascii="Times New Roman" w:eastAsia="Times New Roman" w:hAnsi="Times New Roman" w:cs="Times New Roman"/>
                <w:color w:val="000000" w:themeColor="text1"/>
              </w:rPr>
              <w:t>.</w:t>
            </w:r>
          </w:p>
        </w:tc>
        <w:tc>
          <w:tcPr>
            <w:tcW w:w="899" w:type="dxa"/>
            <w:hideMark/>
          </w:tcPr>
          <w:p w14:paraId="02521794"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221351</w:t>
            </w:r>
          </w:p>
        </w:tc>
      </w:tr>
      <w:tr w:rsidR="0036709B" w:rsidRPr="0065333F" w14:paraId="28CFF1AF" w14:textId="77777777" w:rsidTr="004B7290">
        <w:tc>
          <w:tcPr>
            <w:tcW w:w="414" w:type="dxa"/>
            <w:hideMark/>
          </w:tcPr>
          <w:p w14:paraId="39EA6FF5"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44</w:t>
            </w:r>
          </w:p>
        </w:tc>
        <w:tc>
          <w:tcPr>
            <w:tcW w:w="0" w:type="auto"/>
            <w:hideMark/>
          </w:tcPr>
          <w:p w14:paraId="71D5E51D"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29 or 30 or 31 or 32 or 33 or 34 or 35 or 36 or 37 or 38 or 39 or 40 or 41 or 42 or 43 [****Types of studies to be included****]</w:t>
            </w:r>
          </w:p>
        </w:tc>
        <w:tc>
          <w:tcPr>
            <w:tcW w:w="899" w:type="dxa"/>
            <w:hideMark/>
          </w:tcPr>
          <w:p w14:paraId="35C384F1"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4826308</w:t>
            </w:r>
          </w:p>
        </w:tc>
      </w:tr>
      <w:tr w:rsidR="0036709B" w:rsidRPr="0065333F" w14:paraId="450F6256" w14:textId="77777777" w:rsidTr="004B7290">
        <w:tc>
          <w:tcPr>
            <w:tcW w:w="414" w:type="dxa"/>
            <w:hideMark/>
          </w:tcPr>
          <w:p w14:paraId="4C77A223"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45</w:t>
            </w:r>
          </w:p>
        </w:tc>
        <w:tc>
          <w:tcPr>
            <w:tcW w:w="0" w:type="auto"/>
            <w:hideMark/>
          </w:tcPr>
          <w:p w14:paraId="2493F135" w14:textId="77777777" w:rsidR="0036709B" w:rsidRPr="0065333F" w:rsidRDefault="0036709B" w:rsidP="004B7290">
            <w:pPr>
              <w:pStyle w:val="NoSpacing"/>
              <w:rPr>
                <w:rFonts w:ascii="Times New Roman" w:eastAsia="Times New Roman" w:hAnsi="Times New Roman" w:cs="Times New Roman"/>
                <w:color w:val="000000" w:themeColor="text1"/>
              </w:rPr>
            </w:pPr>
            <w:proofErr w:type="spellStart"/>
            <w:r w:rsidRPr="0065333F">
              <w:rPr>
                <w:rFonts w:ascii="Times New Roman" w:eastAsia="Times New Roman" w:hAnsi="Times New Roman" w:cs="Times New Roman"/>
                <w:color w:val="000000" w:themeColor="text1"/>
              </w:rPr>
              <w:t>medline.ti</w:t>
            </w:r>
            <w:proofErr w:type="spellEnd"/>
            <w:r w:rsidRPr="0065333F">
              <w:rPr>
                <w:rFonts w:ascii="Times New Roman" w:eastAsia="Times New Roman" w:hAnsi="Times New Roman" w:cs="Times New Roman"/>
                <w:color w:val="000000" w:themeColor="text1"/>
              </w:rPr>
              <w:t>.</w:t>
            </w:r>
          </w:p>
        </w:tc>
        <w:tc>
          <w:tcPr>
            <w:tcW w:w="899" w:type="dxa"/>
            <w:hideMark/>
          </w:tcPr>
          <w:p w14:paraId="5A994596"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1059</w:t>
            </w:r>
          </w:p>
        </w:tc>
      </w:tr>
      <w:tr w:rsidR="0036709B" w:rsidRPr="0065333F" w14:paraId="77AC7546" w14:textId="77777777" w:rsidTr="004B7290">
        <w:tc>
          <w:tcPr>
            <w:tcW w:w="414" w:type="dxa"/>
            <w:hideMark/>
          </w:tcPr>
          <w:p w14:paraId="7A3C44B8"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46</w:t>
            </w:r>
          </w:p>
        </w:tc>
        <w:tc>
          <w:tcPr>
            <w:tcW w:w="0" w:type="auto"/>
            <w:hideMark/>
          </w:tcPr>
          <w:p w14:paraId="752551FC" w14:textId="77777777" w:rsidR="0036709B" w:rsidRPr="0065333F" w:rsidRDefault="0036709B" w:rsidP="004B7290">
            <w:pPr>
              <w:pStyle w:val="NoSpacing"/>
              <w:rPr>
                <w:rFonts w:ascii="Times New Roman" w:eastAsia="Times New Roman" w:hAnsi="Times New Roman" w:cs="Times New Roman"/>
                <w:color w:val="000000" w:themeColor="text1"/>
              </w:rPr>
            </w:pPr>
            <w:proofErr w:type="spellStart"/>
            <w:r w:rsidRPr="0065333F">
              <w:rPr>
                <w:rFonts w:ascii="Times New Roman" w:eastAsia="Times New Roman" w:hAnsi="Times New Roman" w:cs="Times New Roman"/>
                <w:color w:val="000000" w:themeColor="text1"/>
              </w:rPr>
              <w:t>embase.ti</w:t>
            </w:r>
            <w:proofErr w:type="spellEnd"/>
            <w:r w:rsidRPr="0065333F">
              <w:rPr>
                <w:rFonts w:ascii="Times New Roman" w:eastAsia="Times New Roman" w:hAnsi="Times New Roman" w:cs="Times New Roman"/>
                <w:color w:val="000000" w:themeColor="text1"/>
              </w:rPr>
              <w:t>.</w:t>
            </w:r>
          </w:p>
        </w:tc>
        <w:tc>
          <w:tcPr>
            <w:tcW w:w="899" w:type="dxa"/>
            <w:hideMark/>
          </w:tcPr>
          <w:p w14:paraId="33C7163A"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126</w:t>
            </w:r>
          </w:p>
        </w:tc>
      </w:tr>
      <w:tr w:rsidR="0036709B" w:rsidRPr="0065333F" w14:paraId="6049693E" w14:textId="77777777" w:rsidTr="004B7290">
        <w:tc>
          <w:tcPr>
            <w:tcW w:w="414" w:type="dxa"/>
            <w:hideMark/>
          </w:tcPr>
          <w:p w14:paraId="2E1C0633"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47</w:t>
            </w:r>
          </w:p>
        </w:tc>
        <w:tc>
          <w:tcPr>
            <w:tcW w:w="0" w:type="auto"/>
            <w:hideMark/>
          </w:tcPr>
          <w:p w14:paraId="0426B177" w14:textId="77777777" w:rsidR="0036709B" w:rsidRPr="0065333F" w:rsidRDefault="0036709B" w:rsidP="004B7290">
            <w:pPr>
              <w:pStyle w:val="NoSpacing"/>
              <w:rPr>
                <w:rFonts w:ascii="Times New Roman" w:eastAsia="Times New Roman" w:hAnsi="Times New Roman" w:cs="Times New Roman"/>
                <w:color w:val="000000" w:themeColor="text1"/>
              </w:rPr>
            </w:pPr>
            <w:proofErr w:type="spellStart"/>
            <w:r w:rsidRPr="0065333F">
              <w:rPr>
                <w:rFonts w:ascii="Times New Roman" w:eastAsia="Times New Roman" w:hAnsi="Times New Roman" w:cs="Times New Roman"/>
                <w:color w:val="000000" w:themeColor="text1"/>
              </w:rPr>
              <w:t>pubmed.ti</w:t>
            </w:r>
            <w:proofErr w:type="spellEnd"/>
            <w:r w:rsidRPr="0065333F">
              <w:rPr>
                <w:rFonts w:ascii="Times New Roman" w:eastAsia="Times New Roman" w:hAnsi="Times New Roman" w:cs="Times New Roman"/>
                <w:color w:val="000000" w:themeColor="text1"/>
              </w:rPr>
              <w:t>.</w:t>
            </w:r>
          </w:p>
        </w:tc>
        <w:tc>
          <w:tcPr>
            <w:tcW w:w="899" w:type="dxa"/>
            <w:hideMark/>
          </w:tcPr>
          <w:p w14:paraId="5B72DB06"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1025</w:t>
            </w:r>
          </w:p>
        </w:tc>
      </w:tr>
      <w:tr w:rsidR="0036709B" w:rsidRPr="0065333F" w14:paraId="260227CD" w14:textId="77777777" w:rsidTr="004B7290">
        <w:tc>
          <w:tcPr>
            <w:tcW w:w="414" w:type="dxa"/>
            <w:hideMark/>
          </w:tcPr>
          <w:p w14:paraId="7B575739"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48</w:t>
            </w:r>
          </w:p>
        </w:tc>
        <w:tc>
          <w:tcPr>
            <w:tcW w:w="0" w:type="auto"/>
            <w:hideMark/>
          </w:tcPr>
          <w:p w14:paraId="60BA0E88"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(database? and searching).</w:t>
            </w:r>
            <w:proofErr w:type="spellStart"/>
            <w:r w:rsidRPr="0065333F">
              <w:rPr>
                <w:rFonts w:ascii="Times New Roman" w:eastAsia="Times New Roman" w:hAnsi="Times New Roman" w:cs="Times New Roman"/>
                <w:color w:val="000000" w:themeColor="text1"/>
              </w:rPr>
              <w:t>ti</w:t>
            </w:r>
            <w:proofErr w:type="spellEnd"/>
            <w:r w:rsidRPr="0065333F">
              <w:rPr>
                <w:rFonts w:ascii="Times New Roman" w:eastAsia="Times New Roman" w:hAnsi="Times New Roman" w:cs="Times New Roman"/>
                <w:color w:val="000000" w:themeColor="text1"/>
              </w:rPr>
              <w:t>.</w:t>
            </w:r>
          </w:p>
        </w:tc>
        <w:tc>
          <w:tcPr>
            <w:tcW w:w="899" w:type="dxa"/>
            <w:hideMark/>
          </w:tcPr>
          <w:p w14:paraId="5CCC55BD"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403</w:t>
            </w:r>
          </w:p>
        </w:tc>
      </w:tr>
      <w:tr w:rsidR="0036709B" w:rsidRPr="0065333F" w14:paraId="01F71ECB" w14:textId="77777777" w:rsidTr="004B7290">
        <w:tc>
          <w:tcPr>
            <w:tcW w:w="414" w:type="dxa"/>
            <w:hideMark/>
          </w:tcPr>
          <w:p w14:paraId="3BBDABC7"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49</w:t>
            </w:r>
          </w:p>
        </w:tc>
        <w:tc>
          <w:tcPr>
            <w:tcW w:w="0" w:type="auto"/>
            <w:hideMark/>
          </w:tcPr>
          <w:p w14:paraId="7673D5FE"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*MEDLINE/</w:t>
            </w:r>
          </w:p>
        </w:tc>
        <w:tc>
          <w:tcPr>
            <w:tcW w:w="899" w:type="dxa"/>
            <w:hideMark/>
          </w:tcPr>
          <w:p w14:paraId="54E57645"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1223</w:t>
            </w:r>
          </w:p>
        </w:tc>
      </w:tr>
      <w:tr w:rsidR="0036709B" w:rsidRPr="0065333F" w14:paraId="33AB6E02" w14:textId="77777777" w:rsidTr="004B7290">
        <w:tc>
          <w:tcPr>
            <w:tcW w:w="414" w:type="dxa"/>
            <w:hideMark/>
          </w:tcPr>
          <w:p w14:paraId="0065108A"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50</w:t>
            </w:r>
          </w:p>
        </w:tc>
        <w:tc>
          <w:tcPr>
            <w:tcW w:w="0" w:type="auto"/>
            <w:hideMark/>
          </w:tcPr>
          <w:p w14:paraId="403839DA"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*PubMed/</w:t>
            </w:r>
          </w:p>
        </w:tc>
        <w:tc>
          <w:tcPr>
            <w:tcW w:w="899" w:type="dxa"/>
            <w:hideMark/>
          </w:tcPr>
          <w:p w14:paraId="4810481D"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748</w:t>
            </w:r>
          </w:p>
        </w:tc>
      </w:tr>
      <w:tr w:rsidR="0036709B" w:rsidRPr="0065333F" w14:paraId="053221C1" w14:textId="77777777" w:rsidTr="004B7290">
        <w:tc>
          <w:tcPr>
            <w:tcW w:w="414" w:type="dxa"/>
            <w:hideMark/>
          </w:tcPr>
          <w:p w14:paraId="52A804AA"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51</w:t>
            </w:r>
          </w:p>
        </w:tc>
        <w:tc>
          <w:tcPr>
            <w:tcW w:w="0" w:type="auto"/>
            <w:hideMark/>
          </w:tcPr>
          <w:p w14:paraId="12C7C19B"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*Databases, Bibliographic/</w:t>
            </w:r>
          </w:p>
        </w:tc>
        <w:tc>
          <w:tcPr>
            <w:tcW w:w="899" w:type="dxa"/>
            <w:hideMark/>
          </w:tcPr>
          <w:p w14:paraId="145B149A"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1824</w:t>
            </w:r>
          </w:p>
        </w:tc>
      </w:tr>
      <w:tr w:rsidR="0036709B" w:rsidRPr="0065333F" w14:paraId="7B85A9B3" w14:textId="77777777" w:rsidTr="004B7290">
        <w:tc>
          <w:tcPr>
            <w:tcW w:w="414" w:type="dxa"/>
            <w:hideMark/>
          </w:tcPr>
          <w:p w14:paraId="6F45995D"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52</w:t>
            </w:r>
          </w:p>
        </w:tc>
        <w:tc>
          <w:tcPr>
            <w:tcW w:w="0" w:type="auto"/>
            <w:hideMark/>
          </w:tcPr>
          <w:p w14:paraId="5C198416"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45 or 46 or 47 or 48 or 49 or 50 or 51 [****Databases to search****]</w:t>
            </w:r>
          </w:p>
        </w:tc>
        <w:tc>
          <w:tcPr>
            <w:tcW w:w="899" w:type="dxa"/>
            <w:hideMark/>
          </w:tcPr>
          <w:p w14:paraId="59ED3135"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4862</w:t>
            </w:r>
          </w:p>
        </w:tc>
      </w:tr>
      <w:tr w:rsidR="0036709B" w:rsidRPr="0065333F" w14:paraId="0B833FE6" w14:textId="77777777" w:rsidTr="004B7290">
        <w:tc>
          <w:tcPr>
            <w:tcW w:w="414" w:type="dxa"/>
            <w:hideMark/>
          </w:tcPr>
          <w:p w14:paraId="51CC2400"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53</w:t>
            </w:r>
          </w:p>
        </w:tc>
        <w:tc>
          <w:tcPr>
            <w:tcW w:w="0" w:type="auto"/>
            <w:hideMark/>
          </w:tcPr>
          <w:p w14:paraId="1F8DE41A"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44 and 52 [****Types of studies included + databases to search****]</w:t>
            </w:r>
          </w:p>
        </w:tc>
        <w:tc>
          <w:tcPr>
            <w:tcW w:w="899" w:type="dxa"/>
            <w:hideMark/>
          </w:tcPr>
          <w:p w14:paraId="21747398"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289</w:t>
            </w:r>
          </w:p>
        </w:tc>
      </w:tr>
      <w:tr w:rsidR="0036709B" w:rsidRPr="0065333F" w14:paraId="76175E29" w14:textId="77777777" w:rsidTr="004B7290">
        <w:tc>
          <w:tcPr>
            <w:tcW w:w="414" w:type="dxa"/>
            <w:hideMark/>
          </w:tcPr>
          <w:p w14:paraId="45371E71"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54</w:t>
            </w:r>
          </w:p>
        </w:tc>
        <w:tc>
          <w:tcPr>
            <w:tcW w:w="0" w:type="auto"/>
            <w:hideMark/>
          </w:tcPr>
          <w:p w14:paraId="6E979E41"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 xml:space="preserve">((identify$ or develop$ or design$ or test$ or assess$ or </w:t>
            </w:r>
            <w:proofErr w:type="spellStart"/>
            <w:r w:rsidRPr="0065333F">
              <w:rPr>
                <w:rFonts w:ascii="Times New Roman" w:eastAsia="Times New Roman" w:hAnsi="Times New Roman" w:cs="Times New Roman"/>
                <w:color w:val="000000" w:themeColor="text1"/>
              </w:rPr>
              <w:t>evaluat</w:t>
            </w:r>
            <w:proofErr w:type="spellEnd"/>
            <w:r w:rsidRPr="0065333F">
              <w:rPr>
                <w:rFonts w:ascii="Times New Roman" w:eastAsia="Times New Roman" w:hAnsi="Times New Roman" w:cs="Times New Roman"/>
                <w:color w:val="000000" w:themeColor="text1"/>
              </w:rPr>
              <w:t xml:space="preserve">$ or robust$ or </w:t>
            </w:r>
            <w:proofErr w:type="spellStart"/>
            <w:r w:rsidRPr="0065333F">
              <w:rPr>
                <w:rFonts w:ascii="Times New Roman" w:eastAsia="Times New Roman" w:hAnsi="Times New Roman" w:cs="Times New Roman"/>
                <w:color w:val="000000" w:themeColor="text1"/>
              </w:rPr>
              <w:t>optim</w:t>
            </w:r>
            <w:proofErr w:type="spellEnd"/>
            <w:r w:rsidRPr="0065333F">
              <w:rPr>
                <w:rFonts w:ascii="Times New Roman" w:eastAsia="Times New Roman" w:hAnsi="Times New Roman" w:cs="Times New Roman"/>
                <w:color w:val="000000" w:themeColor="text1"/>
              </w:rPr>
              <w:t xml:space="preserve">$ or </w:t>
            </w:r>
            <w:proofErr w:type="spellStart"/>
            <w:r w:rsidRPr="0065333F">
              <w:rPr>
                <w:rFonts w:ascii="Times New Roman" w:eastAsia="Times New Roman" w:hAnsi="Times New Roman" w:cs="Times New Roman"/>
                <w:color w:val="000000" w:themeColor="text1"/>
              </w:rPr>
              <w:t>effic</w:t>
            </w:r>
            <w:proofErr w:type="spellEnd"/>
            <w:r w:rsidRPr="0065333F">
              <w:rPr>
                <w:rFonts w:ascii="Times New Roman" w:eastAsia="Times New Roman" w:hAnsi="Times New Roman" w:cs="Times New Roman"/>
                <w:color w:val="000000" w:themeColor="text1"/>
              </w:rPr>
              <w:t xml:space="preserve">$ or effect$ or </w:t>
            </w:r>
            <w:proofErr w:type="spellStart"/>
            <w:r w:rsidRPr="0065333F">
              <w:rPr>
                <w:rFonts w:ascii="Times New Roman" w:eastAsia="Times New Roman" w:hAnsi="Times New Roman" w:cs="Times New Roman"/>
                <w:color w:val="000000" w:themeColor="text1"/>
              </w:rPr>
              <w:t>sensitiv</w:t>
            </w:r>
            <w:proofErr w:type="spellEnd"/>
            <w:r w:rsidRPr="0065333F">
              <w:rPr>
                <w:rFonts w:ascii="Times New Roman" w:eastAsia="Times New Roman" w:hAnsi="Times New Roman" w:cs="Times New Roman"/>
                <w:color w:val="000000" w:themeColor="text1"/>
              </w:rPr>
              <w:t xml:space="preserve">$ or </w:t>
            </w:r>
            <w:proofErr w:type="spellStart"/>
            <w:r w:rsidRPr="0065333F">
              <w:rPr>
                <w:rFonts w:ascii="Times New Roman" w:eastAsia="Times New Roman" w:hAnsi="Times New Roman" w:cs="Times New Roman"/>
                <w:color w:val="000000" w:themeColor="text1"/>
              </w:rPr>
              <w:t>simpl</w:t>
            </w:r>
            <w:proofErr w:type="spellEnd"/>
            <w:r w:rsidRPr="0065333F">
              <w:rPr>
                <w:rFonts w:ascii="Times New Roman" w:eastAsia="Times New Roman" w:hAnsi="Times New Roman" w:cs="Times New Roman"/>
                <w:color w:val="000000" w:themeColor="text1"/>
              </w:rPr>
              <w:t xml:space="preserve">$ or specific$ or precis$) adj3 ("search </w:t>
            </w:r>
            <w:proofErr w:type="spellStart"/>
            <w:r w:rsidRPr="0065333F">
              <w:rPr>
                <w:rFonts w:ascii="Times New Roman" w:eastAsia="Times New Roman" w:hAnsi="Times New Roman" w:cs="Times New Roman"/>
                <w:color w:val="000000" w:themeColor="text1"/>
              </w:rPr>
              <w:t>strat</w:t>
            </w:r>
            <w:proofErr w:type="spellEnd"/>
            <w:r w:rsidRPr="0065333F">
              <w:rPr>
                <w:rFonts w:ascii="Times New Roman" w:eastAsia="Times New Roman" w:hAnsi="Times New Roman" w:cs="Times New Roman"/>
                <w:color w:val="000000" w:themeColor="text1"/>
              </w:rPr>
              <w:t>$" or "search filter?")</w:t>
            </w:r>
            <w:proofErr w:type="gramStart"/>
            <w:r w:rsidRPr="0065333F">
              <w:rPr>
                <w:rFonts w:ascii="Times New Roman" w:eastAsia="Times New Roman" w:hAnsi="Times New Roman" w:cs="Times New Roman"/>
                <w:color w:val="000000" w:themeColor="text1"/>
              </w:rPr>
              <w:t>).</w:t>
            </w:r>
            <w:proofErr w:type="spellStart"/>
            <w:r w:rsidRPr="0065333F">
              <w:rPr>
                <w:rFonts w:ascii="Times New Roman" w:eastAsia="Times New Roman" w:hAnsi="Times New Roman" w:cs="Times New Roman"/>
                <w:color w:val="000000" w:themeColor="text1"/>
              </w:rPr>
              <w:t>ab</w:t>
            </w:r>
            <w:proofErr w:type="gramEnd"/>
            <w:r w:rsidRPr="0065333F">
              <w:rPr>
                <w:rFonts w:ascii="Times New Roman" w:eastAsia="Times New Roman" w:hAnsi="Times New Roman" w:cs="Times New Roman"/>
                <w:color w:val="000000" w:themeColor="text1"/>
              </w:rPr>
              <w:t>,ti</w:t>
            </w:r>
            <w:proofErr w:type="spellEnd"/>
            <w:r w:rsidRPr="0065333F">
              <w:rPr>
                <w:rFonts w:ascii="Times New Roman" w:eastAsia="Times New Roman" w:hAnsi="Times New Roman" w:cs="Times New Roman"/>
                <w:color w:val="000000" w:themeColor="text1"/>
              </w:rPr>
              <w:t>.</w:t>
            </w:r>
          </w:p>
        </w:tc>
        <w:tc>
          <w:tcPr>
            <w:tcW w:w="899" w:type="dxa"/>
            <w:hideMark/>
          </w:tcPr>
          <w:p w14:paraId="499F0F36"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4142</w:t>
            </w:r>
          </w:p>
        </w:tc>
      </w:tr>
      <w:tr w:rsidR="0036709B" w:rsidRPr="0065333F" w14:paraId="07349A19" w14:textId="77777777" w:rsidTr="004B7290">
        <w:tc>
          <w:tcPr>
            <w:tcW w:w="414" w:type="dxa"/>
            <w:hideMark/>
          </w:tcPr>
          <w:p w14:paraId="79843909"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55</w:t>
            </w:r>
          </w:p>
        </w:tc>
        <w:tc>
          <w:tcPr>
            <w:tcW w:w="0" w:type="auto"/>
            <w:hideMark/>
          </w:tcPr>
          <w:p w14:paraId="608D0EEB"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44 and 54</w:t>
            </w:r>
          </w:p>
        </w:tc>
        <w:tc>
          <w:tcPr>
            <w:tcW w:w="899" w:type="dxa"/>
            <w:hideMark/>
          </w:tcPr>
          <w:p w14:paraId="1E8248EE"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797</w:t>
            </w:r>
          </w:p>
        </w:tc>
      </w:tr>
      <w:tr w:rsidR="0036709B" w:rsidRPr="0065333F" w14:paraId="511B85E5" w14:textId="77777777" w:rsidTr="004B7290">
        <w:tc>
          <w:tcPr>
            <w:tcW w:w="414" w:type="dxa"/>
            <w:hideMark/>
          </w:tcPr>
          <w:p w14:paraId="08085713"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56</w:t>
            </w:r>
          </w:p>
        </w:tc>
        <w:tc>
          <w:tcPr>
            <w:tcW w:w="0" w:type="auto"/>
            <w:hideMark/>
          </w:tcPr>
          <w:p w14:paraId="43012AE6"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53 or 55</w:t>
            </w:r>
          </w:p>
        </w:tc>
        <w:tc>
          <w:tcPr>
            <w:tcW w:w="899" w:type="dxa"/>
            <w:hideMark/>
          </w:tcPr>
          <w:p w14:paraId="1ED79FD6"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1050</w:t>
            </w:r>
          </w:p>
        </w:tc>
      </w:tr>
      <w:tr w:rsidR="0036709B" w:rsidRPr="0065333F" w14:paraId="0122F7FB" w14:textId="77777777" w:rsidTr="004B7290">
        <w:tc>
          <w:tcPr>
            <w:tcW w:w="414" w:type="dxa"/>
            <w:hideMark/>
          </w:tcPr>
          <w:p w14:paraId="27EC8207"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57</w:t>
            </w:r>
          </w:p>
        </w:tc>
        <w:tc>
          <w:tcPr>
            <w:tcW w:w="0" w:type="auto"/>
            <w:hideMark/>
          </w:tcPr>
          <w:p w14:paraId="3745063C"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26 and 56</w:t>
            </w:r>
          </w:p>
        </w:tc>
        <w:tc>
          <w:tcPr>
            <w:tcW w:w="899" w:type="dxa"/>
            <w:hideMark/>
          </w:tcPr>
          <w:p w14:paraId="6E0CEE68"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0</w:t>
            </w:r>
          </w:p>
        </w:tc>
      </w:tr>
      <w:tr w:rsidR="0036709B" w:rsidRPr="0065333F" w14:paraId="5D3AA81F" w14:textId="77777777" w:rsidTr="004B7290">
        <w:tc>
          <w:tcPr>
            <w:tcW w:w="414" w:type="dxa"/>
            <w:hideMark/>
          </w:tcPr>
          <w:p w14:paraId="359016C0"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58</w:t>
            </w:r>
          </w:p>
        </w:tc>
        <w:tc>
          <w:tcPr>
            <w:tcW w:w="0" w:type="auto"/>
            <w:hideMark/>
          </w:tcPr>
          <w:p w14:paraId="73C590ED"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28 or 57</w:t>
            </w:r>
          </w:p>
        </w:tc>
        <w:tc>
          <w:tcPr>
            <w:tcW w:w="899" w:type="dxa"/>
            <w:hideMark/>
          </w:tcPr>
          <w:p w14:paraId="7D55BCD8" w14:textId="77777777" w:rsidR="0036709B" w:rsidRPr="0065333F" w:rsidRDefault="0036709B" w:rsidP="004B7290">
            <w:pPr>
              <w:pStyle w:val="NoSpacing"/>
              <w:rPr>
                <w:rFonts w:ascii="Times New Roman" w:eastAsia="Times New Roman" w:hAnsi="Times New Roman" w:cs="Times New Roman"/>
                <w:color w:val="000000" w:themeColor="text1"/>
              </w:rPr>
            </w:pPr>
            <w:r w:rsidRPr="0065333F">
              <w:rPr>
                <w:rFonts w:ascii="Times New Roman" w:eastAsia="Times New Roman" w:hAnsi="Times New Roman" w:cs="Times New Roman"/>
                <w:color w:val="000000" w:themeColor="text1"/>
              </w:rPr>
              <w:t>1330</w:t>
            </w:r>
          </w:p>
        </w:tc>
      </w:tr>
    </w:tbl>
    <w:p w14:paraId="7EAEDE67" w14:textId="463022C7" w:rsidR="0075761C" w:rsidRPr="0065333F" w:rsidRDefault="0075761C" w:rsidP="001D7CAE">
      <w:pPr>
        <w:rPr>
          <w:b/>
          <w:bCs/>
          <w:color w:val="000000" w:themeColor="text1"/>
        </w:rPr>
      </w:pPr>
    </w:p>
    <w:p w14:paraId="50AA8D03" w14:textId="263F1B8D" w:rsidR="001A5CB0" w:rsidRPr="00A036B3" w:rsidRDefault="00040341" w:rsidP="00A036B3">
      <w:pPr>
        <w:pStyle w:val="Heading2"/>
        <w:rPr>
          <w:rFonts w:ascii="Times New Roman" w:hAnsi="Times New Roman" w:cs="Times New Roman"/>
          <w:b/>
          <w:bCs/>
          <w:color w:val="000000" w:themeColor="text1"/>
          <w:sz w:val="24"/>
          <w:szCs w:val="24"/>
        </w:rPr>
      </w:pPr>
      <w:r w:rsidRPr="00A036B3">
        <w:rPr>
          <w:rFonts w:ascii="Times New Roman" w:hAnsi="Times New Roman" w:cs="Times New Roman"/>
          <w:b/>
          <w:bCs/>
          <w:color w:val="000000" w:themeColor="text1"/>
          <w:sz w:val="24"/>
          <w:szCs w:val="24"/>
        </w:rPr>
        <w:t xml:space="preserve">Appendix </w:t>
      </w:r>
      <w:r w:rsidR="00750EC3">
        <w:rPr>
          <w:rFonts w:ascii="Times New Roman" w:hAnsi="Times New Roman" w:cs="Times New Roman"/>
          <w:b/>
          <w:bCs/>
          <w:color w:val="000000" w:themeColor="text1"/>
          <w:sz w:val="24"/>
          <w:szCs w:val="24"/>
        </w:rPr>
        <w:t>3</w:t>
      </w:r>
      <w:r w:rsidRPr="00A036B3">
        <w:rPr>
          <w:rFonts w:ascii="Times New Roman" w:hAnsi="Times New Roman" w:cs="Times New Roman"/>
          <w:b/>
          <w:bCs/>
          <w:color w:val="000000" w:themeColor="text1"/>
          <w:sz w:val="24"/>
          <w:szCs w:val="24"/>
        </w:rPr>
        <w:t xml:space="preserve">. </w:t>
      </w:r>
      <w:r w:rsidR="00E474E6" w:rsidRPr="00A036B3">
        <w:rPr>
          <w:rFonts w:ascii="Times New Roman" w:hAnsi="Times New Roman" w:cs="Times New Roman"/>
          <w:b/>
          <w:bCs/>
          <w:color w:val="000000" w:themeColor="text1"/>
          <w:sz w:val="24"/>
          <w:szCs w:val="24"/>
        </w:rPr>
        <w:t>Risk of bias assessment of studies that populated model inputs</w:t>
      </w:r>
    </w:p>
    <w:tbl>
      <w:tblPr>
        <w:tblStyle w:val="TableGrid"/>
        <w:tblpPr w:leftFromText="180" w:rightFromText="180" w:vertAnchor="text" w:horzAnchor="margin" w:tblpY="42"/>
        <w:tblW w:w="13603" w:type="dxa"/>
        <w:tblLook w:val="04A0" w:firstRow="1" w:lastRow="0" w:firstColumn="1" w:lastColumn="0" w:noHBand="0" w:noVBand="1"/>
      </w:tblPr>
      <w:tblGrid>
        <w:gridCol w:w="1846"/>
        <w:gridCol w:w="1507"/>
        <w:gridCol w:w="1183"/>
        <w:gridCol w:w="1848"/>
        <w:gridCol w:w="7219"/>
      </w:tblGrid>
      <w:tr w:rsidR="00104F56" w:rsidRPr="0065333F" w14:paraId="6057EF43" w14:textId="77777777" w:rsidTr="00AE4BD3">
        <w:tc>
          <w:tcPr>
            <w:tcW w:w="1863" w:type="dxa"/>
            <w:shd w:val="clear" w:color="auto" w:fill="D9D9D9" w:themeFill="background1" w:themeFillShade="D9"/>
          </w:tcPr>
          <w:p w14:paraId="2132AC53" w14:textId="77777777" w:rsidR="00104F56" w:rsidRPr="0065333F" w:rsidRDefault="00104F56" w:rsidP="00AE4BD3">
            <w:pPr>
              <w:rPr>
                <w:b/>
                <w:bCs/>
                <w:color w:val="000000" w:themeColor="text1"/>
                <w:sz w:val="20"/>
                <w:szCs w:val="20"/>
              </w:rPr>
            </w:pPr>
            <w:r w:rsidRPr="0065333F">
              <w:rPr>
                <w:b/>
                <w:bCs/>
                <w:color w:val="000000" w:themeColor="text1"/>
                <w:sz w:val="20"/>
                <w:szCs w:val="20"/>
              </w:rPr>
              <w:t>Parameter study source</w:t>
            </w:r>
          </w:p>
        </w:tc>
        <w:tc>
          <w:tcPr>
            <w:tcW w:w="1512" w:type="dxa"/>
            <w:shd w:val="clear" w:color="auto" w:fill="D9D9D9" w:themeFill="background1" w:themeFillShade="D9"/>
          </w:tcPr>
          <w:p w14:paraId="3009AC11" w14:textId="77777777" w:rsidR="00104F56" w:rsidRPr="0065333F" w:rsidRDefault="00104F56" w:rsidP="00AE4BD3">
            <w:pPr>
              <w:rPr>
                <w:b/>
                <w:bCs/>
                <w:color w:val="000000" w:themeColor="text1"/>
                <w:sz w:val="20"/>
                <w:szCs w:val="20"/>
              </w:rPr>
            </w:pPr>
            <w:r w:rsidRPr="0065333F">
              <w:rPr>
                <w:b/>
                <w:bCs/>
                <w:color w:val="000000" w:themeColor="text1"/>
                <w:sz w:val="20"/>
                <w:szCs w:val="20"/>
              </w:rPr>
              <w:t>Study design</w:t>
            </w:r>
          </w:p>
        </w:tc>
        <w:tc>
          <w:tcPr>
            <w:tcW w:w="990" w:type="dxa"/>
            <w:shd w:val="clear" w:color="auto" w:fill="D9D9D9" w:themeFill="background1" w:themeFillShade="D9"/>
          </w:tcPr>
          <w:p w14:paraId="7E1ADFB0" w14:textId="77777777" w:rsidR="00104F56" w:rsidRPr="0065333F" w:rsidRDefault="00104F56" w:rsidP="00AE4BD3">
            <w:pPr>
              <w:rPr>
                <w:b/>
                <w:bCs/>
                <w:color w:val="000000" w:themeColor="text1"/>
                <w:sz w:val="20"/>
                <w:szCs w:val="20"/>
              </w:rPr>
            </w:pPr>
            <w:r w:rsidRPr="0065333F">
              <w:rPr>
                <w:b/>
                <w:bCs/>
                <w:color w:val="000000" w:themeColor="text1"/>
                <w:sz w:val="20"/>
                <w:szCs w:val="20"/>
              </w:rPr>
              <w:t>Risk of bias assessment tool</w:t>
            </w:r>
          </w:p>
        </w:tc>
        <w:tc>
          <w:tcPr>
            <w:tcW w:w="1867" w:type="dxa"/>
            <w:shd w:val="clear" w:color="auto" w:fill="D9D9D9" w:themeFill="background1" w:themeFillShade="D9"/>
          </w:tcPr>
          <w:p w14:paraId="68046922" w14:textId="77777777" w:rsidR="00104F56" w:rsidRPr="0065333F" w:rsidRDefault="00104F56" w:rsidP="00AE4BD3">
            <w:pPr>
              <w:rPr>
                <w:b/>
                <w:bCs/>
                <w:color w:val="000000" w:themeColor="text1"/>
                <w:sz w:val="20"/>
                <w:szCs w:val="20"/>
              </w:rPr>
            </w:pPr>
            <w:r w:rsidRPr="0065333F">
              <w:rPr>
                <w:b/>
                <w:bCs/>
                <w:color w:val="000000" w:themeColor="text1"/>
                <w:sz w:val="20"/>
                <w:szCs w:val="20"/>
              </w:rPr>
              <w:t>Overall risk of bias</w:t>
            </w:r>
          </w:p>
        </w:tc>
        <w:tc>
          <w:tcPr>
            <w:tcW w:w="7371" w:type="dxa"/>
            <w:shd w:val="clear" w:color="auto" w:fill="D9D9D9" w:themeFill="background1" w:themeFillShade="D9"/>
          </w:tcPr>
          <w:p w14:paraId="0C42237B" w14:textId="77777777" w:rsidR="00104F56" w:rsidRPr="0065333F" w:rsidRDefault="00104F56" w:rsidP="00AE4BD3">
            <w:pPr>
              <w:rPr>
                <w:b/>
                <w:bCs/>
                <w:color w:val="000000" w:themeColor="text1"/>
                <w:sz w:val="20"/>
                <w:szCs w:val="20"/>
              </w:rPr>
            </w:pPr>
            <w:r w:rsidRPr="0065333F">
              <w:rPr>
                <w:b/>
                <w:bCs/>
                <w:color w:val="000000" w:themeColor="text1"/>
                <w:sz w:val="20"/>
                <w:szCs w:val="20"/>
              </w:rPr>
              <w:t>Notes</w:t>
            </w:r>
          </w:p>
        </w:tc>
      </w:tr>
      <w:tr w:rsidR="00104F56" w:rsidRPr="0065333F" w14:paraId="3BDC58D0" w14:textId="77777777" w:rsidTr="00AE4BD3">
        <w:tc>
          <w:tcPr>
            <w:tcW w:w="13603" w:type="dxa"/>
            <w:gridSpan w:val="5"/>
            <w:shd w:val="clear" w:color="auto" w:fill="BFBFBF" w:themeFill="background1" w:themeFillShade="BF"/>
          </w:tcPr>
          <w:p w14:paraId="2882C56B" w14:textId="77777777" w:rsidR="00104F56" w:rsidRPr="0065333F" w:rsidRDefault="00104F56" w:rsidP="00AE4BD3">
            <w:pPr>
              <w:rPr>
                <w:color w:val="000000" w:themeColor="text1"/>
                <w:sz w:val="20"/>
                <w:szCs w:val="20"/>
              </w:rPr>
            </w:pPr>
            <w:r w:rsidRPr="0065333F">
              <w:rPr>
                <w:b/>
                <w:bCs/>
                <w:color w:val="000000" w:themeColor="text1"/>
                <w:sz w:val="20"/>
                <w:szCs w:val="20"/>
              </w:rPr>
              <w:t>Baseline characteristics</w:t>
            </w:r>
          </w:p>
        </w:tc>
      </w:tr>
      <w:tr w:rsidR="00104F56" w:rsidRPr="0065333F" w14:paraId="2DD2D493" w14:textId="77777777" w:rsidTr="00AE4BD3">
        <w:tc>
          <w:tcPr>
            <w:tcW w:w="1863" w:type="dxa"/>
          </w:tcPr>
          <w:p w14:paraId="0F47ED38" w14:textId="77777777" w:rsidR="00104F56" w:rsidRPr="0065333F" w:rsidRDefault="00104F56" w:rsidP="00AE4BD3">
            <w:pPr>
              <w:rPr>
                <w:color w:val="000000" w:themeColor="text1"/>
                <w:sz w:val="20"/>
                <w:szCs w:val="20"/>
              </w:rPr>
            </w:pPr>
            <w:r w:rsidRPr="0065333F">
              <w:rPr>
                <w:color w:val="000000" w:themeColor="text1"/>
                <w:sz w:val="20"/>
                <w:szCs w:val="20"/>
              </w:rPr>
              <w:t xml:space="preserve">Jain </w:t>
            </w:r>
            <w:commentRangeStart w:id="0"/>
            <w:r w:rsidRPr="0065333F">
              <w:rPr>
                <w:color w:val="000000" w:themeColor="text1"/>
                <w:sz w:val="20"/>
                <w:szCs w:val="20"/>
              </w:rPr>
              <w:t>et</w:t>
            </w:r>
            <w:commentRangeEnd w:id="0"/>
            <w:r w:rsidRPr="0065333F">
              <w:rPr>
                <w:rStyle w:val="CommentReference"/>
                <w:color w:val="000000" w:themeColor="text1"/>
                <w:sz w:val="20"/>
                <w:szCs w:val="20"/>
              </w:rPr>
              <w:commentReference w:id="0"/>
            </w:r>
            <w:r w:rsidRPr="0065333F">
              <w:rPr>
                <w:color w:val="000000" w:themeColor="text1"/>
                <w:sz w:val="20"/>
                <w:szCs w:val="20"/>
              </w:rPr>
              <w:t xml:space="preserve"> al., 2023</w:t>
            </w:r>
            <w:r w:rsidRPr="0065333F">
              <w:rPr>
                <w:color w:val="000000" w:themeColor="text1"/>
                <w:sz w:val="20"/>
                <w:szCs w:val="20"/>
              </w:rPr>
              <w:fldChar w:fldCharType="begin"/>
            </w:r>
            <w:r w:rsidRPr="0065333F">
              <w:rPr>
                <w:color w:val="000000" w:themeColor="text1"/>
                <w:sz w:val="20"/>
                <w:szCs w:val="20"/>
              </w:rPr>
              <w:instrText xml:space="preserve"> ADDIN ZOTERO_ITEM CSL_CITATION {"citationID":"zbSyyImQ","properties":{"formattedCitation":"\\super 1\\nosupersub{}","plainCitation":"1","noteIndex":0},"citationItems":[{"id":1711,"uris":["http://zotero.org/users/8883840/items/N68LHXAL"],"itemData":{"id":1711,"type":"chapter","abstract":"The Glasgow Coma Scale was first published in 1974 at the University of Glasgow by neurosurgery professors Graham Teasdale and Bryan Jennett. The Glasgow Coma Scale (GCS) is used to objectively describe the extent of impaired consciousness in all types of acute medical and trauma patients. The scale assesses patients according to three aspects of responsiveness: eye-opening, motor, and verbal responses. Reporting each of these separately provides a clear, communicable picture of a patient’s state. The findings in each component of the scale can aggregate into a total Glasgow Coma Score which gives a less detailed description but can provide a useful ‘shorthand’ summary of the overall severity. The score expression is the sum of the scores as well as the individual elements. For example, a score of 10 might be expressed as GCS10 = E3V4M3. The use of the Glasgow Coma Scale became widespread in the 1980s when the first edition of the Advanced Trauma and Life Support recommended its use in all trauma patients. Additionally, the World Federation of Neurosurgical Societies (WFNS) used it in its scale for grading patients with subarachnoid hemorrhage in 1988, The Glasgow Coma Scale and its total score have since been incorporated in numerous clinical guidelines and scoring systems for victims of trauma or critical illness. These cover patients of all ages, including preverbal children. The Glasgow Coma Scale is a required component of the NIH Common Data Elements for studies of head injury and the ICD 11 revision and is used in more than 75 countries.","call-number":"NBK513298","container-title":"StatPearls","event-place":"Treasure Island (FL)","language":"eng","license":"Copyright © 2025, StatPearls Publishing LLC.","note":"PMID: 30020670","publisher":"StatPearls Publishing","publisher-place":"Treasure Island (FL)","source":"PubMed","title":"Glasgow Coma Scale","URL":"http://www.ncbi.nlm.nih.gov/books/NBK513298/","author":[{"family":"Jain","given":"Shobhit"},{"family":"Iverson","given":"Lindsay M."}],"accessed":{"date-parts":[["2025",3,9]]},"issued":{"date-parts":[["2025"]]}}}],"schema":"https://github.com/citation-style-language/schema/raw/master/csl-citation.json"} </w:instrText>
            </w:r>
            <w:r w:rsidRPr="0065333F">
              <w:rPr>
                <w:color w:val="000000" w:themeColor="text1"/>
                <w:sz w:val="20"/>
                <w:szCs w:val="20"/>
              </w:rPr>
              <w:fldChar w:fldCharType="separate"/>
            </w:r>
            <w:r w:rsidRPr="0065333F">
              <w:rPr>
                <w:rFonts w:eastAsiaTheme="minorHAnsi"/>
                <w:color w:val="000000"/>
                <w:sz w:val="20"/>
                <w:szCs w:val="20"/>
                <w:vertAlign w:val="superscript"/>
                <w:lang w:val="en-US"/>
                <w14:ligatures w14:val="standardContextual"/>
              </w:rPr>
              <w:t>1</w:t>
            </w:r>
            <w:r w:rsidRPr="0065333F">
              <w:rPr>
                <w:color w:val="000000" w:themeColor="text1"/>
                <w:sz w:val="20"/>
                <w:szCs w:val="20"/>
              </w:rPr>
              <w:fldChar w:fldCharType="end"/>
            </w:r>
          </w:p>
        </w:tc>
        <w:tc>
          <w:tcPr>
            <w:tcW w:w="1512" w:type="dxa"/>
          </w:tcPr>
          <w:p w14:paraId="55644606" w14:textId="77777777" w:rsidR="00104F56" w:rsidRPr="0065333F" w:rsidRDefault="00104F56" w:rsidP="00AE4BD3">
            <w:pPr>
              <w:rPr>
                <w:color w:val="000000" w:themeColor="text1"/>
                <w:sz w:val="20"/>
                <w:szCs w:val="20"/>
              </w:rPr>
            </w:pPr>
            <w:r w:rsidRPr="0065333F">
              <w:rPr>
                <w:color w:val="000000" w:themeColor="text1"/>
                <w:sz w:val="20"/>
                <w:szCs w:val="20"/>
              </w:rPr>
              <w:t>Narrative review</w:t>
            </w:r>
          </w:p>
        </w:tc>
        <w:tc>
          <w:tcPr>
            <w:tcW w:w="990" w:type="dxa"/>
          </w:tcPr>
          <w:p w14:paraId="02DF355E" w14:textId="77777777" w:rsidR="00104F56" w:rsidRPr="0065333F" w:rsidRDefault="00104F56" w:rsidP="00AE4BD3">
            <w:pPr>
              <w:rPr>
                <w:color w:val="000000" w:themeColor="text1"/>
                <w:sz w:val="20"/>
                <w:szCs w:val="20"/>
              </w:rPr>
            </w:pPr>
            <w:r w:rsidRPr="0065333F">
              <w:rPr>
                <w:color w:val="000000" w:themeColor="text1"/>
                <w:sz w:val="20"/>
                <w:szCs w:val="20"/>
              </w:rPr>
              <w:t>SANRA</w:t>
            </w:r>
          </w:p>
        </w:tc>
        <w:tc>
          <w:tcPr>
            <w:tcW w:w="1867" w:type="dxa"/>
          </w:tcPr>
          <w:p w14:paraId="480EFAD0" w14:textId="77777777" w:rsidR="00104F56" w:rsidRPr="0065333F" w:rsidRDefault="00104F56" w:rsidP="00AE4BD3">
            <w:pPr>
              <w:rPr>
                <w:color w:val="000000" w:themeColor="text1"/>
                <w:sz w:val="20"/>
                <w:szCs w:val="20"/>
              </w:rPr>
            </w:pPr>
            <w:proofErr w:type="spellStart"/>
            <w:r w:rsidRPr="0065333F">
              <w:rPr>
                <w:color w:val="000000" w:themeColor="text1"/>
                <w:sz w:val="20"/>
                <w:szCs w:val="20"/>
              </w:rPr>
              <w:t>Sumscore</w:t>
            </w:r>
            <w:proofErr w:type="spellEnd"/>
            <w:r w:rsidRPr="0065333F">
              <w:rPr>
                <w:color w:val="000000" w:themeColor="text1"/>
                <w:sz w:val="20"/>
                <w:szCs w:val="20"/>
              </w:rPr>
              <w:t xml:space="preserve"> of 6 out 10 (acceptable)</w:t>
            </w:r>
          </w:p>
        </w:tc>
        <w:tc>
          <w:tcPr>
            <w:tcW w:w="7371" w:type="dxa"/>
          </w:tcPr>
          <w:p w14:paraId="01B8E917" w14:textId="62BDE0AC" w:rsidR="00104F56" w:rsidRPr="0065333F" w:rsidRDefault="00104F56" w:rsidP="00AE4BD3">
            <w:pPr>
              <w:rPr>
                <w:color w:val="000000" w:themeColor="text1"/>
                <w:sz w:val="20"/>
                <w:szCs w:val="20"/>
              </w:rPr>
            </w:pPr>
            <w:r w:rsidRPr="0065333F">
              <w:rPr>
                <w:color w:val="000000" w:themeColor="text1"/>
                <w:sz w:val="20"/>
                <w:szCs w:val="20"/>
              </w:rPr>
              <w:t xml:space="preserve">No </w:t>
            </w:r>
            <w:r w:rsidR="0005223E" w:rsidRPr="0065333F">
              <w:rPr>
                <w:color w:val="000000" w:themeColor="text1"/>
                <w:sz w:val="20"/>
                <w:szCs w:val="20"/>
              </w:rPr>
              <w:t xml:space="preserve">subgroup of </w:t>
            </w:r>
            <w:r w:rsidRPr="0065333F">
              <w:rPr>
                <w:color w:val="000000" w:themeColor="text1"/>
                <w:sz w:val="20"/>
                <w:szCs w:val="20"/>
              </w:rPr>
              <w:t>older adults</w:t>
            </w:r>
            <w:r w:rsidR="0005223E" w:rsidRPr="0065333F">
              <w:rPr>
                <w:color w:val="000000" w:themeColor="text1"/>
                <w:sz w:val="20"/>
                <w:szCs w:val="20"/>
              </w:rPr>
              <w:t xml:space="preserve"> but reviewed Glasgow Coma Scale scores and its association with definition of TBI severity in the general population</w:t>
            </w:r>
          </w:p>
        </w:tc>
      </w:tr>
      <w:tr w:rsidR="00104F56" w:rsidRPr="0065333F" w14:paraId="6DC1EBE6" w14:textId="77777777" w:rsidTr="00AE4BD3">
        <w:tc>
          <w:tcPr>
            <w:tcW w:w="13603" w:type="dxa"/>
            <w:gridSpan w:val="5"/>
            <w:shd w:val="clear" w:color="auto" w:fill="BFBFBF" w:themeFill="background1" w:themeFillShade="BF"/>
          </w:tcPr>
          <w:p w14:paraId="0C31CE3F" w14:textId="77777777" w:rsidR="00104F56" w:rsidRPr="0065333F" w:rsidRDefault="00104F56" w:rsidP="00AE4BD3">
            <w:pPr>
              <w:rPr>
                <w:color w:val="000000" w:themeColor="text1"/>
                <w:sz w:val="20"/>
                <w:szCs w:val="20"/>
              </w:rPr>
            </w:pPr>
            <w:r w:rsidRPr="0065333F">
              <w:rPr>
                <w:b/>
                <w:bCs/>
                <w:color w:val="000000" w:themeColor="text1"/>
                <w:sz w:val="20"/>
                <w:szCs w:val="20"/>
              </w:rPr>
              <w:t>Probabilities</w:t>
            </w:r>
          </w:p>
        </w:tc>
      </w:tr>
      <w:tr w:rsidR="00104F56" w:rsidRPr="0065333F" w14:paraId="697D04E2" w14:textId="77777777" w:rsidTr="00AE4BD3">
        <w:tc>
          <w:tcPr>
            <w:tcW w:w="1863" w:type="dxa"/>
          </w:tcPr>
          <w:p w14:paraId="4383CC6B" w14:textId="77777777" w:rsidR="00104F56" w:rsidRPr="0065333F" w:rsidRDefault="00104F56" w:rsidP="00AE4BD3">
            <w:pPr>
              <w:rPr>
                <w:color w:val="000000" w:themeColor="text1"/>
                <w:sz w:val="20"/>
                <w:szCs w:val="20"/>
              </w:rPr>
            </w:pPr>
            <w:r w:rsidRPr="0065333F">
              <w:rPr>
                <w:color w:val="000000" w:themeColor="text1"/>
                <w:sz w:val="20"/>
                <w:szCs w:val="20"/>
              </w:rPr>
              <w:lastRenderedPageBreak/>
              <w:t>McIntyre, 2012</w:t>
            </w:r>
            <w:r w:rsidRPr="0065333F">
              <w:rPr>
                <w:color w:val="000000" w:themeColor="text1"/>
                <w:sz w:val="20"/>
                <w:szCs w:val="20"/>
              </w:rPr>
              <w:fldChar w:fldCharType="begin"/>
            </w:r>
            <w:r w:rsidRPr="0065333F">
              <w:rPr>
                <w:color w:val="000000" w:themeColor="text1"/>
                <w:sz w:val="20"/>
                <w:szCs w:val="20"/>
              </w:rPr>
              <w:instrText xml:space="preserve"> ADDIN ZOTERO_ITEM CSL_CITATION {"citationID":"MeHKRtX2","properties":{"formattedCitation":"\\super 2\\nosupersub{}","plainCitation":"2","noteIndex":0},"citationItems":[{"id":2077,"uris":["http://zotero.org/users/8883840/items/MKV928K9"],"itemData":{"id":2077,"type":"article-journal","abstract":"PRIMARY OBJECTIVE: To examine mortality rates among older adults (≥60 years) post-traumatic brain injury (TBI).\nRESEARCH DESIGN: Systematic review and meta-analysis.\nMETHODS AND PROCEDURES: Using multiple databases, a literature search was conducted for articles on mortality after TBI published up to July 2011. Information on patient characteristics (age, Glasgow Coma Scale (GCS), injury aetiology, etc.), mortality rates, time to death and study design was extracted and pooled.\nMAIN OUTCOMES AND RESULTS: Twenty-four studies had an overall mortality rate of 38.3% (CI 27.1-50.9%). The odds of mortality for those over 75 years compared to those of 65-74 years was 1.734 (CI = 1.311-2.292; p &lt; 0.0001). Pooled mortality rates for mild (GCS 13-15), moderate (GCS 9-12) and severe (GCS 3-8) head injuries were 12.3% (CI = 6.1-23.3%), 34.3% (CI = 19.5-53.0%) and 65.3% (CI = 53.1-75.9), respectively. Odds ratios comparing severe to mild and moderate to mild head injuries were 12.69 (CI = 5.29-30.45; p &lt; 0.0001) and 5.31 (CI = 3.41-8.29; p &lt; 0.0001), respectively. There was no significant difference in the odds of death between severe and moderate injuries (p = 0.116).\nCONCLUSIONS: These mortality rates associated with moderate and severe injuries may be attributed to complications, chronic disease prevalence, conservative management techniques or the consequences of biological ageing.","container-title":"Brain Injury","DOI":"10.3109/02699052.2012.700086","ISSN":"1362-301X","issue":"1","journalAbbreviation":"Brain Inj","language":"eng","note":"PMID: 23163240","page":"31-40","source":"PubMed","title":"Mortality among older adults after a traumatic brain injury: a meta-analysis","title-short":"Mortality among older adults after a traumatic brain injury","volume":"27","author":[{"family":"McIntyre","given":"Amanda"},{"family":"Mehta","given":"Swati"},{"family":"Aubut","given":"JoAnne"},{"family":"Dijkers","given":"Marcel"},{"family":"Teasell","given":"Robert W."}],"issued":{"date-parts":[["2013"]]}}}],"schema":"https://github.com/citation-style-language/schema/raw/master/csl-citation.json"} </w:instrText>
            </w:r>
            <w:r w:rsidRPr="0065333F">
              <w:rPr>
                <w:color w:val="000000" w:themeColor="text1"/>
                <w:sz w:val="20"/>
                <w:szCs w:val="20"/>
              </w:rPr>
              <w:fldChar w:fldCharType="separate"/>
            </w:r>
            <w:r w:rsidRPr="0065333F">
              <w:rPr>
                <w:rFonts w:eastAsiaTheme="minorHAnsi"/>
                <w:color w:val="000000"/>
                <w:sz w:val="20"/>
                <w:szCs w:val="20"/>
                <w:vertAlign w:val="superscript"/>
                <w:lang w:val="en-US"/>
                <w14:ligatures w14:val="standardContextual"/>
              </w:rPr>
              <w:t>2</w:t>
            </w:r>
            <w:r w:rsidRPr="0065333F">
              <w:rPr>
                <w:color w:val="000000" w:themeColor="text1"/>
                <w:sz w:val="20"/>
                <w:szCs w:val="20"/>
              </w:rPr>
              <w:fldChar w:fldCharType="end"/>
            </w:r>
            <w:r w:rsidRPr="0065333F">
              <w:rPr>
                <w:color w:val="000000" w:themeColor="text1"/>
                <w:sz w:val="20"/>
                <w:szCs w:val="20"/>
              </w:rPr>
              <w:t>:</w:t>
            </w:r>
          </w:p>
        </w:tc>
        <w:tc>
          <w:tcPr>
            <w:tcW w:w="1512" w:type="dxa"/>
          </w:tcPr>
          <w:p w14:paraId="3245F412" w14:textId="77777777" w:rsidR="00104F56" w:rsidRPr="0065333F" w:rsidRDefault="00104F56" w:rsidP="00AE4BD3">
            <w:pPr>
              <w:rPr>
                <w:color w:val="000000" w:themeColor="text1"/>
                <w:sz w:val="20"/>
                <w:szCs w:val="20"/>
              </w:rPr>
            </w:pPr>
            <w:r w:rsidRPr="0065333F">
              <w:rPr>
                <w:color w:val="000000" w:themeColor="text1"/>
                <w:sz w:val="20"/>
                <w:szCs w:val="20"/>
              </w:rPr>
              <w:t>Systematic review and meta-analysis</w:t>
            </w:r>
          </w:p>
        </w:tc>
        <w:tc>
          <w:tcPr>
            <w:tcW w:w="990" w:type="dxa"/>
          </w:tcPr>
          <w:p w14:paraId="40B13027" w14:textId="77777777" w:rsidR="00104F56" w:rsidRPr="0065333F" w:rsidRDefault="00104F56" w:rsidP="00AE4BD3">
            <w:pPr>
              <w:rPr>
                <w:color w:val="000000" w:themeColor="text1"/>
                <w:sz w:val="20"/>
                <w:szCs w:val="20"/>
              </w:rPr>
            </w:pPr>
            <w:r w:rsidRPr="0065333F">
              <w:rPr>
                <w:color w:val="000000" w:themeColor="text1"/>
                <w:sz w:val="20"/>
                <w:szCs w:val="20"/>
              </w:rPr>
              <w:t>AMSTAR 2</w:t>
            </w:r>
          </w:p>
        </w:tc>
        <w:tc>
          <w:tcPr>
            <w:tcW w:w="1867" w:type="dxa"/>
          </w:tcPr>
          <w:p w14:paraId="68912B4C" w14:textId="77777777" w:rsidR="00104F56" w:rsidRPr="0065333F" w:rsidRDefault="00104F56" w:rsidP="00AE4BD3">
            <w:pPr>
              <w:rPr>
                <w:color w:val="000000" w:themeColor="text1"/>
                <w:sz w:val="20"/>
                <w:szCs w:val="20"/>
              </w:rPr>
            </w:pPr>
            <w:r w:rsidRPr="0065333F">
              <w:rPr>
                <w:color w:val="000000" w:themeColor="text1"/>
                <w:sz w:val="20"/>
                <w:szCs w:val="20"/>
              </w:rPr>
              <w:t>Critically low</w:t>
            </w:r>
          </w:p>
        </w:tc>
        <w:tc>
          <w:tcPr>
            <w:tcW w:w="7371" w:type="dxa"/>
          </w:tcPr>
          <w:p w14:paraId="2436E85D" w14:textId="77777777" w:rsidR="00104F56" w:rsidRPr="0065333F" w:rsidRDefault="00104F56" w:rsidP="00AE4BD3">
            <w:pPr>
              <w:rPr>
                <w:color w:val="000000" w:themeColor="text1"/>
                <w:sz w:val="20"/>
                <w:szCs w:val="20"/>
              </w:rPr>
            </w:pPr>
            <w:r w:rsidRPr="0065333F">
              <w:rPr>
                <w:color w:val="000000" w:themeColor="text1"/>
                <w:sz w:val="20"/>
                <w:szCs w:val="20"/>
              </w:rPr>
              <w:t>Systematic review and meta-analysis; Older adults were defined as ≥60 years</w:t>
            </w:r>
          </w:p>
        </w:tc>
      </w:tr>
      <w:tr w:rsidR="00104F56" w:rsidRPr="0065333F" w14:paraId="070076D2" w14:textId="77777777" w:rsidTr="00AE4BD3">
        <w:tc>
          <w:tcPr>
            <w:tcW w:w="1863" w:type="dxa"/>
          </w:tcPr>
          <w:p w14:paraId="7C314EC7" w14:textId="77777777" w:rsidR="00104F56" w:rsidRPr="0065333F" w:rsidRDefault="00104F56" w:rsidP="00AE4BD3">
            <w:pPr>
              <w:rPr>
                <w:color w:val="000000" w:themeColor="text1"/>
                <w:sz w:val="20"/>
                <w:szCs w:val="20"/>
              </w:rPr>
            </w:pPr>
            <w:r w:rsidRPr="0065333F">
              <w:rPr>
                <w:color w:val="000000" w:themeColor="text1"/>
                <w:sz w:val="20"/>
                <w:szCs w:val="20"/>
              </w:rPr>
              <w:t>Zhang, 2021</w:t>
            </w:r>
            <w:r w:rsidRPr="0065333F">
              <w:rPr>
                <w:color w:val="000000" w:themeColor="text1"/>
                <w:sz w:val="20"/>
                <w:szCs w:val="20"/>
              </w:rPr>
              <w:fldChar w:fldCharType="begin"/>
            </w:r>
            <w:r w:rsidRPr="0065333F">
              <w:rPr>
                <w:color w:val="000000" w:themeColor="text1"/>
                <w:sz w:val="20"/>
                <w:szCs w:val="20"/>
              </w:rPr>
              <w:instrText xml:space="preserve"> ADDIN ZOTERO_ITEM CSL_CITATION {"citationID":"Q5dByGJT","properties":{"formattedCitation":"\\super 3\\nosupersub{}","plainCitation":"3","noteIndex":0},"citationItems":[{"id":115,"uris":["http://zotero.org/users/8883840/items/9GEJCNKL"],"itemData":{"id":115,"type":"article-journal","abstract":"Background:Few studies have jointly estimated incidence of MCI, conversion to probable dementia, and mortality in a nationally representatie sample.Methods:We used data from six waves of the National Health and Aging Trends Study (2011-2016). Multivariable-adjusted multi-state survival models (MSMs) were used to model incidence upon accounting for misclassification.Results:A total of 6,078 eligible NHATS participants were included (average age: 77.49 ± 7.79 years; 58.42% females; 68.99% non-Hispanic white). The incidence of MCI was estimated to be 41.0 [35.5, 47.3]/1,000 person-years (PY). Participants converted to probable dementia at a high rate of 241.3 [189.6, 307.0]/1,000 PY, though a small number also reverted from MCI to cognitively normal. Education was associated with lower incidence of MCI and conversion to probable dementia, but increased mortality in those with MCI. There were also substantial racial and ethnic disparities in the incidence of MCI and dementia.Conclusions:Our results underscore the relatively common incidence of and conversions between MCI and dementia in community-dwelling older Americans and uncover the beneficial impact of education to withstand cognitive impairment before death.","container-title":"American Journal of Alzheimer's Disease &amp; Other Dementias®","DOI":"10.1177/15333175211012235","ISSN":"1533-3175","journalAbbreviation":"Am J Alzheimers Dis Other Demen","language":"en","note":"publisher: SAGE Publications Inc","page":"15333175211012235","source":"SAGE Journals","title":"Incidence of Mild Cognitive Impairment, Conversion to Probable Dementia, and Mortality","volume":"36","author":[{"family":"Zhang","given":"Yun"},{"family":"Natale","given":"Ginny"},{"family":"Clouston","given":"Sean"}],"issued":{"date-parts":[["2021",1,1]]}}}],"schema":"https://github.com/citation-style-language/schema/raw/master/csl-citation.json"} </w:instrText>
            </w:r>
            <w:r w:rsidRPr="0065333F">
              <w:rPr>
                <w:color w:val="000000" w:themeColor="text1"/>
                <w:sz w:val="20"/>
                <w:szCs w:val="20"/>
              </w:rPr>
              <w:fldChar w:fldCharType="separate"/>
            </w:r>
            <w:r w:rsidRPr="0065333F">
              <w:rPr>
                <w:rFonts w:eastAsiaTheme="minorHAnsi"/>
                <w:color w:val="000000"/>
                <w:sz w:val="20"/>
                <w:szCs w:val="20"/>
                <w:vertAlign w:val="superscript"/>
                <w:lang w:val="en-US"/>
                <w14:ligatures w14:val="standardContextual"/>
              </w:rPr>
              <w:t>3</w:t>
            </w:r>
            <w:r w:rsidRPr="0065333F">
              <w:rPr>
                <w:color w:val="000000" w:themeColor="text1"/>
                <w:sz w:val="20"/>
                <w:szCs w:val="20"/>
              </w:rPr>
              <w:fldChar w:fldCharType="end"/>
            </w:r>
            <w:r w:rsidRPr="0065333F">
              <w:rPr>
                <w:color w:val="000000" w:themeColor="text1"/>
                <w:sz w:val="20"/>
                <w:szCs w:val="20"/>
              </w:rPr>
              <w:t>:</w:t>
            </w:r>
          </w:p>
        </w:tc>
        <w:tc>
          <w:tcPr>
            <w:tcW w:w="1512" w:type="dxa"/>
          </w:tcPr>
          <w:p w14:paraId="0AA83217" w14:textId="77777777" w:rsidR="00104F56" w:rsidRPr="0065333F" w:rsidRDefault="00104F56" w:rsidP="00AE4BD3">
            <w:pPr>
              <w:rPr>
                <w:color w:val="000000" w:themeColor="text1"/>
                <w:sz w:val="20"/>
                <w:szCs w:val="20"/>
              </w:rPr>
            </w:pPr>
            <w:r w:rsidRPr="0065333F">
              <w:rPr>
                <w:color w:val="000000" w:themeColor="text1"/>
                <w:sz w:val="20"/>
                <w:szCs w:val="20"/>
              </w:rPr>
              <w:t>Secondary analysis of a longitudinal cohort study</w:t>
            </w:r>
          </w:p>
        </w:tc>
        <w:tc>
          <w:tcPr>
            <w:tcW w:w="990" w:type="dxa"/>
          </w:tcPr>
          <w:p w14:paraId="71965154" w14:textId="77777777" w:rsidR="00104F56" w:rsidRPr="0065333F" w:rsidRDefault="00104F56" w:rsidP="00AE4BD3">
            <w:pPr>
              <w:rPr>
                <w:color w:val="000000" w:themeColor="text1"/>
                <w:sz w:val="20"/>
                <w:szCs w:val="20"/>
              </w:rPr>
            </w:pPr>
            <w:r w:rsidRPr="0065333F">
              <w:rPr>
                <w:color w:val="000000" w:themeColor="text1"/>
                <w:sz w:val="20"/>
                <w:szCs w:val="20"/>
              </w:rPr>
              <w:t>ROBINS-E</w:t>
            </w:r>
          </w:p>
        </w:tc>
        <w:tc>
          <w:tcPr>
            <w:tcW w:w="1867" w:type="dxa"/>
          </w:tcPr>
          <w:p w14:paraId="2EBAED77" w14:textId="77777777" w:rsidR="00104F56" w:rsidRPr="0065333F" w:rsidRDefault="00104F56" w:rsidP="00AE4BD3">
            <w:pPr>
              <w:rPr>
                <w:color w:val="000000" w:themeColor="text1"/>
                <w:sz w:val="20"/>
                <w:szCs w:val="20"/>
              </w:rPr>
            </w:pPr>
            <w:r w:rsidRPr="0065333F">
              <w:rPr>
                <w:color w:val="000000" w:themeColor="text1"/>
                <w:sz w:val="20"/>
                <w:szCs w:val="20"/>
              </w:rPr>
              <w:t>Serious risk of bias</w:t>
            </w:r>
          </w:p>
        </w:tc>
        <w:tc>
          <w:tcPr>
            <w:tcW w:w="7371" w:type="dxa"/>
          </w:tcPr>
          <w:p w14:paraId="5434C1ED" w14:textId="77777777" w:rsidR="00104F56" w:rsidRPr="0065333F" w:rsidRDefault="00104F56" w:rsidP="00AE4BD3">
            <w:pPr>
              <w:rPr>
                <w:color w:val="000000" w:themeColor="text1"/>
                <w:sz w:val="20"/>
                <w:szCs w:val="20"/>
              </w:rPr>
            </w:pPr>
            <w:r w:rsidRPr="0065333F">
              <w:rPr>
                <w:color w:val="000000" w:themeColor="text1"/>
                <w:sz w:val="20"/>
                <w:szCs w:val="20"/>
              </w:rPr>
              <w:t>Secondary analysis of a longitudinal cohort study; 6,078 Participants with Mean Age of 77.5, MCI was diagnosed via cognitive tests, self-report or report by proxy respondent of diagnosis; Given potential confounding (no adjustment for comorbidities) and selection bias (excluded participants with fewer than two valid cognitive assessments)</w:t>
            </w:r>
          </w:p>
        </w:tc>
      </w:tr>
      <w:tr w:rsidR="00104F56" w:rsidRPr="0065333F" w14:paraId="6BFCC143" w14:textId="77777777" w:rsidTr="00AE4BD3">
        <w:tc>
          <w:tcPr>
            <w:tcW w:w="1863" w:type="dxa"/>
          </w:tcPr>
          <w:p w14:paraId="37DB01F9" w14:textId="77777777" w:rsidR="00104F56" w:rsidRPr="0065333F" w:rsidRDefault="00104F56" w:rsidP="00AE4BD3">
            <w:pPr>
              <w:rPr>
                <w:color w:val="000000" w:themeColor="text1"/>
                <w:sz w:val="20"/>
                <w:szCs w:val="20"/>
              </w:rPr>
            </w:pPr>
            <w:r w:rsidRPr="0065333F">
              <w:rPr>
                <w:color w:val="000000" w:themeColor="text1"/>
                <w:sz w:val="20"/>
                <w:szCs w:val="20"/>
              </w:rPr>
              <w:t>Andersen, 2010</w:t>
            </w:r>
            <w:r w:rsidRPr="0065333F">
              <w:rPr>
                <w:color w:val="000000" w:themeColor="text1"/>
                <w:sz w:val="20"/>
                <w:szCs w:val="20"/>
              </w:rPr>
              <w:fldChar w:fldCharType="begin"/>
            </w:r>
            <w:r w:rsidRPr="0065333F">
              <w:rPr>
                <w:color w:val="000000" w:themeColor="text1"/>
                <w:sz w:val="20"/>
                <w:szCs w:val="20"/>
              </w:rPr>
              <w:instrText xml:space="preserve"> ADDIN ZOTERO_ITEM CSL_CITATION {"citationID":"eq6AM4qW","properties":{"formattedCitation":"\\super 4\\nosupersub{}","plainCitation":"4","noteIndex":0},"citationItems":[{"id":1723,"uris":["http://zotero.org/users/8883840/items/6ESTSKVI"],"itemData":{"id":1723,"type":"article-journal","abstract":"Abstract. Background/Aims: To examine the mortality of very mildly to severely demented persons compared to nondemented persons. Methods: Participants in a randomly drawn population-based cohort study on dementia were followed for 14 years from 1992 to 2006. Participants were examined at baseline (3,065 nondemented and 234 prevalent demented), after 2 years (2,286 nondemented and 145 incident demented) and again after 5 years (1,669 nondemented and 124 new cases of dementia). Causes of death were ascertained in 884 nondemented and 286 demented participants. Survival for demented compared to nondemented persons was analyzed with the Cox proportional hazards model with time-dependent covariates adjusted for gender and age. Results: The hazard ratio of death (95% confidence interval) increased from 1.82 (1.55–2.14) for the very mildly demented to 9.52 (6.60–13.74) for the severely demented subjects. The demented participants died significantly more often of neurological causes other than dementia and of pneumonia than the nondemented participants. No other significant differences in causes of death were found. Conclusion: Dementia increased the risk of death. Even in the very early stages of dementia the risk of death was increased.","container-title":"Dementia and Geriatric Cognitive Disorders","DOI":"10.1159/000265553","ISSN":"1420-8008","issue":"1","journalAbbreviation":"Dement Geriatr Cogn Disord","language":"en","note":"publisher: S. Karger AG","page":"61-67","source":"karger.com","title":"Very Mild to Severe Dementia and Mortality: A 14-Year Follow-Up – The Odense Study","title-short":"Very Mild to Severe Dementia and Mortality","volume":"29","author":[{"family":"Andersen","given":"Kjeld"},{"family":"Lolk","given":"Annette"},{"family":"Martinussen","given":"Torben"},{"family":"Kragh-Sørensen","given":"Per"}],"issued":{"date-parts":[["2010",2,1]]}}}],"schema":"https://github.com/citation-style-language/schema/raw/master/csl-citation.json"} </w:instrText>
            </w:r>
            <w:r w:rsidRPr="0065333F">
              <w:rPr>
                <w:color w:val="000000" w:themeColor="text1"/>
                <w:sz w:val="20"/>
                <w:szCs w:val="20"/>
              </w:rPr>
              <w:fldChar w:fldCharType="separate"/>
            </w:r>
            <w:r w:rsidRPr="0065333F">
              <w:rPr>
                <w:rFonts w:eastAsiaTheme="minorHAnsi"/>
                <w:color w:val="000000"/>
                <w:sz w:val="20"/>
                <w:szCs w:val="20"/>
                <w:vertAlign w:val="superscript"/>
                <w:lang w:val="en-US"/>
                <w14:ligatures w14:val="standardContextual"/>
              </w:rPr>
              <w:t>4</w:t>
            </w:r>
            <w:r w:rsidRPr="0065333F">
              <w:rPr>
                <w:color w:val="000000" w:themeColor="text1"/>
                <w:sz w:val="20"/>
                <w:szCs w:val="20"/>
              </w:rPr>
              <w:fldChar w:fldCharType="end"/>
            </w:r>
            <w:r w:rsidRPr="0065333F">
              <w:rPr>
                <w:color w:val="000000" w:themeColor="text1"/>
                <w:sz w:val="20"/>
                <w:szCs w:val="20"/>
              </w:rPr>
              <w:t>:</w:t>
            </w:r>
          </w:p>
        </w:tc>
        <w:tc>
          <w:tcPr>
            <w:tcW w:w="1512" w:type="dxa"/>
          </w:tcPr>
          <w:p w14:paraId="67E78353" w14:textId="066CA01C" w:rsidR="00104F56" w:rsidRPr="0065333F" w:rsidRDefault="0005223E" w:rsidP="00AE4BD3">
            <w:pPr>
              <w:rPr>
                <w:color w:val="000000" w:themeColor="text1"/>
                <w:sz w:val="20"/>
                <w:szCs w:val="20"/>
              </w:rPr>
            </w:pPr>
            <w:r w:rsidRPr="0065333F">
              <w:rPr>
                <w:color w:val="000000" w:themeColor="text1"/>
                <w:sz w:val="20"/>
                <w:szCs w:val="20"/>
              </w:rPr>
              <w:t>Retrospective cohort study</w:t>
            </w:r>
          </w:p>
        </w:tc>
        <w:tc>
          <w:tcPr>
            <w:tcW w:w="990" w:type="dxa"/>
          </w:tcPr>
          <w:p w14:paraId="37A5E723" w14:textId="77777777" w:rsidR="00104F56" w:rsidRPr="0065333F" w:rsidRDefault="00104F56" w:rsidP="00AE4BD3">
            <w:pPr>
              <w:rPr>
                <w:color w:val="000000" w:themeColor="text1"/>
                <w:sz w:val="20"/>
                <w:szCs w:val="20"/>
              </w:rPr>
            </w:pPr>
            <w:r w:rsidRPr="0065333F">
              <w:rPr>
                <w:color w:val="000000" w:themeColor="text1"/>
                <w:sz w:val="20"/>
                <w:szCs w:val="20"/>
              </w:rPr>
              <w:t>ROBINS-E</w:t>
            </w:r>
          </w:p>
        </w:tc>
        <w:tc>
          <w:tcPr>
            <w:tcW w:w="1867" w:type="dxa"/>
          </w:tcPr>
          <w:p w14:paraId="72A0F756" w14:textId="77777777" w:rsidR="00104F56" w:rsidRPr="0065333F" w:rsidRDefault="00104F56" w:rsidP="00AE4BD3">
            <w:pPr>
              <w:rPr>
                <w:color w:val="000000" w:themeColor="text1"/>
                <w:sz w:val="20"/>
                <w:szCs w:val="20"/>
              </w:rPr>
            </w:pPr>
            <w:r w:rsidRPr="0065333F">
              <w:rPr>
                <w:sz w:val="20"/>
                <w:szCs w:val="20"/>
              </w:rPr>
              <w:t>Moderate risk of bias</w:t>
            </w:r>
          </w:p>
        </w:tc>
        <w:tc>
          <w:tcPr>
            <w:tcW w:w="7371" w:type="dxa"/>
          </w:tcPr>
          <w:p w14:paraId="243DA557" w14:textId="77777777" w:rsidR="00104F56" w:rsidRPr="0065333F" w:rsidRDefault="00104F56" w:rsidP="00AE4BD3">
            <w:pPr>
              <w:rPr>
                <w:sz w:val="20"/>
                <w:szCs w:val="20"/>
              </w:rPr>
            </w:pPr>
            <w:r w:rsidRPr="0065333F">
              <w:rPr>
                <w:color w:val="000000" w:themeColor="text1"/>
                <w:sz w:val="20"/>
                <w:szCs w:val="20"/>
              </w:rPr>
              <w:t xml:space="preserve">Retrospective cohort </w:t>
            </w:r>
            <w:proofErr w:type="gramStart"/>
            <w:r w:rsidRPr="0065333F">
              <w:rPr>
                <w:color w:val="000000" w:themeColor="text1"/>
                <w:sz w:val="20"/>
                <w:szCs w:val="20"/>
              </w:rPr>
              <w:t>study;</w:t>
            </w:r>
            <w:proofErr w:type="gramEnd"/>
            <w:r w:rsidRPr="0065333F">
              <w:rPr>
                <w:color w:val="000000" w:themeColor="text1"/>
                <w:sz w:val="20"/>
                <w:szCs w:val="20"/>
              </w:rPr>
              <w:t xml:space="preserve"> Mean age of participants was </w:t>
            </w:r>
            <w:r w:rsidRPr="0065333F">
              <w:rPr>
                <w:sz w:val="20"/>
                <w:szCs w:val="20"/>
              </w:rPr>
              <w:t>77.1, only diagnosis of dementia (no TBI patients); Potential confounding and selection bias (64% participation)</w:t>
            </w:r>
          </w:p>
        </w:tc>
      </w:tr>
      <w:tr w:rsidR="00104F56" w:rsidRPr="0065333F" w14:paraId="469A3FD6" w14:textId="77777777" w:rsidTr="00AE4BD3">
        <w:tc>
          <w:tcPr>
            <w:tcW w:w="1863" w:type="dxa"/>
          </w:tcPr>
          <w:p w14:paraId="5A8F0C31" w14:textId="77777777" w:rsidR="00104F56" w:rsidRPr="0065333F" w:rsidRDefault="00104F56" w:rsidP="00AE4BD3">
            <w:pPr>
              <w:rPr>
                <w:color w:val="000000" w:themeColor="text1"/>
                <w:sz w:val="20"/>
                <w:szCs w:val="20"/>
              </w:rPr>
            </w:pPr>
            <w:proofErr w:type="spellStart"/>
            <w:r w:rsidRPr="0065333F">
              <w:rPr>
                <w:color w:val="000000" w:themeColor="text1"/>
                <w:sz w:val="20"/>
                <w:szCs w:val="20"/>
              </w:rPr>
              <w:t>Akhanemhe</w:t>
            </w:r>
            <w:proofErr w:type="spellEnd"/>
            <w:r w:rsidRPr="0065333F">
              <w:rPr>
                <w:color w:val="000000" w:themeColor="text1"/>
                <w:sz w:val="20"/>
                <w:szCs w:val="20"/>
              </w:rPr>
              <w:t>, 2024</w:t>
            </w:r>
            <w:r w:rsidRPr="0065333F">
              <w:rPr>
                <w:color w:val="000000" w:themeColor="text1"/>
                <w:sz w:val="20"/>
                <w:szCs w:val="20"/>
              </w:rPr>
              <w:fldChar w:fldCharType="begin"/>
            </w:r>
            <w:r w:rsidRPr="0065333F">
              <w:rPr>
                <w:color w:val="000000" w:themeColor="text1"/>
                <w:sz w:val="20"/>
                <w:szCs w:val="20"/>
              </w:rPr>
              <w:instrText xml:space="preserve"> ADDIN ZOTERO_ITEM CSL_CITATION {"citationID":"YdJeiohR","properties":{"formattedCitation":"\\super 5\\nosupersub{}","plainCitation":"5","noteIndex":0},"citationItems":[{"id":1718,"uris":["http://zotero.org/users/8883840/items/D3J9CCPY"],"itemData":{"id":1718,"type":"article-journal","abstract":"Background: Traumatic brain injury (TBI) is prevalent in veterans and may occur at any stages of their life (before, during, or after military service). This is of particular concern, as previous e...","archive_location":"world","container-title":"European Journal of Psychotraumatology","ISSN":"2000-8066","language":"EN","license":"© 2024 The Author(s). Published by Informa UK Limited, trading as Taylor &amp; Francis Group","note":"publisher: Taylor &amp; Francis","source":"www.tandfonline.com","title":"Is lifetime traumatic brain injury a risk factor for mild cognitive impairment in veterans compared to non-veterans?","URL":"https://www.tandfonline.com/doi/abs/10.1080/20008066.2023.2291965","author":[{"family":"Akhanemhe","given":"Rebecca"},{"family":"Stevelink","given":"Sharon A. M."},{"family":"Corbett","given":"Anne"},{"family":"Ballard","given":"Clive"},{"family":"Brooker","given":"Helen"},{"family":"Creese","given":"Bryon"},{"family":"Aarsland","given":"Dag"},{"family":"Hampshire","given":"Adam"},{"family":"Greenberg","given":"Neil"}],"accessed":{"date-parts":[["2025",3,9]]},"issued":{"date-parts":[["2024",1,2]]}}}],"schema":"https://github.com/citation-style-language/schema/raw/master/csl-citation.json"} </w:instrText>
            </w:r>
            <w:r w:rsidRPr="0065333F">
              <w:rPr>
                <w:color w:val="000000" w:themeColor="text1"/>
                <w:sz w:val="20"/>
                <w:szCs w:val="20"/>
              </w:rPr>
              <w:fldChar w:fldCharType="separate"/>
            </w:r>
            <w:r w:rsidRPr="0065333F">
              <w:rPr>
                <w:rFonts w:eastAsiaTheme="minorHAnsi"/>
                <w:color w:val="000000"/>
                <w:sz w:val="20"/>
                <w:szCs w:val="20"/>
                <w:vertAlign w:val="superscript"/>
                <w:lang w:val="en-US"/>
                <w14:ligatures w14:val="standardContextual"/>
              </w:rPr>
              <w:t>5</w:t>
            </w:r>
            <w:r w:rsidRPr="0065333F">
              <w:rPr>
                <w:color w:val="000000" w:themeColor="text1"/>
                <w:sz w:val="20"/>
                <w:szCs w:val="20"/>
              </w:rPr>
              <w:fldChar w:fldCharType="end"/>
            </w:r>
          </w:p>
        </w:tc>
        <w:tc>
          <w:tcPr>
            <w:tcW w:w="1512" w:type="dxa"/>
          </w:tcPr>
          <w:p w14:paraId="3CD3A05F" w14:textId="2B1F591E" w:rsidR="00104F56" w:rsidRPr="0065333F" w:rsidRDefault="0005223E" w:rsidP="00AE4BD3">
            <w:pPr>
              <w:rPr>
                <w:color w:val="000000" w:themeColor="text1"/>
                <w:sz w:val="20"/>
                <w:szCs w:val="20"/>
              </w:rPr>
            </w:pPr>
            <w:r w:rsidRPr="0065333F">
              <w:rPr>
                <w:color w:val="000000" w:themeColor="text1"/>
                <w:sz w:val="20"/>
                <w:szCs w:val="20"/>
              </w:rPr>
              <w:t>Cross-sectional study</w:t>
            </w:r>
          </w:p>
        </w:tc>
        <w:tc>
          <w:tcPr>
            <w:tcW w:w="990" w:type="dxa"/>
          </w:tcPr>
          <w:p w14:paraId="1DBC3DEC" w14:textId="77777777" w:rsidR="00104F56" w:rsidRPr="0065333F" w:rsidRDefault="00104F56" w:rsidP="00AE4BD3">
            <w:pPr>
              <w:rPr>
                <w:color w:val="000000" w:themeColor="text1"/>
                <w:sz w:val="20"/>
                <w:szCs w:val="20"/>
              </w:rPr>
            </w:pPr>
            <w:r w:rsidRPr="0065333F">
              <w:rPr>
                <w:color w:val="000000" w:themeColor="text1"/>
                <w:sz w:val="20"/>
                <w:szCs w:val="20"/>
              </w:rPr>
              <w:t>ROBINS-E</w:t>
            </w:r>
          </w:p>
        </w:tc>
        <w:tc>
          <w:tcPr>
            <w:tcW w:w="1867" w:type="dxa"/>
          </w:tcPr>
          <w:p w14:paraId="59A03F4E" w14:textId="77777777" w:rsidR="00104F56" w:rsidRPr="0065333F" w:rsidRDefault="00104F56" w:rsidP="00AE4BD3">
            <w:pPr>
              <w:rPr>
                <w:sz w:val="20"/>
                <w:szCs w:val="20"/>
              </w:rPr>
            </w:pPr>
            <w:r w:rsidRPr="0065333F">
              <w:rPr>
                <w:sz w:val="20"/>
                <w:szCs w:val="20"/>
              </w:rPr>
              <w:t xml:space="preserve">Moderate risk of bias </w:t>
            </w:r>
          </w:p>
        </w:tc>
        <w:tc>
          <w:tcPr>
            <w:tcW w:w="7371" w:type="dxa"/>
          </w:tcPr>
          <w:p w14:paraId="73A9727E" w14:textId="77777777" w:rsidR="00104F56" w:rsidRPr="0065333F" w:rsidRDefault="00104F56" w:rsidP="00AE4BD3">
            <w:pPr>
              <w:rPr>
                <w:color w:val="000000" w:themeColor="text1"/>
                <w:sz w:val="20"/>
                <w:szCs w:val="20"/>
              </w:rPr>
            </w:pPr>
            <w:r w:rsidRPr="0065333F">
              <w:rPr>
                <w:color w:val="000000" w:themeColor="text1"/>
                <w:sz w:val="20"/>
                <w:szCs w:val="20"/>
              </w:rPr>
              <w:t xml:space="preserve">Cross-sectional </w:t>
            </w:r>
            <w:proofErr w:type="gramStart"/>
            <w:r w:rsidRPr="0065333F">
              <w:rPr>
                <w:color w:val="000000" w:themeColor="text1"/>
                <w:sz w:val="20"/>
                <w:szCs w:val="20"/>
              </w:rPr>
              <w:t>study;</w:t>
            </w:r>
            <w:proofErr w:type="gramEnd"/>
            <w:r w:rsidRPr="0065333F">
              <w:rPr>
                <w:color w:val="000000" w:themeColor="text1"/>
                <w:sz w:val="20"/>
                <w:szCs w:val="20"/>
              </w:rPr>
              <w:t xml:space="preserve"> Participants were made of 12,389 (7372 had TBI) </w:t>
            </w:r>
            <w:proofErr w:type="gramStart"/>
            <w:r w:rsidRPr="0065333F">
              <w:rPr>
                <w:color w:val="000000" w:themeColor="text1"/>
                <w:sz w:val="20"/>
                <w:szCs w:val="20"/>
              </w:rPr>
              <w:t>non veterans</w:t>
            </w:r>
            <w:proofErr w:type="gramEnd"/>
            <w:r w:rsidRPr="0065333F">
              <w:rPr>
                <w:color w:val="000000" w:themeColor="text1"/>
                <w:sz w:val="20"/>
                <w:szCs w:val="20"/>
              </w:rPr>
              <w:t xml:space="preserve"> and </w:t>
            </w:r>
            <w:r w:rsidRPr="0065333F">
              <w:rPr>
                <w:sz w:val="20"/>
                <w:szCs w:val="20"/>
              </w:rPr>
              <w:t>701 veterans (490 had TBI), 43-56.8% were ≥65 years old; missing data</w:t>
            </w:r>
          </w:p>
        </w:tc>
      </w:tr>
      <w:tr w:rsidR="00104F56" w:rsidRPr="0065333F" w14:paraId="730F874D" w14:textId="77777777" w:rsidTr="00AE4BD3">
        <w:tc>
          <w:tcPr>
            <w:tcW w:w="1863" w:type="dxa"/>
          </w:tcPr>
          <w:p w14:paraId="268FDC85" w14:textId="77777777" w:rsidR="00104F56" w:rsidRPr="0065333F" w:rsidRDefault="00104F56" w:rsidP="00AE4BD3">
            <w:pPr>
              <w:rPr>
                <w:color w:val="000000" w:themeColor="text1"/>
                <w:sz w:val="20"/>
                <w:szCs w:val="20"/>
              </w:rPr>
            </w:pPr>
            <w:r w:rsidRPr="0065333F">
              <w:rPr>
                <w:color w:val="000000" w:themeColor="text1"/>
                <w:sz w:val="20"/>
                <w:szCs w:val="20"/>
                <w:lang w:val="fr-CA"/>
              </w:rPr>
              <w:t>Ismail et al., 2022</w:t>
            </w:r>
            <w:r w:rsidRPr="0065333F">
              <w:rPr>
                <w:color w:val="000000" w:themeColor="text1"/>
                <w:sz w:val="20"/>
                <w:szCs w:val="20"/>
              </w:rPr>
              <w:fldChar w:fldCharType="begin"/>
            </w:r>
            <w:r w:rsidRPr="0065333F">
              <w:rPr>
                <w:color w:val="000000" w:themeColor="text1"/>
                <w:sz w:val="20"/>
                <w:szCs w:val="20"/>
                <w:lang w:val="fr-CA"/>
              </w:rPr>
              <w:instrText xml:space="preserve"> ADDIN ZOTERO_ITEM CSL_CITATION {"citationID":"jEKsIKVS","properties":{"formattedCitation":"\\super 6\\nosupersub{}","plainCitation":"6","noteIndex":0},"citationItems":[{"id":116,"uris":["http://zotero.org/users/8883840/items/2NZCB8ME"],"itemData":{"id":116,"type":"article-journal","abstract":"BACKGROUND AND OBJECTIVES: Mild cognitive impairment (MCI) is an at-risk state for dementia; however, not all individuals with MCI transition to dementia, and some revert to normal cognition (NC). Here, we investigate whether mild behavioral impairment (MBI), the late-life onset of persistent neuropsychiatric symptoms (NPS), improves the prognostic specificity of MCI.\nMETHODS: Participants with MCI from the National Alzheimer's Coordinating Center Uniform Data Set were included. NPS were operationalized with the Neuropsychiatric Inventory Questionnaire to identify participants without NPS and those with MBI (persistent, late-onset NPS). Individuals with late-onset NPS not meeting the MBI persistence criterion (NPS_NOT_MBI) were retained for secondary analyses. Progression to dementia, stable MCI, and reversion to NC after 3 years of follow-up were defined per National Institute on Aging-Alzheimer's Association and Petersen criteria.\nRESULTS: The primary sample consisted of 739 participants (NPS- n = 409 and MBI+ n = 330; 75.16 ± 8.6 years old, 40.5% female). After 3 years, 238 participants (33.6%) progressed to dementia, and 90 (12.2%) reverted to NC. Compared to participants without NPS, participants with MBI were significantly more likely to progress to dementia (adjusted odds ratio [AOR] 2.13, 95% CI 1.52-2.99), with an annual progression rate of 14.7% (vs 8.3% for participants with MCI without NPS). Compared to participants without NPS, participants with MBI were less likely to revert to NC (AOR 0.48, 95% CI 0.28-0.83, 2.5% vs 5.3% annual reversion rate). The NPS_NOT_MBI group (n = 331, 76.5 ± 8.6 years old, 45.9% female) were more likely to progress to dementia (AOR 2.18, 95% CI 1.56-3.03, 14.3% annual progression rate) but not less likely to revert to NC than those without NPS. Accordingly, both NPS_NOT_MBI and MBI+ participants had lower Mini-Mental State Examination scores than NPS- participants after 3 years.\nDISCUSSION: Late-onset NPS improve the specificity of MCI as an at-risk state for progression to dementia. However, only persistent late-onset NPS are associated with a lower likelihood of reversion to NC, with transient NPS (i.e., NPS_NOT_MBI) not differing from the NPS- group. Clinical prognostication can be improved by incorporating late-onset NPS, especially those that persist (i.e., MBI), into risk assessments. Clinical trials may benefit from enrichment with these higher-risk participants with MCI.","container-title":"Neurology","DOI":"10.1212/WNL.0000000000200256","ISSN":"1526-632X","issue":"21","journalAbbreviation":"Neurology","language":"eng","note":"PMID: 35351783\nPMCID: PMC9169943","page":"e2132-e2139","source":"PubMed","title":"Progression to Dementia or Reversion to Normal Cognition in Mild Cognitive Impairment as a Function of Late-Onset Neuropsychiatric Symptoms","volume":"98","author":[{"family":"McGirr","given":"Alexander"},{"family":"Nathan","given":"Santhosh"},{"family":"Ghahremani","given":"Maryam"},{"family":"Gill","given":"Sascha"},{"family":"Smith","given":"Eric E."},{"family":"Ismail","given":"Zahinoor"}],"issued":{"date-parts":[["2022",5,24]]}}}],"schema":"https://github.com/citation-style-language/schema/raw/master/csl-citation.json"} </w:instrText>
            </w:r>
            <w:r w:rsidRPr="0065333F">
              <w:rPr>
                <w:color w:val="000000" w:themeColor="text1"/>
                <w:sz w:val="20"/>
                <w:szCs w:val="20"/>
              </w:rPr>
              <w:fldChar w:fldCharType="separate"/>
            </w:r>
            <w:r w:rsidRPr="0065333F">
              <w:rPr>
                <w:rFonts w:eastAsiaTheme="minorHAnsi"/>
                <w:color w:val="000000"/>
                <w:sz w:val="20"/>
                <w:szCs w:val="20"/>
                <w:vertAlign w:val="superscript"/>
                <w:lang w:val="en-US"/>
                <w14:ligatures w14:val="standardContextual"/>
              </w:rPr>
              <w:t>6</w:t>
            </w:r>
            <w:r w:rsidRPr="0065333F">
              <w:rPr>
                <w:color w:val="000000" w:themeColor="text1"/>
                <w:sz w:val="20"/>
                <w:szCs w:val="20"/>
              </w:rPr>
              <w:fldChar w:fldCharType="end"/>
            </w:r>
          </w:p>
        </w:tc>
        <w:tc>
          <w:tcPr>
            <w:tcW w:w="1512" w:type="dxa"/>
          </w:tcPr>
          <w:p w14:paraId="780BA3BE" w14:textId="07EAF2F2" w:rsidR="00104F56" w:rsidRPr="0065333F" w:rsidRDefault="0005223E" w:rsidP="00AE4BD3">
            <w:pPr>
              <w:rPr>
                <w:color w:val="000000" w:themeColor="text1"/>
                <w:sz w:val="20"/>
                <w:szCs w:val="20"/>
              </w:rPr>
            </w:pPr>
            <w:r w:rsidRPr="0065333F">
              <w:rPr>
                <w:color w:val="000000" w:themeColor="text1"/>
                <w:sz w:val="20"/>
                <w:szCs w:val="20"/>
              </w:rPr>
              <w:t>Retrospective cohort study</w:t>
            </w:r>
          </w:p>
        </w:tc>
        <w:tc>
          <w:tcPr>
            <w:tcW w:w="990" w:type="dxa"/>
          </w:tcPr>
          <w:p w14:paraId="7195B086" w14:textId="77777777" w:rsidR="00104F56" w:rsidRPr="0065333F" w:rsidRDefault="00104F56" w:rsidP="00AE4BD3">
            <w:pPr>
              <w:rPr>
                <w:color w:val="000000" w:themeColor="text1"/>
                <w:sz w:val="20"/>
                <w:szCs w:val="20"/>
              </w:rPr>
            </w:pPr>
            <w:r w:rsidRPr="0065333F">
              <w:rPr>
                <w:color w:val="000000" w:themeColor="text1"/>
                <w:sz w:val="20"/>
                <w:szCs w:val="20"/>
              </w:rPr>
              <w:t>ROBINS-E</w:t>
            </w:r>
          </w:p>
        </w:tc>
        <w:tc>
          <w:tcPr>
            <w:tcW w:w="1867" w:type="dxa"/>
          </w:tcPr>
          <w:p w14:paraId="16A1F24D" w14:textId="77777777" w:rsidR="00104F56" w:rsidRPr="0065333F" w:rsidRDefault="00104F56" w:rsidP="00AE4BD3">
            <w:pPr>
              <w:rPr>
                <w:sz w:val="20"/>
                <w:szCs w:val="20"/>
              </w:rPr>
            </w:pPr>
            <w:r w:rsidRPr="0065333F">
              <w:rPr>
                <w:sz w:val="20"/>
                <w:szCs w:val="20"/>
              </w:rPr>
              <w:t>Serious risk of bias</w:t>
            </w:r>
          </w:p>
        </w:tc>
        <w:tc>
          <w:tcPr>
            <w:tcW w:w="7371" w:type="dxa"/>
          </w:tcPr>
          <w:p w14:paraId="5DD943EB" w14:textId="77777777" w:rsidR="00104F56" w:rsidRPr="0065333F" w:rsidRDefault="00104F56" w:rsidP="00AE4BD3">
            <w:pPr>
              <w:rPr>
                <w:color w:val="000000" w:themeColor="text1"/>
                <w:sz w:val="20"/>
                <w:szCs w:val="20"/>
              </w:rPr>
            </w:pPr>
            <w:r w:rsidRPr="0065333F">
              <w:rPr>
                <w:color w:val="000000" w:themeColor="text1"/>
                <w:sz w:val="20"/>
                <w:szCs w:val="20"/>
              </w:rPr>
              <w:t>Retrospective cohort study; Mean age of 74-76.5 depending on the subgroup (MBI, NPS + or NPS -), no TBI patients</w:t>
            </w:r>
          </w:p>
        </w:tc>
      </w:tr>
      <w:tr w:rsidR="00104F56" w:rsidRPr="0065333F" w14:paraId="26526CFD" w14:textId="77777777" w:rsidTr="00AE4BD3">
        <w:tc>
          <w:tcPr>
            <w:tcW w:w="1863" w:type="dxa"/>
          </w:tcPr>
          <w:p w14:paraId="35C69B9F" w14:textId="77777777" w:rsidR="00104F56" w:rsidRPr="0065333F" w:rsidRDefault="00104F56" w:rsidP="00AE4BD3">
            <w:pPr>
              <w:rPr>
                <w:color w:val="000000" w:themeColor="text1"/>
                <w:sz w:val="20"/>
                <w:szCs w:val="20"/>
              </w:rPr>
            </w:pPr>
            <w:r w:rsidRPr="0065333F">
              <w:rPr>
                <w:color w:val="000000" w:themeColor="text1"/>
                <w:sz w:val="20"/>
                <w:szCs w:val="20"/>
              </w:rPr>
              <w:t>LoBue, 2018</w:t>
            </w:r>
            <w:r w:rsidRPr="0065333F">
              <w:rPr>
                <w:color w:val="000000" w:themeColor="text1"/>
                <w:sz w:val="20"/>
                <w:szCs w:val="20"/>
              </w:rPr>
              <w:fldChar w:fldCharType="begin"/>
            </w:r>
            <w:r w:rsidRPr="0065333F">
              <w:rPr>
                <w:color w:val="000000" w:themeColor="text1"/>
                <w:sz w:val="20"/>
                <w:szCs w:val="20"/>
              </w:rPr>
              <w:instrText xml:space="preserve"> ADDIN ZOTERO_ITEM CSL_CITATION {"citationID":"3vhT8uVW","properties":{"formattedCitation":"\\super 7\\nosupersub{}","plainCitation":"7","noteIndex":0},"citationItems":[{"id":1720,"uris":["http://zotero.org/users/8883840/items/9UV5SB27"],"itemData":{"id":1720,"type":"article-journal","abstract":"Objective\nTo examine whether history of traumatic brain injury (TBI) is associated with more rapid progression from mild cognitive impairment (MCI) to Alzheimer disease (AD).\n\nMethod\nData from 2,719 subjects with MCI were obtained from the National Alzheimer’s Coordinating Center. TBI was categorized based on presence (TBI+) or absence (TBI−) of reported TBI with loss of consciousness (LOC) without chronic deficit occurring &gt;1 year prior to diagnosis of MCI. Survival analyses were used to determine if a history of TBI predicted progression from MCI to AD up to 8 years. Random regression models were used to examine whether TBI history also predicted rate of decline on the Clinical Dementia Rating scale Sum of Boxes score (CDR-SB) among subjects who progress to AD.\n\nResults\nAcross 8 years, TBI history was not significantly associated with progression from MCI to a diagnosis of AD in unadjusted (HR=0.80; 95% CI=0.63–1.01; p=.06) and adjusted (p=.15) models. Similarly, a history of TBI was a non-significant predictor for rate of decline on CDR-SB among subjects who progressed to AD (b=0.15, p=.38). MCI was, however, diagnosed a mean of 2.6 years earlier (p&lt;.001) in TBI+ subjects compared to the TBI− group.\n\nConclusions\nA history of TBI with LOC was not associated with progression from MCI to AD, but was linked to an earlier age of MCI diagnosis. These findings add to a growing literature suggesting that TBI might reduce the threshold for onset of MCI and certain neurodegenerative conditions, but appears unrelated to progression from MCI to AD.","container-title":"Neuropsychology","DOI":"10.1037/neu0000431","ISSN":"0894-4105","issue":"4","journalAbbreviation":"Neuropsychology","note":"PMID: 29809031\nPMCID: PMC5975979","page":"401-409","source":"PubMed Central","title":"Traumatic Brain Injury History and Progression from Mild Cognitive Impairment to Alzheimer Disease","volume":"32","author":[{"family":"LoBue","given":"Christian"},{"family":"Woon","given":"Fu L."},{"family":"Rossetti","given":"Heidi C."},{"family":"Hynan","given":"Linda S."},{"family":"Hart","given":"John"},{"family":"Cullum","given":"C. Munro"}],"issued":{"date-parts":[["2018",5]]}}}],"schema":"https://github.com/citation-style-language/schema/raw/master/csl-citation.json"} </w:instrText>
            </w:r>
            <w:r w:rsidRPr="0065333F">
              <w:rPr>
                <w:color w:val="000000" w:themeColor="text1"/>
                <w:sz w:val="20"/>
                <w:szCs w:val="20"/>
              </w:rPr>
              <w:fldChar w:fldCharType="separate"/>
            </w:r>
            <w:r w:rsidRPr="0065333F">
              <w:rPr>
                <w:rFonts w:eastAsiaTheme="minorHAnsi"/>
                <w:color w:val="000000"/>
                <w:sz w:val="20"/>
                <w:szCs w:val="20"/>
                <w:vertAlign w:val="superscript"/>
                <w:lang w:val="en-US"/>
                <w14:ligatures w14:val="standardContextual"/>
              </w:rPr>
              <w:t>7</w:t>
            </w:r>
            <w:r w:rsidRPr="0065333F">
              <w:rPr>
                <w:color w:val="000000" w:themeColor="text1"/>
                <w:sz w:val="20"/>
                <w:szCs w:val="20"/>
              </w:rPr>
              <w:fldChar w:fldCharType="end"/>
            </w:r>
          </w:p>
        </w:tc>
        <w:tc>
          <w:tcPr>
            <w:tcW w:w="1512" w:type="dxa"/>
          </w:tcPr>
          <w:p w14:paraId="1F4CE5FA" w14:textId="23E6D73F" w:rsidR="00104F56" w:rsidRPr="0065333F" w:rsidRDefault="0005223E" w:rsidP="00AE4BD3">
            <w:pPr>
              <w:rPr>
                <w:color w:val="000000" w:themeColor="text1"/>
                <w:sz w:val="20"/>
                <w:szCs w:val="20"/>
              </w:rPr>
            </w:pPr>
            <w:r w:rsidRPr="0065333F">
              <w:rPr>
                <w:color w:val="000000" w:themeColor="text1"/>
                <w:sz w:val="20"/>
                <w:szCs w:val="20"/>
              </w:rPr>
              <w:t>Retrospective cohort study</w:t>
            </w:r>
          </w:p>
        </w:tc>
        <w:tc>
          <w:tcPr>
            <w:tcW w:w="990" w:type="dxa"/>
          </w:tcPr>
          <w:p w14:paraId="641F58AC" w14:textId="77777777" w:rsidR="00104F56" w:rsidRPr="0065333F" w:rsidRDefault="00104F56" w:rsidP="00AE4BD3">
            <w:pPr>
              <w:rPr>
                <w:color w:val="000000" w:themeColor="text1"/>
                <w:sz w:val="20"/>
                <w:szCs w:val="20"/>
              </w:rPr>
            </w:pPr>
            <w:r w:rsidRPr="0065333F">
              <w:rPr>
                <w:color w:val="000000" w:themeColor="text1"/>
                <w:sz w:val="20"/>
                <w:szCs w:val="20"/>
              </w:rPr>
              <w:t>ROBINS-E</w:t>
            </w:r>
          </w:p>
        </w:tc>
        <w:tc>
          <w:tcPr>
            <w:tcW w:w="1867" w:type="dxa"/>
          </w:tcPr>
          <w:p w14:paraId="2199A8CF" w14:textId="77777777" w:rsidR="00104F56" w:rsidRPr="0065333F" w:rsidRDefault="00104F56" w:rsidP="00AE4BD3">
            <w:pPr>
              <w:rPr>
                <w:sz w:val="20"/>
                <w:szCs w:val="20"/>
              </w:rPr>
            </w:pPr>
            <w:r w:rsidRPr="0065333F">
              <w:rPr>
                <w:sz w:val="20"/>
                <w:szCs w:val="20"/>
              </w:rPr>
              <w:t>Serious risk of bias</w:t>
            </w:r>
          </w:p>
        </w:tc>
        <w:tc>
          <w:tcPr>
            <w:tcW w:w="7371" w:type="dxa"/>
          </w:tcPr>
          <w:p w14:paraId="1EEDDD60" w14:textId="77777777" w:rsidR="00104F56" w:rsidRPr="0065333F" w:rsidRDefault="00104F56" w:rsidP="00AE4BD3">
            <w:pPr>
              <w:rPr>
                <w:color w:val="000000" w:themeColor="text1"/>
                <w:sz w:val="20"/>
                <w:szCs w:val="20"/>
              </w:rPr>
            </w:pPr>
            <w:r w:rsidRPr="0065333F">
              <w:rPr>
                <w:color w:val="000000" w:themeColor="text1"/>
                <w:sz w:val="20"/>
                <w:szCs w:val="20"/>
              </w:rPr>
              <w:t xml:space="preserve">Retrospective cohort </w:t>
            </w:r>
            <w:proofErr w:type="gramStart"/>
            <w:r w:rsidRPr="0065333F">
              <w:rPr>
                <w:color w:val="000000" w:themeColor="text1"/>
                <w:sz w:val="20"/>
                <w:szCs w:val="20"/>
              </w:rPr>
              <w:t>study;</w:t>
            </w:r>
            <w:proofErr w:type="gramEnd"/>
            <w:r w:rsidRPr="0065333F">
              <w:rPr>
                <w:color w:val="000000" w:themeColor="text1"/>
                <w:sz w:val="20"/>
                <w:szCs w:val="20"/>
              </w:rPr>
              <w:t xml:space="preserve"> </w:t>
            </w:r>
            <w:r w:rsidRPr="0065333F">
              <w:rPr>
                <w:sz w:val="20"/>
                <w:szCs w:val="20"/>
              </w:rPr>
              <w:t>2,719 participants diagnosed with MCI, 248 reported a history of TBI, mean age of 71.7</w:t>
            </w:r>
          </w:p>
        </w:tc>
      </w:tr>
      <w:tr w:rsidR="00104F56" w:rsidRPr="0065333F" w14:paraId="19DA1426" w14:textId="77777777" w:rsidTr="00AE4BD3">
        <w:tc>
          <w:tcPr>
            <w:tcW w:w="1863" w:type="dxa"/>
          </w:tcPr>
          <w:p w14:paraId="432BF9D4" w14:textId="77777777" w:rsidR="00104F56" w:rsidRPr="0065333F" w:rsidRDefault="00104F56" w:rsidP="00AE4BD3">
            <w:pPr>
              <w:rPr>
                <w:color w:val="000000" w:themeColor="text1"/>
                <w:sz w:val="20"/>
                <w:szCs w:val="20"/>
              </w:rPr>
            </w:pPr>
            <w:r w:rsidRPr="0065333F">
              <w:rPr>
                <w:color w:val="000000" w:themeColor="text1"/>
                <w:sz w:val="20"/>
                <w:szCs w:val="20"/>
              </w:rPr>
              <w:t>Monfared, 2022</w:t>
            </w:r>
            <w:r w:rsidRPr="0065333F">
              <w:rPr>
                <w:color w:val="000000" w:themeColor="text1"/>
                <w:sz w:val="20"/>
                <w:szCs w:val="20"/>
              </w:rPr>
              <w:fldChar w:fldCharType="begin"/>
            </w:r>
            <w:r w:rsidRPr="0065333F">
              <w:rPr>
                <w:color w:val="000000" w:themeColor="text1"/>
                <w:sz w:val="20"/>
                <w:szCs w:val="20"/>
              </w:rPr>
              <w:instrText xml:space="preserve"> ADDIN ZOTERO_ITEM CSL_CITATION {"citationID":"Zdll0T0L","properties":{"formattedCitation":"\\super 8\\nosupersub{}","plainCitation":"8","noteIndex":0},"citationItems":[{"id":1724,"uris":["http://zotero.org/users/8883840/items/XQDHMNRA"],"itemData":{"id":1724,"type":"article-journal","abstract":"Alzheimer's disease (AD) is prevalent throughout the world and is the leading cause of dementia in older individuals (aged ≥ 65 years). To gain a deeper understanding of the recent literature on the epidemiology of AD and its progression, we conducted a review of the PubMed-indexed literature (2014-2021) in North America, Europe, and Asia. The worldwide toll of AD is evidenced by rising prevalence, incidence, and mortality due to AD-estimates which are low because of underdiagnosis of AD. Mild cognitive impairment (MCI) due to AD can ultimately progress to AD dementia; estimates of AD dementia etiology among patients with MCI range from 40% to 75% depending on the populations studied and whether the MCI diagnosis was made clinically or in combination with biomarkers. The risk of AD dementia increases with progression from normal cognition with no amyloid-beta (Aβ) accumulation to early neurodegeneration and subsequently to MCI. For patients with Aβ accumulation and neurodegeneration, lifetime risk of AD dementia has been estimated to be 41.9% among women and 33.6% among men. Data on progression from preclinical AD to MCI are sparse, but an analysis of progression across the three preclinical National Institute on Aging and Alzheimer's Association (NIA-AA) stages suggests that NIA-AA stage 3 (subtle cognitive decline with AD biomarker positivity) could be useful in combination with other tools for treatment decision-making. Factors shown to increase risk include lower Mini-Mental State Examination (MMSE) score, higher Alzheimer's Disease Assessment Scale (ADAS-cog) score, positive APOE4 status, white matter hyperintensities volume, entorhinal cortex atrophy, cerebrospinal fluid (CSF) total tau, CSF neurogranin levels, dependency in instrumental activities of daily living (IADL), and being female. Results suggest that use of biomarkers alongside neurocognitive tests will become an important part of clinical practice as new disease-modifying therapies are introduced.","container-title":"Neurology and Therapy","DOI":"10.1007/s40120-022-00338-8","ISSN":"2193-8253","issue":"2","journalAbbreviation":"Neurol Ther","language":"eng","note":"PMID: 35286590\nPMCID: PMC9095793","page":"553-569","source":"PubMed","title":"Alzheimer's Disease: Epidemiology and Clinical Progression","title-short":"Alzheimer's Disease","volume":"11","author":[{"family":"Tahami Monfared","given":"Amir Abbas"},{"family":"Byrnes","given":"Michael J."},{"family":"White","given":"Leigh Ann"},{"family":"Zhang","given":"Quanwu"}],"issued":{"date-parts":[["2022",6]]}}}],"schema":"https://github.com/citation-style-language/schema/raw/master/csl-citation.json"} </w:instrText>
            </w:r>
            <w:r w:rsidRPr="0065333F">
              <w:rPr>
                <w:color w:val="000000" w:themeColor="text1"/>
                <w:sz w:val="20"/>
                <w:szCs w:val="20"/>
              </w:rPr>
              <w:fldChar w:fldCharType="separate"/>
            </w:r>
            <w:r w:rsidRPr="0065333F">
              <w:rPr>
                <w:rFonts w:eastAsiaTheme="minorHAnsi"/>
                <w:color w:val="000000"/>
                <w:sz w:val="20"/>
                <w:szCs w:val="20"/>
                <w:vertAlign w:val="superscript"/>
                <w:lang w:val="en-US"/>
                <w14:ligatures w14:val="standardContextual"/>
              </w:rPr>
              <w:t>8</w:t>
            </w:r>
            <w:r w:rsidRPr="0065333F">
              <w:rPr>
                <w:color w:val="000000" w:themeColor="text1"/>
                <w:sz w:val="20"/>
                <w:szCs w:val="20"/>
              </w:rPr>
              <w:fldChar w:fldCharType="end"/>
            </w:r>
          </w:p>
        </w:tc>
        <w:tc>
          <w:tcPr>
            <w:tcW w:w="1512" w:type="dxa"/>
          </w:tcPr>
          <w:p w14:paraId="091C24A4" w14:textId="058CE32A" w:rsidR="00104F56" w:rsidRPr="0065333F" w:rsidRDefault="0005223E" w:rsidP="00AE4BD3">
            <w:pPr>
              <w:rPr>
                <w:color w:val="000000" w:themeColor="text1"/>
                <w:sz w:val="20"/>
                <w:szCs w:val="20"/>
              </w:rPr>
            </w:pPr>
            <w:r w:rsidRPr="0065333F">
              <w:rPr>
                <w:color w:val="000000" w:themeColor="text1"/>
                <w:sz w:val="20"/>
                <w:szCs w:val="20"/>
              </w:rPr>
              <w:t>Narrative review</w:t>
            </w:r>
          </w:p>
        </w:tc>
        <w:tc>
          <w:tcPr>
            <w:tcW w:w="990" w:type="dxa"/>
          </w:tcPr>
          <w:p w14:paraId="17B66D44" w14:textId="77777777" w:rsidR="00104F56" w:rsidRPr="0065333F" w:rsidRDefault="00104F56" w:rsidP="00AE4BD3">
            <w:pPr>
              <w:rPr>
                <w:color w:val="000000" w:themeColor="text1"/>
                <w:sz w:val="20"/>
                <w:szCs w:val="20"/>
              </w:rPr>
            </w:pPr>
            <w:r w:rsidRPr="0065333F">
              <w:rPr>
                <w:color w:val="000000" w:themeColor="text1"/>
                <w:sz w:val="20"/>
                <w:szCs w:val="20"/>
              </w:rPr>
              <w:t>SANRA</w:t>
            </w:r>
          </w:p>
        </w:tc>
        <w:tc>
          <w:tcPr>
            <w:tcW w:w="1867" w:type="dxa"/>
          </w:tcPr>
          <w:p w14:paraId="4C8A7A55" w14:textId="77777777" w:rsidR="00104F56" w:rsidRPr="0065333F" w:rsidRDefault="00104F56" w:rsidP="00AE4BD3">
            <w:pPr>
              <w:rPr>
                <w:sz w:val="20"/>
                <w:szCs w:val="20"/>
              </w:rPr>
            </w:pPr>
            <w:proofErr w:type="spellStart"/>
            <w:r w:rsidRPr="0065333F">
              <w:rPr>
                <w:sz w:val="20"/>
                <w:szCs w:val="20"/>
              </w:rPr>
              <w:t>Sumscore</w:t>
            </w:r>
            <w:proofErr w:type="spellEnd"/>
            <w:r w:rsidRPr="0065333F">
              <w:rPr>
                <w:sz w:val="20"/>
                <w:szCs w:val="20"/>
              </w:rPr>
              <w:t xml:space="preserve"> 7/10</w:t>
            </w:r>
          </w:p>
        </w:tc>
        <w:tc>
          <w:tcPr>
            <w:tcW w:w="7371" w:type="dxa"/>
          </w:tcPr>
          <w:p w14:paraId="7783E44B" w14:textId="02E01D45" w:rsidR="00104F56" w:rsidRPr="0065333F" w:rsidRDefault="00104F56" w:rsidP="00AE4BD3">
            <w:pPr>
              <w:rPr>
                <w:color w:val="000000" w:themeColor="text1"/>
                <w:sz w:val="20"/>
                <w:szCs w:val="20"/>
              </w:rPr>
            </w:pPr>
            <w:r w:rsidRPr="0065333F">
              <w:rPr>
                <w:color w:val="000000" w:themeColor="text1"/>
                <w:sz w:val="20"/>
                <w:szCs w:val="20"/>
              </w:rPr>
              <w:t>Narrative review; Older adults (age ≥60 years)</w:t>
            </w:r>
            <w:r w:rsidR="00AE4BD3" w:rsidRPr="0065333F">
              <w:rPr>
                <w:color w:val="000000" w:themeColor="text1"/>
                <w:sz w:val="20"/>
                <w:szCs w:val="20"/>
              </w:rPr>
              <w:t xml:space="preserve">; </w:t>
            </w:r>
            <w:r w:rsidRPr="0065333F">
              <w:rPr>
                <w:color w:val="000000" w:themeColor="text1"/>
                <w:sz w:val="20"/>
                <w:szCs w:val="20"/>
              </w:rPr>
              <w:t>no TBI</w:t>
            </w:r>
            <w:r w:rsidR="00AE4BD3" w:rsidRPr="0065333F">
              <w:rPr>
                <w:color w:val="000000" w:themeColor="text1"/>
                <w:sz w:val="20"/>
                <w:szCs w:val="20"/>
              </w:rPr>
              <w:t xml:space="preserve">; Older adults </w:t>
            </w:r>
          </w:p>
        </w:tc>
      </w:tr>
      <w:tr w:rsidR="00104F56" w:rsidRPr="0065333F" w14:paraId="66A4EB19" w14:textId="77777777" w:rsidTr="00AE4BD3">
        <w:tc>
          <w:tcPr>
            <w:tcW w:w="13603" w:type="dxa"/>
            <w:gridSpan w:val="5"/>
            <w:shd w:val="clear" w:color="auto" w:fill="BFBFBF" w:themeFill="background1" w:themeFillShade="BF"/>
          </w:tcPr>
          <w:p w14:paraId="5E43B5DE" w14:textId="77777777" w:rsidR="00104F56" w:rsidRPr="0065333F" w:rsidRDefault="00104F56" w:rsidP="00AE4BD3">
            <w:pPr>
              <w:rPr>
                <w:color w:val="000000" w:themeColor="text1"/>
                <w:sz w:val="20"/>
                <w:szCs w:val="20"/>
              </w:rPr>
            </w:pPr>
            <w:r w:rsidRPr="0065333F">
              <w:rPr>
                <w:b/>
                <w:bCs/>
                <w:color w:val="000000" w:themeColor="text1"/>
                <w:sz w:val="20"/>
                <w:szCs w:val="20"/>
              </w:rPr>
              <w:t>Costs</w:t>
            </w:r>
          </w:p>
        </w:tc>
      </w:tr>
      <w:tr w:rsidR="00104F56" w:rsidRPr="0065333F" w14:paraId="6503C364" w14:textId="77777777" w:rsidTr="00AE4BD3">
        <w:tc>
          <w:tcPr>
            <w:tcW w:w="1863" w:type="dxa"/>
          </w:tcPr>
          <w:p w14:paraId="5FDC1C09" w14:textId="77777777" w:rsidR="00104F56" w:rsidRPr="0065333F" w:rsidRDefault="00104F56" w:rsidP="00AE4BD3">
            <w:pPr>
              <w:rPr>
                <w:color w:val="000000" w:themeColor="text1"/>
                <w:sz w:val="20"/>
                <w:szCs w:val="20"/>
              </w:rPr>
            </w:pPr>
            <w:r w:rsidRPr="0065333F">
              <w:rPr>
                <w:color w:val="000000" w:themeColor="text1"/>
                <w:sz w:val="20"/>
                <w:szCs w:val="20"/>
              </w:rPr>
              <w:t>Chen, 2012</w:t>
            </w:r>
            <w:r w:rsidRPr="0065333F">
              <w:rPr>
                <w:color w:val="000000" w:themeColor="text1"/>
                <w:sz w:val="20"/>
                <w:szCs w:val="20"/>
              </w:rPr>
              <w:fldChar w:fldCharType="begin"/>
            </w:r>
            <w:r w:rsidRPr="0065333F">
              <w:rPr>
                <w:color w:val="000000" w:themeColor="text1"/>
                <w:sz w:val="20"/>
                <w:szCs w:val="20"/>
              </w:rPr>
              <w:instrText xml:space="preserve"> ADDIN ZOTERO_ITEM CSL_CITATION {"citationID":"QMt1TmQ3","properties":{"formattedCitation":"\\super 9\\nosupersub{}","plainCitation":"9","noteIndex":0},"citationItems":[{"id":1731,"uris":["http://zotero.org/users/8883840/items/JUJHSICX"],"itemData":{"id":1731,"type":"article-journal","abstract":"Acquired Brain Injury (ABI) from traumatic and non traumatic causes is a leading cause of disability worldwide yet there is limited research summarizing the health system economic burden associated with ABI. The objective of this study was to determine the direct cost of publicly funded health care services from the initial hospitalization to three years post-injury for individuals with traumatic (TBI) and non-traumatic brain injury (nTBI) in Ontario Canada.","container-title":"BMC Neurology","DOI":"10.1186/1471-2377-12-76","ISSN":"1471-2377","issue":"1","journalAbbreviation":"BMC Neurology","page":"76","source":"BioMed Central","title":"Direct cost associated with acquired brain injury in Ontario","volume":"12","author":[{"family":"Chen","given":"Amy"},{"family":"Bushmeneva","given":"Ksenia"},{"family":"Zagorski","given":"Brandon"},{"family":"Colantonio","given":"Angela"},{"family":"Parsons","given":"Daria"},{"family":"Wodchis","given":"Walter P."}],"issued":{"date-parts":[["2012",8,17]]}}}],"schema":"https://github.com/citation-style-language/schema/raw/master/csl-citation.json"} </w:instrText>
            </w:r>
            <w:r w:rsidRPr="0065333F">
              <w:rPr>
                <w:color w:val="000000" w:themeColor="text1"/>
                <w:sz w:val="20"/>
                <w:szCs w:val="20"/>
              </w:rPr>
              <w:fldChar w:fldCharType="separate"/>
            </w:r>
            <w:r w:rsidRPr="0065333F">
              <w:rPr>
                <w:rFonts w:eastAsiaTheme="minorHAnsi"/>
                <w:color w:val="000000"/>
                <w:sz w:val="20"/>
                <w:szCs w:val="20"/>
                <w:vertAlign w:val="superscript"/>
                <w:lang w:val="en-US"/>
                <w14:ligatures w14:val="standardContextual"/>
              </w:rPr>
              <w:t>9</w:t>
            </w:r>
            <w:r w:rsidRPr="0065333F">
              <w:rPr>
                <w:color w:val="000000" w:themeColor="text1"/>
                <w:sz w:val="20"/>
                <w:szCs w:val="20"/>
              </w:rPr>
              <w:fldChar w:fldCharType="end"/>
            </w:r>
          </w:p>
        </w:tc>
        <w:tc>
          <w:tcPr>
            <w:tcW w:w="1512" w:type="dxa"/>
          </w:tcPr>
          <w:p w14:paraId="1A2C6C13" w14:textId="20788DBB" w:rsidR="00104F56" w:rsidRPr="0065333F" w:rsidRDefault="0005223E" w:rsidP="00AE4BD3">
            <w:pPr>
              <w:rPr>
                <w:color w:val="000000" w:themeColor="text1"/>
                <w:sz w:val="20"/>
                <w:szCs w:val="20"/>
              </w:rPr>
            </w:pPr>
            <w:r w:rsidRPr="0065333F">
              <w:rPr>
                <w:color w:val="000000" w:themeColor="text1"/>
                <w:sz w:val="20"/>
                <w:szCs w:val="20"/>
              </w:rPr>
              <w:t>Retrospective cohort study</w:t>
            </w:r>
          </w:p>
        </w:tc>
        <w:tc>
          <w:tcPr>
            <w:tcW w:w="990" w:type="dxa"/>
          </w:tcPr>
          <w:p w14:paraId="353AD079" w14:textId="77777777" w:rsidR="00104F56" w:rsidRPr="0065333F" w:rsidRDefault="00104F56" w:rsidP="00AE4BD3">
            <w:pPr>
              <w:rPr>
                <w:color w:val="000000" w:themeColor="text1"/>
                <w:sz w:val="20"/>
                <w:szCs w:val="20"/>
              </w:rPr>
            </w:pPr>
            <w:r w:rsidRPr="0065333F">
              <w:rPr>
                <w:color w:val="000000" w:themeColor="text1"/>
                <w:sz w:val="20"/>
                <w:szCs w:val="20"/>
              </w:rPr>
              <w:t>ROBINS-I</w:t>
            </w:r>
          </w:p>
        </w:tc>
        <w:tc>
          <w:tcPr>
            <w:tcW w:w="1867" w:type="dxa"/>
          </w:tcPr>
          <w:p w14:paraId="2C5C74F2" w14:textId="77777777" w:rsidR="00104F56" w:rsidRPr="0065333F" w:rsidRDefault="00104F56" w:rsidP="00AE4BD3">
            <w:pPr>
              <w:rPr>
                <w:color w:val="000000" w:themeColor="text1"/>
                <w:sz w:val="20"/>
                <w:szCs w:val="20"/>
              </w:rPr>
            </w:pPr>
            <w:r w:rsidRPr="0065333F">
              <w:rPr>
                <w:color w:val="000000" w:themeColor="text1"/>
                <w:sz w:val="20"/>
                <w:szCs w:val="20"/>
              </w:rPr>
              <w:t>Moderate risk of bias</w:t>
            </w:r>
          </w:p>
        </w:tc>
        <w:tc>
          <w:tcPr>
            <w:tcW w:w="7371" w:type="dxa"/>
          </w:tcPr>
          <w:p w14:paraId="71FF2A39" w14:textId="77777777" w:rsidR="00104F56" w:rsidRPr="0065333F" w:rsidRDefault="00104F56" w:rsidP="00AE4BD3">
            <w:pPr>
              <w:rPr>
                <w:color w:val="000000" w:themeColor="text1"/>
                <w:sz w:val="20"/>
                <w:szCs w:val="20"/>
              </w:rPr>
            </w:pPr>
            <w:r w:rsidRPr="0065333F">
              <w:rPr>
                <w:color w:val="000000" w:themeColor="text1"/>
                <w:sz w:val="20"/>
                <w:szCs w:val="20"/>
              </w:rPr>
              <w:t>Limitations in confounding adjustment, use of administrative codes to classify TBI and diluted cost estimates (unclear per-user cost)</w:t>
            </w:r>
          </w:p>
        </w:tc>
      </w:tr>
      <w:tr w:rsidR="00104F56" w:rsidRPr="0065333F" w14:paraId="31710762" w14:textId="77777777" w:rsidTr="00AE4BD3">
        <w:tc>
          <w:tcPr>
            <w:tcW w:w="1863" w:type="dxa"/>
          </w:tcPr>
          <w:p w14:paraId="5C6BC8BD" w14:textId="77777777" w:rsidR="00104F56" w:rsidRPr="0065333F" w:rsidRDefault="00104F56" w:rsidP="00AE4BD3">
            <w:pPr>
              <w:rPr>
                <w:color w:val="000000" w:themeColor="text1"/>
                <w:sz w:val="20"/>
                <w:szCs w:val="20"/>
              </w:rPr>
            </w:pPr>
            <w:r w:rsidRPr="0065333F">
              <w:rPr>
                <w:color w:val="000000" w:themeColor="text1"/>
                <w:sz w:val="20"/>
                <w:szCs w:val="20"/>
              </w:rPr>
              <w:t>Kim, 2021</w:t>
            </w:r>
            <w:r w:rsidRPr="0065333F">
              <w:rPr>
                <w:color w:val="000000" w:themeColor="text1"/>
                <w:sz w:val="20"/>
                <w:szCs w:val="20"/>
              </w:rPr>
              <w:fldChar w:fldCharType="begin"/>
            </w:r>
            <w:r w:rsidRPr="0065333F">
              <w:rPr>
                <w:color w:val="000000" w:themeColor="text1"/>
                <w:sz w:val="20"/>
                <w:szCs w:val="20"/>
              </w:rPr>
              <w:instrText xml:space="preserve"> ADDIN ZOTERO_ITEM CSL_CITATION {"citationID":"md9M6BlU","properties":{"formattedCitation":"\\super 10\\nosupersub{}","plainCitation":"10","noteIndex":0},"citationItems":[{"id":559,"uris":["http://zotero.org/users/8883840/items/GL3TXFSM"],"itemData":{"id":559,"type":"article-journal","abstract":"BACKGROUND: Cognitive deficits, particularly executive dysfunction is common following acquired brain injury (ABI) and has detrimental effect on functional status and autonomy in daily life. Among various cognitive training methods, computerized cognitive rehabilitation (CCR) has been investigated as an alternative method to therapist-driven cognitive rehabilitation (TCR). However, previous studies have shown conflicting results on the superiority or inferiority of CCR and TCR.\nAIM: To investigate the efficacy of TCR and CCR in improving executive function in patients with acute-to-subacute ABI.\nDESIGN: A prospective, assessor-blinded randomized controlled trial.\nSETTING: Hospitalized care setting in the department of rehabilitation in a university hospital.\nPOPULATION: Thirty-two acute-to-subacute (less than 3 months after onset) ABI patients with executive dysfunctions were included in this study. The mean time after injury was 25.1±18.1 days.\nMETHODS: Participants were assigned to the TCR group (N.=14) or the CCR group (N.=18). Each group performed TCR or CCR for 30 minutes each day for two weeks in addition to routine rehabilitation. Neurocognitive function tests to assess complex attention, executive function, general cognitive function (mini-mental status examination [MMSE] and Montreal Cognitive Assessment [MoCA]), and functional evaluations [modified Barthel Index, MBI]) were performed at baseline (T0) and at the end of treatment (T1).\nRESULTS: The TCR and CCR groups showed significant improvements in the MMSE (P=0.004, 0.000), MoCA (P=0.003, 0.006), and MBI (P=0.000, 0.000) scores. TCR and CCR groups both showed significant improvements in some of the complex attention tests (trail-making test A, P=0.002, 0.005) and executive function tests (trail-making test B, P=0.016, 0.016). The TCR group showed significant improvements in the additional executive function tests (phonemic fluency test, P=0.004, semantic fluency test, P=0.001), while the CCR group showed significant improvements in the additional complex attention tests (symbol search, P=0.02, digit symbol coding, P=0.002). In the intergroup comparison of the changes from pre- to postintervention, only the TCR group showed a significant improvement in the phonemic fluency test (P=0.013).\nCONCLUSIONS: TCR might be more effective than CCR in improving frontal lobe-related executive function in ABI patients. CCR might be beneficial for improving psychomotor speed and working memory.\nCLINICAL REHABILITATION IMPACT: TCR or CCR should be chosen according to the targeted domain of cognitive dysfunction in acute-to-subacute ABI patients.","container-title":"European Journal of Physical and Rehabilitation Medicine","DOI":"10.23736/S1973-9087.21.06497-2","ISSN":"1973-9095","issue":"4","journalAbbreviation":"Eur J Phys Rehabil Med","language":"eng","note":"PMID: 33448753","page":"551-559","source":"PubMed","title":"The efficacy of computerized cognitive rehabilitation in improving attention and executive functions in acquired brain injury patients, in acute and postacute phase","volume":"57","author":[{"family":"Kim","given":"Ha Seong"},{"family":"Lim","given":"Kil-Byung"},{"family":"Yoo","given":"Jeehyun"},{"family":"Kim","given":"Yong Wook"},{"family":"Lee","given":"Sang Wan"},{"family":"Son","given":"Sungsik"},{"family":"Kim","given":"Changgyu"},{"family":"Kim","given":"Jiyong"}],"issued":{"date-parts":[["2021",8]]}}}],"schema":"https://github.com/citation-style-language/schema/raw/master/csl-citation.json"} </w:instrText>
            </w:r>
            <w:r w:rsidRPr="0065333F">
              <w:rPr>
                <w:color w:val="000000" w:themeColor="text1"/>
                <w:sz w:val="20"/>
                <w:szCs w:val="20"/>
              </w:rPr>
              <w:fldChar w:fldCharType="separate"/>
            </w:r>
            <w:r w:rsidRPr="0065333F">
              <w:rPr>
                <w:rFonts w:eastAsiaTheme="minorHAnsi"/>
                <w:color w:val="000000"/>
                <w:sz w:val="20"/>
                <w:szCs w:val="20"/>
                <w:vertAlign w:val="superscript"/>
                <w:lang w:val="en-US"/>
                <w14:ligatures w14:val="standardContextual"/>
              </w:rPr>
              <w:t>10</w:t>
            </w:r>
            <w:r w:rsidRPr="0065333F">
              <w:rPr>
                <w:color w:val="000000" w:themeColor="text1"/>
                <w:sz w:val="20"/>
                <w:szCs w:val="20"/>
              </w:rPr>
              <w:fldChar w:fldCharType="end"/>
            </w:r>
          </w:p>
        </w:tc>
        <w:tc>
          <w:tcPr>
            <w:tcW w:w="1512" w:type="dxa"/>
          </w:tcPr>
          <w:p w14:paraId="2E00ECB4" w14:textId="65DE4AA9" w:rsidR="00104F56" w:rsidRPr="0065333F" w:rsidRDefault="0005223E" w:rsidP="00AE4BD3">
            <w:pPr>
              <w:rPr>
                <w:color w:val="000000" w:themeColor="text1"/>
                <w:sz w:val="20"/>
                <w:szCs w:val="20"/>
              </w:rPr>
            </w:pPr>
            <w:r w:rsidRPr="0065333F">
              <w:rPr>
                <w:color w:val="000000" w:themeColor="text1"/>
                <w:sz w:val="20"/>
                <w:szCs w:val="20"/>
              </w:rPr>
              <w:t>Randomized controlled trial</w:t>
            </w:r>
          </w:p>
        </w:tc>
        <w:tc>
          <w:tcPr>
            <w:tcW w:w="990" w:type="dxa"/>
          </w:tcPr>
          <w:p w14:paraId="74857A66" w14:textId="77777777" w:rsidR="00104F56" w:rsidRPr="0065333F" w:rsidRDefault="00104F56" w:rsidP="00AE4BD3">
            <w:pPr>
              <w:rPr>
                <w:color w:val="000000" w:themeColor="text1"/>
                <w:sz w:val="20"/>
                <w:szCs w:val="20"/>
              </w:rPr>
            </w:pPr>
            <w:proofErr w:type="spellStart"/>
            <w:r w:rsidRPr="0065333F">
              <w:rPr>
                <w:color w:val="000000" w:themeColor="text1"/>
                <w:sz w:val="20"/>
                <w:szCs w:val="20"/>
              </w:rPr>
              <w:t>RoB</w:t>
            </w:r>
            <w:proofErr w:type="spellEnd"/>
            <w:r w:rsidRPr="0065333F">
              <w:rPr>
                <w:color w:val="000000" w:themeColor="text1"/>
                <w:sz w:val="20"/>
                <w:szCs w:val="20"/>
              </w:rPr>
              <w:t xml:space="preserve"> 2</w:t>
            </w:r>
          </w:p>
        </w:tc>
        <w:tc>
          <w:tcPr>
            <w:tcW w:w="1867" w:type="dxa"/>
          </w:tcPr>
          <w:p w14:paraId="3FB5800F" w14:textId="512E82A6" w:rsidR="00104F56" w:rsidRPr="0065333F" w:rsidRDefault="004E7170" w:rsidP="00AE4BD3">
            <w:pPr>
              <w:rPr>
                <w:color w:val="000000" w:themeColor="text1"/>
                <w:sz w:val="20"/>
                <w:szCs w:val="20"/>
              </w:rPr>
            </w:pPr>
            <w:r w:rsidRPr="0065333F">
              <w:rPr>
                <w:color w:val="000000" w:themeColor="text1"/>
                <w:sz w:val="20"/>
                <w:szCs w:val="20"/>
              </w:rPr>
              <w:t xml:space="preserve">High risk </w:t>
            </w:r>
            <w:r w:rsidR="00104F56" w:rsidRPr="0065333F">
              <w:rPr>
                <w:color w:val="000000" w:themeColor="text1"/>
                <w:sz w:val="20"/>
                <w:szCs w:val="20"/>
              </w:rPr>
              <w:t>of bias</w:t>
            </w:r>
          </w:p>
        </w:tc>
        <w:tc>
          <w:tcPr>
            <w:tcW w:w="7371" w:type="dxa"/>
          </w:tcPr>
          <w:p w14:paraId="30FE9398" w14:textId="77777777" w:rsidR="00104F56" w:rsidRPr="0065333F" w:rsidRDefault="00104F56" w:rsidP="00AE4BD3">
            <w:pPr>
              <w:rPr>
                <w:color w:val="000000" w:themeColor="text1"/>
                <w:sz w:val="20"/>
                <w:szCs w:val="20"/>
              </w:rPr>
            </w:pPr>
            <w:r w:rsidRPr="0065333F">
              <w:rPr>
                <w:color w:val="000000" w:themeColor="text1"/>
                <w:sz w:val="20"/>
                <w:szCs w:val="20"/>
              </w:rPr>
              <w:t>Included all ABI patients (not just TBI, also stroke patients); only 3/32 were TBI patients; Lack of a pre-registered protocol, unclear adherence monitoring, and possible therapist interaction bias</w:t>
            </w:r>
          </w:p>
        </w:tc>
      </w:tr>
      <w:tr w:rsidR="00104F56" w:rsidRPr="0065333F" w14:paraId="26794052" w14:textId="77777777" w:rsidTr="00AE4BD3">
        <w:tc>
          <w:tcPr>
            <w:tcW w:w="1863" w:type="dxa"/>
          </w:tcPr>
          <w:p w14:paraId="58351A49" w14:textId="77777777" w:rsidR="00104F56" w:rsidRPr="0065333F" w:rsidRDefault="00104F56" w:rsidP="00AE4BD3">
            <w:pPr>
              <w:rPr>
                <w:color w:val="000000" w:themeColor="text1"/>
                <w:sz w:val="20"/>
                <w:szCs w:val="20"/>
              </w:rPr>
            </w:pPr>
            <w:r w:rsidRPr="0065333F">
              <w:rPr>
                <w:color w:val="000000" w:themeColor="text1"/>
                <w:sz w:val="20"/>
                <w:szCs w:val="20"/>
              </w:rPr>
              <w:t>Leibson, 2015</w:t>
            </w:r>
            <w:r w:rsidRPr="0065333F">
              <w:rPr>
                <w:color w:val="000000" w:themeColor="text1"/>
                <w:sz w:val="20"/>
                <w:szCs w:val="20"/>
              </w:rPr>
              <w:fldChar w:fldCharType="begin"/>
            </w:r>
            <w:r w:rsidRPr="0065333F">
              <w:rPr>
                <w:color w:val="000000" w:themeColor="text1"/>
                <w:sz w:val="20"/>
                <w:szCs w:val="20"/>
              </w:rPr>
              <w:instrText xml:space="preserve"> ADDIN ZOTERO_ITEM CSL_CITATION {"citationID":"Nwdo0795","properties":{"formattedCitation":"\\super 11\\nosupersub{}","plainCitation":"11","noteIndex":0},"citationItems":[{"id":1739,"uris":["http://zotero.org/users/8883840/items/93AKJ77R"],"itemData":{"id":1739,"type":"article-journal","abstract":"BACKGROUND: Objective cost estimates and source of cost differences are needed across the spectrum of cognition, including cognitively normal (CN), mild cognitive impairment (MCI), newly discovered dementia, and prevalent dementia.\nMETHODS: Subjects were a subset of the Mayo Clinic Study of Aging stratified-random sampling of Olmsted County, MN, residents aged 70 to 89 years. A neurologist reviewed provider-linked medical records to identify prevalent dementia (review date = index). Remaining subjects were invited to participate in prospective clinical/neuropsychological assessments; participants were categorized as CN, MCI, or newly discovered dementia (assessment date = index). Costs for medical services/procedures 1-year pre-index (excluding indirect and long-term care costs) were estimated using line-item provider-linked administrative data. We estimated contributions of care-delivery site and comorbid conditions (including and excluding neuropsychiatric diagnoses) to between-category cost differences.\nRESULTS: Annual mean medical costs for CN, MCI, newly discovered dementia, and prevalent dementia were $6042, $6784, $9431, $11,678, respectively. Hospital inpatient costs contributed 70% of total costs for prevalent dementia and accounted for differences between CN and both prevalent and newly discovered dementia. Ambulatory costs accounted for differences between CN and MCI. Age-, sex-, education-adjusted differences reached significance for CN versus newly discovered and prevalent dementia and for MCI versus prevalent dementia. After considering all comorbid diagnoses, between-category differences were reduced (e.g., prevalent dementia minus MCI (from $4842 to $3575); newly discovered dementia minus CN (from $3578 to $711)). Following the exclusion of neuropsychiatric diagnoses from comorbidity adjustment, between-category differences tended to revert to greater differences.\nCONCLUSIONS: Cost estimates did not differ significantly between CN and MCI. Substantial differences between MCI and prevalent dementia reflected high inpatient costs for dementia and appear partly related to co-occurring mental disorders. Such comparisons can help inform models aimed at identifying where, when, and for which individuals proposed interventions might be cost-effective.","container-title":"Alzheimer's &amp; Dementia: The Journal of the Alzheimer's Association","DOI":"10.1016/j.jalz.2015.01.007","ISSN":"1552-5279","issue":"8","journalAbbreviation":"Alzheimers Dement","language":"eng","note":"PMID: 25858682\nPMCID: PMC4543557","page":"917-932","source":"PubMed","title":"Direct medical costs and source of cost differences across the spectrum of cognitive decline: a population-based study","title-short":"Direct medical costs and source of cost differences across the spectrum of cognitive decline","volume":"11","author":[{"family":"Leibson","given":"Cynthia L."},{"family":"Long","given":"Kirsten Hall"},{"family":"Ransom","given":"Jeanine E."},{"family":"Roberts","given":"Rosebud O."},{"family":"Hass","given":"Steven L."},{"family":"Duhig","given":"Amy M."},{"family":"Smith","given":"Carin Y."},{"family":"Emerson","given":"Jane A."},{"family":"Pankratz","given":"V. Shane"},{"family":"Petersen","given":"Ronald C."}],"issued":{"date-parts":[["2015",8]]}}}],"schema":"https://github.com/citation-style-language/schema/raw/master/csl-citation.json"} </w:instrText>
            </w:r>
            <w:r w:rsidRPr="0065333F">
              <w:rPr>
                <w:color w:val="000000" w:themeColor="text1"/>
                <w:sz w:val="20"/>
                <w:szCs w:val="20"/>
              </w:rPr>
              <w:fldChar w:fldCharType="separate"/>
            </w:r>
            <w:r w:rsidRPr="0065333F">
              <w:rPr>
                <w:rFonts w:eastAsiaTheme="minorHAnsi"/>
                <w:color w:val="000000"/>
                <w:sz w:val="20"/>
                <w:szCs w:val="20"/>
                <w:vertAlign w:val="superscript"/>
                <w:lang w:val="en-US"/>
                <w14:ligatures w14:val="standardContextual"/>
              </w:rPr>
              <w:t>11</w:t>
            </w:r>
            <w:r w:rsidRPr="0065333F">
              <w:rPr>
                <w:color w:val="000000" w:themeColor="text1"/>
                <w:sz w:val="20"/>
                <w:szCs w:val="20"/>
              </w:rPr>
              <w:fldChar w:fldCharType="end"/>
            </w:r>
          </w:p>
        </w:tc>
        <w:tc>
          <w:tcPr>
            <w:tcW w:w="1512" w:type="dxa"/>
          </w:tcPr>
          <w:p w14:paraId="083E3AA4" w14:textId="7CAE7743" w:rsidR="00104F56" w:rsidRPr="0065333F" w:rsidRDefault="0005223E" w:rsidP="00AE4BD3">
            <w:pPr>
              <w:rPr>
                <w:color w:val="000000" w:themeColor="text1"/>
                <w:sz w:val="20"/>
                <w:szCs w:val="20"/>
              </w:rPr>
            </w:pPr>
            <w:r w:rsidRPr="0065333F">
              <w:rPr>
                <w:color w:val="000000" w:themeColor="text1"/>
                <w:sz w:val="20"/>
                <w:szCs w:val="20"/>
              </w:rPr>
              <w:t>Cross-sectional study</w:t>
            </w:r>
          </w:p>
        </w:tc>
        <w:tc>
          <w:tcPr>
            <w:tcW w:w="990" w:type="dxa"/>
          </w:tcPr>
          <w:p w14:paraId="565C4A11" w14:textId="77777777" w:rsidR="00104F56" w:rsidRPr="0065333F" w:rsidRDefault="00104F56" w:rsidP="00AE4BD3">
            <w:pPr>
              <w:rPr>
                <w:color w:val="000000" w:themeColor="text1"/>
                <w:sz w:val="20"/>
                <w:szCs w:val="20"/>
              </w:rPr>
            </w:pPr>
            <w:r w:rsidRPr="0065333F">
              <w:rPr>
                <w:color w:val="000000" w:themeColor="text1"/>
                <w:sz w:val="20"/>
                <w:szCs w:val="20"/>
              </w:rPr>
              <w:t>ROBINS-E</w:t>
            </w:r>
          </w:p>
        </w:tc>
        <w:tc>
          <w:tcPr>
            <w:tcW w:w="1867" w:type="dxa"/>
          </w:tcPr>
          <w:p w14:paraId="2D9259A0" w14:textId="77777777" w:rsidR="00104F56" w:rsidRPr="0065333F" w:rsidRDefault="00104F56" w:rsidP="00AE4BD3">
            <w:pPr>
              <w:rPr>
                <w:color w:val="000000" w:themeColor="text1"/>
                <w:sz w:val="20"/>
                <w:szCs w:val="20"/>
              </w:rPr>
            </w:pPr>
            <w:r w:rsidRPr="0065333F">
              <w:rPr>
                <w:color w:val="000000" w:themeColor="text1"/>
                <w:sz w:val="20"/>
                <w:szCs w:val="20"/>
              </w:rPr>
              <w:t>Moderate risk of bias</w:t>
            </w:r>
          </w:p>
        </w:tc>
        <w:tc>
          <w:tcPr>
            <w:tcW w:w="7371" w:type="dxa"/>
          </w:tcPr>
          <w:p w14:paraId="628514BB" w14:textId="77777777" w:rsidR="00104F56" w:rsidRPr="0065333F" w:rsidRDefault="00104F56" w:rsidP="00AE4BD3">
            <w:pPr>
              <w:rPr>
                <w:color w:val="000000" w:themeColor="text1"/>
                <w:sz w:val="20"/>
                <w:szCs w:val="20"/>
              </w:rPr>
            </w:pPr>
            <w:r w:rsidRPr="0065333F">
              <w:rPr>
                <w:color w:val="000000" w:themeColor="text1"/>
                <w:sz w:val="20"/>
                <w:szCs w:val="20"/>
              </w:rPr>
              <w:t>Restricted to Olmsted County; participation bias (not all participants wanted to participate those who are older, more likely to be male and more likely to have comorbidities)</w:t>
            </w:r>
          </w:p>
        </w:tc>
      </w:tr>
      <w:tr w:rsidR="00104F56" w:rsidRPr="0065333F" w14:paraId="27E069AE" w14:textId="77777777" w:rsidTr="00AE4BD3">
        <w:tc>
          <w:tcPr>
            <w:tcW w:w="13603" w:type="dxa"/>
            <w:gridSpan w:val="5"/>
            <w:shd w:val="clear" w:color="auto" w:fill="BFBFBF" w:themeFill="background1" w:themeFillShade="BF"/>
          </w:tcPr>
          <w:p w14:paraId="14A56355" w14:textId="77777777" w:rsidR="00104F56" w:rsidRPr="0065333F" w:rsidRDefault="00104F56" w:rsidP="00AE4BD3">
            <w:pPr>
              <w:rPr>
                <w:b/>
                <w:bCs/>
                <w:color w:val="000000" w:themeColor="text1"/>
                <w:sz w:val="20"/>
                <w:szCs w:val="20"/>
              </w:rPr>
            </w:pPr>
            <w:r w:rsidRPr="0065333F">
              <w:rPr>
                <w:b/>
                <w:bCs/>
                <w:color w:val="000000" w:themeColor="text1"/>
                <w:sz w:val="20"/>
                <w:szCs w:val="20"/>
              </w:rPr>
              <w:t>Utilities</w:t>
            </w:r>
          </w:p>
        </w:tc>
      </w:tr>
      <w:tr w:rsidR="00104F56" w:rsidRPr="0065333F" w14:paraId="028154ED" w14:textId="77777777" w:rsidTr="00AE4BD3">
        <w:tc>
          <w:tcPr>
            <w:tcW w:w="1863" w:type="dxa"/>
          </w:tcPr>
          <w:p w14:paraId="6742FBB8" w14:textId="77777777" w:rsidR="00104F56" w:rsidRPr="0065333F" w:rsidRDefault="00104F56" w:rsidP="00AE4BD3">
            <w:pPr>
              <w:rPr>
                <w:color w:val="000000" w:themeColor="text1"/>
                <w:sz w:val="20"/>
                <w:szCs w:val="20"/>
              </w:rPr>
            </w:pPr>
            <w:r w:rsidRPr="0065333F">
              <w:rPr>
                <w:color w:val="000000" w:themeColor="text1"/>
                <w:sz w:val="20"/>
                <w:szCs w:val="20"/>
              </w:rPr>
              <w:t>Fuller, 2017</w:t>
            </w:r>
            <w:r w:rsidRPr="0065333F">
              <w:rPr>
                <w:color w:val="000000" w:themeColor="text1"/>
                <w:sz w:val="20"/>
                <w:szCs w:val="20"/>
              </w:rPr>
              <w:fldChar w:fldCharType="begin"/>
            </w:r>
            <w:r w:rsidRPr="0065333F">
              <w:rPr>
                <w:color w:val="000000" w:themeColor="text1"/>
                <w:sz w:val="20"/>
                <w:szCs w:val="20"/>
              </w:rPr>
              <w:instrText xml:space="preserve"> ADDIN ZOTERO_ITEM CSL_CITATION {"citationID":"D2tWIfUr","properties":{"formattedCitation":"\\super 12\\nosupersub{}","plainCitation":"12","noteIndex":0},"citationItems":[{"id":1742,"uris":["http://zotero.org/users/8883840/items/6MDTJ38V"],"itemData":{"id":1742,"type":"article-journal","abstract":"Background\nValid and relevant estimates of health state preference weights (HSPWs) for Glasgow Outcome Scale (GOS) categories are a key input of economic models evaluating treatments for traumatic brain injury (TBI).\n\nObjectives\nTo characterize existing HSPW estimates, and model the EuroQol five-dimensional questionnaire (EQ-5D) from the GOS, to inform parameterization of future economic models.\n\nMethods\nA systematic review of HSPWs for GOS categories following TBI was conducted using a highly sensitive search strategy implemented in an extensive range of information sources between 1975 and 2016. A cross-sectional mapping study of GOS health states onto the three-level EQ-5D UK tariff index values was also performed in patients with significant TBI (head region Abbreviated Injury Scale score ≥3) from the Victoria State Trauma Registry. A limited dependent variable mixture model was used to estimate the 12-month EQ-5D UK value set as a function of GOS category, age, and other explanatory variables.\n\nResults\nSix unique HSPWs from five eligible studies were identified. All studies were at high risk of bias with limited applicability. The magnitude of HSPWs differed significantly between studies. Three class mixture models demonstrated excellent goodness of fit to the observed Victoria State Trauma Registry data. GOS category, age at injury, sex, comorbidity, and major extracranial injury all had significant independent effects on mean EQ-5D utility values.\n\nConclusions\nThe few available HSPWs for GOS categories are challenged by potential biases and restricted generalizability. Mixture models are presented to provide HSPWs for GOS categories consistent with the National Institute for Health and Care Excellence reference case.","container-title":"Value in Health","DOI":"10.1016/j.jval.2016.09.2398","ISSN":"1098-3015","issue":"1","journalAbbreviation":"Value Health","note":"PMID: 28212955\nPMCID: PMC5339086","page":"141-151","source":"PubMed Central","title":"Health State Preference Weights for the Glasgow Outcome Scale Following Traumatic Brain Injury: A Systematic Review and Mapping Study","title-short":"Health State Preference Weights for the Glasgow Outcome Scale Following Traumatic Brain Injury","volume":"20","author":[{"family":"Ward Fuller","given":"Gordon"},{"family":"Hernandez","given":"Monica"},{"family":"Pallot","given":"David"},{"family":"Lecky","given":"Fiona"},{"family":"Stevenson","given":"Mathew"},{"family":"Gabbe","given":"Belinda"}],"issued":{"date-parts":[["2017",1]]}}}],"schema":"https://github.com/citation-style-language/schema/raw/master/csl-citation.json"} </w:instrText>
            </w:r>
            <w:r w:rsidRPr="0065333F">
              <w:rPr>
                <w:color w:val="000000" w:themeColor="text1"/>
                <w:sz w:val="20"/>
                <w:szCs w:val="20"/>
              </w:rPr>
              <w:fldChar w:fldCharType="separate"/>
            </w:r>
            <w:r w:rsidRPr="0065333F">
              <w:rPr>
                <w:rFonts w:eastAsiaTheme="minorHAnsi"/>
                <w:color w:val="000000"/>
                <w:sz w:val="20"/>
                <w:szCs w:val="20"/>
                <w:vertAlign w:val="superscript"/>
                <w:lang w:val="en-US"/>
                <w14:ligatures w14:val="standardContextual"/>
              </w:rPr>
              <w:t>12</w:t>
            </w:r>
            <w:r w:rsidRPr="0065333F">
              <w:rPr>
                <w:color w:val="000000" w:themeColor="text1"/>
                <w:sz w:val="20"/>
                <w:szCs w:val="20"/>
              </w:rPr>
              <w:fldChar w:fldCharType="end"/>
            </w:r>
          </w:p>
        </w:tc>
        <w:tc>
          <w:tcPr>
            <w:tcW w:w="1512" w:type="dxa"/>
          </w:tcPr>
          <w:p w14:paraId="0FBFB4F0" w14:textId="3F497F9E" w:rsidR="00104F56" w:rsidRPr="0065333F" w:rsidRDefault="0005223E" w:rsidP="00AE4BD3">
            <w:pPr>
              <w:rPr>
                <w:color w:val="000000" w:themeColor="text1"/>
                <w:sz w:val="20"/>
                <w:szCs w:val="20"/>
              </w:rPr>
            </w:pPr>
            <w:r w:rsidRPr="0065333F">
              <w:rPr>
                <w:color w:val="000000" w:themeColor="text1"/>
                <w:sz w:val="20"/>
                <w:szCs w:val="20"/>
              </w:rPr>
              <w:t>Systematic review and mapping study</w:t>
            </w:r>
          </w:p>
        </w:tc>
        <w:tc>
          <w:tcPr>
            <w:tcW w:w="990" w:type="dxa"/>
          </w:tcPr>
          <w:p w14:paraId="488D0EAA" w14:textId="6C14B6F7" w:rsidR="00104F56" w:rsidRPr="0065333F" w:rsidRDefault="00104F56" w:rsidP="00AE4BD3">
            <w:pPr>
              <w:rPr>
                <w:color w:val="000000" w:themeColor="text1"/>
                <w:sz w:val="20"/>
                <w:szCs w:val="20"/>
              </w:rPr>
            </w:pPr>
            <w:r w:rsidRPr="0065333F">
              <w:rPr>
                <w:color w:val="000000" w:themeColor="text1"/>
                <w:sz w:val="20"/>
                <w:szCs w:val="20"/>
              </w:rPr>
              <w:t>ROBI</w:t>
            </w:r>
            <w:r w:rsidR="00D465EB" w:rsidRPr="0065333F">
              <w:rPr>
                <w:color w:val="000000" w:themeColor="text1"/>
                <w:sz w:val="20"/>
                <w:szCs w:val="20"/>
              </w:rPr>
              <w:t>S</w:t>
            </w:r>
          </w:p>
        </w:tc>
        <w:tc>
          <w:tcPr>
            <w:tcW w:w="1867" w:type="dxa"/>
          </w:tcPr>
          <w:p w14:paraId="6678616D" w14:textId="77777777" w:rsidR="00104F56" w:rsidRPr="0065333F" w:rsidRDefault="00104F56" w:rsidP="00AE4BD3">
            <w:pPr>
              <w:rPr>
                <w:color w:val="000000" w:themeColor="text1"/>
                <w:sz w:val="20"/>
                <w:szCs w:val="20"/>
              </w:rPr>
            </w:pPr>
            <w:r w:rsidRPr="0065333F">
              <w:rPr>
                <w:color w:val="000000" w:themeColor="text1"/>
                <w:sz w:val="20"/>
                <w:szCs w:val="20"/>
              </w:rPr>
              <w:t>High risk of bias</w:t>
            </w:r>
          </w:p>
        </w:tc>
        <w:tc>
          <w:tcPr>
            <w:tcW w:w="7371" w:type="dxa"/>
          </w:tcPr>
          <w:p w14:paraId="333E925A" w14:textId="77777777" w:rsidR="00104F56" w:rsidRPr="0065333F" w:rsidRDefault="00104F56" w:rsidP="00AE4BD3">
            <w:pPr>
              <w:rPr>
                <w:color w:val="000000" w:themeColor="text1"/>
                <w:sz w:val="20"/>
                <w:szCs w:val="20"/>
              </w:rPr>
            </w:pPr>
            <w:r w:rsidRPr="0065333F">
              <w:rPr>
                <w:color w:val="000000" w:themeColor="text1"/>
                <w:sz w:val="20"/>
                <w:szCs w:val="20"/>
              </w:rPr>
              <w:t>High risk primary studies, lack of sensitivity analyses or alternative data sources, 27% of missing data on EQ-5D at 12 months</w:t>
            </w:r>
          </w:p>
        </w:tc>
      </w:tr>
      <w:tr w:rsidR="00104F56" w:rsidRPr="0065333F" w14:paraId="4B087BCE" w14:textId="77777777" w:rsidTr="00AE4BD3">
        <w:tc>
          <w:tcPr>
            <w:tcW w:w="1863" w:type="dxa"/>
          </w:tcPr>
          <w:p w14:paraId="36A3AD7D" w14:textId="77777777" w:rsidR="00104F56" w:rsidRPr="0065333F" w:rsidRDefault="00104F56" w:rsidP="00AE4BD3">
            <w:pPr>
              <w:rPr>
                <w:color w:val="000000" w:themeColor="text1"/>
                <w:sz w:val="20"/>
                <w:szCs w:val="20"/>
              </w:rPr>
            </w:pPr>
            <w:r w:rsidRPr="0065333F">
              <w:rPr>
                <w:color w:val="000000" w:themeColor="text1"/>
                <w:sz w:val="20"/>
                <w:szCs w:val="20"/>
              </w:rPr>
              <w:t>Ghani, 2022</w:t>
            </w:r>
            <w:r w:rsidRPr="0065333F">
              <w:rPr>
                <w:color w:val="000000" w:themeColor="text1"/>
                <w:sz w:val="20"/>
                <w:szCs w:val="20"/>
              </w:rPr>
              <w:fldChar w:fldCharType="begin"/>
            </w:r>
            <w:r w:rsidRPr="0065333F">
              <w:rPr>
                <w:color w:val="000000" w:themeColor="text1"/>
                <w:sz w:val="20"/>
                <w:szCs w:val="20"/>
              </w:rPr>
              <w:instrText xml:space="preserve"> ADDIN ZOTERO_ITEM CSL_CITATION {"citationID":"z8RQ1jcc","properties":{"formattedCitation":"\\super 13\\nosupersub{}","plainCitation":"13","noteIndex":0},"citationItems":[{"id":1796,"uris":["http://zotero.org/users/8883840/items/98KGJLD9"],"itemData":{"id":1796,"type":"article-journal","abstract":"Background:\nA randomized controlled trial of the SMART4MD tablet application was conducted for persons with mild cognitive impairment (PwMCI) and their informal caregivers to improve or maintain quality of life.\n\nObjective:\nThe objective was to conduct economic evaluation of SMART4MD compared to standard care in Sweden from a healthcare provider perspective based on a 6-month follow-up period.\n\nMethods:\nThree hundred forty-five dyads were enrolled: 173 dyads in the intervention group and 172 in standard care. The primary outcome measures for PwMCI and informal caregivers were quality-adjusted life years (QALY). The results are presented as incremental cost-effectiveness ratios, and confidence intervals are calculated using non-parametric bootstrap procedure.\n\nResults:\nFor PwMCI, the mean difference in total costs between intervention and standard care was € 12 (95% CI: –2090 to 2115) (US$ = € 1.19) and the mean QALY change was –0.004 (95% CI: –0.009 to 0.002). For informal caregivers, the cost difference was – € 539 (95% CI: –2624 to 1545) and 0.003 (95% CI: –0.002 to 0.008) for QALY. The difference in cost and QALY for PwMCI and informal caregivers combined was –€ 527 (95% CI: –3621 to 2568) and –0.001 (95% CI: –0.008 to 0.006). Although generally insignificant differences, this indicates that SMART4MD, compared to standard care was: 1) more costly and less effective for PwMCI, 2) less costly and more effective for informal caregivers, and 3) less costly and less effective for PwMCI and informal caregivers combined.\n\nConclusion:\nThe cost-effectiveness of SMART4MD over 6 months is inconclusive, although the intervention might be more beneficial for informal caregivers than PwMCI","container-title":"Journal of Alzheimer's Disease","DOI":"10.3233/JAD-215013","ISSN":"1387-2877","issue":"4","journalAbbreviation":"J Alzheimers Dis","note":"PMID: 35213366\nPMCID: PMC9108554","page":"1629-1641","source":"PubMed Central","title":"Short Term Economic Evaluation of the Digital Platform “Support, Monitoring and Reminder Technology for Mild Dementia” (SMART4MD) for People with Mild Cognitive Impairment and their Informal Caregivers","volume":"86","author":[{"family":"Ghani","given":"Zartashia"},{"family":"Saha","given":"Sanjib"},{"family":"Jarl","given":"Johan"},{"family":"Andersson","given":"Martin"},{"family":"Berglund","given":"Johan Sanmartin"},{"family":"Anderberg","given":"Peter"}]}}],"schema":"https://github.com/citation-style-language/schema/raw/master/csl-citation.json"} </w:instrText>
            </w:r>
            <w:r w:rsidRPr="0065333F">
              <w:rPr>
                <w:color w:val="000000" w:themeColor="text1"/>
                <w:sz w:val="20"/>
                <w:szCs w:val="20"/>
              </w:rPr>
              <w:fldChar w:fldCharType="separate"/>
            </w:r>
            <w:r w:rsidRPr="0065333F">
              <w:rPr>
                <w:rFonts w:eastAsiaTheme="minorHAnsi"/>
                <w:color w:val="000000"/>
                <w:sz w:val="20"/>
                <w:szCs w:val="20"/>
                <w:vertAlign w:val="superscript"/>
                <w:lang w:val="en-US"/>
                <w14:ligatures w14:val="standardContextual"/>
              </w:rPr>
              <w:t>13</w:t>
            </w:r>
            <w:r w:rsidRPr="0065333F">
              <w:rPr>
                <w:color w:val="000000" w:themeColor="text1"/>
                <w:sz w:val="20"/>
                <w:szCs w:val="20"/>
              </w:rPr>
              <w:fldChar w:fldCharType="end"/>
            </w:r>
          </w:p>
        </w:tc>
        <w:tc>
          <w:tcPr>
            <w:tcW w:w="1512" w:type="dxa"/>
          </w:tcPr>
          <w:p w14:paraId="40436064" w14:textId="07DEB413" w:rsidR="00104F56" w:rsidRPr="0065333F" w:rsidRDefault="0005223E" w:rsidP="00AE4BD3">
            <w:pPr>
              <w:rPr>
                <w:color w:val="000000" w:themeColor="text1"/>
                <w:sz w:val="20"/>
                <w:szCs w:val="20"/>
              </w:rPr>
            </w:pPr>
            <w:r w:rsidRPr="0065333F">
              <w:rPr>
                <w:color w:val="000000" w:themeColor="text1"/>
                <w:sz w:val="20"/>
                <w:szCs w:val="20"/>
              </w:rPr>
              <w:t>Economic evaluation</w:t>
            </w:r>
          </w:p>
        </w:tc>
        <w:tc>
          <w:tcPr>
            <w:tcW w:w="990" w:type="dxa"/>
          </w:tcPr>
          <w:p w14:paraId="73D5ADD9" w14:textId="77777777" w:rsidR="00104F56" w:rsidRPr="0065333F" w:rsidRDefault="00104F56" w:rsidP="00AE4BD3">
            <w:pPr>
              <w:rPr>
                <w:color w:val="000000" w:themeColor="text1"/>
                <w:sz w:val="20"/>
                <w:szCs w:val="20"/>
              </w:rPr>
            </w:pPr>
            <w:r w:rsidRPr="0065333F">
              <w:rPr>
                <w:color w:val="000000" w:themeColor="text1"/>
                <w:sz w:val="20"/>
                <w:szCs w:val="20"/>
              </w:rPr>
              <w:t>ROBVALU</w:t>
            </w:r>
          </w:p>
        </w:tc>
        <w:tc>
          <w:tcPr>
            <w:tcW w:w="1867" w:type="dxa"/>
          </w:tcPr>
          <w:p w14:paraId="677B4FA5" w14:textId="77777777" w:rsidR="00104F56" w:rsidRPr="0065333F" w:rsidRDefault="00104F56" w:rsidP="00AE4BD3">
            <w:pPr>
              <w:rPr>
                <w:color w:val="000000" w:themeColor="text1"/>
                <w:sz w:val="20"/>
                <w:szCs w:val="20"/>
              </w:rPr>
            </w:pPr>
            <w:r w:rsidRPr="0065333F">
              <w:rPr>
                <w:color w:val="000000" w:themeColor="text1"/>
                <w:sz w:val="20"/>
                <w:szCs w:val="20"/>
              </w:rPr>
              <w:t>Serious risk of bias</w:t>
            </w:r>
          </w:p>
        </w:tc>
        <w:tc>
          <w:tcPr>
            <w:tcW w:w="7371" w:type="dxa"/>
          </w:tcPr>
          <w:p w14:paraId="00AB69DA" w14:textId="77777777" w:rsidR="00104F56" w:rsidRPr="0065333F" w:rsidRDefault="00104F56" w:rsidP="00AE4BD3">
            <w:pPr>
              <w:rPr>
                <w:color w:val="000000" w:themeColor="text1"/>
                <w:sz w:val="20"/>
                <w:szCs w:val="20"/>
              </w:rPr>
            </w:pPr>
            <w:r w:rsidRPr="0065333F">
              <w:rPr>
                <w:color w:val="000000" w:themeColor="text1"/>
                <w:sz w:val="20"/>
                <w:szCs w:val="20"/>
              </w:rPr>
              <w:t>Short follow-up of 6 months, which is likely insufficient to capture meaningful cognitive or functional decline</w:t>
            </w:r>
          </w:p>
        </w:tc>
      </w:tr>
      <w:tr w:rsidR="00104F56" w:rsidRPr="0065333F" w14:paraId="5D9D8B48" w14:textId="77777777" w:rsidTr="00AE4BD3">
        <w:tc>
          <w:tcPr>
            <w:tcW w:w="1863" w:type="dxa"/>
          </w:tcPr>
          <w:p w14:paraId="1F825CBD" w14:textId="77777777" w:rsidR="00104F56" w:rsidRPr="0065333F" w:rsidRDefault="00104F56" w:rsidP="00AE4BD3">
            <w:pPr>
              <w:rPr>
                <w:color w:val="000000" w:themeColor="text1"/>
                <w:sz w:val="20"/>
                <w:szCs w:val="20"/>
              </w:rPr>
            </w:pPr>
            <w:r w:rsidRPr="0065333F">
              <w:rPr>
                <w:color w:val="000000" w:themeColor="text1"/>
                <w:sz w:val="20"/>
                <w:szCs w:val="20"/>
              </w:rPr>
              <w:t>Pizzo, 2021</w:t>
            </w:r>
            <w:r w:rsidRPr="0065333F">
              <w:rPr>
                <w:color w:val="000000" w:themeColor="text1"/>
                <w:sz w:val="20"/>
                <w:szCs w:val="20"/>
              </w:rPr>
              <w:fldChar w:fldCharType="begin"/>
            </w:r>
            <w:r w:rsidRPr="0065333F">
              <w:rPr>
                <w:color w:val="000000" w:themeColor="text1"/>
                <w:sz w:val="20"/>
                <w:szCs w:val="20"/>
              </w:rPr>
              <w:instrText xml:space="preserve"> ADDIN ZOTERO_ITEM CSL_CITATION {"citationID":"6Sq8VlBW","properties":{"formattedCitation":"\\super 14\\nosupersub{}","plainCitation":"14","noteIndex":0},"citationItems":[{"id":1793,"uris":["http://zotero.org/users/8883840/items/SWN592MP"],"itemData":{"id":1793,"type":"article-journal","abstract":"BACKGROUND: A community-based occupational therapy intervention for people with mild to moderate dementia and their family carers: the Community Occupational Therapy in Dementia-UK version (COTiD-UK); and Treatment as usual (TAU) were randomly assigned to 468 pairs (each comprising a person with dementia and a family carer) in the Valuing Active Life in Dementia (VALID) randomised controlled trial (RCT).\nOBJECTIVES: To compare the cost-utility of the COTiD-UK intervention compared to TAU, using data from the VALID RCT.\nMETHODS: We performed a cost-utility analysis estimating mean costs and quality adjusted life years (QALYs) per person with dementia and carer for both treatments over a 26 weeks' time horizon based on resource use data and utility values collected in the trial.\nRESULTS: Taking the National Health Service and Personal Social Services perspective, including costs and benefits to the person with dementia only, measuring Health Related Quality of Life based on Dementia Quality of Life scale (DEMQOL), accounting for missing data and adjusting for baseline values, there was a significant difference in costs between COTiD-UK and TAU (mean incremental cost for COTiD-UK £784 (95% CI £233 to £1334)), but no significant difference in outcomes (mean QALYs gained 0.00664 (95% CI -0.00404, 0.01732)). The Incremental Net Monetary Benefit (INMB) for COTiD-UK versus TAU was negative at a maximum willingness to pay for a QALY of £20000 (mean -£651, 95% CI -£878 to -£424) or £30000 (mean -£585, 95% CI -£824 to -£345). Extensive sensitivity analyses confirmed the results.\nCONCLUSIONS: This community-based occupational therapy intervention has a very low probability of being cost-effective.","container-title":"PloS One","DOI":"10.1371/journal.pone.0262828","ISSN":"1932-6203","issue":"2","journalAbbreviation":"PLoS One","language":"eng","note":"PMID: 35148329\nPMCID: PMC8836304","page":"e0262828","source":"PubMed","title":"Cost-utility analysis of community occupational therapy in dementia (COTiD-UK) versus usual care: Results from VALID, a multi-site randomised controlled trial in the UK","title-short":"Cost-utility analysis of community occupational therapy in dementia (COTiD-UK) versus usual care","volume":"17","author":[{"family":"Pizzo","given":"Elena"},{"family":"Wenborn","given":"Jennifer"},{"family":"Burgess","given":"Jane"},{"family":"Mundy","given":"Jacqueline"},{"family":"Orrell","given":"Martin"},{"family":"King","given":"Michael"},{"family":"Omar","given":"Rumana"},{"family":"Morris","given":"Stephen"}],"issued":{"date-parts":[["2022"]]}}}],"schema":"https://github.com/citation-style-language/schema/raw/master/csl-citation.json"} </w:instrText>
            </w:r>
            <w:r w:rsidRPr="0065333F">
              <w:rPr>
                <w:color w:val="000000" w:themeColor="text1"/>
                <w:sz w:val="20"/>
                <w:szCs w:val="20"/>
              </w:rPr>
              <w:fldChar w:fldCharType="separate"/>
            </w:r>
            <w:r w:rsidRPr="0065333F">
              <w:rPr>
                <w:rFonts w:eastAsiaTheme="minorHAnsi"/>
                <w:color w:val="000000"/>
                <w:sz w:val="20"/>
                <w:szCs w:val="20"/>
                <w:vertAlign w:val="superscript"/>
                <w:lang w:val="en-US"/>
                <w14:ligatures w14:val="standardContextual"/>
              </w:rPr>
              <w:t>14</w:t>
            </w:r>
            <w:r w:rsidRPr="0065333F">
              <w:rPr>
                <w:color w:val="000000" w:themeColor="text1"/>
                <w:sz w:val="20"/>
                <w:szCs w:val="20"/>
              </w:rPr>
              <w:fldChar w:fldCharType="end"/>
            </w:r>
          </w:p>
        </w:tc>
        <w:tc>
          <w:tcPr>
            <w:tcW w:w="1512" w:type="dxa"/>
          </w:tcPr>
          <w:p w14:paraId="672C87DD" w14:textId="2F55E2A8" w:rsidR="00104F56" w:rsidRPr="0065333F" w:rsidRDefault="0005223E" w:rsidP="00AE4BD3">
            <w:pPr>
              <w:rPr>
                <w:color w:val="000000" w:themeColor="text1"/>
                <w:sz w:val="20"/>
                <w:szCs w:val="20"/>
              </w:rPr>
            </w:pPr>
            <w:r w:rsidRPr="0065333F">
              <w:rPr>
                <w:color w:val="000000" w:themeColor="text1"/>
                <w:sz w:val="20"/>
                <w:szCs w:val="20"/>
              </w:rPr>
              <w:t>Economic evaluation</w:t>
            </w:r>
          </w:p>
        </w:tc>
        <w:tc>
          <w:tcPr>
            <w:tcW w:w="990" w:type="dxa"/>
          </w:tcPr>
          <w:p w14:paraId="326514E2" w14:textId="77777777" w:rsidR="00104F56" w:rsidRPr="0065333F" w:rsidRDefault="00104F56" w:rsidP="00AE4BD3">
            <w:pPr>
              <w:rPr>
                <w:color w:val="000000" w:themeColor="text1"/>
                <w:sz w:val="20"/>
                <w:szCs w:val="20"/>
              </w:rPr>
            </w:pPr>
            <w:r w:rsidRPr="0065333F">
              <w:rPr>
                <w:color w:val="000000" w:themeColor="text1"/>
                <w:sz w:val="20"/>
                <w:szCs w:val="20"/>
              </w:rPr>
              <w:t>ROBVALU</w:t>
            </w:r>
          </w:p>
        </w:tc>
        <w:tc>
          <w:tcPr>
            <w:tcW w:w="1867" w:type="dxa"/>
          </w:tcPr>
          <w:p w14:paraId="6ADEF5A5" w14:textId="77777777" w:rsidR="00104F56" w:rsidRPr="0065333F" w:rsidRDefault="00104F56" w:rsidP="00AE4BD3">
            <w:pPr>
              <w:rPr>
                <w:color w:val="000000" w:themeColor="text1"/>
                <w:sz w:val="20"/>
                <w:szCs w:val="20"/>
              </w:rPr>
            </w:pPr>
            <w:r w:rsidRPr="0065333F">
              <w:rPr>
                <w:color w:val="000000" w:themeColor="text1"/>
                <w:sz w:val="20"/>
                <w:szCs w:val="20"/>
              </w:rPr>
              <w:t>Very serious risk of bias</w:t>
            </w:r>
          </w:p>
        </w:tc>
        <w:tc>
          <w:tcPr>
            <w:tcW w:w="7371" w:type="dxa"/>
          </w:tcPr>
          <w:p w14:paraId="0682A917" w14:textId="77777777" w:rsidR="00104F56" w:rsidRPr="0065333F" w:rsidRDefault="00104F56" w:rsidP="00AE4BD3">
            <w:pPr>
              <w:rPr>
                <w:color w:val="000000" w:themeColor="text1"/>
                <w:sz w:val="20"/>
                <w:szCs w:val="20"/>
              </w:rPr>
            </w:pPr>
            <w:r w:rsidRPr="0065333F">
              <w:rPr>
                <w:color w:val="000000" w:themeColor="text1"/>
                <w:sz w:val="20"/>
                <w:szCs w:val="20"/>
              </w:rPr>
              <w:t>Lack of standardized or validated outcome descriptions across studies; Unclear administration of preference elicitation tools; Missing details on participant understanding; Inadequate reporting of attrition and non-response</w:t>
            </w:r>
          </w:p>
        </w:tc>
      </w:tr>
      <w:tr w:rsidR="00104F56" w:rsidRPr="0065333F" w14:paraId="01BAE212" w14:textId="77777777" w:rsidTr="00AE4BD3">
        <w:tc>
          <w:tcPr>
            <w:tcW w:w="1863" w:type="dxa"/>
          </w:tcPr>
          <w:p w14:paraId="7FF51E45" w14:textId="77777777" w:rsidR="00104F56" w:rsidRPr="0065333F" w:rsidRDefault="00104F56" w:rsidP="00AE4BD3">
            <w:pPr>
              <w:rPr>
                <w:color w:val="000000" w:themeColor="text1"/>
                <w:sz w:val="20"/>
                <w:szCs w:val="20"/>
              </w:rPr>
            </w:pPr>
            <w:r w:rsidRPr="0065333F">
              <w:rPr>
                <w:color w:val="000000" w:themeColor="text1"/>
                <w:sz w:val="20"/>
                <w:szCs w:val="20"/>
              </w:rPr>
              <w:lastRenderedPageBreak/>
              <w:t>El Alili, 2020</w:t>
            </w:r>
            <w:r w:rsidRPr="0065333F">
              <w:rPr>
                <w:color w:val="000000" w:themeColor="text1"/>
                <w:sz w:val="20"/>
                <w:szCs w:val="20"/>
              </w:rPr>
              <w:fldChar w:fldCharType="begin"/>
            </w:r>
            <w:r w:rsidRPr="0065333F">
              <w:rPr>
                <w:color w:val="000000" w:themeColor="text1"/>
                <w:sz w:val="20"/>
                <w:szCs w:val="20"/>
              </w:rPr>
              <w:instrText xml:space="preserve"> ADDIN ZOTERO_ITEM CSL_CITATION {"citationID":"lPDUkOhW","properties":{"formattedCitation":"\\super 15\\nosupersub{}","plainCitation":"15","noteIndex":0},"citationItems":[{"id":1799,"uris":["http://zotero.org/users/8883840/items/TMLY6K8V"],"itemData":{"id":1799,"type":"article-journal","abstract":"Dementia is a progressive disease that decreases quality of life of persons with dementia and is associated with high societal costs. The burden of caring for persons with dementia also decreases the quality of life of family caregivers. The objective of this study was to assess the societal cost-effectiveness of Namaste Care Family program in comparison with usual care in nursing home residents with advanced dementia.","container-title":"BMC Health Services Research","DOI":"10.1186/s12913-020-05570-2","ISSN":"1472-6963","issue":"1","journalAbbreviation":"BMC Health Services Research","page":"831","source":"BioMed Central","title":"Cost-effectiveness of the Namaste care family program for nursing home residents with advanced dementia in comparison with usual care: a cluster-randomized controlled trial","title-short":"Cost-effectiveness of the Namaste care family program for nursing home residents with advanced dementia in comparison with usual care","volume":"20","author":[{"family":"El Alili","given":"Mohamed"},{"family":"Smaling","given":"Hanneke J. A."},{"family":"Joling","given":"Karlijn J."},{"family":"Achterberg","given":"Wilco P."},{"family":"Francke","given":"Anneke L."},{"family":"Bosmans","given":"Judith E."},{"family":"Steen","given":"Jenny T.","non-dropping-particle":"van der"}],"issued":{"date-parts":[["2020",9,4]]}}}],"schema":"https://github.com/citation-style-language/schema/raw/master/csl-citation.json"} </w:instrText>
            </w:r>
            <w:r w:rsidRPr="0065333F">
              <w:rPr>
                <w:color w:val="000000" w:themeColor="text1"/>
                <w:sz w:val="20"/>
                <w:szCs w:val="20"/>
              </w:rPr>
              <w:fldChar w:fldCharType="separate"/>
            </w:r>
            <w:r w:rsidRPr="0065333F">
              <w:rPr>
                <w:rFonts w:eastAsiaTheme="minorHAnsi"/>
                <w:color w:val="000000"/>
                <w:sz w:val="20"/>
                <w:szCs w:val="20"/>
                <w:vertAlign w:val="superscript"/>
                <w:lang w:val="en-US"/>
                <w14:ligatures w14:val="standardContextual"/>
              </w:rPr>
              <w:t>15</w:t>
            </w:r>
            <w:r w:rsidRPr="0065333F">
              <w:rPr>
                <w:color w:val="000000" w:themeColor="text1"/>
                <w:sz w:val="20"/>
                <w:szCs w:val="20"/>
              </w:rPr>
              <w:fldChar w:fldCharType="end"/>
            </w:r>
          </w:p>
        </w:tc>
        <w:tc>
          <w:tcPr>
            <w:tcW w:w="1512" w:type="dxa"/>
          </w:tcPr>
          <w:p w14:paraId="79974A74" w14:textId="29611D3F" w:rsidR="00104F56" w:rsidRPr="0065333F" w:rsidRDefault="0005223E" w:rsidP="00AE4BD3">
            <w:pPr>
              <w:rPr>
                <w:color w:val="000000" w:themeColor="text1"/>
                <w:sz w:val="20"/>
                <w:szCs w:val="20"/>
              </w:rPr>
            </w:pPr>
            <w:r w:rsidRPr="0065333F">
              <w:rPr>
                <w:color w:val="000000" w:themeColor="text1"/>
                <w:sz w:val="20"/>
                <w:szCs w:val="20"/>
              </w:rPr>
              <w:t>Economic evaluation</w:t>
            </w:r>
          </w:p>
        </w:tc>
        <w:tc>
          <w:tcPr>
            <w:tcW w:w="990" w:type="dxa"/>
          </w:tcPr>
          <w:p w14:paraId="3C103B0D" w14:textId="77777777" w:rsidR="00104F56" w:rsidRPr="0065333F" w:rsidRDefault="00104F56" w:rsidP="00AE4BD3">
            <w:pPr>
              <w:rPr>
                <w:color w:val="000000" w:themeColor="text1"/>
                <w:sz w:val="20"/>
                <w:szCs w:val="20"/>
              </w:rPr>
            </w:pPr>
            <w:r w:rsidRPr="0065333F">
              <w:rPr>
                <w:color w:val="000000" w:themeColor="text1"/>
                <w:sz w:val="20"/>
                <w:szCs w:val="20"/>
              </w:rPr>
              <w:t>ROBVALU</w:t>
            </w:r>
          </w:p>
        </w:tc>
        <w:tc>
          <w:tcPr>
            <w:tcW w:w="1867" w:type="dxa"/>
          </w:tcPr>
          <w:p w14:paraId="55B645C0" w14:textId="77777777" w:rsidR="00104F56" w:rsidRPr="0065333F" w:rsidRDefault="00104F56" w:rsidP="00AE4BD3">
            <w:pPr>
              <w:rPr>
                <w:color w:val="000000" w:themeColor="text1"/>
                <w:sz w:val="20"/>
                <w:szCs w:val="20"/>
              </w:rPr>
            </w:pPr>
            <w:r w:rsidRPr="0065333F">
              <w:rPr>
                <w:color w:val="000000" w:themeColor="text1"/>
                <w:sz w:val="20"/>
                <w:szCs w:val="20"/>
              </w:rPr>
              <w:t>Very serious risk of bias</w:t>
            </w:r>
          </w:p>
        </w:tc>
        <w:tc>
          <w:tcPr>
            <w:tcW w:w="7371" w:type="dxa"/>
          </w:tcPr>
          <w:p w14:paraId="4C9EC365" w14:textId="77777777" w:rsidR="00104F56" w:rsidRPr="0065333F" w:rsidRDefault="00104F56" w:rsidP="00AE4BD3">
            <w:pPr>
              <w:rPr>
                <w:color w:val="000000" w:themeColor="text1"/>
                <w:sz w:val="20"/>
                <w:szCs w:val="20"/>
              </w:rPr>
            </w:pPr>
            <w:r w:rsidRPr="0065333F">
              <w:rPr>
                <w:color w:val="000000" w:themeColor="text1"/>
                <w:sz w:val="20"/>
                <w:szCs w:val="20"/>
              </w:rPr>
              <w:t>Use of proxies to estimate quality of life; During follow-up, 60 (52%) participants in the intervention group (n = 116) and 63 (55%) participants in the usual care group (n = 115) had incomplete quality of life adjusted data</w:t>
            </w:r>
          </w:p>
        </w:tc>
      </w:tr>
      <w:tr w:rsidR="00104F56" w:rsidRPr="0065333F" w14:paraId="2B844973" w14:textId="77777777" w:rsidTr="00AE4BD3">
        <w:tc>
          <w:tcPr>
            <w:tcW w:w="13603" w:type="dxa"/>
            <w:gridSpan w:val="5"/>
            <w:shd w:val="clear" w:color="auto" w:fill="BFBFBF" w:themeFill="background1" w:themeFillShade="BF"/>
          </w:tcPr>
          <w:p w14:paraId="797F80FC" w14:textId="77777777" w:rsidR="00104F56" w:rsidRPr="0065333F" w:rsidRDefault="00104F56" w:rsidP="00AE4BD3">
            <w:pPr>
              <w:rPr>
                <w:b/>
                <w:bCs/>
                <w:color w:val="000000" w:themeColor="text1"/>
                <w:sz w:val="20"/>
                <w:szCs w:val="20"/>
              </w:rPr>
            </w:pPr>
            <w:r w:rsidRPr="0065333F">
              <w:rPr>
                <w:b/>
                <w:bCs/>
                <w:color w:val="000000" w:themeColor="text1"/>
                <w:sz w:val="20"/>
                <w:szCs w:val="20"/>
              </w:rPr>
              <w:t>Intervention efficacy</w:t>
            </w:r>
          </w:p>
        </w:tc>
      </w:tr>
      <w:tr w:rsidR="00104F56" w:rsidRPr="0065333F" w14:paraId="7254EE02" w14:textId="77777777" w:rsidTr="00AE4BD3">
        <w:tc>
          <w:tcPr>
            <w:tcW w:w="1863" w:type="dxa"/>
          </w:tcPr>
          <w:p w14:paraId="0D027B99" w14:textId="77777777" w:rsidR="00104F56" w:rsidRPr="0065333F" w:rsidRDefault="00104F56" w:rsidP="00AE4BD3">
            <w:pPr>
              <w:rPr>
                <w:color w:val="000000" w:themeColor="text1"/>
                <w:sz w:val="20"/>
                <w:szCs w:val="20"/>
              </w:rPr>
            </w:pPr>
            <w:r w:rsidRPr="0065333F">
              <w:rPr>
                <w:color w:val="000000" w:themeColor="text1"/>
                <w:sz w:val="20"/>
                <w:szCs w:val="20"/>
                <w:lang w:val="fr-CA"/>
              </w:rPr>
              <w:t>Cisneros, 2021</w:t>
            </w:r>
            <w:r w:rsidRPr="0065333F">
              <w:rPr>
                <w:color w:val="000000" w:themeColor="text1"/>
                <w:sz w:val="20"/>
                <w:szCs w:val="20"/>
                <w:lang w:val="fr-CA"/>
              </w:rPr>
              <w:fldChar w:fldCharType="begin"/>
            </w:r>
            <w:r w:rsidRPr="0065333F">
              <w:rPr>
                <w:color w:val="000000" w:themeColor="text1"/>
                <w:sz w:val="20"/>
                <w:szCs w:val="20"/>
                <w:lang w:val="fr-CA"/>
              </w:rPr>
              <w:instrText xml:space="preserve"> ADDIN ZOTERO_ITEM CSL_CITATION {"citationID":"EWuW7lVF","properties":{"formattedCitation":"\\super 16\\nosupersub{}","plainCitation":"16","noteIndex":0},"citationItems":[{"id":19,"uris":["http://zotero.org/users/8883840/items/X2IYHBFY"],"itemData":{"id":19,"type":"article-journal","abstract":"OBJECTIVES: This study aimed to evaluate the impact of a 12-week, 24-session multimodal group cognitive intervention, the Cognitive Enrichment Program (CEP), on episodic memory in older adults with traumatic brain injury (TBI) compared to an active control group that received usual care in the form of individual holistic rehabilitation.\nMETHODS: In total, 37 patients with a TBI who were 57 to 90 years old were assigned to experimental (n = 23) and control (n = 14) groups in a semi-randomized, controlled, before-after intervention trial with follow-up at 6 months, with blinded outcome measurement. The CEP's Memory module consisted of memory strategies to promote encoding. Efficacy was evaluated by using Face-name association, Word list recall, and Text memory measures, and generalization was assessed with the Self-Evaluation Memory Questionnaire (SEMQ), the Psychological General Well-Being Index, and a satisfaction questionnaire.\nRESULTS: ANCOVA mixed model repeated-measures analysis revealed a strong group-by-time interaction, with the experimental group showing statistically significant improvement on the Face-name association test, with a large effect size. We also found a statistically significant group-by-time interaction on 3 dimensions of the</w:instrText>
            </w:r>
            <w:r w:rsidRPr="0065333F">
              <w:rPr>
                <w:color w:val="000000" w:themeColor="text1"/>
                <w:sz w:val="20"/>
                <w:szCs w:val="20"/>
              </w:rPr>
              <w:instrText xml:space="preserve"> SEMQ generalization measure: the experimental group showed increased memorization of the content of Conversations, reduced Slips of attention, and increased memory of Political and social events, with medium to large effect sizes. The group also showed clinically significant improvements in psychological well-being. Scores on the satisfaction questionnaire indicated a perceived positive impact on daily life habits requiring memory abilities.\nCONCLUSIONS: The CEP is a promising cognitive rehabilitation program for older individuals with TBI, showing high satisfaction in participants, that could improve their episodic memory functioning as well as enhance their psychological well-being. ClinicalTrials.gov Identifier: NCT04590911.","container-title":"Annals of Physical and Rehabilitation Medicine","DOI":"10.1016/j.rehab.2021.101563","ISSN":"1877-0665","issue":"5","journalAbbreviation":"Ann Phys Rehabil Med","language":"eng","note":"PMID: 34325040","page":"101563","source":"PubMed","title":"A controlled clinical efficacy trial of multimodal cognitive rehabilitation on episodic memory functioning in older adults with traumatic brain injury","volume":"64","author":[{"family":"Cisneros","given":"Eduardo"},{"family":"Guise","given":"Elaine","non-dropping-particle":"de"},{"family":"Belleville","given":"Sylvie"},{"family":"McKerral","given":"Michelle"}],"issued":{"date-parts":[["2021",9]]}}}],"schema":"https://github.com/citation-style-language/schema/raw/master/csl-citation.json"} </w:instrText>
            </w:r>
            <w:r w:rsidRPr="0065333F">
              <w:rPr>
                <w:color w:val="000000" w:themeColor="text1"/>
                <w:sz w:val="20"/>
                <w:szCs w:val="20"/>
                <w:lang w:val="fr-CA"/>
              </w:rPr>
              <w:fldChar w:fldCharType="separate"/>
            </w:r>
            <w:r w:rsidRPr="0065333F">
              <w:rPr>
                <w:rFonts w:eastAsiaTheme="minorHAnsi"/>
                <w:color w:val="000000"/>
                <w:sz w:val="20"/>
                <w:szCs w:val="20"/>
                <w:vertAlign w:val="superscript"/>
                <w:lang w:val="en-US"/>
                <w14:ligatures w14:val="standardContextual"/>
              </w:rPr>
              <w:t>16</w:t>
            </w:r>
            <w:r w:rsidRPr="0065333F">
              <w:rPr>
                <w:color w:val="000000" w:themeColor="text1"/>
                <w:sz w:val="20"/>
                <w:szCs w:val="20"/>
                <w:lang w:val="fr-CA"/>
              </w:rPr>
              <w:fldChar w:fldCharType="end"/>
            </w:r>
          </w:p>
        </w:tc>
        <w:tc>
          <w:tcPr>
            <w:tcW w:w="1512" w:type="dxa"/>
          </w:tcPr>
          <w:p w14:paraId="334C669D" w14:textId="0ECD037E" w:rsidR="00104F56" w:rsidRPr="0065333F" w:rsidRDefault="0005223E" w:rsidP="00AE4BD3">
            <w:pPr>
              <w:rPr>
                <w:color w:val="000000" w:themeColor="text1"/>
                <w:sz w:val="20"/>
                <w:szCs w:val="20"/>
              </w:rPr>
            </w:pPr>
            <w:r w:rsidRPr="0065333F">
              <w:rPr>
                <w:color w:val="000000"/>
                <w:sz w:val="20"/>
                <w:szCs w:val="20"/>
              </w:rPr>
              <w:t>Semi-randomized pre-post study</w:t>
            </w:r>
          </w:p>
        </w:tc>
        <w:tc>
          <w:tcPr>
            <w:tcW w:w="990" w:type="dxa"/>
          </w:tcPr>
          <w:p w14:paraId="15095A32" w14:textId="77777777" w:rsidR="00104F56" w:rsidRPr="0065333F" w:rsidRDefault="00104F56" w:rsidP="00AE4BD3">
            <w:pPr>
              <w:rPr>
                <w:color w:val="000000" w:themeColor="text1"/>
                <w:sz w:val="20"/>
                <w:szCs w:val="20"/>
              </w:rPr>
            </w:pPr>
            <w:proofErr w:type="spellStart"/>
            <w:r w:rsidRPr="0065333F">
              <w:rPr>
                <w:color w:val="000000" w:themeColor="text1"/>
                <w:sz w:val="20"/>
                <w:szCs w:val="20"/>
              </w:rPr>
              <w:t>RoB</w:t>
            </w:r>
            <w:proofErr w:type="spellEnd"/>
            <w:r w:rsidRPr="0065333F">
              <w:rPr>
                <w:color w:val="000000" w:themeColor="text1"/>
                <w:sz w:val="20"/>
                <w:szCs w:val="20"/>
              </w:rPr>
              <w:t xml:space="preserve"> 2</w:t>
            </w:r>
          </w:p>
        </w:tc>
        <w:tc>
          <w:tcPr>
            <w:tcW w:w="1867" w:type="dxa"/>
          </w:tcPr>
          <w:p w14:paraId="22D5FCBE" w14:textId="77777777" w:rsidR="00104F56" w:rsidRPr="0065333F" w:rsidRDefault="00104F56" w:rsidP="00AE4BD3">
            <w:pPr>
              <w:rPr>
                <w:color w:val="000000" w:themeColor="text1"/>
                <w:sz w:val="20"/>
                <w:szCs w:val="20"/>
              </w:rPr>
            </w:pPr>
            <w:r w:rsidRPr="0065333F">
              <w:rPr>
                <w:color w:val="000000" w:themeColor="text1"/>
                <w:sz w:val="20"/>
                <w:szCs w:val="20"/>
              </w:rPr>
              <w:t>High concerns of bias</w:t>
            </w:r>
          </w:p>
        </w:tc>
        <w:tc>
          <w:tcPr>
            <w:tcW w:w="7371" w:type="dxa"/>
          </w:tcPr>
          <w:p w14:paraId="064DD0EE" w14:textId="77777777" w:rsidR="00104F56" w:rsidRPr="0065333F" w:rsidRDefault="00104F56" w:rsidP="00AE4BD3">
            <w:pPr>
              <w:rPr>
                <w:color w:val="000000" w:themeColor="text1"/>
                <w:sz w:val="20"/>
                <w:szCs w:val="20"/>
              </w:rPr>
            </w:pPr>
            <w:r w:rsidRPr="0065333F">
              <w:rPr>
                <w:color w:val="000000" w:themeColor="text1"/>
                <w:sz w:val="20"/>
                <w:szCs w:val="20"/>
              </w:rPr>
              <w:t>Pre-post study, no allocation concealment, no random allocation; Performance bias in the intervention group (neuropsychologists-led); Older adults were defined as those &gt;55 years of age</w:t>
            </w:r>
          </w:p>
        </w:tc>
      </w:tr>
      <w:tr w:rsidR="00104F56" w:rsidRPr="0065333F" w14:paraId="36D6DC35" w14:textId="77777777" w:rsidTr="00AE4BD3">
        <w:tc>
          <w:tcPr>
            <w:tcW w:w="1863" w:type="dxa"/>
          </w:tcPr>
          <w:p w14:paraId="3F3BC1BB" w14:textId="77777777" w:rsidR="00104F56" w:rsidRPr="0065333F" w:rsidRDefault="00104F56" w:rsidP="00AE4BD3">
            <w:pPr>
              <w:rPr>
                <w:color w:val="000000" w:themeColor="text1"/>
                <w:sz w:val="20"/>
                <w:szCs w:val="20"/>
              </w:rPr>
            </w:pPr>
            <w:proofErr w:type="spellStart"/>
            <w:r w:rsidRPr="0065333F">
              <w:rPr>
                <w:color w:val="000000" w:themeColor="text1"/>
                <w:sz w:val="20"/>
                <w:szCs w:val="20"/>
                <w:lang w:val="fr-CA"/>
              </w:rPr>
              <w:t>Howrey</w:t>
            </w:r>
            <w:proofErr w:type="spellEnd"/>
            <w:r w:rsidRPr="0065333F">
              <w:rPr>
                <w:color w:val="000000" w:themeColor="text1"/>
                <w:sz w:val="20"/>
                <w:szCs w:val="20"/>
                <w:lang w:val="fr-CA"/>
              </w:rPr>
              <w:t>, 2017</w:t>
            </w:r>
            <w:r w:rsidRPr="0065333F">
              <w:rPr>
                <w:color w:val="000000" w:themeColor="text1"/>
                <w:sz w:val="20"/>
                <w:szCs w:val="20"/>
                <w:lang w:val="fr-CA"/>
              </w:rPr>
              <w:fldChar w:fldCharType="begin"/>
            </w:r>
            <w:r w:rsidRPr="0065333F">
              <w:rPr>
                <w:color w:val="000000" w:themeColor="text1"/>
                <w:sz w:val="20"/>
                <w:szCs w:val="20"/>
                <w:lang w:val="fr-CA"/>
              </w:rPr>
              <w:instrText xml:space="preserve"> ADDIN ZOTERO_ITEM CSL_CITATION {"citationID":"bK2MWgjt","properties":{"formattedCitation":"\\super 17\\nosupersub{}","plainCitation":"17","noteIndex":0},"citationItems":[{"id":567,"uris":["http://zotero.org/users/8883840/items/P763SG68"],"itemData":{"id":567,"type":"article-journal","abstract":"OBJECTIVE: To examine trajectories of functional recovery after rehabilitation for traumatic brain injury (TBI).\nDESIGN: Prospective study.\nSETTING: Inpatient rehabilitation hospitals in the Uniform Data System for Medical Rehabilitation.\nPARTICIPANTS: A subset of individuals receiving inpatient rehabilitation services for TBI from 2002 to 2010 who also had postdischarge measurement of functional independence (N=16,583).\nINTERVENTIONS: Inpatient rehabilitation.\nMAIN OUTCOMES MEASURES: Admission, discharge, and follow-up data were obtained from the Uniform Data System for Medical Rehabilitation. We used latent class mixture models to examine recovery trajectories for both cognitive and motor functioning as measured by the FIM instrument.\nRESULTS: Latent class models identified 3 trajectories (low, medium, high) for both cognitive and motor FIM subscales. Factors associated with membership in the low cognition trajectory group included younger age, male sex, racial/ethnic minority, Medicare or Medicaid (vs commercial or other insurance), comorbid conditions, and greater duration from injury date to rehabilitation admission date. Factors associated with membership in the low motor trajectory group included older age, racial/ethnic minority, Medicare or Medicaid coverage, comorbid conditions, open head injury, and greater duration to admission.\nCONCLUSIONS: Standard approaches to assessing recovery patterns after TBI obscure differences between subgroups with trajectories that differ from the overall mean. Select demographic and clinical characteristics can help classify patients with TBI into distinct functional recovery trajectories, which can enhance both patient-centered care and quality improvement efforts.","container-title":"Archives of Physical Medicine and Rehabilitation","DOI":"10.1016/j.apmr.2017.03.009","ISSN":"1532-821X","issue":"8","journalAbbreviation":"Arch Phys Med Rehabil","language":"eng","note":"PMID: 28392325\nPMCID: PMC5710828","page":"1606-1613","source":"PubMed","title":"Trajectories of Functional Change After Inpatient Rehabilitation for Traumatic Brain Injury","volume":"98","author":[{"family":"Howrey","given":"Bret T."},{"family":"Graham","given":"James E."},{"family":"Pappadis","given":"Monique R."},{"family":"Granger","given":"Carl V."},{"family":"Ottenbacher","given":"Kenneth J."}],"issued":{"date-parts":[["2017",8]]}}}],"schema":"https://github.com/citation-style-language/schema/raw/master/csl-citation.json"} </w:instrText>
            </w:r>
            <w:r w:rsidRPr="0065333F">
              <w:rPr>
                <w:color w:val="000000" w:themeColor="text1"/>
                <w:sz w:val="20"/>
                <w:szCs w:val="20"/>
                <w:lang w:val="fr-CA"/>
              </w:rPr>
              <w:fldChar w:fldCharType="separate"/>
            </w:r>
            <w:r w:rsidRPr="0065333F">
              <w:rPr>
                <w:rFonts w:eastAsiaTheme="minorHAnsi"/>
                <w:color w:val="000000"/>
                <w:sz w:val="20"/>
                <w:szCs w:val="20"/>
                <w:vertAlign w:val="superscript"/>
                <w:lang w:val="en-US"/>
                <w14:ligatures w14:val="standardContextual"/>
              </w:rPr>
              <w:t>17</w:t>
            </w:r>
            <w:r w:rsidRPr="0065333F">
              <w:rPr>
                <w:color w:val="000000" w:themeColor="text1"/>
                <w:sz w:val="20"/>
                <w:szCs w:val="20"/>
                <w:lang w:val="fr-CA"/>
              </w:rPr>
              <w:fldChar w:fldCharType="end"/>
            </w:r>
            <w:r w:rsidRPr="0065333F">
              <w:rPr>
                <w:color w:val="000000" w:themeColor="text1"/>
                <w:sz w:val="20"/>
                <w:szCs w:val="20"/>
                <w:lang w:val="fr-CA"/>
              </w:rPr>
              <w:t> </w:t>
            </w:r>
          </w:p>
        </w:tc>
        <w:tc>
          <w:tcPr>
            <w:tcW w:w="1512" w:type="dxa"/>
          </w:tcPr>
          <w:p w14:paraId="7283F846" w14:textId="38FA6131" w:rsidR="00104F56" w:rsidRPr="0065333F" w:rsidRDefault="0000101F" w:rsidP="00AE4BD3">
            <w:pPr>
              <w:rPr>
                <w:color w:val="000000" w:themeColor="text1"/>
                <w:sz w:val="20"/>
                <w:szCs w:val="20"/>
              </w:rPr>
            </w:pPr>
            <w:r w:rsidRPr="0065333F">
              <w:rPr>
                <w:color w:val="000000"/>
                <w:sz w:val="20"/>
                <w:szCs w:val="20"/>
              </w:rPr>
              <w:t>Prospective cohort study</w:t>
            </w:r>
          </w:p>
        </w:tc>
        <w:tc>
          <w:tcPr>
            <w:tcW w:w="990" w:type="dxa"/>
          </w:tcPr>
          <w:p w14:paraId="4BD8915C" w14:textId="77777777" w:rsidR="00104F56" w:rsidRPr="0065333F" w:rsidRDefault="00104F56" w:rsidP="00AE4BD3">
            <w:pPr>
              <w:rPr>
                <w:color w:val="000000" w:themeColor="text1"/>
                <w:sz w:val="20"/>
                <w:szCs w:val="20"/>
              </w:rPr>
            </w:pPr>
            <w:r w:rsidRPr="0065333F">
              <w:rPr>
                <w:color w:val="000000" w:themeColor="text1"/>
                <w:sz w:val="20"/>
                <w:szCs w:val="20"/>
              </w:rPr>
              <w:t>ROBINS-I</w:t>
            </w:r>
          </w:p>
        </w:tc>
        <w:tc>
          <w:tcPr>
            <w:tcW w:w="1867" w:type="dxa"/>
          </w:tcPr>
          <w:p w14:paraId="4E4D60E5" w14:textId="77777777" w:rsidR="00104F56" w:rsidRPr="0065333F" w:rsidRDefault="00104F56" w:rsidP="00AE4BD3">
            <w:pPr>
              <w:rPr>
                <w:color w:val="000000" w:themeColor="text1"/>
                <w:sz w:val="20"/>
                <w:szCs w:val="20"/>
              </w:rPr>
            </w:pPr>
            <w:r w:rsidRPr="0065333F">
              <w:rPr>
                <w:color w:val="000000" w:themeColor="text1"/>
                <w:sz w:val="20"/>
                <w:szCs w:val="20"/>
              </w:rPr>
              <w:t>Critical risk of bias</w:t>
            </w:r>
          </w:p>
        </w:tc>
        <w:tc>
          <w:tcPr>
            <w:tcW w:w="7371" w:type="dxa"/>
          </w:tcPr>
          <w:p w14:paraId="098B0F4E" w14:textId="60F8B799" w:rsidR="00104F56" w:rsidRPr="0065333F" w:rsidRDefault="0015142A" w:rsidP="00AE4BD3">
            <w:pPr>
              <w:rPr>
                <w:color w:val="000000" w:themeColor="text1"/>
                <w:sz w:val="20"/>
                <w:szCs w:val="20"/>
              </w:rPr>
            </w:pPr>
            <w:r w:rsidRPr="0065333F">
              <w:rPr>
                <w:color w:val="000000" w:themeColor="text1"/>
                <w:sz w:val="20"/>
                <w:szCs w:val="20"/>
              </w:rPr>
              <w:t xml:space="preserve">Only </w:t>
            </w:r>
            <w:r w:rsidR="00104F56" w:rsidRPr="0065333F">
              <w:rPr>
                <w:color w:val="000000" w:themeColor="text1"/>
                <w:sz w:val="20"/>
                <w:szCs w:val="20"/>
              </w:rPr>
              <w:t>16,583 out of 199,928 included in the final analyses</w:t>
            </w:r>
            <w:r w:rsidR="008A09F8" w:rsidRPr="0065333F">
              <w:rPr>
                <w:color w:val="000000" w:themeColor="text1"/>
                <w:sz w:val="20"/>
                <w:szCs w:val="20"/>
              </w:rPr>
              <w:t xml:space="preserve">; </w:t>
            </w:r>
            <w:r w:rsidR="008A09F8" w:rsidRPr="0065333F">
              <w:rPr>
                <w:color w:val="000000"/>
                <w:sz w:val="20"/>
                <w:szCs w:val="20"/>
              </w:rPr>
              <w:t>Potential factors that are unmeasured: social support, differences in physical environment</w:t>
            </w:r>
          </w:p>
        </w:tc>
      </w:tr>
      <w:tr w:rsidR="00104F56" w:rsidRPr="0065333F" w14:paraId="10895DF6" w14:textId="77777777" w:rsidTr="00AE4BD3">
        <w:tc>
          <w:tcPr>
            <w:tcW w:w="1863" w:type="dxa"/>
          </w:tcPr>
          <w:p w14:paraId="6BCAB1EC" w14:textId="77777777" w:rsidR="00104F56" w:rsidRPr="0065333F" w:rsidRDefault="00104F56" w:rsidP="00AE4BD3">
            <w:pPr>
              <w:rPr>
                <w:color w:val="000000" w:themeColor="text1"/>
                <w:sz w:val="20"/>
                <w:szCs w:val="20"/>
              </w:rPr>
            </w:pPr>
            <w:proofErr w:type="spellStart"/>
            <w:r w:rsidRPr="0065333F">
              <w:rPr>
                <w:color w:val="000000" w:themeColor="text1"/>
                <w:sz w:val="20"/>
                <w:szCs w:val="20"/>
                <w:lang w:val="fr-CA"/>
              </w:rPr>
              <w:t>Frankel</w:t>
            </w:r>
            <w:proofErr w:type="spellEnd"/>
            <w:r w:rsidRPr="0065333F">
              <w:rPr>
                <w:color w:val="000000" w:themeColor="text1"/>
                <w:sz w:val="20"/>
                <w:szCs w:val="20"/>
                <w:lang w:val="fr-CA"/>
              </w:rPr>
              <w:t>, 2006</w:t>
            </w:r>
            <w:r w:rsidRPr="0065333F">
              <w:rPr>
                <w:color w:val="000000" w:themeColor="text1"/>
                <w:sz w:val="20"/>
                <w:szCs w:val="20"/>
                <w:lang w:val="fr-CA"/>
              </w:rPr>
              <w:fldChar w:fldCharType="begin"/>
            </w:r>
            <w:r w:rsidRPr="0065333F">
              <w:rPr>
                <w:color w:val="000000" w:themeColor="text1"/>
                <w:sz w:val="20"/>
                <w:szCs w:val="20"/>
                <w:lang w:val="fr-CA"/>
              </w:rPr>
              <w:instrText xml:space="preserve"> ADDIN ZOTERO_ITEM CSL_CITATION {"citationID":"COsqx61T","properties":{"formattedCitation":"\\super 18\\nosupersub{}","plainCitation":"18","noteIndex":0},"citationItems":[{"id":24,"uris":["http://zotero.org/users/8883840/items/TLKJCI5B"],"itemData":{"id":24,"type":"article-journal","abstract":"OBJECTIVE: To examine age-related differences in rehabilitation outcomes following traumatic brain injury (TBI).\nDESIGN: Retrospective collaborative study.\nSETTING: Patients received acute neurotrauma and inpatient rehabilitation services at 1 of the 17 National Institute on Disability and Rehabilitation Research-designated Traumatic Brain Injury Model Systems (TBIMS) centers.\nPARTICIPANTS: A sample of 273 older patients (&gt; or =55y) admitted for TBI were taken from the TBIMS National Database. Older patients were matched with subjects 44 years of age or younger, based on severity of injury (Glasgow Coma Scale score, length of coma, intracranial pressure elevations). Due to decreasing length of stay (LOS), only patients admitted from 1996 through 2002 were included.\nINTERVENTION: Inpatient interdisciplinary brain injury rehabilitation.\nMAIN OUTCOME MEASURES: Acute care LOS, inpatient rehabilitation LOS, admission and discharge FIM instrument and Disability Rating Scale (DRS) scores, FIM and DRS efficiency, acute and rehabilitative charges, and discharge disposition.\nRESULTS: One-way analyses of variance demonstrated a statistically significant difference between older and younger patients with respect to LOS in rehabilitation but not for acute care. Total rehabilitative charges, and admission and discharge DRS and FIM scores also showed statistically significant differences between groups. Older patients progressed with significantly less efficiency on both the DRS and FIM scales. Significantly more charges were generated per unit for older patients to improve on the DRS scale, but not the FIM scale. Using chi-square analysis, a statistically significant difference in rate of discharge to home was identified between older (80.5%) and younger (94.4%) patients.\nCONCLUSIONS: Results in this study are similar to those in earlier studies with smaller sample sizes. Major differences observed include significantly slower and more costly progress in inpatient rehabilitation for older patients with TBI, as well as a significantly lower rate of discharge to community for older patients. However, even with decreasing LOS in both settings, community discharge rate is still encouraging for older patients with TBI.","container-title":"Archives of Physical Medicine and Rehabilitation","DOI":"10.1016/j.apmr.2005.07.309","ISSN":"0003-9993","issue":"1","journalAbbreviation":"Arch Phys Med Rehabil","language":"eng","note":"PMID: 16401439","page":"57-62","source":"PubMed","title":"A follow-up study of older adults with traumatic brain injury: taking into account decreasing length of stay","title-short":"A follow-up study of older adults with traumatic brain injury","volume":"87","author":[{"family":"Frankel","given":"Jason E."},{"family":"Marwitz","given":"Jennifer H."},{"family":"Cifu","given":"David X."},{"family":"Kreutzer","given":"Jeffrey S."},{"family":"Englander","given":"Jeffrey"},{"family":"Rosenthal","given":"Mitchell"}],"issued":{"date-parts":[["2006",1]]}}}],"schema":"https://github.com/citation-style-language/schema/raw/master/csl-citation.json"} </w:instrText>
            </w:r>
            <w:r w:rsidRPr="0065333F">
              <w:rPr>
                <w:color w:val="000000" w:themeColor="text1"/>
                <w:sz w:val="20"/>
                <w:szCs w:val="20"/>
                <w:lang w:val="fr-CA"/>
              </w:rPr>
              <w:fldChar w:fldCharType="separate"/>
            </w:r>
            <w:r w:rsidRPr="0065333F">
              <w:rPr>
                <w:rFonts w:eastAsiaTheme="minorHAnsi"/>
                <w:color w:val="000000"/>
                <w:sz w:val="20"/>
                <w:szCs w:val="20"/>
                <w:vertAlign w:val="superscript"/>
                <w:lang w:val="en-US"/>
                <w14:ligatures w14:val="standardContextual"/>
              </w:rPr>
              <w:t>18</w:t>
            </w:r>
            <w:r w:rsidRPr="0065333F">
              <w:rPr>
                <w:color w:val="000000" w:themeColor="text1"/>
                <w:sz w:val="20"/>
                <w:szCs w:val="20"/>
                <w:lang w:val="fr-CA"/>
              </w:rPr>
              <w:fldChar w:fldCharType="end"/>
            </w:r>
          </w:p>
        </w:tc>
        <w:tc>
          <w:tcPr>
            <w:tcW w:w="1512" w:type="dxa"/>
          </w:tcPr>
          <w:p w14:paraId="5A188E50" w14:textId="343FDE69" w:rsidR="00104F56" w:rsidRPr="0065333F" w:rsidRDefault="0000101F" w:rsidP="00AE4BD3">
            <w:pPr>
              <w:rPr>
                <w:color w:val="000000" w:themeColor="text1"/>
                <w:sz w:val="20"/>
                <w:szCs w:val="20"/>
              </w:rPr>
            </w:pPr>
            <w:r w:rsidRPr="0065333F">
              <w:rPr>
                <w:color w:val="000000"/>
                <w:sz w:val="20"/>
                <w:szCs w:val="20"/>
              </w:rPr>
              <w:t>Retrospective cohort study</w:t>
            </w:r>
          </w:p>
        </w:tc>
        <w:tc>
          <w:tcPr>
            <w:tcW w:w="990" w:type="dxa"/>
          </w:tcPr>
          <w:p w14:paraId="7B187C55" w14:textId="33633DF5" w:rsidR="00104F56" w:rsidRPr="0065333F" w:rsidRDefault="00104F56" w:rsidP="00AE4BD3">
            <w:pPr>
              <w:rPr>
                <w:color w:val="000000" w:themeColor="text1"/>
                <w:sz w:val="20"/>
                <w:szCs w:val="20"/>
              </w:rPr>
            </w:pPr>
            <w:r w:rsidRPr="0065333F">
              <w:rPr>
                <w:color w:val="000000" w:themeColor="text1"/>
                <w:sz w:val="20"/>
                <w:szCs w:val="20"/>
              </w:rPr>
              <w:t>ROBINS</w:t>
            </w:r>
            <w:r w:rsidR="006F4DD8">
              <w:rPr>
                <w:color w:val="000000" w:themeColor="text1"/>
                <w:sz w:val="20"/>
                <w:szCs w:val="20"/>
              </w:rPr>
              <w:t>-I</w:t>
            </w:r>
          </w:p>
        </w:tc>
        <w:tc>
          <w:tcPr>
            <w:tcW w:w="1867" w:type="dxa"/>
          </w:tcPr>
          <w:p w14:paraId="7566D0F2" w14:textId="77777777" w:rsidR="00104F56" w:rsidRPr="0065333F" w:rsidRDefault="00104F56" w:rsidP="00AE4BD3">
            <w:pPr>
              <w:rPr>
                <w:color w:val="000000" w:themeColor="text1"/>
                <w:sz w:val="20"/>
                <w:szCs w:val="20"/>
              </w:rPr>
            </w:pPr>
            <w:r w:rsidRPr="0065333F">
              <w:rPr>
                <w:color w:val="000000" w:themeColor="text1"/>
                <w:sz w:val="20"/>
                <w:szCs w:val="20"/>
              </w:rPr>
              <w:t>Serious risk of bias</w:t>
            </w:r>
          </w:p>
        </w:tc>
        <w:tc>
          <w:tcPr>
            <w:tcW w:w="7371" w:type="dxa"/>
          </w:tcPr>
          <w:p w14:paraId="046ACEBA" w14:textId="2EAE3B2D" w:rsidR="00104F56" w:rsidRPr="0065333F" w:rsidRDefault="00104F56" w:rsidP="00AE4BD3">
            <w:pPr>
              <w:rPr>
                <w:color w:val="000000" w:themeColor="text1"/>
                <w:sz w:val="20"/>
                <w:szCs w:val="20"/>
              </w:rPr>
            </w:pPr>
            <w:r w:rsidRPr="0065333F">
              <w:rPr>
                <w:color w:val="000000" w:themeColor="text1"/>
                <w:sz w:val="20"/>
                <w:szCs w:val="20"/>
              </w:rPr>
              <w:t>No statistical adjustment for covariates such as comorbidities, frailty, premorbid cognition, or socioeconomic status;</w:t>
            </w:r>
            <w:r w:rsidR="008A09F8" w:rsidRPr="0065333F">
              <w:rPr>
                <w:color w:val="000000" w:themeColor="text1"/>
                <w:sz w:val="20"/>
                <w:szCs w:val="20"/>
              </w:rPr>
              <w:t xml:space="preserve"> Only</w:t>
            </w:r>
            <w:r w:rsidRPr="0065333F">
              <w:rPr>
                <w:color w:val="000000" w:themeColor="text1"/>
                <w:sz w:val="20"/>
                <w:szCs w:val="20"/>
              </w:rPr>
              <w:t xml:space="preserve"> 9 out of 3054 patients had TBI</w:t>
            </w:r>
          </w:p>
        </w:tc>
      </w:tr>
    </w:tbl>
    <w:p w14:paraId="0B613D38" w14:textId="7EB5E768" w:rsidR="00040341" w:rsidRPr="0065333F" w:rsidRDefault="001D7CAE" w:rsidP="001D7CAE">
      <w:pPr>
        <w:rPr>
          <w:color w:val="000000" w:themeColor="text1"/>
          <w:sz w:val="22"/>
          <w:szCs w:val="22"/>
        </w:rPr>
      </w:pPr>
      <w:r w:rsidRPr="0065333F">
        <w:rPr>
          <w:color w:val="000000" w:themeColor="text1"/>
          <w:sz w:val="22"/>
          <w:szCs w:val="22"/>
        </w:rPr>
        <w:t xml:space="preserve">ROBINS-E: Risk </w:t>
      </w:r>
      <w:proofErr w:type="gramStart"/>
      <w:r w:rsidRPr="0065333F">
        <w:rPr>
          <w:color w:val="000000" w:themeColor="text1"/>
          <w:sz w:val="22"/>
          <w:szCs w:val="22"/>
        </w:rPr>
        <w:t>Of</w:t>
      </w:r>
      <w:proofErr w:type="gramEnd"/>
      <w:r w:rsidRPr="0065333F">
        <w:rPr>
          <w:color w:val="000000" w:themeColor="text1"/>
          <w:sz w:val="22"/>
          <w:szCs w:val="22"/>
        </w:rPr>
        <w:t xml:space="preserve"> Bias </w:t>
      </w:r>
      <w:proofErr w:type="gramStart"/>
      <w:r w:rsidRPr="0065333F">
        <w:rPr>
          <w:color w:val="000000" w:themeColor="text1"/>
          <w:sz w:val="22"/>
          <w:szCs w:val="22"/>
        </w:rPr>
        <w:t>In</w:t>
      </w:r>
      <w:proofErr w:type="gramEnd"/>
      <w:r w:rsidRPr="0065333F">
        <w:rPr>
          <w:color w:val="000000" w:themeColor="text1"/>
          <w:sz w:val="22"/>
          <w:szCs w:val="22"/>
        </w:rPr>
        <w:t xml:space="preserve"> Non-randomized Studies - of Exposure</w:t>
      </w:r>
      <w:r w:rsidR="00983EB0" w:rsidRPr="0065333F">
        <w:rPr>
          <w:color w:val="000000" w:themeColor="text1"/>
          <w:sz w:val="22"/>
          <w:szCs w:val="22"/>
        </w:rPr>
        <w:t xml:space="preserve">; </w:t>
      </w:r>
      <w:r w:rsidR="00BA37BF" w:rsidRPr="0065333F">
        <w:rPr>
          <w:color w:val="000000" w:themeColor="text1"/>
          <w:sz w:val="22"/>
          <w:szCs w:val="22"/>
        </w:rPr>
        <w:t>SANRA: Scale for the Assessment of Narrative Review Articles</w:t>
      </w:r>
      <w:r w:rsidR="00983EB0" w:rsidRPr="0065333F">
        <w:rPr>
          <w:color w:val="000000" w:themeColor="text1"/>
          <w:sz w:val="22"/>
          <w:szCs w:val="22"/>
        </w:rPr>
        <w:t xml:space="preserve">; </w:t>
      </w:r>
      <w:proofErr w:type="spellStart"/>
      <w:r w:rsidR="003B31E6" w:rsidRPr="0065333F">
        <w:rPr>
          <w:color w:val="000000" w:themeColor="text1"/>
          <w:sz w:val="22"/>
          <w:szCs w:val="22"/>
        </w:rPr>
        <w:t>RoB</w:t>
      </w:r>
      <w:proofErr w:type="spellEnd"/>
      <w:r w:rsidR="003B31E6" w:rsidRPr="0065333F">
        <w:rPr>
          <w:color w:val="000000" w:themeColor="text1"/>
          <w:sz w:val="22"/>
          <w:szCs w:val="22"/>
        </w:rPr>
        <w:t xml:space="preserve"> 2: Revised Cochrane risk-of-bias tool for randomized trials (</w:t>
      </w:r>
      <w:proofErr w:type="spellStart"/>
      <w:r w:rsidR="003B31E6" w:rsidRPr="0065333F">
        <w:rPr>
          <w:color w:val="000000" w:themeColor="text1"/>
          <w:sz w:val="22"/>
          <w:szCs w:val="22"/>
        </w:rPr>
        <w:t>RoB</w:t>
      </w:r>
      <w:proofErr w:type="spellEnd"/>
      <w:r w:rsidR="003B31E6" w:rsidRPr="0065333F">
        <w:rPr>
          <w:color w:val="000000" w:themeColor="text1"/>
          <w:sz w:val="22"/>
          <w:szCs w:val="22"/>
        </w:rPr>
        <w:t xml:space="preserve"> 2</w:t>
      </w:r>
      <w:r w:rsidR="00983EB0" w:rsidRPr="0065333F">
        <w:rPr>
          <w:color w:val="000000" w:themeColor="text1"/>
          <w:sz w:val="22"/>
          <w:szCs w:val="22"/>
        </w:rPr>
        <w:t xml:space="preserve">); </w:t>
      </w:r>
      <w:r w:rsidR="00A22A38" w:rsidRPr="0065333F">
        <w:rPr>
          <w:color w:val="000000" w:themeColor="text1"/>
          <w:sz w:val="22"/>
          <w:szCs w:val="22"/>
        </w:rPr>
        <w:t>ROBIS: Risk of Bias Assessment Tool for Systematic Reviews</w:t>
      </w:r>
      <w:r w:rsidR="00983EB0" w:rsidRPr="0065333F">
        <w:rPr>
          <w:color w:val="000000" w:themeColor="text1"/>
          <w:sz w:val="22"/>
          <w:szCs w:val="22"/>
        </w:rPr>
        <w:t xml:space="preserve">; </w:t>
      </w:r>
      <w:r w:rsidR="00D067E7" w:rsidRPr="0065333F">
        <w:rPr>
          <w:sz w:val="22"/>
          <w:szCs w:val="22"/>
        </w:rPr>
        <w:t>ROBVALU: Risk of Bias in studies of Values and Utilities</w:t>
      </w:r>
    </w:p>
    <w:p w14:paraId="0D2C3623" w14:textId="44FC5B4C" w:rsidR="00E15356" w:rsidRPr="00A036B3" w:rsidRDefault="00040341" w:rsidP="00A036B3">
      <w:pPr>
        <w:pStyle w:val="Heading2"/>
        <w:rPr>
          <w:rFonts w:ascii="Times New Roman" w:hAnsi="Times New Roman" w:cs="Times New Roman"/>
          <w:b/>
          <w:bCs/>
          <w:color w:val="000000" w:themeColor="text1"/>
          <w:sz w:val="24"/>
          <w:szCs w:val="24"/>
        </w:rPr>
      </w:pPr>
      <w:r w:rsidRPr="00A036B3">
        <w:rPr>
          <w:rFonts w:ascii="Times New Roman" w:hAnsi="Times New Roman" w:cs="Times New Roman"/>
          <w:b/>
          <w:bCs/>
          <w:color w:val="000000" w:themeColor="text1"/>
          <w:sz w:val="24"/>
          <w:szCs w:val="24"/>
        </w:rPr>
        <w:t xml:space="preserve">Appendix </w:t>
      </w:r>
      <w:r w:rsidR="00750EC3">
        <w:rPr>
          <w:rFonts w:ascii="Times New Roman" w:hAnsi="Times New Roman" w:cs="Times New Roman"/>
          <w:b/>
          <w:bCs/>
          <w:color w:val="000000" w:themeColor="text1"/>
          <w:sz w:val="24"/>
          <w:szCs w:val="24"/>
        </w:rPr>
        <w:t>4</w:t>
      </w:r>
      <w:r w:rsidR="00F034BC" w:rsidRPr="00A036B3">
        <w:rPr>
          <w:rFonts w:ascii="Times New Roman" w:hAnsi="Times New Roman" w:cs="Times New Roman"/>
          <w:b/>
          <w:bCs/>
          <w:color w:val="000000" w:themeColor="text1"/>
          <w:sz w:val="24"/>
          <w:szCs w:val="24"/>
        </w:rPr>
        <w:t xml:space="preserve">. </w:t>
      </w:r>
      <w:r w:rsidR="00857237" w:rsidRPr="00A036B3">
        <w:rPr>
          <w:rFonts w:ascii="Times New Roman" w:hAnsi="Times New Roman" w:cs="Times New Roman"/>
          <w:b/>
          <w:bCs/>
          <w:color w:val="000000" w:themeColor="text1"/>
          <w:sz w:val="24"/>
          <w:szCs w:val="24"/>
        </w:rPr>
        <w:t>Reference costs and inflation adjustments applied in the model</w:t>
      </w:r>
    </w:p>
    <w:tbl>
      <w:tblPr>
        <w:tblStyle w:val="TableGrid"/>
        <w:tblW w:w="13354" w:type="dxa"/>
        <w:tblLook w:val="04A0" w:firstRow="1" w:lastRow="0" w:firstColumn="1" w:lastColumn="0" w:noHBand="0" w:noVBand="1"/>
      </w:tblPr>
      <w:tblGrid>
        <w:gridCol w:w="2670"/>
        <w:gridCol w:w="2670"/>
        <w:gridCol w:w="2670"/>
        <w:gridCol w:w="2671"/>
        <w:gridCol w:w="2673"/>
      </w:tblGrid>
      <w:tr w:rsidR="00283B34" w:rsidRPr="0065333F" w14:paraId="7797D6E8" w14:textId="77777777" w:rsidTr="00115542">
        <w:trPr>
          <w:trHeight w:val="561"/>
        </w:trPr>
        <w:tc>
          <w:tcPr>
            <w:tcW w:w="2670" w:type="dxa"/>
            <w:shd w:val="clear" w:color="auto" w:fill="D9D9D9" w:themeFill="background1" w:themeFillShade="D9"/>
            <w:vAlign w:val="center"/>
          </w:tcPr>
          <w:p w14:paraId="70B648FB" w14:textId="1C69DA29" w:rsidR="00283B34" w:rsidRPr="0065333F" w:rsidRDefault="00283B34" w:rsidP="00F034BC">
            <w:pPr>
              <w:rPr>
                <w:b/>
                <w:bCs/>
                <w:sz w:val="22"/>
                <w:szCs w:val="22"/>
              </w:rPr>
            </w:pPr>
            <w:r w:rsidRPr="0065333F">
              <w:rPr>
                <w:b/>
                <w:bCs/>
                <w:sz w:val="22"/>
                <w:szCs w:val="22"/>
              </w:rPr>
              <w:t>Costs type</w:t>
            </w:r>
          </w:p>
        </w:tc>
        <w:tc>
          <w:tcPr>
            <w:tcW w:w="2670" w:type="dxa"/>
            <w:shd w:val="clear" w:color="auto" w:fill="D9D9D9" w:themeFill="background1" w:themeFillShade="D9"/>
            <w:vAlign w:val="center"/>
          </w:tcPr>
          <w:p w14:paraId="1C1ACA2F" w14:textId="463C9B52" w:rsidR="00283B34" w:rsidRPr="0065333F" w:rsidRDefault="00283B34" w:rsidP="00F034BC">
            <w:pPr>
              <w:rPr>
                <w:b/>
                <w:bCs/>
                <w:sz w:val="22"/>
                <w:szCs w:val="22"/>
              </w:rPr>
            </w:pPr>
            <w:r w:rsidRPr="0065333F">
              <w:rPr>
                <w:b/>
                <w:bCs/>
                <w:sz w:val="22"/>
                <w:szCs w:val="22"/>
              </w:rPr>
              <w:t xml:space="preserve">Reference cost </w:t>
            </w:r>
            <w:r w:rsidR="009B5E08" w:rsidRPr="0065333F">
              <w:rPr>
                <w:b/>
                <w:bCs/>
                <w:sz w:val="22"/>
                <w:szCs w:val="22"/>
              </w:rPr>
              <w:t xml:space="preserve">and </w:t>
            </w:r>
            <w:r w:rsidRPr="0065333F">
              <w:rPr>
                <w:b/>
                <w:bCs/>
                <w:sz w:val="22"/>
                <w:szCs w:val="22"/>
              </w:rPr>
              <w:t>context</w:t>
            </w:r>
          </w:p>
        </w:tc>
        <w:tc>
          <w:tcPr>
            <w:tcW w:w="2670" w:type="dxa"/>
            <w:shd w:val="clear" w:color="auto" w:fill="D9D9D9" w:themeFill="background1" w:themeFillShade="D9"/>
            <w:vAlign w:val="center"/>
          </w:tcPr>
          <w:p w14:paraId="700DF77A" w14:textId="3B0BCAF9" w:rsidR="00283B34" w:rsidRPr="0065333F" w:rsidRDefault="00C57C18" w:rsidP="00F034BC">
            <w:pPr>
              <w:rPr>
                <w:b/>
                <w:bCs/>
                <w:sz w:val="22"/>
                <w:szCs w:val="22"/>
              </w:rPr>
            </w:pPr>
            <w:r w:rsidRPr="0065333F">
              <w:rPr>
                <w:b/>
                <w:bCs/>
                <w:sz w:val="22"/>
                <w:szCs w:val="22"/>
              </w:rPr>
              <w:t>Inflation to 2024 CAD costs</w:t>
            </w:r>
          </w:p>
        </w:tc>
        <w:tc>
          <w:tcPr>
            <w:tcW w:w="2671" w:type="dxa"/>
            <w:shd w:val="clear" w:color="auto" w:fill="D9D9D9" w:themeFill="background1" w:themeFillShade="D9"/>
            <w:vAlign w:val="center"/>
          </w:tcPr>
          <w:p w14:paraId="62DBE566" w14:textId="09E25440" w:rsidR="00283B34" w:rsidRPr="0065333F" w:rsidRDefault="00283B34" w:rsidP="00F034BC">
            <w:pPr>
              <w:rPr>
                <w:b/>
                <w:bCs/>
                <w:sz w:val="22"/>
                <w:szCs w:val="22"/>
              </w:rPr>
            </w:pPr>
            <w:r w:rsidRPr="0065333F">
              <w:rPr>
                <w:b/>
                <w:bCs/>
                <w:sz w:val="22"/>
                <w:szCs w:val="22"/>
              </w:rPr>
              <w:t>Standard deviation (SD)</w:t>
            </w:r>
          </w:p>
        </w:tc>
        <w:tc>
          <w:tcPr>
            <w:tcW w:w="2673" w:type="dxa"/>
            <w:shd w:val="clear" w:color="auto" w:fill="D9D9D9" w:themeFill="background1" w:themeFillShade="D9"/>
            <w:vAlign w:val="center"/>
          </w:tcPr>
          <w:p w14:paraId="28FC716B" w14:textId="78429C1E" w:rsidR="00283B34" w:rsidRPr="0065333F" w:rsidRDefault="00283B34" w:rsidP="00F034BC">
            <w:pPr>
              <w:rPr>
                <w:b/>
                <w:bCs/>
                <w:sz w:val="22"/>
                <w:szCs w:val="22"/>
              </w:rPr>
            </w:pPr>
            <w:r w:rsidRPr="0065333F">
              <w:rPr>
                <w:b/>
                <w:bCs/>
                <w:sz w:val="22"/>
                <w:szCs w:val="22"/>
              </w:rPr>
              <w:t>References</w:t>
            </w:r>
          </w:p>
        </w:tc>
      </w:tr>
      <w:tr w:rsidR="00283B34" w:rsidRPr="0065333F" w14:paraId="38DA1AD2" w14:textId="5C0D5768" w:rsidTr="00115542">
        <w:trPr>
          <w:trHeight w:val="1403"/>
        </w:trPr>
        <w:tc>
          <w:tcPr>
            <w:tcW w:w="2670" w:type="dxa"/>
            <w:vAlign w:val="center"/>
          </w:tcPr>
          <w:p w14:paraId="0352CC5C" w14:textId="247EA754" w:rsidR="00283B34" w:rsidRPr="0065333F" w:rsidRDefault="00283B34" w:rsidP="00F034BC">
            <w:pPr>
              <w:rPr>
                <w:sz w:val="22"/>
                <w:szCs w:val="22"/>
              </w:rPr>
            </w:pPr>
            <w:r w:rsidRPr="0065333F">
              <w:rPr>
                <w:sz w:val="22"/>
                <w:szCs w:val="22"/>
              </w:rPr>
              <w:t>Cost of physical rehabilitation</w:t>
            </w:r>
          </w:p>
        </w:tc>
        <w:tc>
          <w:tcPr>
            <w:tcW w:w="2670" w:type="dxa"/>
            <w:vAlign w:val="center"/>
          </w:tcPr>
          <w:p w14:paraId="1A769B86" w14:textId="20820207" w:rsidR="00283B34" w:rsidRPr="0065333F" w:rsidRDefault="00283B34" w:rsidP="00F034BC">
            <w:pPr>
              <w:rPr>
                <w:sz w:val="22"/>
                <w:szCs w:val="22"/>
              </w:rPr>
            </w:pPr>
            <w:r w:rsidRPr="0065333F">
              <w:rPr>
                <w:sz w:val="22"/>
                <w:szCs w:val="22"/>
              </w:rPr>
              <w:t>Not applicable (no need for inflation)</w:t>
            </w:r>
          </w:p>
        </w:tc>
        <w:tc>
          <w:tcPr>
            <w:tcW w:w="2670" w:type="dxa"/>
            <w:vAlign w:val="center"/>
          </w:tcPr>
          <w:p w14:paraId="510EF8A3" w14:textId="542C9D63" w:rsidR="00283B34" w:rsidRPr="0065333F" w:rsidRDefault="009B5E08" w:rsidP="00F034BC">
            <w:pPr>
              <w:rPr>
                <w:sz w:val="22"/>
                <w:szCs w:val="22"/>
              </w:rPr>
            </w:pPr>
            <w:r w:rsidRPr="0065333F">
              <w:rPr>
                <w:color w:val="000000" w:themeColor="text1"/>
                <w:sz w:val="22"/>
                <w:szCs w:val="22"/>
              </w:rPr>
              <w:t>$</w:t>
            </w:r>
            <w:r w:rsidR="005376E7" w:rsidRPr="0065333F">
              <w:rPr>
                <w:color w:val="000000" w:themeColor="text1"/>
                <w:sz w:val="22"/>
                <w:szCs w:val="22"/>
              </w:rPr>
              <w:t xml:space="preserve">211.50 </w:t>
            </w:r>
          </w:p>
        </w:tc>
        <w:tc>
          <w:tcPr>
            <w:tcW w:w="2671" w:type="dxa"/>
            <w:vAlign w:val="center"/>
          </w:tcPr>
          <w:p w14:paraId="4665577C" w14:textId="4E9EB761" w:rsidR="00283B34" w:rsidRPr="0065333F" w:rsidRDefault="009B5E08" w:rsidP="00F034BC">
            <w:pPr>
              <w:rPr>
                <w:sz w:val="22"/>
                <w:szCs w:val="22"/>
              </w:rPr>
            </w:pPr>
            <w:r w:rsidRPr="0065333F">
              <w:rPr>
                <w:color w:val="000000" w:themeColor="text1"/>
                <w:sz w:val="22"/>
                <w:szCs w:val="22"/>
              </w:rPr>
              <w:t>$</w:t>
            </w:r>
            <w:r w:rsidR="005376E7" w:rsidRPr="0065333F">
              <w:rPr>
                <w:color w:val="000000" w:themeColor="text1"/>
                <w:sz w:val="22"/>
                <w:szCs w:val="22"/>
              </w:rPr>
              <w:t>822.5</w:t>
            </w:r>
          </w:p>
        </w:tc>
        <w:tc>
          <w:tcPr>
            <w:tcW w:w="2673" w:type="dxa"/>
            <w:vAlign w:val="center"/>
          </w:tcPr>
          <w:p w14:paraId="06DF0887" w14:textId="402A05E0" w:rsidR="00283B34" w:rsidRPr="0065333F" w:rsidRDefault="005376E7" w:rsidP="00F034BC">
            <w:pPr>
              <w:rPr>
                <w:color w:val="000000" w:themeColor="text1"/>
                <w:sz w:val="22"/>
                <w:szCs w:val="22"/>
              </w:rPr>
            </w:pPr>
            <w:r w:rsidRPr="0065333F">
              <w:rPr>
                <w:color w:val="000000" w:themeColor="text1"/>
                <w:sz w:val="22"/>
                <w:szCs w:val="22"/>
              </w:rPr>
              <w:t>Chen, 2012</w:t>
            </w:r>
            <w:r w:rsidRPr="0065333F">
              <w:rPr>
                <w:color w:val="000000" w:themeColor="text1"/>
                <w:sz w:val="22"/>
                <w:szCs w:val="22"/>
              </w:rPr>
              <w:fldChar w:fldCharType="begin"/>
            </w:r>
            <w:r w:rsidR="00201469" w:rsidRPr="0065333F">
              <w:rPr>
                <w:color w:val="000000" w:themeColor="text1"/>
                <w:sz w:val="22"/>
                <w:szCs w:val="22"/>
              </w:rPr>
              <w:instrText xml:space="preserve"> ADDIN ZOTERO_ITEM CSL_CITATION {"citationID":"j8zzSEC5","properties":{"formattedCitation":"\\super 9\\nosupersub{}","plainCitation":"9","noteIndex":0},"citationItems":[{"id":1731,"uris":["http://zotero.org/users/8883840/items/JUJHSICX"],"itemData":{"id":1731,"type":"article-journal","abstract":"Acquired Brain Injury (ABI) from traumatic and non traumatic causes is a leading cause of disability worldwide yet there is limited research summarizing the health system economic burden associated with ABI. The objective of this study was to determine the direct cost of publicly funded health care services from the initial hospitalization to three years post-injury for individuals with traumatic (TBI) and non-traumatic brain injury (nTBI) in Ontario Canada.","container-title":"BMC Neurology","DOI":"10.1186/1471-2377-12-76","ISSN":"1471-2377","issue":"1","journalAbbreviation":"BMC Neurology","page":"76","source":"BioMed Central","title":"Direct cost associated with acquired brain injury in Ontario","volume":"12","author":[{"family":"Chen","given":"Amy"},{"family":"Bushmeneva","given":"Ksenia"},{"family":"Zagorski","given":"Brandon"},{"family":"Colantonio","given":"Angela"},{"family":"Parsons","given":"Daria"},{"family":"Wodchis","given":"Walter P."}],"issued":{"date-parts":[["2012",8,17]]}}}],"schema":"https://github.com/citation-style-language/schema/raw/master/csl-citation.json"} </w:instrText>
            </w:r>
            <w:r w:rsidRPr="0065333F">
              <w:rPr>
                <w:color w:val="000000" w:themeColor="text1"/>
                <w:sz w:val="22"/>
                <w:szCs w:val="22"/>
              </w:rPr>
              <w:fldChar w:fldCharType="separate"/>
            </w:r>
            <w:r w:rsidR="00E15356" w:rsidRPr="0065333F">
              <w:rPr>
                <w:rFonts w:eastAsiaTheme="minorHAnsi"/>
                <w:color w:val="000000"/>
                <w:sz w:val="22"/>
                <w:vertAlign w:val="superscript"/>
                <w:lang w:val="en-US"/>
                <w14:ligatures w14:val="standardContextual"/>
              </w:rPr>
              <w:t>9</w:t>
            </w:r>
            <w:r w:rsidRPr="0065333F">
              <w:rPr>
                <w:color w:val="000000" w:themeColor="text1"/>
                <w:sz w:val="22"/>
                <w:szCs w:val="22"/>
              </w:rPr>
              <w:fldChar w:fldCharType="end"/>
            </w:r>
            <w:r w:rsidRPr="0065333F">
              <w:rPr>
                <w:color w:val="000000" w:themeColor="text1"/>
                <w:sz w:val="22"/>
                <w:szCs w:val="22"/>
              </w:rPr>
              <w:t>, Thompson, 2012</w:t>
            </w:r>
            <w:r w:rsidRPr="0065333F">
              <w:rPr>
                <w:color w:val="000000" w:themeColor="text1"/>
                <w:sz w:val="22"/>
                <w:szCs w:val="22"/>
              </w:rPr>
              <w:fldChar w:fldCharType="begin"/>
            </w:r>
            <w:r w:rsidR="00201469" w:rsidRPr="0065333F">
              <w:rPr>
                <w:color w:val="000000" w:themeColor="text1"/>
                <w:sz w:val="22"/>
                <w:szCs w:val="22"/>
              </w:rPr>
              <w:instrText xml:space="preserve"> ADDIN ZOTERO_ITEM CSL_CITATION {"citationID":"pEyHNSUb","properties":{"formattedCitation":"\\super 19\\nosupersub{}","plainCitation":"19","noteIndex":0},"citationItems":[{"id":131,"uris":["http://zotero.org/users/8883840/items/TBL83E5K"],"itemData":{"id":131,"type":"article-journal","abstract":"Despite the growing number of older adults experiencing traumatic brain injury (TBI), little information exists regarding their utilization and cost of health care services. Identifying patterns in the type of care received and determining their costs is an important first step toward understanding the return on investment and potential areas for improvement. We performed a health care utilization and cost analysis using the National Study on the Costs and Outcomes of Trauma (NSCOT) dataset. Subjects were persons 55–84 years of age with TBI treated in 69 U.S. hospitals located in 14 states (n=414, weighted n=1038). Health outcomes, health care utilization, and 1-year costs of care following TBI in 2005 U.S. dollars were estimated from hospital bills, patient surveys, medical records, and Medicare claims data. The subjects were further analyzed in three subgroups (55–64, 65–74, and 75–84 years of age). Unadjusted cost models were built, followed by a second set of models adjusting for demographic and pre-injury health status. Those in the oldest category (75–84 years) had significantly higher numbers of re-hospitalizations, home health care visits, and hours per week of unpaid care, and significantly lower numbers of physician and mental health professional visits than younger age groups (age 55–64 and 65–74 years). Significant age-related differences were seen in all health outcomes tested at 12 months post-injury except for incidence of depressive symptoms. One-year total treatment costs did not differ significantly across age categories for brain-injured older adults in either the unadjusted or adjusted models. The unadjusted total mean 1-year cost of care was $77,872 in persons aged 55–64 years, $76,903 in persons aged 65–74 years, and $72,733 in persons aged 75–84 years. There were significant differences in cost drivers among the age groups. In the unadjusted model index hospitalization costs and inpatient rehabilitation costs were significantly lower in the oldest age category, while outpatient care costs and nursing home stays were lower in the younger age categories. In the adjusted model, in addition to these cost drivers, re-hospitalization costs were significantly higher among those 75–84 years of age, and receipt of informal care from friends and family was significantly different, being lowest among those aged 65–74 years, and highest among those aged 75–84 years. Identifying variations in care that these patients are receiving and determining the costs versus benefits is an important next step in understanding potential areas for improvement.","container-title":"Journal of Neurotrauma","DOI":"10.1089/neu.2011.2284","ISSN":"0897-7151","issue":"10","journalAbbreviation":"J Neurotrauma","note":"PMID: 22435729\nPMCID: PMC3390979","page":"1864-1871","source":"PubMed Central","title":"Utilization and Costs of Health Care after Geriatric Traumatic Brain Injury","volume":"29","author":[{"family":"Thompson","given":"Hilaire J."},{"family":"Weir","given":"Sharada"},{"family":"Rivara","given":"Frederick P."},{"family":"Wang","given":"Jin"},{"family":"Sullivan","given":"Sean D."},{"family":"Salkever","given":"David"},{"family":"MacKenzie","given":"Ellen J."}],"issued":{"date-parts":[["2012",7,1]]}}}],"schema":"https://github.com/citation-style-language/schema/raw/master/csl-citation.json"} </w:instrText>
            </w:r>
            <w:r w:rsidRPr="0065333F">
              <w:rPr>
                <w:color w:val="000000" w:themeColor="text1"/>
                <w:sz w:val="22"/>
                <w:szCs w:val="22"/>
              </w:rPr>
              <w:fldChar w:fldCharType="separate"/>
            </w:r>
            <w:r w:rsidR="00E15356" w:rsidRPr="0065333F">
              <w:rPr>
                <w:rFonts w:eastAsiaTheme="minorHAnsi"/>
                <w:color w:val="000000"/>
                <w:sz w:val="22"/>
                <w:vertAlign w:val="superscript"/>
                <w:lang w:val="en-US"/>
                <w14:ligatures w14:val="standardContextual"/>
              </w:rPr>
              <w:t>19</w:t>
            </w:r>
            <w:r w:rsidRPr="0065333F">
              <w:rPr>
                <w:color w:val="000000" w:themeColor="text1"/>
                <w:sz w:val="22"/>
                <w:szCs w:val="22"/>
              </w:rPr>
              <w:fldChar w:fldCharType="end"/>
            </w:r>
            <w:r w:rsidRPr="0065333F">
              <w:rPr>
                <w:color w:val="000000" w:themeColor="text1"/>
                <w:sz w:val="22"/>
                <w:szCs w:val="22"/>
              </w:rPr>
              <w:t xml:space="preserve"> and </w:t>
            </w:r>
            <w:r w:rsidR="00201469" w:rsidRPr="0065333F">
              <w:rPr>
                <w:color w:val="000000" w:themeColor="text1"/>
                <w:sz w:val="22"/>
                <w:szCs w:val="22"/>
              </w:rPr>
              <w:t>Government of Canada</w:t>
            </w:r>
            <w:r w:rsidR="007578BA" w:rsidRPr="0065333F">
              <w:rPr>
                <w:color w:val="000000" w:themeColor="text1"/>
                <w:sz w:val="22"/>
                <w:szCs w:val="22"/>
              </w:rPr>
              <w:fldChar w:fldCharType="begin"/>
            </w:r>
            <w:r w:rsidR="007578BA" w:rsidRPr="0065333F">
              <w:rPr>
                <w:color w:val="000000" w:themeColor="text1"/>
                <w:sz w:val="22"/>
                <w:szCs w:val="22"/>
              </w:rPr>
              <w:instrText xml:space="preserve"> ADDIN ZOTERO_ITEM CSL_CITATION {"citationID":"sdAeisEi","properties":{"formattedCitation":"\\super 20\\nosupersub{}","plainCitation":"20","noteIndex":0},"citationItems":[{"id":2064,"uris":["http://zotero.org/users/8883840/items/Y7TS7Y5C"],"itemData":{"id":2064,"type":"webpage","abstract":"People working as a physiotherapist in the Toronto Region usually earn between $$27.12/hour and $$50.00/hour. Whether you want to negotiate a salary, plan your career or track employment trends, you should know how much workers earn in your region. Visit Job Bank to learn more about prevailing wages throughout Canada.","language":"eng","title":"Physiotherapist in the Toronto Region | Wages - Job Bank","URL":"http://www.jobbank.gc.ca/explore_career/job_market_report/wage_occupation_report.xhtml","author":[{"family":"Canada","given":"Employment and Social Development"}],"accessed":{"date-parts":[["2025",7,26]]}}}],"schema":"https://github.com/citation-style-language/schema/raw/master/csl-citation.json"} </w:instrText>
            </w:r>
            <w:r w:rsidR="007578BA" w:rsidRPr="0065333F">
              <w:rPr>
                <w:color w:val="000000" w:themeColor="text1"/>
                <w:sz w:val="22"/>
                <w:szCs w:val="22"/>
              </w:rPr>
              <w:fldChar w:fldCharType="separate"/>
            </w:r>
            <w:r w:rsidR="00E15356" w:rsidRPr="0065333F">
              <w:rPr>
                <w:rFonts w:eastAsiaTheme="minorHAnsi"/>
                <w:color w:val="000000"/>
                <w:sz w:val="22"/>
                <w:vertAlign w:val="superscript"/>
                <w:lang w:val="en-US"/>
                <w14:ligatures w14:val="standardContextual"/>
              </w:rPr>
              <w:t>20</w:t>
            </w:r>
            <w:r w:rsidR="007578BA" w:rsidRPr="0065333F">
              <w:rPr>
                <w:color w:val="000000" w:themeColor="text1"/>
                <w:sz w:val="22"/>
                <w:szCs w:val="22"/>
              </w:rPr>
              <w:fldChar w:fldCharType="end"/>
            </w:r>
          </w:p>
        </w:tc>
      </w:tr>
      <w:tr w:rsidR="00283B34" w:rsidRPr="0065333F" w14:paraId="1069F232" w14:textId="3556CB0E" w:rsidTr="00115542">
        <w:trPr>
          <w:trHeight w:val="1123"/>
        </w:trPr>
        <w:tc>
          <w:tcPr>
            <w:tcW w:w="2670" w:type="dxa"/>
            <w:vAlign w:val="center"/>
          </w:tcPr>
          <w:p w14:paraId="2243BDE9" w14:textId="4F3CC44B" w:rsidR="00283B34" w:rsidRPr="0065333F" w:rsidRDefault="00283B34" w:rsidP="00F034BC">
            <w:pPr>
              <w:rPr>
                <w:sz w:val="22"/>
                <w:szCs w:val="22"/>
              </w:rPr>
            </w:pPr>
            <w:r w:rsidRPr="0065333F">
              <w:rPr>
                <w:sz w:val="22"/>
                <w:szCs w:val="22"/>
              </w:rPr>
              <w:t>Cost of cognitive training</w:t>
            </w:r>
          </w:p>
        </w:tc>
        <w:tc>
          <w:tcPr>
            <w:tcW w:w="2670" w:type="dxa"/>
            <w:vAlign w:val="center"/>
          </w:tcPr>
          <w:p w14:paraId="1BD96266" w14:textId="42965270" w:rsidR="00283B34" w:rsidRPr="0065333F" w:rsidRDefault="00283B34" w:rsidP="00F034BC">
            <w:pPr>
              <w:rPr>
                <w:sz w:val="22"/>
                <w:szCs w:val="22"/>
              </w:rPr>
            </w:pPr>
            <w:r w:rsidRPr="0065333F">
              <w:rPr>
                <w:sz w:val="22"/>
                <w:szCs w:val="22"/>
              </w:rPr>
              <w:t>Not applicable (no need for inflation)</w:t>
            </w:r>
          </w:p>
        </w:tc>
        <w:tc>
          <w:tcPr>
            <w:tcW w:w="2670" w:type="dxa"/>
            <w:vAlign w:val="center"/>
          </w:tcPr>
          <w:p w14:paraId="142ED76B" w14:textId="39EDEAF7" w:rsidR="00283B34" w:rsidRPr="0065333F" w:rsidRDefault="009B5E08" w:rsidP="00F034BC">
            <w:pPr>
              <w:rPr>
                <w:sz w:val="22"/>
                <w:szCs w:val="22"/>
              </w:rPr>
            </w:pPr>
            <w:r w:rsidRPr="0065333F">
              <w:rPr>
                <w:color w:val="000000" w:themeColor="text1"/>
                <w:sz w:val="22"/>
                <w:szCs w:val="22"/>
              </w:rPr>
              <w:t>$</w:t>
            </w:r>
            <w:r w:rsidR="005376E7" w:rsidRPr="0065333F">
              <w:rPr>
                <w:color w:val="000000" w:themeColor="text1"/>
                <w:sz w:val="22"/>
                <w:szCs w:val="22"/>
              </w:rPr>
              <w:t xml:space="preserve">281.25 </w:t>
            </w:r>
          </w:p>
        </w:tc>
        <w:tc>
          <w:tcPr>
            <w:tcW w:w="2671" w:type="dxa"/>
            <w:vAlign w:val="center"/>
          </w:tcPr>
          <w:p w14:paraId="640AE116" w14:textId="775BE0B1" w:rsidR="00283B34" w:rsidRPr="0065333F" w:rsidRDefault="009B5E08" w:rsidP="00F034BC">
            <w:pPr>
              <w:rPr>
                <w:sz w:val="22"/>
                <w:szCs w:val="22"/>
              </w:rPr>
            </w:pPr>
            <w:r w:rsidRPr="0065333F">
              <w:rPr>
                <w:color w:val="000000" w:themeColor="text1"/>
                <w:sz w:val="22"/>
                <w:szCs w:val="22"/>
              </w:rPr>
              <w:t>$</w:t>
            </w:r>
            <w:r w:rsidR="005376E7" w:rsidRPr="0065333F">
              <w:rPr>
                <w:color w:val="000000" w:themeColor="text1"/>
                <w:sz w:val="22"/>
                <w:szCs w:val="22"/>
              </w:rPr>
              <w:t>56.25</w:t>
            </w:r>
          </w:p>
        </w:tc>
        <w:tc>
          <w:tcPr>
            <w:tcW w:w="2673" w:type="dxa"/>
            <w:vAlign w:val="center"/>
          </w:tcPr>
          <w:p w14:paraId="5DB8B1C6" w14:textId="52F75539" w:rsidR="00283B34" w:rsidRPr="0065333F" w:rsidRDefault="005376E7" w:rsidP="00F034BC">
            <w:pPr>
              <w:rPr>
                <w:color w:val="000000" w:themeColor="text1"/>
                <w:sz w:val="22"/>
                <w:szCs w:val="22"/>
              </w:rPr>
            </w:pPr>
            <w:r w:rsidRPr="0065333F">
              <w:rPr>
                <w:color w:val="000000" w:themeColor="text1"/>
                <w:sz w:val="22"/>
                <w:szCs w:val="22"/>
              </w:rPr>
              <w:t>Kim, 2021</w:t>
            </w:r>
            <w:r w:rsidRPr="0065333F">
              <w:rPr>
                <w:color w:val="000000" w:themeColor="text1"/>
                <w:sz w:val="22"/>
                <w:szCs w:val="22"/>
              </w:rPr>
              <w:fldChar w:fldCharType="begin"/>
            </w:r>
            <w:r w:rsidR="00201469" w:rsidRPr="0065333F">
              <w:rPr>
                <w:color w:val="000000" w:themeColor="text1"/>
                <w:sz w:val="22"/>
                <w:szCs w:val="22"/>
              </w:rPr>
              <w:instrText xml:space="preserve"> ADDIN ZOTERO_ITEM CSL_CITATION {"citationID":"P1mVgbef","properties":{"formattedCitation":"\\super 10\\nosupersub{}","plainCitation":"10","noteIndex":0},"citationItems":[{"id":559,"uris":["http://zotero.org/users/8883840/items/GL3TXFSM"],"itemData":{"id":559,"type":"article-journal","abstract":"BACKGROUND: Cognitive deficits, particularly executive dysfunction is common following acquired brain injury (ABI) and has detrimental effect on functional status and autonomy in daily life. Among various cognitive training methods, computerized cognitive rehabilitation (CCR) has been investigated as an alternative method to therapist-driven cognitive rehabilitation (TCR). However, previous studies have shown conflicting results on the superiority or inferiority of CCR and TCR.\nAIM: To investigate the efficacy of TCR and CCR in improving executive function in patients with acute-to-subacute ABI.\nDESIGN: A prospective, assessor-blinded randomized controlled trial.\nSETTING: Hospitalized care setting in the department of rehabilitation in a university hospital.\nPOPULATION: Thirty-two acute-to-subacute (less than 3 months after onset) ABI patients with executive dysfunctions were included in this study. The mean time after injury was 25.1±18.1 days.\nMETHODS: Participants were assigned to the TCR group (N.=14) or the CCR group (N.=18). Each group performed TCR or CCR for 30 minutes each day for two weeks in addition to routine rehabilitation. Neurocognitive function tests to assess complex attention, executive function, general cognitive function (mini-mental status examination [MMSE] and Montreal Cognitive Assessment [MoCA]), and functional evaluations [modified Barthel Index, MBI]) were performed at baseline (T0) and at the end of treatment (T1).\nRESULTS: The TCR and CCR groups showed significant improvements in the MMSE (P=0.004, 0.000), MoCA (P=0.003, 0.006), and MBI (P=0.000, 0.000) scores. TCR and CCR groups both showed significant improvements in some of the complex attention tests (trail-making test A, P=0.002, 0.005) and executive function tests (trail-making test B, P=0.016, 0.016). The TCR group showed significant improvements in the additional executive function tests (phonemic fluency test, P=0.004, semantic fluency test, P=0.001), while the CCR group showed significant improvements in the additional complex attention tests (symbol search, P=0.02, digit symbol coding, P=0.002). In the intergroup comparison of the changes from pre- to postintervention, only the TCR group showed a significant improvement in the phonemic fluency test (P=0.013).\nCONCLUSIONS: TCR might be more effective than CCR in improving frontal lobe-related executive function in ABI patients. CCR might be beneficial for improving psychomotor speed and working memory.\nCLINICAL REHABILITATION IMPACT: TCR or CCR should be chosen according to the targeted domain of cognitive dysfunction in acute-to-subacute ABI patients.","container-title":"European Journal of Physical and Rehabilitation Medicine","DOI":"10.23736/S1973-9087.21.06497-2","ISSN":"1973-9095","issue":"4","journalAbbreviation":"Eur J Phys Rehabil Med","language":"eng","note":"PMID: 33448753","page":"551-559","source":"PubMed","title":"The efficacy of computerized cognitive rehabilitation in improving attention and executive functions in acquired brain injury patients, in acute and postacute phase","volume":"57","author":[{"family":"Kim","given":"Ha Seong"},{"family":"Lim","given":"Kil-Byung"},{"family":"Yoo","given":"Jeehyun"},{"family":"Kim","given":"Yong Wook"},{"family":"Lee","given":"Sang Wan"},{"family":"Son","given":"Sungsik"},{"family":"Kim","given":"Changgyu"},{"family":"Kim","given":"Jiyong"}],"issued":{"date-parts":[["2021",8]]}}}],"schema":"https://github.com/citation-style-language/schema/raw/master/csl-citation.json"} </w:instrText>
            </w:r>
            <w:r w:rsidRPr="0065333F">
              <w:rPr>
                <w:color w:val="000000" w:themeColor="text1"/>
                <w:sz w:val="22"/>
                <w:szCs w:val="22"/>
              </w:rPr>
              <w:fldChar w:fldCharType="separate"/>
            </w:r>
            <w:r w:rsidR="00E15356" w:rsidRPr="0065333F">
              <w:rPr>
                <w:rFonts w:eastAsiaTheme="minorHAnsi"/>
                <w:color w:val="000000"/>
                <w:sz w:val="22"/>
                <w:vertAlign w:val="superscript"/>
                <w:lang w:val="en-US"/>
                <w14:ligatures w14:val="standardContextual"/>
              </w:rPr>
              <w:t>10</w:t>
            </w:r>
            <w:r w:rsidRPr="0065333F">
              <w:rPr>
                <w:color w:val="000000" w:themeColor="text1"/>
                <w:sz w:val="22"/>
                <w:szCs w:val="22"/>
              </w:rPr>
              <w:fldChar w:fldCharType="end"/>
            </w:r>
            <w:r w:rsidR="00201469" w:rsidRPr="0065333F">
              <w:rPr>
                <w:color w:val="000000" w:themeColor="text1"/>
                <w:sz w:val="22"/>
                <w:szCs w:val="22"/>
              </w:rPr>
              <w:t xml:space="preserve"> and Government of Canada</w:t>
            </w:r>
            <w:r w:rsidR="00201469" w:rsidRPr="0065333F">
              <w:rPr>
                <w:color w:val="000000" w:themeColor="text1"/>
                <w:sz w:val="22"/>
                <w:szCs w:val="22"/>
              </w:rPr>
              <w:fldChar w:fldCharType="begin"/>
            </w:r>
            <w:r w:rsidR="007578BA" w:rsidRPr="0065333F">
              <w:rPr>
                <w:color w:val="000000" w:themeColor="text1"/>
                <w:sz w:val="22"/>
                <w:szCs w:val="22"/>
              </w:rPr>
              <w:instrText xml:space="preserve"> ADDIN ZOTERO_ITEM CSL_CITATION {"citationID":"fo930xKz","properties":{"formattedCitation":"\\super 21\\nosupersub{}","plainCitation":"21","noteIndex":0},"citationItems":[{"id":2062,"uris":["http://zotero.org/users/8883840/items/YNJQTJ3C"],"itemData":{"id":2062,"type":"webpage","abstract":"People working as an occupational therapist (OT) in the Toronto Region usually earn between $$38.46/hour and $$65.13/hour. Whether you want to negotiate a salary, plan your career or track employment trends, you should know how much workers earn in your region. Visit Job Bank to learn more about prevailing wages throughout Canada.","language":"eng","title":"Occupational Therapist (OT) in the Toronto Region | Wages - Job Bank","URL":"http://www.jobbank.gc.ca/explore_career/job_market_report/wage_occupation_report.xhtml","author":[{"family":"Canada","given":"Employment and Social Development"}],"accessed":{"date-parts":[["2025",7,26]]}}}],"schema":"https://github.com/citation-style-language/schema/raw/master/csl-citation.json"} </w:instrText>
            </w:r>
            <w:r w:rsidR="00201469" w:rsidRPr="0065333F">
              <w:rPr>
                <w:color w:val="000000" w:themeColor="text1"/>
                <w:sz w:val="22"/>
                <w:szCs w:val="22"/>
              </w:rPr>
              <w:fldChar w:fldCharType="separate"/>
            </w:r>
            <w:r w:rsidR="00E15356" w:rsidRPr="0065333F">
              <w:rPr>
                <w:rFonts w:eastAsiaTheme="minorHAnsi"/>
                <w:color w:val="000000"/>
                <w:sz w:val="22"/>
                <w:vertAlign w:val="superscript"/>
                <w:lang w:val="en-US"/>
                <w14:ligatures w14:val="standardContextual"/>
              </w:rPr>
              <w:t>21</w:t>
            </w:r>
            <w:r w:rsidR="00201469" w:rsidRPr="0065333F">
              <w:rPr>
                <w:color w:val="000000" w:themeColor="text1"/>
                <w:sz w:val="22"/>
                <w:szCs w:val="22"/>
              </w:rPr>
              <w:fldChar w:fldCharType="end"/>
            </w:r>
          </w:p>
        </w:tc>
      </w:tr>
      <w:tr w:rsidR="00115542" w:rsidRPr="0065333F" w14:paraId="7A4BD664" w14:textId="77777777" w:rsidTr="00115542">
        <w:trPr>
          <w:trHeight w:val="1123"/>
        </w:trPr>
        <w:tc>
          <w:tcPr>
            <w:tcW w:w="2670" w:type="dxa"/>
            <w:vAlign w:val="center"/>
          </w:tcPr>
          <w:p w14:paraId="6C250B34" w14:textId="0C504705" w:rsidR="00115542" w:rsidRPr="0065333F" w:rsidRDefault="00115542" w:rsidP="00F034BC">
            <w:pPr>
              <w:rPr>
                <w:sz w:val="22"/>
                <w:szCs w:val="22"/>
              </w:rPr>
            </w:pPr>
            <w:r w:rsidRPr="0065333F">
              <w:rPr>
                <w:sz w:val="22"/>
                <w:szCs w:val="22"/>
              </w:rPr>
              <w:t>Cost of combination therapy (physical rehabilitation + cognitive training)</w:t>
            </w:r>
          </w:p>
        </w:tc>
        <w:tc>
          <w:tcPr>
            <w:tcW w:w="2670" w:type="dxa"/>
            <w:vAlign w:val="center"/>
          </w:tcPr>
          <w:p w14:paraId="642BAE4B" w14:textId="12FB197B" w:rsidR="00115542" w:rsidRPr="0065333F" w:rsidRDefault="00115542" w:rsidP="00F034BC">
            <w:pPr>
              <w:rPr>
                <w:sz w:val="22"/>
                <w:szCs w:val="22"/>
              </w:rPr>
            </w:pPr>
            <w:r w:rsidRPr="0065333F">
              <w:rPr>
                <w:sz w:val="22"/>
                <w:szCs w:val="22"/>
              </w:rPr>
              <w:t>Not applicable (no need for inflation)</w:t>
            </w:r>
          </w:p>
        </w:tc>
        <w:tc>
          <w:tcPr>
            <w:tcW w:w="2670" w:type="dxa"/>
            <w:vAlign w:val="center"/>
          </w:tcPr>
          <w:p w14:paraId="7ACA5C5E" w14:textId="1411F5D8" w:rsidR="00115542" w:rsidRPr="0065333F" w:rsidRDefault="00115542" w:rsidP="00F034BC">
            <w:pPr>
              <w:rPr>
                <w:color w:val="000000" w:themeColor="text1"/>
                <w:sz w:val="22"/>
                <w:szCs w:val="22"/>
              </w:rPr>
            </w:pPr>
            <w:r w:rsidRPr="0065333F">
              <w:rPr>
                <w:color w:val="000000" w:themeColor="text1"/>
                <w:sz w:val="22"/>
                <w:szCs w:val="22"/>
              </w:rPr>
              <w:t>$492.75</w:t>
            </w:r>
          </w:p>
        </w:tc>
        <w:tc>
          <w:tcPr>
            <w:tcW w:w="2671" w:type="dxa"/>
            <w:vAlign w:val="center"/>
          </w:tcPr>
          <w:p w14:paraId="40467C48" w14:textId="61A48BF0" w:rsidR="00650F5E" w:rsidRPr="0065333F" w:rsidRDefault="00115542" w:rsidP="00F034BC">
            <w:pPr>
              <w:rPr>
                <w:color w:val="000000" w:themeColor="text1"/>
                <w:sz w:val="22"/>
                <w:szCs w:val="22"/>
              </w:rPr>
            </w:pPr>
            <w:r w:rsidRPr="0065333F">
              <w:rPr>
                <w:color w:val="000000" w:themeColor="text1"/>
                <w:sz w:val="22"/>
                <w:szCs w:val="22"/>
              </w:rPr>
              <w:t>$</w:t>
            </w:r>
            <w:r w:rsidR="00650F5E" w:rsidRPr="0065333F">
              <w:rPr>
                <w:color w:val="000000" w:themeColor="text1"/>
                <w:sz w:val="22"/>
                <w:szCs w:val="22"/>
              </w:rPr>
              <w:t>98.55</w:t>
            </w:r>
          </w:p>
        </w:tc>
        <w:tc>
          <w:tcPr>
            <w:tcW w:w="2673" w:type="dxa"/>
            <w:vAlign w:val="center"/>
          </w:tcPr>
          <w:p w14:paraId="6B1AB2D7" w14:textId="2AA538CA" w:rsidR="00115542" w:rsidRPr="0065333F" w:rsidRDefault="00382187" w:rsidP="00F034BC">
            <w:pPr>
              <w:rPr>
                <w:color w:val="000000" w:themeColor="text1"/>
                <w:sz w:val="22"/>
                <w:szCs w:val="22"/>
              </w:rPr>
            </w:pPr>
            <w:r w:rsidRPr="0065333F">
              <w:rPr>
                <w:color w:val="000000" w:themeColor="text1"/>
                <w:sz w:val="22"/>
                <w:szCs w:val="22"/>
              </w:rPr>
              <w:t>Addition of cost</w:t>
            </w:r>
            <w:r w:rsidR="00BC546D" w:rsidRPr="0065333F">
              <w:rPr>
                <w:color w:val="000000" w:themeColor="text1"/>
                <w:sz w:val="22"/>
                <w:szCs w:val="22"/>
              </w:rPr>
              <w:t>s</w:t>
            </w:r>
            <w:r w:rsidRPr="0065333F">
              <w:rPr>
                <w:color w:val="000000" w:themeColor="text1"/>
                <w:sz w:val="22"/>
                <w:szCs w:val="22"/>
              </w:rPr>
              <w:t xml:space="preserve"> of </w:t>
            </w:r>
            <w:r w:rsidRPr="0065333F">
              <w:rPr>
                <w:sz w:val="22"/>
                <w:szCs w:val="22"/>
              </w:rPr>
              <w:t>physical rehabilitation and cognitive training</w:t>
            </w:r>
            <w:r w:rsidR="00650F5E" w:rsidRPr="0065333F">
              <w:rPr>
                <w:sz w:val="22"/>
                <w:szCs w:val="22"/>
              </w:rPr>
              <w:t xml:space="preserve"> and assuming a SD of 20%</w:t>
            </w:r>
          </w:p>
        </w:tc>
      </w:tr>
      <w:tr w:rsidR="003F22B7" w:rsidRPr="0065333F" w14:paraId="72BE1EB5" w14:textId="1188E308" w:rsidTr="00F034BC">
        <w:trPr>
          <w:trHeight w:val="266"/>
        </w:trPr>
        <w:tc>
          <w:tcPr>
            <w:tcW w:w="13354" w:type="dxa"/>
            <w:gridSpan w:val="5"/>
            <w:shd w:val="clear" w:color="auto" w:fill="BFBFBF" w:themeFill="background1" w:themeFillShade="BF"/>
            <w:vAlign w:val="center"/>
          </w:tcPr>
          <w:p w14:paraId="4B7A652D" w14:textId="5A9327D2" w:rsidR="003F22B7" w:rsidRPr="0065333F" w:rsidRDefault="003F22B7" w:rsidP="00F034BC">
            <w:pPr>
              <w:rPr>
                <w:sz w:val="22"/>
                <w:szCs w:val="22"/>
              </w:rPr>
            </w:pPr>
            <w:r w:rsidRPr="0065333F">
              <w:rPr>
                <w:sz w:val="22"/>
                <w:szCs w:val="22"/>
              </w:rPr>
              <w:t>Cost of cognitive states</w:t>
            </w:r>
          </w:p>
        </w:tc>
      </w:tr>
      <w:tr w:rsidR="00283B34" w:rsidRPr="0065333F" w14:paraId="7268819D" w14:textId="5E5F8F00" w:rsidTr="00115542">
        <w:trPr>
          <w:trHeight w:val="561"/>
        </w:trPr>
        <w:tc>
          <w:tcPr>
            <w:tcW w:w="2670" w:type="dxa"/>
            <w:vAlign w:val="center"/>
          </w:tcPr>
          <w:p w14:paraId="68506A6D" w14:textId="7CD2B939" w:rsidR="00283B34" w:rsidRPr="0065333F" w:rsidRDefault="003F22B7" w:rsidP="00F034BC">
            <w:pPr>
              <w:rPr>
                <w:color w:val="000000" w:themeColor="text1"/>
                <w:sz w:val="22"/>
                <w:szCs w:val="22"/>
              </w:rPr>
            </w:pPr>
            <w:r w:rsidRPr="0065333F">
              <w:rPr>
                <w:sz w:val="22"/>
                <w:szCs w:val="22"/>
              </w:rPr>
              <w:t>Cost of well</w:t>
            </w:r>
          </w:p>
        </w:tc>
        <w:tc>
          <w:tcPr>
            <w:tcW w:w="2670" w:type="dxa"/>
            <w:vAlign w:val="center"/>
          </w:tcPr>
          <w:p w14:paraId="35249731" w14:textId="77777777" w:rsidR="00283B34" w:rsidRPr="0065333F" w:rsidRDefault="00283B34" w:rsidP="00F034BC">
            <w:pPr>
              <w:rPr>
                <w:sz w:val="22"/>
                <w:szCs w:val="22"/>
              </w:rPr>
            </w:pPr>
            <w:r w:rsidRPr="0065333F">
              <w:rPr>
                <w:sz w:val="22"/>
                <w:szCs w:val="22"/>
              </w:rPr>
              <w:t>$6,042</w:t>
            </w:r>
          </w:p>
          <w:p w14:paraId="700FC7B0" w14:textId="5E1E2E73" w:rsidR="009B5E08" w:rsidRPr="0065333F" w:rsidRDefault="009B5E08" w:rsidP="00F034BC">
            <w:pPr>
              <w:rPr>
                <w:color w:val="000000" w:themeColor="text1"/>
                <w:sz w:val="22"/>
                <w:szCs w:val="22"/>
              </w:rPr>
            </w:pPr>
            <w:bookmarkStart w:id="1" w:name="_Hlk204444558"/>
            <w:r w:rsidRPr="0065333F">
              <w:rPr>
                <w:color w:val="000000" w:themeColor="text1"/>
                <w:sz w:val="22"/>
                <w:szCs w:val="22"/>
              </w:rPr>
              <w:t>USD, 2010</w:t>
            </w:r>
            <w:bookmarkEnd w:id="1"/>
          </w:p>
        </w:tc>
        <w:tc>
          <w:tcPr>
            <w:tcW w:w="2670" w:type="dxa"/>
            <w:vAlign w:val="center"/>
          </w:tcPr>
          <w:p w14:paraId="6A676769" w14:textId="13DD42E3" w:rsidR="00283B34" w:rsidRPr="0065333F" w:rsidRDefault="00283B34" w:rsidP="00F034BC">
            <w:pPr>
              <w:rPr>
                <w:color w:val="000000" w:themeColor="text1"/>
                <w:sz w:val="22"/>
                <w:szCs w:val="22"/>
              </w:rPr>
            </w:pPr>
            <w:r w:rsidRPr="0065333F">
              <w:rPr>
                <w:sz w:val="22"/>
                <w:szCs w:val="22"/>
              </w:rPr>
              <w:t>$11,287</w:t>
            </w:r>
          </w:p>
        </w:tc>
        <w:tc>
          <w:tcPr>
            <w:tcW w:w="2671" w:type="dxa"/>
            <w:vAlign w:val="center"/>
          </w:tcPr>
          <w:p w14:paraId="1BF71EE2" w14:textId="77777777" w:rsidR="00283B34" w:rsidRPr="0065333F" w:rsidRDefault="00283B34" w:rsidP="00F034BC">
            <w:pPr>
              <w:pStyle w:val="p1"/>
              <w:rPr>
                <w:sz w:val="22"/>
                <w:szCs w:val="22"/>
              </w:rPr>
            </w:pPr>
            <w:r w:rsidRPr="0065333F">
              <w:rPr>
                <w:sz w:val="22"/>
                <w:szCs w:val="22"/>
              </w:rPr>
              <w:t>$7,205</w:t>
            </w:r>
          </w:p>
        </w:tc>
        <w:tc>
          <w:tcPr>
            <w:tcW w:w="2673" w:type="dxa"/>
            <w:vAlign w:val="center"/>
          </w:tcPr>
          <w:p w14:paraId="12FDD6E2" w14:textId="459FE884" w:rsidR="00283B34" w:rsidRPr="0065333F" w:rsidRDefault="00283B34" w:rsidP="00F034BC">
            <w:pPr>
              <w:pStyle w:val="p1"/>
              <w:rPr>
                <w:sz w:val="22"/>
                <w:szCs w:val="22"/>
              </w:rPr>
            </w:pPr>
            <w:r w:rsidRPr="0065333F">
              <w:rPr>
                <w:color w:val="000000" w:themeColor="text1"/>
                <w:sz w:val="22"/>
                <w:szCs w:val="22"/>
              </w:rPr>
              <w:t>Leibson, 2015</w:t>
            </w:r>
            <w:r w:rsidRPr="0065333F">
              <w:rPr>
                <w:color w:val="000000" w:themeColor="text1"/>
                <w:sz w:val="22"/>
                <w:szCs w:val="22"/>
              </w:rPr>
              <w:fldChar w:fldCharType="begin"/>
            </w:r>
            <w:r w:rsidR="00201469" w:rsidRPr="0065333F">
              <w:rPr>
                <w:color w:val="000000" w:themeColor="text1"/>
                <w:sz w:val="22"/>
                <w:szCs w:val="22"/>
              </w:rPr>
              <w:instrText xml:space="preserve"> ADDIN ZOTERO_ITEM CSL_CITATION {"citationID":"qOLJqsBe","properties":{"formattedCitation":"\\super 11\\nosupersub{}","plainCitation":"11","noteIndex":0},"citationItems":[{"id":1739,"uris":["http://zotero.org/users/8883840/items/93AKJ77R"],"itemData":{"id":1739,"type":"article-journal","abstract":"BACKGROUND: Objective cost estimates and source of cost differences are needed across the spectrum of cognition, including cognitively normal (CN), mild cognitive impairment (MCI), newly discovered dementia, and prevalent dementia.\nMETHODS: Subjects were a subset of the Mayo Clinic Study of Aging stratified-random sampling of Olmsted County, MN, residents aged 70 to 89 years. A neurologist reviewed provider-linked medical records to identify prevalent dementia (review date = index). Remaining subjects were invited to participate in prospective clinical/neuropsychological assessments; participants were categorized as CN, MCI, or newly discovered dementia (assessment date = index). Costs for medical services/procedures 1-year pre-index (excluding indirect and long-term care costs) were estimated using line-item provider-linked administrative data. We estimated contributions of care-delivery site and comorbid conditions (including and excluding neuropsychiatric diagnoses) to between-category cost differences.\nRESULTS: Annual mean medical costs for CN, MCI, newly discovered dementia, and prevalent dementia were $6042, $6784, $9431, $11,678, respectively. Hospital inpatient costs contributed 70% of total costs for prevalent dementia and accounted for differences between CN and both prevalent and newly discovered dementia. Ambulatory costs accounted for differences between CN and MCI. Age-, sex-, education-adjusted differences reached significance for CN versus newly discovered and prevalent dementia and for MCI versus prevalent dementia. After considering all comorbid diagnoses, between-category differences were reduced (e.g., prevalent dementia minus MCI (from $4842 to $3575); newly discovered dementia minus CN (from $3578 to $711)). Following the exclusion of neuropsychiatric diagnoses from comorbidity adjustment, between-category differences tended to revert to greater differences.\nCONCLUSIONS: Cost estimates did not differ significantly between CN and MCI. Substantial differences between MCI and prevalent dementia reflected high inpatient costs for dementia and appear partly related to co-occurring mental disorders. Such comparisons can help inform models aimed at identifying where, when, and for which individuals proposed interventions might be cost-effective.","container-title":"Alzheimer's &amp; Dementia: The Journal of the Alzheimer's Association","DOI":"10.1016/j.jalz.2015.01.007","ISSN":"1552-5279","issue":"8","journalAbbreviation":"Alzheimers Dement","language":"eng","note":"PMID: 25858682\nPMCID: PMC4543557","page":"917-932","source":"PubMed","title":"Direct medical costs and source of cost differences across the spectrum of cognitive decline: a population-based study","title-short":"Direct medical costs and source of cost differences across the spectrum of cognitive decline","volume":"11","author":[{"family":"Leibson","given":"Cynthia L."},{"family":"Long","given":"Kirsten Hall"},{"family":"Ransom","given":"Jeanine E."},{"family":"Roberts","given":"Rosebud O."},{"family":"Hass","given":"Steven L."},{"family":"Duhig","given":"Amy M."},{"family":"Smith","given":"Carin Y."},{"family":"Emerson","given":"Jane A."},{"family":"Pankratz","given":"V. Shane"},{"family":"Petersen","given":"Ronald C."}],"issued":{"date-parts":[["2015",8]]}}}],"schema":"https://github.com/citation-style-language/schema/raw/master/csl-citation.json"} </w:instrText>
            </w:r>
            <w:r w:rsidRPr="0065333F">
              <w:rPr>
                <w:color w:val="000000" w:themeColor="text1"/>
                <w:sz w:val="22"/>
                <w:szCs w:val="22"/>
              </w:rPr>
              <w:fldChar w:fldCharType="separate"/>
            </w:r>
            <w:r w:rsidR="00E15356" w:rsidRPr="0065333F">
              <w:rPr>
                <w:rFonts w:eastAsiaTheme="minorHAnsi"/>
                <w:color w:val="000000"/>
                <w:sz w:val="22"/>
                <w:vertAlign w:val="superscript"/>
                <w:lang w:val="en-US"/>
                <w14:ligatures w14:val="standardContextual"/>
              </w:rPr>
              <w:t>11</w:t>
            </w:r>
            <w:r w:rsidRPr="0065333F">
              <w:rPr>
                <w:color w:val="000000" w:themeColor="text1"/>
                <w:sz w:val="22"/>
                <w:szCs w:val="22"/>
              </w:rPr>
              <w:fldChar w:fldCharType="end"/>
            </w:r>
          </w:p>
        </w:tc>
      </w:tr>
      <w:tr w:rsidR="00283B34" w:rsidRPr="0065333F" w14:paraId="35EF8A66" w14:textId="2F295473" w:rsidTr="00115542">
        <w:trPr>
          <w:trHeight w:val="561"/>
        </w:trPr>
        <w:tc>
          <w:tcPr>
            <w:tcW w:w="2670" w:type="dxa"/>
            <w:vAlign w:val="center"/>
          </w:tcPr>
          <w:p w14:paraId="2E41691C" w14:textId="3E28F1F9" w:rsidR="00283B34" w:rsidRPr="0065333F" w:rsidRDefault="003F22B7" w:rsidP="00F034BC">
            <w:pPr>
              <w:rPr>
                <w:color w:val="000000" w:themeColor="text1"/>
                <w:sz w:val="22"/>
                <w:szCs w:val="22"/>
              </w:rPr>
            </w:pPr>
            <w:r w:rsidRPr="0065333F">
              <w:rPr>
                <w:sz w:val="22"/>
                <w:szCs w:val="22"/>
              </w:rPr>
              <w:lastRenderedPageBreak/>
              <w:t>Cost of m</w:t>
            </w:r>
            <w:r w:rsidR="00283B34" w:rsidRPr="0065333F">
              <w:rPr>
                <w:sz w:val="22"/>
                <w:szCs w:val="22"/>
              </w:rPr>
              <w:t xml:space="preserve">ild </w:t>
            </w:r>
            <w:r w:rsidRPr="0065333F">
              <w:rPr>
                <w:sz w:val="22"/>
                <w:szCs w:val="22"/>
              </w:rPr>
              <w:t>c</w:t>
            </w:r>
            <w:r w:rsidR="00283B34" w:rsidRPr="0065333F">
              <w:rPr>
                <w:sz w:val="22"/>
                <w:szCs w:val="22"/>
              </w:rPr>
              <w:t>ognitive</w:t>
            </w:r>
            <w:r w:rsidRPr="0065333F">
              <w:rPr>
                <w:sz w:val="22"/>
                <w:szCs w:val="22"/>
              </w:rPr>
              <w:t xml:space="preserve"> i</w:t>
            </w:r>
            <w:r w:rsidR="00283B34" w:rsidRPr="0065333F">
              <w:rPr>
                <w:sz w:val="22"/>
                <w:szCs w:val="22"/>
              </w:rPr>
              <w:t>mpairment</w:t>
            </w:r>
          </w:p>
        </w:tc>
        <w:tc>
          <w:tcPr>
            <w:tcW w:w="2670" w:type="dxa"/>
            <w:vAlign w:val="center"/>
          </w:tcPr>
          <w:p w14:paraId="1AF5523E" w14:textId="77777777" w:rsidR="00283B34" w:rsidRPr="0065333F" w:rsidRDefault="00283B34" w:rsidP="00F034BC">
            <w:pPr>
              <w:rPr>
                <w:sz w:val="22"/>
                <w:szCs w:val="22"/>
              </w:rPr>
            </w:pPr>
            <w:r w:rsidRPr="0065333F">
              <w:rPr>
                <w:sz w:val="22"/>
                <w:szCs w:val="22"/>
              </w:rPr>
              <w:t>$6,784</w:t>
            </w:r>
          </w:p>
          <w:p w14:paraId="1E6A216E" w14:textId="5060CF6B" w:rsidR="009B5E08" w:rsidRPr="0065333F" w:rsidRDefault="009B5E08" w:rsidP="00F034BC">
            <w:pPr>
              <w:rPr>
                <w:color w:val="000000" w:themeColor="text1"/>
                <w:sz w:val="22"/>
                <w:szCs w:val="22"/>
              </w:rPr>
            </w:pPr>
            <w:r w:rsidRPr="0065333F">
              <w:rPr>
                <w:color w:val="000000" w:themeColor="text1"/>
                <w:sz w:val="22"/>
                <w:szCs w:val="22"/>
              </w:rPr>
              <w:t>USD, 2010</w:t>
            </w:r>
          </w:p>
        </w:tc>
        <w:tc>
          <w:tcPr>
            <w:tcW w:w="2670" w:type="dxa"/>
            <w:vAlign w:val="center"/>
          </w:tcPr>
          <w:p w14:paraId="246B35F9" w14:textId="2A5BAECC" w:rsidR="00283B34" w:rsidRPr="0065333F" w:rsidRDefault="00283B34" w:rsidP="00F034BC">
            <w:pPr>
              <w:rPr>
                <w:color w:val="000000" w:themeColor="text1"/>
                <w:sz w:val="22"/>
                <w:szCs w:val="22"/>
              </w:rPr>
            </w:pPr>
            <w:r w:rsidRPr="0065333F">
              <w:rPr>
                <w:sz w:val="22"/>
                <w:szCs w:val="22"/>
              </w:rPr>
              <w:t>$12,675</w:t>
            </w:r>
          </w:p>
        </w:tc>
        <w:tc>
          <w:tcPr>
            <w:tcW w:w="2671" w:type="dxa"/>
            <w:vAlign w:val="center"/>
          </w:tcPr>
          <w:p w14:paraId="40025E7C" w14:textId="77777777" w:rsidR="00283B34" w:rsidRPr="0065333F" w:rsidRDefault="00283B34" w:rsidP="00F034BC">
            <w:pPr>
              <w:pStyle w:val="p1"/>
              <w:rPr>
                <w:sz w:val="22"/>
                <w:szCs w:val="22"/>
              </w:rPr>
            </w:pPr>
            <w:r w:rsidRPr="0065333F">
              <w:rPr>
                <w:sz w:val="22"/>
                <w:szCs w:val="22"/>
              </w:rPr>
              <w:t>$8,345</w:t>
            </w:r>
          </w:p>
        </w:tc>
        <w:tc>
          <w:tcPr>
            <w:tcW w:w="2673" w:type="dxa"/>
            <w:vAlign w:val="center"/>
          </w:tcPr>
          <w:p w14:paraId="5F998A08" w14:textId="51B915A8" w:rsidR="00283B34" w:rsidRPr="0065333F" w:rsidRDefault="00283B34" w:rsidP="00F034BC">
            <w:pPr>
              <w:pStyle w:val="p1"/>
              <w:rPr>
                <w:sz w:val="22"/>
                <w:szCs w:val="22"/>
              </w:rPr>
            </w:pPr>
            <w:r w:rsidRPr="0065333F">
              <w:rPr>
                <w:color w:val="000000" w:themeColor="text1"/>
                <w:sz w:val="22"/>
                <w:szCs w:val="22"/>
              </w:rPr>
              <w:t>Leibson, 2015</w:t>
            </w:r>
            <w:r w:rsidRPr="0065333F">
              <w:rPr>
                <w:color w:val="000000" w:themeColor="text1"/>
                <w:sz w:val="22"/>
                <w:szCs w:val="22"/>
              </w:rPr>
              <w:fldChar w:fldCharType="begin"/>
            </w:r>
            <w:r w:rsidR="00201469" w:rsidRPr="0065333F">
              <w:rPr>
                <w:color w:val="000000" w:themeColor="text1"/>
                <w:sz w:val="22"/>
                <w:szCs w:val="22"/>
              </w:rPr>
              <w:instrText xml:space="preserve"> ADDIN ZOTERO_ITEM CSL_CITATION {"citationID":"kzRXga9E","properties":{"formattedCitation":"\\super 11\\nosupersub{}","plainCitation":"11","noteIndex":0},"citationItems":[{"id":1739,"uris":["http://zotero.org/users/8883840/items/93AKJ77R"],"itemData":{"id":1739,"type":"article-journal","abstract":"BACKGROUND: Objective cost estimates and source of cost differences are needed across the spectrum of cognition, including cognitively normal (CN), mild cognitive impairment (MCI), newly discovered dementia, and prevalent dementia.\nMETHODS: Subjects were a subset of the Mayo Clinic Study of Aging stratified-random sampling of Olmsted County, MN, residents aged 70 to 89 years. A neurologist reviewed provider-linked medical records to identify prevalent dementia (review date = index). Remaining subjects were invited to participate in prospective clinical/neuropsychological assessments; participants were categorized as CN, MCI, or newly discovered dementia (assessment date = index). Costs for medical services/procedures 1-year pre-index (excluding indirect and long-term care costs) were estimated using line-item provider-linked administrative data. We estimated contributions of care-delivery site and comorbid conditions (including and excluding neuropsychiatric diagnoses) to between-category cost differences.\nRESULTS: Annual mean medical costs for CN, MCI, newly discovered dementia, and prevalent dementia were $6042, $6784, $9431, $11,678, respectively. Hospital inpatient costs contributed 70% of total costs for prevalent dementia and accounted for differences between CN and both prevalent and newly discovered dementia. Ambulatory costs accounted for differences between CN and MCI. Age-, sex-, education-adjusted differences reached significance for CN versus newly discovered and prevalent dementia and for MCI versus prevalent dementia. After considering all comorbid diagnoses, between-category differences were reduced (e.g., prevalent dementia minus MCI (from $4842 to $3575); newly discovered dementia minus CN (from $3578 to $711)). Following the exclusion of neuropsychiatric diagnoses from comorbidity adjustment, between-category differences tended to revert to greater differences.\nCONCLUSIONS: Cost estimates did not differ significantly between CN and MCI. Substantial differences between MCI and prevalent dementia reflected high inpatient costs for dementia and appear partly related to co-occurring mental disorders. Such comparisons can help inform models aimed at identifying where, when, and for which individuals proposed interventions might be cost-effective.","container-title":"Alzheimer's &amp; Dementia: The Journal of the Alzheimer's Association","DOI":"10.1016/j.jalz.2015.01.007","ISSN":"1552-5279","issue":"8","journalAbbreviation":"Alzheimers Dement","language":"eng","note":"PMID: 25858682\nPMCID: PMC4543557","page":"917-932","source":"PubMed","title":"Direct medical costs and source of cost differences across the spectrum of cognitive decline: a population-based study","title-short":"Direct medical costs and source of cost differences across the spectrum of cognitive decline","volume":"11","author":[{"family":"Leibson","given":"Cynthia L."},{"family":"Long","given":"Kirsten Hall"},{"family":"Ransom","given":"Jeanine E."},{"family":"Roberts","given":"Rosebud O."},{"family":"Hass","given":"Steven L."},{"family":"Duhig","given":"Amy M."},{"family":"Smith","given":"Carin Y."},{"family":"Emerson","given":"Jane A."},{"family":"Pankratz","given":"V. Shane"},{"family":"Petersen","given":"Ronald C."}],"issued":{"date-parts":[["2015",8]]}}}],"schema":"https://github.com/citation-style-language/schema/raw/master/csl-citation.json"} </w:instrText>
            </w:r>
            <w:r w:rsidRPr="0065333F">
              <w:rPr>
                <w:color w:val="000000" w:themeColor="text1"/>
                <w:sz w:val="22"/>
                <w:szCs w:val="22"/>
              </w:rPr>
              <w:fldChar w:fldCharType="separate"/>
            </w:r>
            <w:r w:rsidR="00E15356" w:rsidRPr="0065333F">
              <w:rPr>
                <w:rFonts w:eastAsiaTheme="minorHAnsi"/>
                <w:color w:val="000000"/>
                <w:sz w:val="22"/>
                <w:vertAlign w:val="superscript"/>
                <w:lang w:val="en-US"/>
                <w14:ligatures w14:val="standardContextual"/>
              </w:rPr>
              <w:t>11</w:t>
            </w:r>
            <w:r w:rsidRPr="0065333F">
              <w:rPr>
                <w:color w:val="000000" w:themeColor="text1"/>
                <w:sz w:val="22"/>
                <w:szCs w:val="22"/>
              </w:rPr>
              <w:fldChar w:fldCharType="end"/>
            </w:r>
          </w:p>
        </w:tc>
      </w:tr>
      <w:tr w:rsidR="003F22B7" w:rsidRPr="0065333F" w14:paraId="07C6ECCB" w14:textId="20512EF9" w:rsidTr="00115542">
        <w:trPr>
          <w:trHeight w:val="561"/>
        </w:trPr>
        <w:tc>
          <w:tcPr>
            <w:tcW w:w="2670" w:type="dxa"/>
            <w:vAlign w:val="center"/>
          </w:tcPr>
          <w:p w14:paraId="419D2C3E" w14:textId="5CFBEE45" w:rsidR="003F22B7" w:rsidRPr="0065333F" w:rsidRDefault="003F22B7" w:rsidP="00F034BC">
            <w:pPr>
              <w:rPr>
                <w:color w:val="000000" w:themeColor="text1"/>
                <w:sz w:val="22"/>
                <w:szCs w:val="22"/>
              </w:rPr>
            </w:pPr>
            <w:r w:rsidRPr="0065333F">
              <w:rPr>
                <w:color w:val="000000" w:themeColor="text1"/>
                <w:sz w:val="22"/>
                <w:szCs w:val="22"/>
              </w:rPr>
              <w:t xml:space="preserve">Cost of mild dementia </w:t>
            </w:r>
          </w:p>
        </w:tc>
        <w:tc>
          <w:tcPr>
            <w:tcW w:w="2670" w:type="dxa"/>
            <w:vAlign w:val="center"/>
          </w:tcPr>
          <w:p w14:paraId="42B4880D" w14:textId="77777777" w:rsidR="003F22B7" w:rsidRPr="0065333F" w:rsidRDefault="003F22B7" w:rsidP="00F034BC">
            <w:pPr>
              <w:rPr>
                <w:sz w:val="22"/>
                <w:szCs w:val="22"/>
              </w:rPr>
            </w:pPr>
            <w:r w:rsidRPr="0065333F">
              <w:rPr>
                <w:sz w:val="22"/>
                <w:szCs w:val="22"/>
              </w:rPr>
              <w:t>$9,431</w:t>
            </w:r>
          </w:p>
          <w:p w14:paraId="45B72169" w14:textId="22D427AD" w:rsidR="009B5E08" w:rsidRPr="0065333F" w:rsidRDefault="009B5E08" w:rsidP="00F034BC">
            <w:pPr>
              <w:rPr>
                <w:color w:val="000000" w:themeColor="text1"/>
                <w:sz w:val="22"/>
                <w:szCs w:val="22"/>
              </w:rPr>
            </w:pPr>
            <w:r w:rsidRPr="0065333F">
              <w:rPr>
                <w:color w:val="000000" w:themeColor="text1"/>
                <w:sz w:val="22"/>
                <w:szCs w:val="22"/>
              </w:rPr>
              <w:t>USD, 2010</w:t>
            </w:r>
          </w:p>
        </w:tc>
        <w:tc>
          <w:tcPr>
            <w:tcW w:w="2670" w:type="dxa"/>
            <w:vAlign w:val="center"/>
          </w:tcPr>
          <w:p w14:paraId="43BE695D" w14:textId="1A4D81A8" w:rsidR="003F22B7" w:rsidRPr="0065333F" w:rsidRDefault="003F22B7" w:rsidP="00F034BC">
            <w:pPr>
              <w:rPr>
                <w:color w:val="000000" w:themeColor="text1"/>
                <w:sz w:val="22"/>
                <w:szCs w:val="22"/>
              </w:rPr>
            </w:pPr>
            <w:r w:rsidRPr="0065333F">
              <w:rPr>
                <w:sz w:val="22"/>
                <w:szCs w:val="22"/>
              </w:rPr>
              <w:t>$17,616</w:t>
            </w:r>
          </w:p>
        </w:tc>
        <w:tc>
          <w:tcPr>
            <w:tcW w:w="2671" w:type="dxa"/>
            <w:vAlign w:val="center"/>
          </w:tcPr>
          <w:p w14:paraId="7ADCE841" w14:textId="77777777" w:rsidR="003F22B7" w:rsidRPr="0065333F" w:rsidRDefault="003F22B7" w:rsidP="00F034BC">
            <w:pPr>
              <w:pStyle w:val="p1"/>
              <w:rPr>
                <w:sz w:val="22"/>
                <w:szCs w:val="22"/>
              </w:rPr>
            </w:pPr>
            <w:r w:rsidRPr="0065333F">
              <w:rPr>
                <w:sz w:val="22"/>
                <w:szCs w:val="22"/>
              </w:rPr>
              <w:t>$11,647</w:t>
            </w:r>
          </w:p>
        </w:tc>
        <w:tc>
          <w:tcPr>
            <w:tcW w:w="2673" w:type="dxa"/>
            <w:vAlign w:val="center"/>
          </w:tcPr>
          <w:p w14:paraId="6583C6AB" w14:textId="4DB2007E" w:rsidR="003F22B7" w:rsidRPr="0065333F" w:rsidRDefault="003F22B7" w:rsidP="00F034BC">
            <w:pPr>
              <w:pStyle w:val="p1"/>
              <w:rPr>
                <w:sz w:val="22"/>
                <w:szCs w:val="22"/>
              </w:rPr>
            </w:pPr>
            <w:r w:rsidRPr="0065333F">
              <w:rPr>
                <w:color w:val="000000" w:themeColor="text1"/>
                <w:sz w:val="22"/>
                <w:szCs w:val="22"/>
              </w:rPr>
              <w:t>Leibson, 2015</w:t>
            </w:r>
            <w:r w:rsidRPr="0065333F">
              <w:rPr>
                <w:color w:val="000000" w:themeColor="text1"/>
                <w:sz w:val="22"/>
                <w:szCs w:val="22"/>
              </w:rPr>
              <w:fldChar w:fldCharType="begin"/>
            </w:r>
            <w:r w:rsidR="00201469" w:rsidRPr="0065333F">
              <w:rPr>
                <w:color w:val="000000" w:themeColor="text1"/>
                <w:sz w:val="22"/>
                <w:szCs w:val="22"/>
              </w:rPr>
              <w:instrText xml:space="preserve"> ADDIN ZOTERO_ITEM CSL_CITATION {"citationID":"v8snqZfN","properties":{"formattedCitation":"\\super 11\\nosupersub{}","plainCitation":"11","noteIndex":0},"citationItems":[{"id":1739,"uris":["http://zotero.org/users/8883840/items/93AKJ77R"],"itemData":{"id":1739,"type":"article-journal","abstract":"BACKGROUND: Objective cost estimates and source of cost differences are needed across the spectrum of cognition, including cognitively normal (CN), mild cognitive impairment (MCI), newly discovered dementia, and prevalent dementia.\nMETHODS: Subjects were a subset of the Mayo Clinic Study of Aging stratified-random sampling of Olmsted County, MN, residents aged 70 to 89 years. A neurologist reviewed provider-linked medical records to identify prevalent dementia (review date = index). Remaining subjects were invited to participate in prospective clinical/neuropsychological assessments; participants were categorized as CN, MCI, or newly discovered dementia (assessment date = index). Costs for medical services/procedures 1-year pre-index (excluding indirect and long-term care costs) were estimated using line-item provider-linked administrative data. We estimated contributions of care-delivery site and comorbid conditions (including and excluding neuropsychiatric diagnoses) to between-category cost differences.\nRESULTS: Annual mean medical costs for CN, MCI, newly discovered dementia, and prevalent dementia were $6042, $6784, $9431, $11,678, respectively. Hospital inpatient costs contributed 70% of total costs for prevalent dementia and accounted for differences between CN and both prevalent and newly discovered dementia. Ambulatory costs accounted for differences between CN and MCI. Age-, sex-, education-adjusted differences reached significance for CN versus newly discovered and prevalent dementia and for MCI versus prevalent dementia. After considering all comorbid diagnoses, between-category differences were reduced (e.g., prevalent dementia minus MCI (from $4842 to $3575); newly discovered dementia minus CN (from $3578 to $711)). Following the exclusion of neuropsychiatric diagnoses from comorbidity adjustment, between-category differences tended to revert to greater differences.\nCONCLUSIONS: Cost estimates did not differ significantly between CN and MCI. Substantial differences between MCI and prevalent dementia reflected high inpatient costs for dementia and appear partly related to co-occurring mental disorders. Such comparisons can help inform models aimed at identifying where, when, and for which individuals proposed interventions might be cost-effective.","container-title":"Alzheimer's &amp; Dementia: The Journal of the Alzheimer's Association","DOI":"10.1016/j.jalz.2015.01.007","ISSN":"1552-5279","issue":"8","journalAbbreviation":"Alzheimers Dement","language":"eng","note":"PMID: 25858682\nPMCID: PMC4543557","page":"917-932","source":"PubMed","title":"Direct medical costs and source of cost differences across the spectrum of cognitive decline: a population-based study","title-short":"Direct medical costs and source of cost differences across the spectrum of cognitive decline","volume":"11","author":[{"family":"Leibson","given":"Cynthia L."},{"family":"Long","given":"Kirsten Hall"},{"family":"Ransom","given":"Jeanine E."},{"family":"Roberts","given":"Rosebud O."},{"family":"Hass","given":"Steven L."},{"family":"Duhig","given":"Amy M."},{"family":"Smith","given":"Carin Y."},{"family":"Emerson","given":"Jane A."},{"family":"Pankratz","given":"V. Shane"},{"family":"Petersen","given":"Ronald C."}],"issued":{"date-parts":[["2015",8]]}}}],"schema":"https://github.com/citation-style-language/schema/raw/master/csl-citation.json"} </w:instrText>
            </w:r>
            <w:r w:rsidRPr="0065333F">
              <w:rPr>
                <w:color w:val="000000" w:themeColor="text1"/>
                <w:sz w:val="22"/>
                <w:szCs w:val="22"/>
              </w:rPr>
              <w:fldChar w:fldCharType="separate"/>
            </w:r>
            <w:r w:rsidR="00E15356" w:rsidRPr="0065333F">
              <w:rPr>
                <w:rFonts w:eastAsiaTheme="minorHAnsi"/>
                <w:color w:val="000000"/>
                <w:sz w:val="22"/>
                <w:vertAlign w:val="superscript"/>
                <w:lang w:val="en-US"/>
                <w14:ligatures w14:val="standardContextual"/>
              </w:rPr>
              <w:t>11</w:t>
            </w:r>
            <w:r w:rsidRPr="0065333F">
              <w:rPr>
                <w:color w:val="000000" w:themeColor="text1"/>
                <w:sz w:val="22"/>
                <w:szCs w:val="22"/>
              </w:rPr>
              <w:fldChar w:fldCharType="end"/>
            </w:r>
          </w:p>
        </w:tc>
      </w:tr>
      <w:tr w:rsidR="003F22B7" w:rsidRPr="0065333F" w14:paraId="562B62DD" w14:textId="0B698184" w:rsidTr="00115542">
        <w:trPr>
          <w:trHeight w:val="547"/>
        </w:trPr>
        <w:tc>
          <w:tcPr>
            <w:tcW w:w="2670" w:type="dxa"/>
            <w:vAlign w:val="center"/>
          </w:tcPr>
          <w:p w14:paraId="7576DFDD" w14:textId="3740F45F" w:rsidR="003F22B7" w:rsidRPr="0065333F" w:rsidRDefault="003F22B7" w:rsidP="00F034BC">
            <w:pPr>
              <w:rPr>
                <w:color w:val="000000" w:themeColor="text1"/>
                <w:sz w:val="22"/>
                <w:szCs w:val="22"/>
              </w:rPr>
            </w:pPr>
            <w:r w:rsidRPr="0065333F">
              <w:rPr>
                <w:color w:val="000000" w:themeColor="text1"/>
                <w:sz w:val="22"/>
                <w:szCs w:val="22"/>
              </w:rPr>
              <w:t>Cost of advanced dementia</w:t>
            </w:r>
          </w:p>
        </w:tc>
        <w:tc>
          <w:tcPr>
            <w:tcW w:w="2670" w:type="dxa"/>
            <w:vAlign w:val="center"/>
          </w:tcPr>
          <w:p w14:paraId="4960FCBE" w14:textId="77777777" w:rsidR="003F22B7" w:rsidRPr="0065333F" w:rsidRDefault="003F22B7" w:rsidP="00F034BC">
            <w:pPr>
              <w:rPr>
                <w:sz w:val="22"/>
                <w:szCs w:val="22"/>
              </w:rPr>
            </w:pPr>
            <w:r w:rsidRPr="0065333F">
              <w:rPr>
                <w:sz w:val="22"/>
                <w:szCs w:val="22"/>
              </w:rPr>
              <w:t>$11,678</w:t>
            </w:r>
          </w:p>
          <w:p w14:paraId="6C77235C" w14:textId="28CCDF8A" w:rsidR="009B5E08" w:rsidRPr="0065333F" w:rsidRDefault="009B5E08" w:rsidP="00F034BC">
            <w:pPr>
              <w:rPr>
                <w:color w:val="000000" w:themeColor="text1"/>
                <w:sz w:val="22"/>
                <w:szCs w:val="22"/>
              </w:rPr>
            </w:pPr>
            <w:r w:rsidRPr="0065333F">
              <w:rPr>
                <w:color w:val="000000" w:themeColor="text1"/>
                <w:sz w:val="22"/>
                <w:szCs w:val="22"/>
              </w:rPr>
              <w:t>USD, 2010</w:t>
            </w:r>
          </w:p>
        </w:tc>
        <w:tc>
          <w:tcPr>
            <w:tcW w:w="2670" w:type="dxa"/>
            <w:vAlign w:val="center"/>
          </w:tcPr>
          <w:p w14:paraId="253A785D" w14:textId="2A73D0B1" w:rsidR="003F22B7" w:rsidRPr="0065333F" w:rsidRDefault="003F22B7" w:rsidP="00F034BC">
            <w:pPr>
              <w:rPr>
                <w:color w:val="000000" w:themeColor="text1"/>
                <w:sz w:val="22"/>
                <w:szCs w:val="22"/>
              </w:rPr>
            </w:pPr>
            <w:r w:rsidRPr="0065333F">
              <w:rPr>
                <w:sz w:val="22"/>
                <w:szCs w:val="22"/>
              </w:rPr>
              <w:t>$21,818</w:t>
            </w:r>
          </w:p>
        </w:tc>
        <w:tc>
          <w:tcPr>
            <w:tcW w:w="2671" w:type="dxa"/>
            <w:vAlign w:val="center"/>
          </w:tcPr>
          <w:p w14:paraId="4F283FFB" w14:textId="77777777" w:rsidR="003F22B7" w:rsidRPr="0065333F" w:rsidRDefault="003F22B7" w:rsidP="00F034BC">
            <w:pPr>
              <w:pStyle w:val="p1"/>
              <w:rPr>
                <w:sz w:val="22"/>
                <w:szCs w:val="22"/>
              </w:rPr>
            </w:pPr>
            <w:r w:rsidRPr="0065333F">
              <w:rPr>
                <w:sz w:val="22"/>
                <w:szCs w:val="22"/>
              </w:rPr>
              <w:t>$14,291</w:t>
            </w:r>
          </w:p>
        </w:tc>
        <w:tc>
          <w:tcPr>
            <w:tcW w:w="2673" w:type="dxa"/>
            <w:vAlign w:val="center"/>
          </w:tcPr>
          <w:p w14:paraId="699A4DF0" w14:textId="49B8D8FE" w:rsidR="003F22B7" w:rsidRPr="0065333F" w:rsidRDefault="003F22B7" w:rsidP="00F034BC">
            <w:pPr>
              <w:pStyle w:val="p1"/>
              <w:rPr>
                <w:sz w:val="22"/>
                <w:szCs w:val="22"/>
              </w:rPr>
            </w:pPr>
            <w:r w:rsidRPr="0065333F">
              <w:rPr>
                <w:color w:val="000000" w:themeColor="text1"/>
                <w:sz w:val="22"/>
                <w:szCs w:val="22"/>
              </w:rPr>
              <w:t>Leibson, 2015</w:t>
            </w:r>
            <w:r w:rsidRPr="0065333F">
              <w:rPr>
                <w:color w:val="000000" w:themeColor="text1"/>
                <w:sz w:val="22"/>
                <w:szCs w:val="22"/>
              </w:rPr>
              <w:fldChar w:fldCharType="begin"/>
            </w:r>
            <w:r w:rsidR="00201469" w:rsidRPr="0065333F">
              <w:rPr>
                <w:color w:val="000000" w:themeColor="text1"/>
                <w:sz w:val="22"/>
                <w:szCs w:val="22"/>
              </w:rPr>
              <w:instrText xml:space="preserve"> ADDIN ZOTERO_ITEM CSL_CITATION {"citationID":"E4NkY93g","properties":{"formattedCitation":"\\super 11\\nosupersub{}","plainCitation":"11","noteIndex":0},"citationItems":[{"id":1739,"uris":["http://zotero.org/users/8883840/items/93AKJ77R"],"itemData":{"id":1739,"type":"article-journal","abstract":"BACKGROUND: Objective cost estimates and source of cost differences are needed across the spectrum of cognition, including cognitively normal (CN), mild cognitive impairment (MCI), newly discovered dementia, and prevalent dementia.\nMETHODS: Subjects were a subset of the Mayo Clinic Study of Aging stratified-random sampling of Olmsted County, MN, residents aged 70 to 89 years. A neurologist reviewed provider-linked medical records to identify prevalent dementia (review date = index). Remaining subjects were invited to participate in prospective clinical/neuropsychological assessments; participants were categorized as CN, MCI, or newly discovered dementia (assessment date = index). Costs for medical services/procedures 1-year pre-index (excluding indirect and long-term care costs) were estimated using line-item provider-linked administrative data. We estimated contributions of care-delivery site and comorbid conditions (including and excluding neuropsychiatric diagnoses) to between-category cost differences.\nRESULTS: Annual mean medical costs for CN, MCI, newly discovered dementia, and prevalent dementia were $6042, $6784, $9431, $11,678, respectively. Hospital inpatient costs contributed 70% of total costs for prevalent dementia and accounted for differences between CN and both prevalent and newly discovered dementia. Ambulatory costs accounted for differences between CN and MCI. Age-, sex-, education-adjusted differences reached significance for CN versus newly discovered and prevalent dementia and for MCI versus prevalent dementia. After considering all comorbid diagnoses, between-category differences were reduced (e.g., prevalent dementia minus MCI (from $4842 to $3575); newly discovered dementia minus CN (from $3578 to $711)). Following the exclusion of neuropsychiatric diagnoses from comorbidity adjustment, between-category differences tended to revert to greater differences.\nCONCLUSIONS: Cost estimates did not differ significantly between CN and MCI. Substantial differences between MCI and prevalent dementia reflected high inpatient costs for dementia and appear partly related to co-occurring mental disorders. Such comparisons can help inform models aimed at identifying where, when, and for which individuals proposed interventions might be cost-effective.","container-title":"Alzheimer's &amp; Dementia: The Journal of the Alzheimer's Association","DOI":"10.1016/j.jalz.2015.01.007","ISSN":"1552-5279","issue":"8","journalAbbreviation":"Alzheimers Dement","language":"eng","note":"PMID: 25858682\nPMCID: PMC4543557","page":"917-932","source":"PubMed","title":"Direct medical costs and source of cost differences across the spectrum of cognitive decline: a population-based study","title-short":"Direct medical costs and source of cost differences across the spectrum of cognitive decline","volume":"11","author":[{"family":"Leibson","given":"Cynthia L."},{"family":"Long","given":"Kirsten Hall"},{"family":"Ransom","given":"Jeanine E."},{"family":"Roberts","given":"Rosebud O."},{"family":"Hass","given":"Steven L."},{"family":"Duhig","given":"Amy M."},{"family":"Smith","given":"Carin Y."},{"family":"Emerson","given":"Jane A."},{"family":"Pankratz","given":"V. Shane"},{"family":"Petersen","given":"Ronald C."}],"issued":{"date-parts":[["2015",8]]}}}],"schema":"https://github.com/citation-style-language/schema/raw/master/csl-citation.json"} </w:instrText>
            </w:r>
            <w:r w:rsidRPr="0065333F">
              <w:rPr>
                <w:color w:val="000000" w:themeColor="text1"/>
                <w:sz w:val="22"/>
                <w:szCs w:val="22"/>
              </w:rPr>
              <w:fldChar w:fldCharType="separate"/>
            </w:r>
            <w:r w:rsidR="00E15356" w:rsidRPr="0065333F">
              <w:rPr>
                <w:rFonts w:eastAsiaTheme="minorHAnsi"/>
                <w:color w:val="000000"/>
                <w:sz w:val="22"/>
                <w:vertAlign w:val="superscript"/>
                <w:lang w:val="en-US"/>
                <w14:ligatures w14:val="standardContextual"/>
              </w:rPr>
              <w:t>11</w:t>
            </w:r>
            <w:r w:rsidRPr="0065333F">
              <w:rPr>
                <w:color w:val="000000" w:themeColor="text1"/>
                <w:sz w:val="22"/>
                <w:szCs w:val="22"/>
              </w:rPr>
              <w:fldChar w:fldCharType="end"/>
            </w:r>
          </w:p>
        </w:tc>
      </w:tr>
    </w:tbl>
    <w:p w14:paraId="755029F3" w14:textId="77777777" w:rsidR="00C61702" w:rsidRPr="0065333F" w:rsidRDefault="00C61702"/>
    <w:p w14:paraId="58504D49" w14:textId="67614B12" w:rsidR="00990E54" w:rsidRDefault="00990E54">
      <w:pPr>
        <w:rPr>
          <w:b/>
          <w:bCs/>
        </w:rPr>
      </w:pPr>
      <w:r w:rsidRPr="0065333F">
        <w:rPr>
          <w:b/>
          <w:bCs/>
        </w:rPr>
        <w:t xml:space="preserve">Appendix </w:t>
      </w:r>
      <w:r w:rsidR="00750EC3">
        <w:rPr>
          <w:b/>
          <w:bCs/>
        </w:rPr>
        <w:t>5</w:t>
      </w:r>
      <w:r w:rsidRPr="0065333F">
        <w:rPr>
          <w:b/>
          <w:bCs/>
        </w:rPr>
        <w:t>.</w:t>
      </w:r>
      <w:r w:rsidR="00D75F4D">
        <w:rPr>
          <w:b/>
          <w:bCs/>
        </w:rPr>
        <w:t xml:space="preserve"> Sample size</w:t>
      </w:r>
    </w:p>
    <w:tbl>
      <w:tblPr>
        <w:tblStyle w:val="TableGridLight"/>
        <w:tblW w:w="0" w:type="auto"/>
        <w:tblLook w:val="04A0" w:firstRow="1" w:lastRow="0" w:firstColumn="1" w:lastColumn="0" w:noHBand="0" w:noVBand="1"/>
      </w:tblPr>
      <w:tblGrid>
        <w:gridCol w:w="6475"/>
        <w:gridCol w:w="6475"/>
      </w:tblGrid>
      <w:tr w:rsidR="007D70C6" w14:paraId="0674E509" w14:textId="77777777" w:rsidTr="007D70C6">
        <w:tc>
          <w:tcPr>
            <w:tcW w:w="6475" w:type="dxa"/>
          </w:tcPr>
          <w:p w14:paraId="1D1EB7F6" w14:textId="77777777" w:rsidR="007D70C6" w:rsidRDefault="007D70C6" w:rsidP="00CA00B0">
            <w:pPr>
              <w:rPr>
                <w:b/>
                <w:bCs/>
              </w:rPr>
            </w:pPr>
            <w:r>
              <w:rPr>
                <w:noProof/>
                <w14:ligatures w14:val="standardContextual"/>
              </w:rPr>
              <w:drawing>
                <wp:inline distT="0" distB="0" distL="0" distR="0" wp14:anchorId="4D833C05" wp14:editId="0BC89C56">
                  <wp:extent cx="3792793" cy="2359660"/>
                  <wp:effectExtent l="0" t="0" r="5080" b="2540"/>
                  <wp:docPr id="1872891139" name="Picture 1"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91139" name="Picture 1" descr="A graph with a line and a lin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1622" cy="2470917"/>
                          </a:xfrm>
                          <a:prstGeom prst="rect">
                            <a:avLst/>
                          </a:prstGeom>
                        </pic:spPr>
                      </pic:pic>
                    </a:graphicData>
                  </a:graphic>
                </wp:inline>
              </w:drawing>
            </w:r>
          </w:p>
          <w:p w14:paraId="3E841702" w14:textId="77777777" w:rsidR="007D70C6" w:rsidRDefault="007D70C6" w:rsidP="00CA00B0">
            <w:pPr>
              <w:rPr>
                <w:b/>
                <w:bCs/>
              </w:rPr>
            </w:pPr>
            <w:r>
              <w:rPr>
                <w:b/>
                <w:bCs/>
              </w:rPr>
              <w:t>Number of first order iterations (trials)</w:t>
            </w:r>
          </w:p>
        </w:tc>
        <w:tc>
          <w:tcPr>
            <w:tcW w:w="6475" w:type="dxa"/>
          </w:tcPr>
          <w:p w14:paraId="6C737BDE" w14:textId="77777777" w:rsidR="007D70C6" w:rsidRDefault="007D70C6" w:rsidP="00CA00B0">
            <w:pPr>
              <w:rPr>
                <w:b/>
                <w:bCs/>
              </w:rPr>
            </w:pPr>
            <w:r>
              <w:rPr>
                <w:noProof/>
                <w14:ligatures w14:val="standardContextual"/>
              </w:rPr>
              <w:drawing>
                <wp:inline distT="0" distB="0" distL="0" distR="0" wp14:anchorId="7AA3875A" wp14:editId="386813B3">
                  <wp:extent cx="3256156" cy="2360094"/>
                  <wp:effectExtent l="0" t="0" r="0" b="2540"/>
                  <wp:docPr id="581971728" name="Picture 2" descr="A graph with a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71728" name="Picture 2" descr="A graph with a line and numbers&#10;&#10;AI-generated content may be incorrect."/>
                          <pic:cNvPicPr/>
                        </pic:nvPicPr>
                        <pic:blipFill rotWithShape="1">
                          <a:blip r:embed="rId10" cstate="print">
                            <a:extLst>
                              <a:ext uri="{28A0092B-C50C-407E-A947-70E740481C1C}">
                                <a14:useLocalDpi xmlns:a14="http://schemas.microsoft.com/office/drawing/2010/main" val="0"/>
                              </a:ext>
                            </a:extLst>
                          </a:blip>
                          <a:srcRect l="749" t="1899" r="1284" b="1174"/>
                          <a:stretch>
                            <a:fillRect/>
                          </a:stretch>
                        </pic:blipFill>
                        <pic:spPr bwMode="auto">
                          <a:xfrm>
                            <a:off x="0" y="0"/>
                            <a:ext cx="3324086" cy="2409330"/>
                          </a:xfrm>
                          <a:prstGeom prst="rect">
                            <a:avLst/>
                          </a:prstGeom>
                          <a:ln>
                            <a:noFill/>
                          </a:ln>
                          <a:extLst>
                            <a:ext uri="{53640926-AAD7-44D8-BBD7-CCE9431645EC}">
                              <a14:shadowObscured xmlns:a14="http://schemas.microsoft.com/office/drawing/2010/main"/>
                            </a:ext>
                          </a:extLst>
                        </pic:spPr>
                      </pic:pic>
                    </a:graphicData>
                  </a:graphic>
                </wp:inline>
              </w:drawing>
            </w:r>
          </w:p>
          <w:p w14:paraId="2563F32E" w14:textId="77777777" w:rsidR="007D70C6" w:rsidRDefault="007D70C6" w:rsidP="00CA00B0">
            <w:pPr>
              <w:rPr>
                <w:b/>
                <w:bCs/>
              </w:rPr>
            </w:pPr>
            <w:r>
              <w:rPr>
                <w:b/>
                <w:bCs/>
              </w:rPr>
              <w:t>Number of second order iterations (samples)</w:t>
            </w:r>
          </w:p>
        </w:tc>
      </w:tr>
    </w:tbl>
    <w:p w14:paraId="6711E6B0" w14:textId="07783B54" w:rsidR="00D75F4D" w:rsidRDefault="00D75F4D">
      <w:r>
        <w:t>The number of first- and second-order iterations for the model analysis were determined according to the stability of average NMB estimates by running samples of different first- and second-order iterations while holding the other constant</w:t>
      </w:r>
      <w:r w:rsidR="00C100AF">
        <w:t>.</w:t>
      </w:r>
    </w:p>
    <w:p w14:paraId="1352EB2B" w14:textId="38931D21" w:rsidR="00CF5D06" w:rsidRPr="00C100AF" w:rsidRDefault="00990E54" w:rsidP="00C100AF">
      <w:pPr>
        <w:pStyle w:val="Heading2"/>
        <w:rPr>
          <w:rFonts w:ascii="Times New Roman" w:hAnsi="Times New Roman" w:cs="Times New Roman"/>
          <w:b/>
          <w:bCs/>
          <w:color w:val="000000" w:themeColor="text1"/>
          <w:sz w:val="24"/>
          <w:szCs w:val="24"/>
        </w:rPr>
      </w:pPr>
      <w:r w:rsidRPr="00C100AF">
        <w:rPr>
          <w:rFonts w:ascii="Times New Roman" w:hAnsi="Times New Roman" w:cs="Times New Roman"/>
          <w:b/>
          <w:bCs/>
          <w:color w:val="000000" w:themeColor="text1"/>
          <w:sz w:val="24"/>
          <w:szCs w:val="24"/>
        </w:rPr>
        <w:t xml:space="preserve">Appendix </w:t>
      </w:r>
      <w:r w:rsidR="00750EC3">
        <w:rPr>
          <w:rFonts w:ascii="Times New Roman" w:hAnsi="Times New Roman" w:cs="Times New Roman"/>
          <w:b/>
          <w:bCs/>
          <w:color w:val="000000" w:themeColor="text1"/>
          <w:sz w:val="24"/>
          <w:szCs w:val="24"/>
        </w:rPr>
        <w:t>6</w:t>
      </w:r>
      <w:r w:rsidRPr="00C100AF">
        <w:rPr>
          <w:rFonts w:ascii="Times New Roman" w:hAnsi="Times New Roman" w:cs="Times New Roman"/>
          <w:b/>
          <w:bCs/>
          <w:color w:val="000000" w:themeColor="text1"/>
          <w:sz w:val="24"/>
          <w:szCs w:val="24"/>
        </w:rPr>
        <w:t>.</w:t>
      </w:r>
      <w:r w:rsidR="00D70945" w:rsidRPr="00C100AF">
        <w:rPr>
          <w:rFonts w:ascii="Times New Roman" w:hAnsi="Times New Roman" w:cs="Times New Roman"/>
          <w:b/>
          <w:bCs/>
          <w:color w:val="000000" w:themeColor="text1"/>
          <w:sz w:val="24"/>
          <w:szCs w:val="24"/>
        </w:rPr>
        <w:t xml:space="preserve"> Expected value of perfect information (EVPI) across cost-effectiveness thresholds (λ) expressed in cost per quality adjusted life year (QALY).</w:t>
      </w:r>
    </w:p>
    <w:tbl>
      <w:tblPr>
        <w:tblStyle w:val="TableGrid"/>
        <w:tblW w:w="0" w:type="auto"/>
        <w:tblLook w:val="04A0" w:firstRow="1" w:lastRow="0" w:firstColumn="1" w:lastColumn="0" w:noHBand="0" w:noVBand="1"/>
      </w:tblPr>
      <w:tblGrid>
        <w:gridCol w:w="4320"/>
        <w:gridCol w:w="4320"/>
      </w:tblGrid>
      <w:tr w:rsidR="00C100AF" w:rsidRPr="00C100AF" w14:paraId="0D98EAF0" w14:textId="77777777" w:rsidTr="00C100AF">
        <w:tc>
          <w:tcPr>
            <w:tcW w:w="4320" w:type="dxa"/>
            <w:shd w:val="clear" w:color="auto" w:fill="D9D9D9" w:themeFill="background1" w:themeFillShade="D9"/>
          </w:tcPr>
          <w:p w14:paraId="7C4489ED" w14:textId="72D00610" w:rsidR="00C100AF" w:rsidRPr="00C100AF" w:rsidRDefault="00C100AF" w:rsidP="004B7290">
            <w:pPr>
              <w:rPr>
                <w:b/>
                <w:bCs/>
                <w:sz w:val="20"/>
                <w:szCs w:val="20"/>
              </w:rPr>
            </w:pPr>
            <w:r w:rsidRPr="00C100AF">
              <w:rPr>
                <w:b/>
                <w:bCs/>
                <w:sz w:val="20"/>
                <w:szCs w:val="20"/>
              </w:rPr>
              <w:t>Cost-effectiveness threshold (C$/QALY)</w:t>
            </w:r>
          </w:p>
        </w:tc>
        <w:tc>
          <w:tcPr>
            <w:tcW w:w="4320" w:type="dxa"/>
            <w:shd w:val="clear" w:color="auto" w:fill="D9D9D9" w:themeFill="background1" w:themeFillShade="D9"/>
          </w:tcPr>
          <w:p w14:paraId="6C6C30CC" w14:textId="77777777" w:rsidR="00C100AF" w:rsidRPr="00C100AF" w:rsidRDefault="00C100AF" w:rsidP="004B7290">
            <w:pPr>
              <w:rPr>
                <w:b/>
                <w:bCs/>
                <w:sz w:val="20"/>
                <w:szCs w:val="20"/>
              </w:rPr>
            </w:pPr>
            <w:r w:rsidRPr="00C100AF">
              <w:rPr>
                <w:b/>
                <w:bCs/>
                <w:sz w:val="20"/>
                <w:szCs w:val="20"/>
              </w:rPr>
              <w:t>EVPI (C$ per person)</w:t>
            </w:r>
          </w:p>
        </w:tc>
      </w:tr>
      <w:tr w:rsidR="00C100AF" w:rsidRPr="00C100AF" w14:paraId="352D71CB" w14:textId="77777777" w:rsidTr="004B7290">
        <w:tc>
          <w:tcPr>
            <w:tcW w:w="4320" w:type="dxa"/>
          </w:tcPr>
          <w:p w14:paraId="3E79B129" w14:textId="77777777" w:rsidR="00C100AF" w:rsidRPr="00C100AF" w:rsidRDefault="00C100AF" w:rsidP="004B7290">
            <w:pPr>
              <w:rPr>
                <w:sz w:val="20"/>
                <w:szCs w:val="20"/>
              </w:rPr>
            </w:pPr>
            <w:r w:rsidRPr="00C100AF">
              <w:rPr>
                <w:sz w:val="20"/>
                <w:szCs w:val="20"/>
              </w:rPr>
              <w:t>0.00</w:t>
            </w:r>
          </w:p>
        </w:tc>
        <w:tc>
          <w:tcPr>
            <w:tcW w:w="4320" w:type="dxa"/>
          </w:tcPr>
          <w:p w14:paraId="5D8E3FAB" w14:textId="77777777" w:rsidR="00C100AF" w:rsidRPr="00C100AF" w:rsidRDefault="00C100AF" w:rsidP="004B7290">
            <w:pPr>
              <w:rPr>
                <w:sz w:val="20"/>
                <w:szCs w:val="20"/>
              </w:rPr>
            </w:pPr>
            <w:r w:rsidRPr="00C100AF">
              <w:rPr>
                <w:sz w:val="20"/>
                <w:szCs w:val="20"/>
              </w:rPr>
              <w:t>0.9</w:t>
            </w:r>
          </w:p>
        </w:tc>
      </w:tr>
      <w:tr w:rsidR="00C100AF" w:rsidRPr="00C100AF" w14:paraId="0C5154C7" w14:textId="77777777" w:rsidTr="004B7290">
        <w:tc>
          <w:tcPr>
            <w:tcW w:w="4320" w:type="dxa"/>
          </w:tcPr>
          <w:p w14:paraId="2B733717" w14:textId="77777777" w:rsidR="00C100AF" w:rsidRPr="00C100AF" w:rsidRDefault="00C100AF" w:rsidP="004B7290">
            <w:pPr>
              <w:rPr>
                <w:sz w:val="20"/>
                <w:szCs w:val="20"/>
              </w:rPr>
            </w:pPr>
            <w:r w:rsidRPr="00C100AF">
              <w:rPr>
                <w:sz w:val="20"/>
                <w:szCs w:val="20"/>
              </w:rPr>
              <w:t>2500.00</w:t>
            </w:r>
          </w:p>
        </w:tc>
        <w:tc>
          <w:tcPr>
            <w:tcW w:w="4320" w:type="dxa"/>
          </w:tcPr>
          <w:p w14:paraId="7E1525A0" w14:textId="77777777" w:rsidR="00C100AF" w:rsidRPr="00C100AF" w:rsidRDefault="00C100AF" w:rsidP="004B7290">
            <w:pPr>
              <w:rPr>
                <w:sz w:val="20"/>
                <w:szCs w:val="20"/>
              </w:rPr>
            </w:pPr>
            <w:r w:rsidRPr="00C100AF">
              <w:rPr>
                <w:sz w:val="20"/>
                <w:szCs w:val="20"/>
              </w:rPr>
              <w:t>9.2</w:t>
            </w:r>
          </w:p>
        </w:tc>
      </w:tr>
      <w:tr w:rsidR="00C100AF" w:rsidRPr="00C100AF" w14:paraId="351FA736" w14:textId="77777777" w:rsidTr="004B7290">
        <w:tc>
          <w:tcPr>
            <w:tcW w:w="4320" w:type="dxa"/>
          </w:tcPr>
          <w:p w14:paraId="272E0E1E" w14:textId="77777777" w:rsidR="00C100AF" w:rsidRPr="00C100AF" w:rsidRDefault="00C100AF" w:rsidP="004B7290">
            <w:pPr>
              <w:rPr>
                <w:sz w:val="20"/>
                <w:szCs w:val="20"/>
              </w:rPr>
            </w:pPr>
            <w:r w:rsidRPr="00C100AF">
              <w:rPr>
                <w:sz w:val="20"/>
                <w:szCs w:val="20"/>
              </w:rPr>
              <w:t>5000.00</w:t>
            </w:r>
          </w:p>
        </w:tc>
        <w:tc>
          <w:tcPr>
            <w:tcW w:w="4320" w:type="dxa"/>
          </w:tcPr>
          <w:p w14:paraId="2CE054BD" w14:textId="77777777" w:rsidR="00C100AF" w:rsidRPr="00C100AF" w:rsidRDefault="00C100AF" w:rsidP="004B7290">
            <w:pPr>
              <w:rPr>
                <w:sz w:val="20"/>
                <w:szCs w:val="20"/>
              </w:rPr>
            </w:pPr>
            <w:r w:rsidRPr="00C100AF">
              <w:rPr>
                <w:sz w:val="20"/>
                <w:szCs w:val="20"/>
              </w:rPr>
              <w:t>194.4</w:t>
            </w:r>
          </w:p>
        </w:tc>
      </w:tr>
      <w:tr w:rsidR="00C100AF" w:rsidRPr="00C100AF" w14:paraId="0238D4F6" w14:textId="77777777" w:rsidTr="004B7290">
        <w:tc>
          <w:tcPr>
            <w:tcW w:w="4320" w:type="dxa"/>
          </w:tcPr>
          <w:p w14:paraId="1A5E8036" w14:textId="77777777" w:rsidR="00C100AF" w:rsidRPr="00C100AF" w:rsidRDefault="00C100AF" w:rsidP="004B7290">
            <w:pPr>
              <w:rPr>
                <w:sz w:val="20"/>
                <w:szCs w:val="20"/>
              </w:rPr>
            </w:pPr>
            <w:r w:rsidRPr="00C100AF">
              <w:rPr>
                <w:sz w:val="20"/>
                <w:szCs w:val="20"/>
              </w:rPr>
              <w:t>7500.00</w:t>
            </w:r>
          </w:p>
        </w:tc>
        <w:tc>
          <w:tcPr>
            <w:tcW w:w="4320" w:type="dxa"/>
          </w:tcPr>
          <w:p w14:paraId="366956EF" w14:textId="77777777" w:rsidR="00C100AF" w:rsidRPr="00C100AF" w:rsidRDefault="00C100AF" w:rsidP="004B7290">
            <w:pPr>
              <w:rPr>
                <w:sz w:val="20"/>
                <w:szCs w:val="20"/>
              </w:rPr>
            </w:pPr>
            <w:r w:rsidRPr="00C100AF">
              <w:rPr>
                <w:sz w:val="20"/>
                <w:szCs w:val="20"/>
              </w:rPr>
              <w:t>838.5</w:t>
            </w:r>
          </w:p>
        </w:tc>
      </w:tr>
      <w:tr w:rsidR="00C100AF" w:rsidRPr="00C100AF" w14:paraId="2FC64899" w14:textId="77777777" w:rsidTr="004B7290">
        <w:tc>
          <w:tcPr>
            <w:tcW w:w="4320" w:type="dxa"/>
          </w:tcPr>
          <w:p w14:paraId="594E9571" w14:textId="77777777" w:rsidR="00C100AF" w:rsidRPr="00C100AF" w:rsidRDefault="00C100AF" w:rsidP="004B7290">
            <w:pPr>
              <w:rPr>
                <w:sz w:val="20"/>
                <w:szCs w:val="20"/>
              </w:rPr>
            </w:pPr>
            <w:r w:rsidRPr="00C100AF">
              <w:rPr>
                <w:sz w:val="20"/>
                <w:szCs w:val="20"/>
              </w:rPr>
              <w:t>10000.00</w:t>
            </w:r>
          </w:p>
        </w:tc>
        <w:tc>
          <w:tcPr>
            <w:tcW w:w="4320" w:type="dxa"/>
          </w:tcPr>
          <w:p w14:paraId="36C7F31C" w14:textId="77777777" w:rsidR="00C100AF" w:rsidRPr="00C100AF" w:rsidRDefault="00C100AF" w:rsidP="004B7290">
            <w:pPr>
              <w:rPr>
                <w:sz w:val="20"/>
                <w:szCs w:val="20"/>
              </w:rPr>
            </w:pPr>
            <w:r w:rsidRPr="00C100AF">
              <w:rPr>
                <w:sz w:val="20"/>
                <w:szCs w:val="20"/>
              </w:rPr>
              <w:t>2106.6</w:t>
            </w:r>
          </w:p>
        </w:tc>
      </w:tr>
      <w:tr w:rsidR="00C100AF" w:rsidRPr="00C100AF" w14:paraId="7AF0A679" w14:textId="77777777" w:rsidTr="004B7290">
        <w:tc>
          <w:tcPr>
            <w:tcW w:w="4320" w:type="dxa"/>
          </w:tcPr>
          <w:p w14:paraId="64DBDDBC" w14:textId="77777777" w:rsidR="00C100AF" w:rsidRPr="00C100AF" w:rsidRDefault="00C100AF" w:rsidP="004B7290">
            <w:pPr>
              <w:rPr>
                <w:sz w:val="20"/>
                <w:szCs w:val="20"/>
              </w:rPr>
            </w:pPr>
            <w:r w:rsidRPr="00C100AF">
              <w:rPr>
                <w:sz w:val="20"/>
                <w:szCs w:val="20"/>
              </w:rPr>
              <w:t>12500.00</w:t>
            </w:r>
          </w:p>
        </w:tc>
        <w:tc>
          <w:tcPr>
            <w:tcW w:w="4320" w:type="dxa"/>
          </w:tcPr>
          <w:p w14:paraId="61D6726D" w14:textId="77777777" w:rsidR="00C100AF" w:rsidRPr="00C100AF" w:rsidRDefault="00C100AF" w:rsidP="004B7290">
            <w:pPr>
              <w:rPr>
                <w:sz w:val="20"/>
                <w:szCs w:val="20"/>
              </w:rPr>
            </w:pPr>
            <w:r w:rsidRPr="00C100AF">
              <w:rPr>
                <w:sz w:val="20"/>
                <w:szCs w:val="20"/>
              </w:rPr>
              <w:t>4050.5</w:t>
            </w:r>
          </w:p>
        </w:tc>
      </w:tr>
      <w:tr w:rsidR="00C100AF" w:rsidRPr="00C100AF" w14:paraId="29EE3E25" w14:textId="77777777" w:rsidTr="004B7290">
        <w:tc>
          <w:tcPr>
            <w:tcW w:w="4320" w:type="dxa"/>
          </w:tcPr>
          <w:p w14:paraId="7D2F58DA" w14:textId="77777777" w:rsidR="00C100AF" w:rsidRPr="00C100AF" w:rsidRDefault="00C100AF" w:rsidP="004B7290">
            <w:pPr>
              <w:rPr>
                <w:sz w:val="20"/>
                <w:szCs w:val="20"/>
              </w:rPr>
            </w:pPr>
            <w:r w:rsidRPr="00C100AF">
              <w:rPr>
                <w:sz w:val="20"/>
                <w:szCs w:val="20"/>
              </w:rPr>
              <w:lastRenderedPageBreak/>
              <w:t>15000.00</w:t>
            </w:r>
          </w:p>
        </w:tc>
        <w:tc>
          <w:tcPr>
            <w:tcW w:w="4320" w:type="dxa"/>
          </w:tcPr>
          <w:p w14:paraId="1C70AECA" w14:textId="77777777" w:rsidR="00C100AF" w:rsidRPr="00C100AF" w:rsidRDefault="00C100AF" w:rsidP="004B7290">
            <w:pPr>
              <w:rPr>
                <w:sz w:val="20"/>
                <w:szCs w:val="20"/>
              </w:rPr>
            </w:pPr>
            <w:r w:rsidRPr="00C100AF">
              <w:rPr>
                <w:sz w:val="20"/>
                <w:szCs w:val="20"/>
              </w:rPr>
              <w:t>6675.4</w:t>
            </w:r>
          </w:p>
        </w:tc>
      </w:tr>
      <w:tr w:rsidR="00C100AF" w:rsidRPr="00C100AF" w14:paraId="4C93EF43" w14:textId="77777777" w:rsidTr="004B7290">
        <w:tc>
          <w:tcPr>
            <w:tcW w:w="4320" w:type="dxa"/>
          </w:tcPr>
          <w:p w14:paraId="33D2E536" w14:textId="77777777" w:rsidR="00C100AF" w:rsidRPr="00C100AF" w:rsidRDefault="00C100AF" w:rsidP="004B7290">
            <w:pPr>
              <w:rPr>
                <w:sz w:val="20"/>
                <w:szCs w:val="20"/>
              </w:rPr>
            </w:pPr>
            <w:r w:rsidRPr="00C100AF">
              <w:rPr>
                <w:sz w:val="20"/>
                <w:szCs w:val="20"/>
              </w:rPr>
              <w:t>17500.00</w:t>
            </w:r>
          </w:p>
        </w:tc>
        <w:tc>
          <w:tcPr>
            <w:tcW w:w="4320" w:type="dxa"/>
          </w:tcPr>
          <w:p w14:paraId="3CB0254E" w14:textId="77777777" w:rsidR="00C100AF" w:rsidRPr="00C100AF" w:rsidRDefault="00C100AF" w:rsidP="004B7290">
            <w:pPr>
              <w:rPr>
                <w:sz w:val="20"/>
                <w:szCs w:val="20"/>
              </w:rPr>
            </w:pPr>
            <w:r w:rsidRPr="00C100AF">
              <w:rPr>
                <w:sz w:val="20"/>
                <w:szCs w:val="20"/>
              </w:rPr>
              <w:t>9261.3</w:t>
            </w:r>
          </w:p>
        </w:tc>
      </w:tr>
      <w:tr w:rsidR="00C100AF" w:rsidRPr="00C100AF" w14:paraId="06FD7B3E" w14:textId="77777777" w:rsidTr="004B7290">
        <w:tc>
          <w:tcPr>
            <w:tcW w:w="4320" w:type="dxa"/>
          </w:tcPr>
          <w:p w14:paraId="624EB395" w14:textId="77777777" w:rsidR="00C100AF" w:rsidRPr="00C100AF" w:rsidRDefault="00C100AF" w:rsidP="004B7290">
            <w:pPr>
              <w:rPr>
                <w:sz w:val="20"/>
                <w:szCs w:val="20"/>
              </w:rPr>
            </w:pPr>
            <w:r w:rsidRPr="00C100AF">
              <w:rPr>
                <w:sz w:val="20"/>
                <w:szCs w:val="20"/>
              </w:rPr>
              <w:t>20000.00</w:t>
            </w:r>
          </w:p>
        </w:tc>
        <w:tc>
          <w:tcPr>
            <w:tcW w:w="4320" w:type="dxa"/>
          </w:tcPr>
          <w:p w14:paraId="004C3798" w14:textId="77777777" w:rsidR="00C100AF" w:rsidRPr="00C100AF" w:rsidRDefault="00C100AF" w:rsidP="004B7290">
            <w:pPr>
              <w:rPr>
                <w:sz w:val="20"/>
                <w:szCs w:val="20"/>
              </w:rPr>
            </w:pPr>
            <w:r w:rsidRPr="00C100AF">
              <w:rPr>
                <w:sz w:val="20"/>
                <w:szCs w:val="20"/>
              </w:rPr>
              <w:t>8520.1</w:t>
            </w:r>
          </w:p>
        </w:tc>
      </w:tr>
      <w:tr w:rsidR="00C100AF" w:rsidRPr="00C100AF" w14:paraId="4D00523D" w14:textId="77777777" w:rsidTr="004B7290">
        <w:tc>
          <w:tcPr>
            <w:tcW w:w="4320" w:type="dxa"/>
          </w:tcPr>
          <w:p w14:paraId="456DB5C4" w14:textId="77777777" w:rsidR="00C100AF" w:rsidRPr="00C100AF" w:rsidRDefault="00C100AF" w:rsidP="004B7290">
            <w:pPr>
              <w:rPr>
                <w:sz w:val="20"/>
                <w:szCs w:val="20"/>
              </w:rPr>
            </w:pPr>
            <w:r w:rsidRPr="00C100AF">
              <w:rPr>
                <w:sz w:val="20"/>
                <w:szCs w:val="20"/>
              </w:rPr>
              <w:t>22500.00</w:t>
            </w:r>
          </w:p>
        </w:tc>
        <w:tc>
          <w:tcPr>
            <w:tcW w:w="4320" w:type="dxa"/>
          </w:tcPr>
          <w:p w14:paraId="1CE309EC" w14:textId="77777777" w:rsidR="00C100AF" w:rsidRPr="00C100AF" w:rsidRDefault="00C100AF" w:rsidP="004B7290">
            <w:pPr>
              <w:rPr>
                <w:sz w:val="20"/>
                <w:szCs w:val="20"/>
              </w:rPr>
            </w:pPr>
            <w:r w:rsidRPr="00C100AF">
              <w:rPr>
                <w:sz w:val="20"/>
                <w:szCs w:val="20"/>
              </w:rPr>
              <w:t>6761.3</w:t>
            </w:r>
          </w:p>
        </w:tc>
      </w:tr>
      <w:tr w:rsidR="00C100AF" w:rsidRPr="00C100AF" w14:paraId="023E7FEA" w14:textId="77777777" w:rsidTr="004B7290">
        <w:tc>
          <w:tcPr>
            <w:tcW w:w="4320" w:type="dxa"/>
          </w:tcPr>
          <w:p w14:paraId="205FCE25" w14:textId="77777777" w:rsidR="00C100AF" w:rsidRPr="00C100AF" w:rsidRDefault="00C100AF" w:rsidP="004B7290">
            <w:pPr>
              <w:rPr>
                <w:sz w:val="20"/>
                <w:szCs w:val="20"/>
              </w:rPr>
            </w:pPr>
            <w:r w:rsidRPr="00C100AF">
              <w:rPr>
                <w:sz w:val="20"/>
                <w:szCs w:val="20"/>
              </w:rPr>
              <w:t>25000.00</w:t>
            </w:r>
          </w:p>
        </w:tc>
        <w:tc>
          <w:tcPr>
            <w:tcW w:w="4320" w:type="dxa"/>
          </w:tcPr>
          <w:p w14:paraId="16742F12" w14:textId="77777777" w:rsidR="00C100AF" w:rsidRPr="00C100AF" w:rsidRDefault="00C100AF" w:rsidP="004B7290">
            <w:pPr>
              <w:rPr>
                <w:sz w:val="20"/>
                <w:szCs w:val="20"/>
              </w:rPr>
            </w:pPr>
            <w:r w:rsidRPr="00C100AF">
              <w:rPr>
                <w:sz w:val="20"/>
                <w:szCs w:val="20"/>
              </w:rPr>
              <w:t>5358.7</w:t>
            </w:r>
          </w:p>
        </w:tc>
      </w:tr>
      <w:tr w:rsidR="00C100AF" w:rsidRPr="00C100AF" w14:paraId="4DA9A256" w14:textId="77777777" w:rsidTr="004B7290">
        <w:tc>
          <w:tcPr>
            <w:tcW w:w="4320" w:type="dxa"/>
          </w:tcPr>
          <w:p w14:paraId="32BDD43A" w14:textId="77777777" w:rsidR="00C100AF" w:rsidRPr="00C100AF" w:rsidRDefault="00C100AF" w:rsidP="004B7290">
            <w:pPr>
              <w:rPr>
                <w:sz w:val="20"/>
                <w:szCs w:val="20"/>
              </w:rPr>
            </w:pPr>
            <w:r w:rsidRPr="00C100AF">
              <w:rPr>
                <w:sz w:val="20"/>
                <w:szCs w:val="20"/>
              </w:rPr>
              <w:t>27500.00</w:t>
            </w:r>
          </w:p>
        </w:tc>
        <w:tc>
          <w:tcPr>
            <w:tcW w:w="4320" w:type="dxa"/>
          </w:tcPr>
          <w:p w14:paraId="378392F5" w14:textId="77777777" w:rsidR="00C100AF" w:rsidRPr="00C100AF" w:rsidRDefault="00C100AF" w:rsidP="004B7290">
            <w:pPr>
              <w:rPr>
                <w:sz w:val="20"/>
                <w:szCs w:val="20"/>
              </w:rPr>
            </w:pPr>
            <w:r w:rsidRPr="00C100AF">
              <w:rPr>
                <w:sz w:val="20"/>
                <w:szCs w:val="20"/>
              </w:rPr>
              <w:t>4255.6</w:t>
            </w:r>
          </w:p>
        </w:tc>
      </w:tr>
      <w:tr w:rsidR="00C100AF" w:rsidRPr="00C100AF" w14:paraId="654D562B" w14:textId="77777777" w:rsidTr="004B7290">
        <w:tc>
          <w:tcPr>
            <w:tcW w:w="4320" w:type="dxa"/>
          </w:tcPr>
          <w:p w14:paraId="7FC59534" w14:textId="77777777" w:rsidR="00C100AF" w:rsidRPr="00C100AF" w:rsidRDefault="00C100AF" w:rsidP="004B7290">
            <w:pPr>
              <w:rPr>
                <w:sz w:val="20"/>
                <w:szCs w:val="20"/>
              </w:rPr>
            </w:pPr>
            <w:r w:rsidRPr="00C100AF">
              <w:rPr>
                <w:sz w:val="20"/>
                <w:szCs w:val="20"/>
              </w:rPr>
              <w:t>30000.00</w:t>
            </w:r>
          </w:p>
        </w:tc>
        <w:tc>
          <w:tcPr>
            <w:tcW w:w="4320" w:type="dxa"/>
          </w:tcPr>
          <w:p w14:paraId="59F9F588" w14:textId="77777777" w:rsidR="00C100AF" w:rsidRPr="00C100AF" w:rsidRDefault="00C100AF" w:rsidP="004B7290">
            <w:pPr>
              <w:rPr>
                <w:sz w:val="20"/>
                <w:szCs w:val="20"/>
              </w:rPr>
            </w:pPr>
            <w:r w:rsidRPr="00C100AF">
              <w:rPr>
                <w:sz w:val="20"/>
                <w:szCs w:val="20"/>
              </w:rPr>
              <w:t>3394.2</w:t>
            </w:r>
          </w:p>
        </w:tc>
      </w:tr>
      <w:tr w:rsidR="00C100AF" w:rsidRPr="00C100AF" w14:paraId="38D206FD" w14:textId="77777777" w:rsidTr="004B7290">
        <w:tc>
          <w:tcPr>
            <w:tcW w:w="4320" w:type="dxa"/>
          </w:tcPr>
          <w:p w14:paraId="62EFA1CF" w14:textId="77777777" w:rsidR="00C100AF" w:rsidRPr="00C100AF" w:rsidRDefault="00C100AF" w:rsidP="004B7290">
            <w:pPr>
              <w:rPr>
                <w:sz w:val="20"/>
                <w:szCs w:val="20"/>
              </w:rPr>
            </w:pPr>
            <w:r w:rsidRPr="00C100AF">
              <w:rPr>
                <w:sz w:val="20"/>
                <w:szCs w:val="20"/>
              </w:rPr>
              <w:t>32500.00</w:t>
            </w:r>
          </w:p>
        </w:tc>
        <w:tc>
          <w:tcPr>
            <w:tcW w:w="4320" w:type="dxa"/>
          </w:tcPr>
          <w:p w14:paraId="1E1F7B83" w14:textId="77777777" w:rsidR="00C100AF" w:rsidRPr="00C100AF" w:rsidRDefault="00C100AF" w:rsidP="004B7290">
            <w:pPr>
              <w:rPr>
                <w:sz w:val="20"/>
                <w:szCs w:val="20"/>
              </w:rPr>
            </w:pPr>
            <w:r w:rsidRPr="00C100AF">
              <w:rPr>
                <w:sz w:val="20"/>
                <w:szCs w:val="20"/>
              </w:rPr>
              <w:t>2711.7</w:t>
            </w:r>
          </w:p>
        </w:tc>
      </w:tr>
      <w:tr w:rsidR="00C100AF" w:rsidRPr="00C100AF" w14:paraId="2C17CFD7" w14:textId="77777777" w:rsidTr="004B7290">
        <w:tc>
          <w:tcPr>
            <w:tcW w:w="4320" w:type="dxa"/>
          </w:tcPr>
          <w:p w14:paraId="6C62ECCD" w14:textId="77777777" w:rsidR="00C100AF" w:rsidRPr="00C100AF" w:rsidRDefault="00C100AF" w:rsidP="004B7290">
            <w:pPr>
              <w:rPr>
                <w:sz w:val="20"/>
                <w:szCs w:val="20"/>
              </w:rPr>
            </w:pPr>
            <w:r w:rsidRPr="00C100AF">
              <w:rPr>
                <w:sz w:val="20"/>
                <w:szCs w:val="20"/>
              </w:rPr>
              <w:t>35000.00</w:t>
            </w:r>
          </w:p>
        </w:tc>
        <w:tc>
          <w:tcPr>
            <w:tcW w:w="4320" w:type="dxa"/>
          </w:tcPr>
          <w:p w14:paraId="2A236CF6" w14:textId="77777777" w:rsidR="00C100AF" w:rsidRPr="00C100AF" w:rsidRDefault="00C100AF" w:rsidP="004B7290">
            <w:pPr>
              <w:rPr>
                <w:sz w:val="20"/>
                <w:szCs w:val="20"/>
              </w:rPr>
            </w:pPr>
            <w:r w:rsidRPr="00C100AF">
              <w:rPr>
                <w:sz w:val="20"/>
                <w:szCs w:val="20"/>
              </w:rPr>
              <w:t>2185.9</w:t>
            </w:r>
          </w:p>
        </w:tc>
      </w:tr>
      <w:tr w:rsidR="00C100AF" w:rsidRPr="00C100AF" w14:paraId="44A183EE" w14:textId="77777777" w:rsidTr="004B7290">
        <w:tc>
          <w:tcPr>
            <w:tcW w:w="4320" w:type="dxa"/>
          </w:tcPr>
          <w:p w14:paraId="288D46F8" w14:textId="77777777" w:rsidR="00C100AF" w:rsidRPr="00C100AF" w:rsidRDefault="00C100AF" w:rsidP="004B7290">
            <w:pPr>
              <w:rPr>
                <w:sz w:val="20"/>
                <w:szCs w:val="20"/>
              </w:rPr>
            </w:pPr>
            <w:r w:rsidRPr="00C100AF">
              <w:rPr>
                <w:sz w:val="20"/>
                <w:szCs w:val="20"/>
              </w:rPr>
              <w:t>37500.00</w:t>
            </w:r>
          </w:p>
        </w:tc>
        <w:tc>
          <w:tcPr>
            <w:tcW w:w="4320" w:type="dxa"/>
          </w:tcPr>
          <w:p w14:paraId="4EE86618" w14:textId="77777777" w:rsidR="00C100AF" w:rsidRPr="00C100AF" w:rsidRDefault="00C100AF" w:rsidP="004B7290">
            <w:pPr>
              <w:rPr>
                <w:sz w:val="20"/>
                <w:szCs w:val="20"/>
              </w:rPr>
            </w:pPr>
            <w:r w:rsidRPr="00C100AF">
              <w:rPr>
                <w:sz w:val="20"/>
                <w:szCs w:val="20"/>
              </w:rPr>
              <w:t>1773.8</w:t>
            </w:r>
          </w:p>
        </w:tc>
      </w:tr>
      <w:tr w:rsidR="00C100AF" w:rsidRPr="00C100AF" w14:paraId="180B8F86" w14:textId="77777777" w:rsidTr="004B7290">
        <w:tc>
          <w:tcPr>
            <w:tcW w:w="4320" w:type="dxa"/>
          </w:tcPr>
          <w:p w14:paraId="034F19CE" w14:textId="77777777" w:rsidR="00C100AF" w:rsidRPr="00C100AF" w:rsidRDefault="00C100AF" w:rsidP="004B7290">
            <w:pPr>
              <w:rPr>
                <w:sz w:val="20"/>
                <w:szCs w:val="20"/>
              </w:rPr>
            </w:pPr>
            <w:r w:rsidRPr="00C100AF">
              <w:rPr>
                <w:sz w:val="20"/>
                <w:szCs w:val="20"/>
              </w:rPr>
              <w:t>40000.00</w:t>
            </w:r>
          </w:p>
        </w:tc>
        <w:tc>
          <w:tcPr>
            <w:tcW w:w="4320" w:type="dxa"/>
          </w:tcPr>
          <w:p w14:paraId="0C9DAD3C" w14:textId="77777777" w:rsidR="00C100AF" w:rsidRPr="00C100AF" w:rsidRDefault="00C100AF" w:rsidP="004B7290">
            <w:pPr>
              <w:rPr>
                <w:sz w:val="20"/>
                <w:szCs w:val="20"/>
              </w:rPr>
            </w:pPr>
            <w:r w:rsidRPr="00C100AF">
              <w:rPr>
                <w:sz w:val="20"/>
                <w:szCs w:val="20"/>
              </w:rPr>
              <w:t>1462.6</w:t>
            </w:r>
          </w:p>
        </w:tc>
      </w:tr>
      <w:tr w:rsidR="00C100AF" w:rsidRPr="00C100AF" w14:paraId="29A61858" w14:textId="77777777" w:rsidTr="004B7290">
        <w:tc>
          <w:tcPr>
            <w:tcW w:w="4320" w:type="dxa"/>
          </w:tcPr>
          <w:p w14:paraId="0E8DBF0C" w14:textId="77777777" w:rsidR="00C100AF" w:rsidRPr="00C100AF" w:rsidRDefault="00C100AF" w:rsidP="004B7290">
            <w:pPr>
              <w:rPr>
                <w:sz w:val="20"/>
                <w:szCs w:val="20"/>
              </w:rPr>
            </w:pPr>
            <w:r w:rsidRPr="00C100AF">
              <w:rPr>
                <w:sz w:val="20"/>
                <w:szCs w:val="20"/>
              </w:rPr>
              <w:t>42500.00</w:t>
            </w:r>
          </w:p>
        </w:tc>
        <w:tc>
          <w:tcPr>
            <w:tcW w:w="4320" w:type="dxa"/>
          </w:tcPr>
          <w:p w14:paraId="6EE6DC80" w14:textId="77777777" w:rsidR="00C100AF" w:rsidRPr="00C100AF" w:rsidRDefault="00C100AF" w:rsidP="004B7290">
            <w:pPr>
              <w:rPr>
                <w:sz w:val="20"/>
                <w:szCs w:val="20"/>
              </w:rPr>
            </w:pPr>
            <w:r w:rsidRPr="00C100AF">
              <w:rPr>
                <w:sz w:val="20"/>
                <w:szCs w:val="20"/>
              </w:rPr>
              <w:t>1225.9</w:t>
            </w:r>
          </w:p>
        </w:tc>
      </w:tr>
      <w:tr w:rsidR="00C100AF" w:rsidRPr="00C100AF" w14:paraId="6CE3B7AC" w14:textId="77777777" w:rsidTr="004B7290">
        <w:tc>
          <w:tcPr>
            <w:tcW w:w="4320" w:type="dxa"/>
          </w:tcPr>
          <w:p w14:paraId="6400B12C" w14:textId="77777777" w:rsidR="00C100AF" w:rsidRPr="00C100AF" w:rsidRDefault="00C100AF" w:rsidP="004B7290">
            <w:pPr>
              <w:rPr>
                <w:sz w:val="20"/>
                <w:szCs w:val="20"/>
              </w:rPr>
            </w:pPr>
            <w:r w:rsidRPr="00C100AF">
              <w:rPr>
                <w:sz w:val="20"/>
                <w:szCs w:val="20"/>
              </w:rPr>
              <w:t>45000.00</w:t>
            </w:r>
          </w:p>
        </w:tc>
        <w:tc>
          <w:tcPr>
            <w:tcW w:w="4320" w:type="dxa"/>
          </w:tcPr>
          <w:p w14:paraId="0999D096" w14:textId="77777777" w:rsidR="00C100AF" w:rsidRPr="00C100AF" w:rsidRDefault="00C100AF" w:rsidP="004B7290">
            <w:pPr>
              <w:rPr>
                <w:sz w:val="20"/>
                <w:szCs w:val="20"/>
              </w:rPr>
            </w:pPr>
            <w:r w:rsidRPr="00C100AF">
              <w:rPr>
                <w:sz w:val="20"/>
                <w:szCs w:val="20"/>
              </w:rPr>
              <w:t>1049.4</w:t>
            </w:r>
          </w:p>
        </w:tc>
      </w:tr>
      <w:tr w:rsidR="00C100AF" w:rsidRPr="00C100AF" w14:paraId="0167607E" w14:textId="77777777" w:rsidTr="004B7290">
        <w:tc>
          <w:tcPr>
            <w:tcW w:w="4320" w:type="dxa"/>
          </w:tcPr>
          <w:p w14:paraId="770A2FA0" w14:textId="77777777" w:rsidR="00C100AF" w:rsidRPr="00C100AF" w:rsidRDefault="00C100AF" w:rsidP="004B7290">
            <w:pPr>
              <w:rPr>
                <w:sz w:val="20"/>
                <w:szCs w:val="20"/>
              </w:rPr>
            </w:pPr>
            <w:r w:rsidRPr="00C100AF">
              <w:rPr>
                <w:sz w:val="20"/>
                <w:szCs w:val="20"/>
              </w:rPr>
              <w:t>47500.00</w:t>
            </w:r>
          </w:p>
        </w:tc>
        <w:tc>
          <w:tcPr>
            <w:tcW w:w="4320" w:type="dxa"/>
          </w:tcPr>
          <w:p w14:paraId="5CD20DC7" w14:textId="77777777" w:rsidR="00C100AF" w:rsidRPr="00C100AF" w:rsidRDefault="00C100AF" w:rsidP="004B7290">
            <w:pPr>
              <w:rPr>
                <w:sz w:val="20"/>
                <w:szCs w:val="20"/>
              </w:rPr>
            </w:pPr>
            <w:r w:rsidRPr="00C100AF">
              <w:rPr>
                <w:sz w:val="20"/>
                <w:szCs w:val="20"/>
              </w:rPr>
              <w:t>923.7</w:t>
            </w:r>
          </w:p>
        </w:tc>
      </w:tr>
      <w:tr w:rsidR="00C100AF" w:rsidRPr="00C100AF" w14:paraId="4ABF6428" w14:textId="77777777" w:rsidTr="004B7290">
        <w:tc>
          <w:tcPr>
            <w:tcW w:w="4320" w:type="dxa"/>
          </w:tcPr>
          <w:p w14:paraId="75ED630A" w14:textId="77777777" w:rsidR="00C100AF" w:rsidRPr="00C100AF" w:rsidRDefault="00C100AF" w:rsidP="004B7290">
            <w:pPr>
              <w:rPr>
                <w:sz w:val="20"/>
                <w:szCs w:val="20"/>
              </w:rPr>
            </w:pPr>
            <w:r w:rsidRPr="00C100AF">
              <w:rPr>
                <w:sz w:val="20"/>
                <w:szCs w:val="20"/>
              </w:rPr>
              <w:t>50000.00</w:t>
            </w:r>
          </w:p>
        </w:tc>
        <w:tc>
          <w:tcPr>
            <w:tcW w:w="4320" w:type="dxa"/>
          </w:tcPr>
          <w:p w14:paraId="2EFD695A" w14:textId="77777777" w:rsidR="00C100AF" w:rsidRPr="00C100AF" w:rsidRDefault="00C100AF" w:rsidP="004B7290">
            <w:pPr>
              <w:rPr>
                <w:sz w:val="20"/>
                <w:szCs w:val="20"/>
              </w:rPr>
            </w:pPr>
            <w:r w:rsidRPr="00C100AF">
              <w:rPr>
                <w:sz w:val="20"/>
                <w:szCs w:val="20"/>
              </w:rPr>
              <w:t>833.2</w:t>
            </w:r>
          </w:p>
        </w:tc>
      </w:tr>
    </w:tbl>
    <w:p w14:paraId="785BC917" w14:textId="77777777" w:rsidR="009F33B6" w:rsidRPr="0065333F" w:rsidRDefault="009F33B6">
      <w:pPr>
        <w:rPr>
          <w:b/>
          <w:bCs/>
        </w:rPr>
      </w:pPr>
    </w:p>
    <w:p w14:paraId="63BBE30B" w14:textId="67E63F2D" w:rsidR="00281682" w:rsidRDefault="00D70945">
      <w:r w:rsidRPr="0065333F">
        <w:rPr>
          <w:noProof/>
          <w14:ligatures w14:val="standardContextual"/>
        </w:rPr>
        <w:drawing>
          <wp:inline distT="0" distB="0" distL="0" distR="0" wp14:anchorId="1CD19FFD" wp14:editId="4905D04C">
            <wp:extent cx="5232018" cy="2943009"/>
            <wp:effectExtent l="0" t="0" r="635" b="3810"/>
            <wp:docPr id="1610339956" name="Picture 3"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39956" name="Picture 3" descr="A graph of a normal distributio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5268" cy="3012337"/>
                    </a:xfrm>
                    <a:prstGeom prst="rect">
                      <a:avLst/>
                    </a:prstGeom>
                  </pic:spPr>
                </pic:pic>
              </a:graphicData>
            </a:graphic>
          </wp:inline>
        </w:drawing>
      </w:r>
    </w:p>
    <w:p w14:paraId="7A27AD3C" w14:textId="586BD9E3" w:rsidR="00281682" w:rsidRPr="00884DB1" w:rsidRDefault="00281682" w:rsidP="00884DB1">
      <w:pPr>
        <w:pStyle w:val="Heading2"/>
        <w:rPr>
          <w:rFonts w:ascii="Times New Roman" w:hAnsi="Times New Roman" w:cs="Times New Roman"/>
          <w:b/>
          <w:bCs/>
          <w:color w:val="000000" w:themeColor="text1"/>
          <w:sz w:val="24"/>
          <w:szCs w:val="24"/>
        </w:rPr>
      </w:pPr>
      <w:r w:rsidRPr="00884DB1">
        <w:rPr>
          <w:rFonts w:ascii="Times New Roman" w:hAnsi="Times New Roman" w:cs="Times New Roman"/>
          <w:b/>
          <w:bCs/>
          <w:color w:val="000000" w:themeColor="text1"/>
          <w:sz w:val="24"/>
          <w:szCs w:val="24"/>
        </w:rPr>
        <w:lastRenderedPageBreak/>
        <w:t>Appendix</w:t>
      </w:r>
      <w:r w:rsidR="00884DB1" w:rsidRPr="00884DB1">
        <w:rPr>
          <w:rFonts w:ascii="Times New Roman" w:hAnsi="Times New Roman" w:cs="Times New Roman"/>
          <w:b/>
          <w:bCs/>
          <w:color w:val="000000" w:themeColor="text1"/>
          <w:sz w:val="24"/>
          <w:szCs w:val="24"/>
        </w:rPr>
        <w:t xml:space="preserve"> </w:t>
      </w:r>
      <w:r w:rsidR="00750EC3">
        <w:rPr>
          <w:rFonts w:ascii="Times New Roman" w:hAnsi="Times New Roman" w:cs="Times New Roman"/>
          <w:b/>
          <w:bCs/>
          <w:color w:val="000000" w:themeColor="text1"/>
          <w:sz w:val="24"/>
          <w:szCs w:val="24"/>
        </w:rPr>
        <w:t>7</w:t>
      </w:r>
      <w:r w:rsidRPr="00884DB1">
        <w:rPr>
          <w:rFonts w:ascii="Times New Roman" w:hAnsi="Times New Roman" w:cs="Times New Roman"/>
          <w:b/>
          <w:bCs/>
          <w:color w:val="000000" w:themeColor="text1"/>
          <w:sz w:val="24"/>
          <w:szCs w:val="24"/>
        </w:rPr>
        <w:t>. Incremental Cost-Effectiveness (ICE) scatterplot comparing</w:t>
      </w:r>
      <w:r w:rsidR="00276AE3">
        <w:rPr>
          <w:rFonts w:ascii="Times New Roman" w:hAnsi="Times New Roman" w:cs="Times New Roman"/>
          <w:b/>
          <w:bCs/>
          <w:color w:val="000000" w:themeColor="text1"/>
          <w:sz w:val="24"/>
          <w:szCs w:val="24"/>
        </w:rPr>
        <w:t xml:space="preserve"> A) physical rehabilitation, B) cognitive training and C) combination therapy to usual care</w:t>
      </w:r>
    </w:p>
    <w:tbl>
      <w:tblPr>
        <w:tblStyle w:val="TableGrid"/>
        <w:tblW w:w="12992" w:type="dxa"/>
        <w:tblLook w:val="04A0" w:firstRow="1" w:lastRow="0" w:firstColumn="1" w:lastColumn="0" w:noHBand="0" w:noVBand="1"/>
      </w:tblPr>
      <w:tblGrid>
        <w:gridCol w:w="4296"/>
        <w:gridCol w:w="4316"/>
        <w:gridCol w:w="4438"/>
      </w:tblGrid>
      <w:tr w:rsidR="00276AE3" w14:paraId="6098FA01" w14:textId="77777777" w:rsidTr="00276AE3">
        <w:trPr>
          <w:trHeight w:val="3472"/>
        </w:trPr>
        <w:tc>
          <w:tcPr>
            <w:tcW w:w="3679" w:type="dxa"/>
          </w:tcPr>
          <w:p w14:paraId="4A0FAE5C" w14:textId="0DC85529" w:rsidR="00276AE3" w:rsidRDefault="00276AE3">
            <w:r>
              <w:rPr>
                <w:noProof/>
                <w14:ligatures w14:val="standardContextual"/>
              </w:rPr>
              <w:drawing>
                <wp:inline distT="0" distB="0" distL="0" distR="0" wp14:anchorId="5977C821" wp14:editId="5B3663F3">
                  <wp:extent cx="2584899" cy="1849120"/>
                  <wp:effectExtent l="0" t="0" r="6350" b="5080"/>
                  <wp:docPr id="1207425013" name="Picture 2" descr="A graph with red dots and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25013" name="Picture 2" descr="A graph with red dots and green lin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6249" cy="1921621"/>
                          </a:xfrm>
                          <a:prstGeom prst="rect">
                            <a:avLst/>
                          </a:prstGeom>
                        </pic:spPr>
                      </pic:pic>
                    </a:graphicData>
                  </a:graphic>
                </wp:inline>
              </w:drawing>
            </w:r>
          </w:p>
        </w:tc>
        <w:tc>
          <w:tcPr>
            <w:tcW w:w="3679" w:type="dxa"/>
          </w:tcPr>
          <w:p w14:paraId="56A0EAB8" w14:textId="19B2600B" w:rsidR="00276AE3" w:rsidRDefault="00276AE3">
            <w:r>
              <w:rPr>
                <w:noProof/>
                <w14:ligatures w14:val="standardContextual"/>
              </w:rPr>
              <w:drawing>
                <wp:inline distT="0" distB="0" distL="0" distR="0" wp14:anchorId="6B1B532C" wp14:editId="75586562">
                  <wp:extent cx="2600633" cy="1849120"/>
                  <wp:effectExtent l="0" t="0" r="3175" b="5080"/>
                  <wp:docPr id="1781050849" name="Picture 3" descr="A graph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50849" name="Picture 3" descr="A graph with red dot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9165" cy="1954730"/>
                          </a:xfrm>
                          <a:prstGeom prst="rect">
                            <a:avLst/>
                          </a:prstGeom>
                        </pic:spPr>
                      </pic:pic>
                    </a:graphicData>
                  </a:graphic>
                </wp:inline>
              </w:drawing>
            </w:r>
          </w:p>
        </w:tc>
        <w:tc>
          <w:tcPr>
            <w:tcW w:w="5634" w:type="dxa"/>
          </w:tcPr>
          <w:p w14:paraId="765972E0" w14:textId="1A585A86" w:rsidR="00276AE3" w:rsidRDefault="00276AE3">
            <w:r>
              <w:rPr>
                <w:noProof/>
                <w14:ligatures w14:val="standardContextual"/>
              </w:rPr>
              <w:drawing>
                <wp:inline distT="0" distB="0" distL="0" distR="0" wp14:anchorId="4A958039" wp14:editId="698D85F1">
                  <wp:extent cx="2681323" cy="1917890"/>
                  <wp:effectExtent l="0" t="0" r="0" b="0"/>
                  <wp:docPr id="622755525" name="Picture 1" descr="A graph with red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55525" name="Picture 1" descr="A graph with red and green do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116" cy="2057221"/>
                          </a:xfrm>
                          <a:prstGeom prst="rect">
                            <a:avLst/>
                          </a:prstGeom>
                        </pic:spPr>
                      </pic:pic>
                    </a:graphicData>
                  </a:graphic>
                </wp:inline>
              </w:drawing>
            </w:r>
          </w:p>
        </w:tc>
      </w:tr>
    </w:tbl>
    <w:p w14:paraId="50CE5690" w14:textId="37F07DA2" w:rsidR="00281682" w:rsidRDefault="00281682"/>
    <w:p w14:paraId="3A04FB2C" w14:textId="2CEB755D" w:rsidR="00884DB1" w:rsidRDefault="00884DB1"/>
    <w:p w14:paraId="602A0A88" w14:textId="65820BA6" w:rsidR="00884DB1" w:rsidRPr="00C100AF" w:rsidRDefault="00884DB1" w:rsidP="00884DB1">
      <w:pPr>
        <w:pStyle w:val="Heading2"/>
        <w:rPr>
          <w:rFonts w:ascii="Times New Roman" w:hAnsi="Times New Roman" w:cs="Times New Roman"/>
          <w:b/>
          <w:bCs/>
          <w:color w:val="000000" w:themeColor="text1"/>
          <w:sz w:val="24"/>
          <w:szCs w:val="24"/>
        </w:rPr>
      </w:pPr>
      <w:r w:rsidRPr="00C100AF">
        <w:rPr>
          <w:rFonts w:ascii="Times New Roman" w:hAnsi="Times New Roman" w:cs="Times New Roman"/>
          <w:b/>
          <w:bCs/>
          <w:color w:val="000000" w:themeColor="text1"/>
          <w:sz w:val="24"/>
          <w:szCs w:val="24"/>
        </w:rPr>
        <w:lastRenderedPageBreak/>
        <w:t>Appendix</w:t>
      </w:r>
      <w:r>
        <w:rPr>
          <w:rFonts w:ascii="Times New Roman" w:hAnsi="Times New Roman" w:cs="Times New Roman"/>
          <w:b/>
          <w:bCs/>
          <w:color w:val="000000" w:themeColor="text1"/>
          <w:sz w:val="24"/>
          <w:szCs w:val="24"/>
        </w:rPr>
        <w:t xml:space="preserve"> </w:t>
      </w:r>
      <w:r w:rsidR="00750EC3">
        <w:rPr>
          <w:rFonts w:ascii="Times New Roman" w:hAnsi="Times New Roman" w:cs="Times New Roman"/>
          <w:b/>
          <w:bCs/>
          <w:color w:val="000000" w:themeColor="text1"/>
          <w:sz w:val="24"/>
          <w:szCs w:val="24"/>
        </w:rPr>
        <w:t>8</w:t>
      </w:r>
      <w:r w:rsidRPr="00C100AF">
        <w:rPr>
          <w:rFonts w:ascii="Times New Roman" w:hAnsi="Times New Roman" w:cs="Times New Roman"/>
          <w:b/>
          <w:bCs/>
          <w:color w:val="000000" w:themeColor="text1"/>
          <w:sz w:val="24"/>
          <w:szCs w:val="24"/>
        </w:rPr>
        <w:t>. Cost-effectiveness acceptability frontier</w:t>
      </w:r>
    </w:p>
    <w:p w14:paraId="524946B2" w14:textId="595E1603" w:rsidR="00884DB1" w:rsidRDefault="00884DB1">
      <w:r>
        <w:rPr>
          <w:noProof/>
          <w14:ligatures w14:val="standardContextual"/>
        </w:rPr>
        <w:drawing>
          <wp:inline distT="0" distB="0" distL="0" distR="0" wp14:anchorId="66655F03" wp14:editId="05FC3ACA">
            <wp:extent cx="6313376" cy="3551274"/>
            <wp:effectExtent l="0" t="0" r="0" b="5080"/>
            <wp:docPr id="1141715534" name="Picture 5" descr="A graph of a cost effecti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15534" name="Picture 5" descr="A graph of a cost effectiv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54104" cy="3574183"/>
                    </a:xfrm>
                    <a:prstGeom prst="rect">
                      <a:avLst/>
                    </a:prstGeom>
                  </pic:spPr>
                </pic:pic>
              </a:graphicData>
            </a:graphic>
          </wp:inline>
        </w:drawing>
      </w:r>
    </w:p>
    <w:p w14:paraId="698FB4A8" w14:textId="77777777" w:rsidR="009C650B" w:rsidRPr="0065333F" w:rsidRDefault="009C650B"/>
    <w:p w14:paraId="71682F14" w14:textId="74BBC1FA" w:rsidR="008F5702" w:rsidRPr="0065333F" w:rsidRDefault="008F5702">
      <w:pPr>
        <w:rPr>
          <w:b/>
          <w:bCs/>
        </w:rPr>
      </w:pPr>
      <w:r w:rsidRPr="0065333F">
        <w:rPr>
          <w:b/>
          <w:bCs/>
        </w:rPr>
        <w:t>REFERENCES:</w:t>
      </w:r>
    </w:p>
    <w:p w14:paraId="46E2BFD7" w14:textId="77777777" w:rsidR="00FA5B5E" w:rsidRPr="0065333F" w:rsidRDefault="00FA5B5E" w:rsidP="00FA5B5E">
      <w:pPr>
        <w:pStyle w:val="Bibliography"/>
        <w:rPr>
          <w:rFonts w:eastAsiaTheme="minorHAnsi"/>
          <w:lang w:val="en-US"/>
        </w:rPr>
      </w:pPr>
      <w:r w:rsidRPr="0065333F">
        <w:rPr>
          <w:b/>
          <w:bCs/>
        </w:rPr>
        <w:fldChar w:fldCharType="begin"/>
      </w:r>
      <w:r w:rsidRPr="0065333F">
        <w:rPr>
          <w:b/>
          <w:bCs/>
        </w:rPr>
        <w:instrText xml:space="preserve"> ADDIN ZOTERO_BIBL {"uncited":[],"omitted":[],"custom":[]} CSL_BIBLIOGRAPHY </w:instrText>
      </w:r>
      <w:r w:rsidRPr="0065333F">
        <w:rPr>
          <w:b/>
          <w:bCs/>
        </w:rPr>
        <w:fldChar w:fldCharType="separate"/>
      </w:r>
      <w:r w:rsidRPr="0065333F">
        <w:rPr>
          <w:rFonts w:eastAsiaTheme="minorHAnsi"/>
          <w:lang w:val="en-US"/>
        </w:rPr>
        <w:t xml:space="preserve">1. </w:t>
      </w:r>
      <w:r w:rsidRPr="0065333F">
        <w:rPr>
          <w:rFonts w:eastAsiaTheme="minorHAnsi"/>
          <w:lang w:val="en-US"/>
        </w:rPr>
        <w:tab/>
        <w:t>Jain S, Iverson LM. Glasgow Coma Scale. In: StatPearls [Internet]. Treasure Island (FL): StatPearls Publishing; 2025 [cited 2025 Mar 9]. Available from: http://www.ncbi.nlm.nih.gov/books/NBK513298/</w:t>
      </w:r>
    </w:p>
    <w:p w14:paraId="03E66BA8" w14:textId="77777777" w:rsidR="00FA5B5E" w:rsidRPr="0065333F" w:rsidRDefault="00FA5B5E" w:rsidP="00FA5B5E">
      <w:pPr>
        <w:pStyle w:val="Bibliography"/>
        <w:rPr>
          <w:rFonts w:eastAsiaTheme="minorHAnsi"/>
          <w:lang w:val="en-US"/>
        </w:rPr>
      </w:pPr>
      <w:r w:rsidRPr="0065333F">
        <w:rPr>
          <w:rFonts w:eastAsiaTheme="minorHAnsi"/>
          <w:lang w:val="en-US"/>
        </w:rPr>
        <w:t xml:space="preserve">2. </w:t>
      </w:r>
      <w:r w:rsidRPr="0065333F">
        <w:rPr>
          <w:rFonts w:eastAsiaTheme="minorHAnsi"/>
          <w:lang w:val="en-US"/>
        </w:rPr>
        <w:tab/>
        <w:t xml:space="preserve">McIntyre A, Mehta S, Aubut J, Dijkers M, Teasell RW. Mortality among older adults after a traumatic brain injury: a meta-analysis. Brain Inj. 2013;27(1):31–40. </w:t>
      </w:r>
    </w:p>
    <w:p w14:paraId="39BCC99F" w14:textId="77777777" w:rsidR="00FA5B5E" w:rsidRPr="0065333F" w:rsidRDefault="00FA5B5E" w:rsidP="00FA5B5E">
      <w:pPr>
        <w:pStyle w:val="Bibliography"/>
        <w:rPr>
          <w:rFonts w:eastAsiaTheme="minorHAnsi"/>
          <w:lang w:val="en-US"/>
        </w:rPr>
      </w:pPr>
      <w:r w:rsidRPr="0065333F">
        <w:rPr>
          <w:rFonts w:eastAsiaTheme="minorHAnsi"/>
          <w:lang w:val="en-US"/>
        </w:rPr>
        <w:t xml:space="preserve">3. </w:t>
      </w:r>
      <w:r w:rsidRPr="0065333F">
        <w:rPr>
          <w:rFonts w:eastAsiaTheme="minorHAnsi"/>
          <w:lang w:val="en-US"/>
        </w:rPr>
        <w:tab/>
        <w:t xml:space="preserve">Zhang Y, Natale G, Clouston S. Incidence of Mild Cognitive Impairment, Conversion to Probable Dementia, and Mortality. Am J Alzheimers Dis Other Demen. 2021 Jan 1;36:15333175211012235. </w:t>
      </w:r>
    </w:p>
    <w:p w14:paraId="1A8FBE71" w14:textId="77777777" w:rsidR="00FA5B5E" w:rsidRPr="0065333F" w:rsidRDefault="00FA5B5E" w:rsidP="00FA5B5E">
      <w:pPr>
        <w:pStyle w:val="Bibliography"/>
        <w:rPr>
          <w:rFonts w:eastAsiaTheme="minorHAnsi"/>
          <w:lang w:val="en-US"/>
        </w:rPr>
      </w:pPr>
      <w:r w:rsidRPr="0065333F">
        <w:rPr>
          <w:rFonts w:eastAsiaTheme="minorHAnsi"/>
          <w:lang w:val="en-US"/>
        </w:rPr>
        <w:lastRenderedPageBreak/>
        <w:t xml:space="preserve">4. </w:t>
      </w:r>
      <w:r w:rsidRPr="0065333F">
        <w:rPr>
          <w:rFonts w:eastAsiaTheme="minorHAnsi"/>
          <w:lang w:val="en-US"/>
        </w:rPr>
        <w:tab/>
        <w:t xml:space="preserve">Andersen K, Lolk A, Martinussen T, Kragh-Sørensen P. Very Mild to Severe Dementia and Mortality: A 14-Year Follow-Up – The Odense Study. Dement Geriatr Cogn Disord. 2010 Feb 1;29(1):61–7. </w:t>
      </w:r>
    </w:p>
    <w:p w14:paraId="1789BB30" w14:textId="77777777" w:rsidR="00FA5B5E" w:rsidRPr="0065333F" w:rsidRDefault="00FA5B5E" w:rsidP="00FA5B5E">
      <w:pPr>
        <w:pStyle w:val="Bibliography"/>
        <w:rPr>
          <w:rFonts w:eastAsiaTheme="minorHAnsi"/>
          <w:lang w:val="en-US"/>
        </w:rPr>
      </w:pPr>
      <w:r w:rsidRPr="0065333F">
        <w:rPr>
          <w:rFonts w:eastAsiaTheme="minorHAnsi"/>
          <w:lang w:val="en-US"/>
        </w:rPr>
        <w:t xml:space="preserve">5. </w:t>
      </w:r>
      <w:r w:rsidRPr="0065333F">
        <w:rPr>
          <w:rFonts w:eastAsiaTheme="minorHAnsi"/>
          <w:lang w:val="en-US"/>
        </w:rPr>
        <w:tab/>
        <w:t>Akhanemhe R, Stevelink SAM, Corbett A, Ballard C, Brooker H, Creese B, et al. Is lifetime traumatic brain injury a risk factor for mild cognitive impairment in veterans compared to non-veterans? European Journal of Psychotraumatology [Internet]. 2024 Jan 2 [cited 2025 Mar 9]; Available from: https://www.tandfonline.com/doi/abs/10.1080/20008066.2023.2291965</w:t>
      </w:r>
    </w:p>
    <w:p w14:paraId="19DED484" w14:textId="77777777" w:rsidR="00FA5B5E" w:rsidRPr="0065333F" w:rsidRDefault="00FA5B5E" w:rsidP="00FA5B5E">
      <w:pPr>
        <w:pStyle w:val="Bibliography"/>
        <w:rPr>
          <w:rFonts w:eastAsiaTheme="minorHAnsi"/>
          <w:lang w:val="en-US"/>
        </w:rPr>
      </w:pPr>
      <w:r w:rsidRPr="0065333F">
        <w:rPr>
          <w:rFonts w:eastAsiaTheme="minorHAnsi"/>
          <w:lang w:val="en-US"/>
        </w:rPr>
        <w:t xml:space="preserve">6. </w:t>
      </w:r>
      <w:r w:rsidRPr="0065333F">
        <w:rPr>
          <w:rFonts w:eastAsiaTheme="minorHAnsi"/>
          <w:lang w:val="en-US"/>
        </w:rPr>
        <w:tab/>
        <w:t xml:space="preserve">McGirr A, Nathan S, Ghahremani M, Gill S, Smith EE, Ismail Z. Progression to Dementia or Reversion to Normal Cognition in Mild Cognitive Impairment as a Function of Late-Onset Neuropsychiatric Symptoms. Neurology. 2022 May 24;98(21):e2132–9. </w:t>
      </w:r>
    </w:p>
    <w:p w14:paraId="148B88A6" w14:textId="77777777" w:rsidR="00FA5B5E" w:rsidRPr="0065333F" w:rsidRDefault="00FA5B5E" w:rsidP="00FA5B5E">
      <w:pPr>
        <w:pStyle w:val="Bibliography"/>
        <w:rPr>
          <w:rFonts w:eastAsiaTheme="minorHAnsi"/>
          <w:lang w:val="en-US"/>
        </w:rPr>
      </w:pPr>
      <w:r w:rsidRPr="0065333F">
        <w:rPr>
          <w:rFonts w:eastAsiaTheme="minorHAnsi"/>
          <w:lang w:val="en-US"/>
        </w:rPr>
        <w:t xml:space="preserve">7. </w:t>
      </w:r>
      <w:r w:rsidRPr="0065333F">
        <w:rPr>
          <w:rFonts w:eastAsiaTheme="minorHAnsi"/>
          <w:lang w:val="en-US"/>
        </w:rPr>
        <w:tab/>
        <w:t xml:space="preserve">LoBue C, Woon FL, Rossetti HC, Hynan LS, Hart J, Cullum CM. Traumatic Brain Injury History and Progression from Mild Cognitive Impairment to Alzheimer Disease. Neuropsychology. 2018 May;32(4):401–9. </w:t>
      </w:r>
    </w:p>
    <w:p w14:paraId="480600BA" w14:textId="77777777" w:rsidR="00FA5B5E" w:rsidRPr="0065333F" w:rsidRDefault="00FA5B5E" w:rsidP="00FA5B5E">
      <w:pPr>
        <w:pStyle w:val="Bibliography"/>
        <w:rPr>
          <w:rFonts w:eastAsiaTheme="minorHAnsi"/>
          <w:lang w:val="en-US"/>
        </w:rPr>
      </w:pPr>
      <w:r w:rsidRPr="0065333F">
        <w:rPr>
          <w:rFonts w:eastAsiaTheme="minorHAnsi"/>
          <w:lang w:val="en-US"/>
        </w:rPr>
        <w:t xml:space="preserve">8. </w:t>
      </w:r>
      <w:r w:rsidRPr="0065333F">
        <w:rPr>
          <w:rFonts w:eastAsiaTheme="minorHAnsi"/>
          <w:lang w:val="en-US"/>
        </w:rPr>
        <w:tab/>
        <w:t xml:space="preserve">Tahami Monfared AA, Byrnes MJ, White LA, Zhang Q. Alzheimer’s Disease: Epidemiology and Clinical Progression. Neurol Ther. 2022 June;11(2):553–69. </w:t>
      </w:r>
    </w:p>
    <w:p w14:paraId="2956B0CB" w14:textId="77777777" w:rsidR="00FA5B5E" w:rsidRPr="0065333F" w:rsidRDefault="00FA5B5E" w:rsidP="00FA5B5E">
      <w:pPr>
        <w:pStyle w:val="Bibliography"/>
        <w:rPr>
          <w:rFonts w:eastAsiaTheme="minorHAnsi"/>
          <w:lang w:val="en-US"/>
        </w:rPr>
      </w:pPr>
      <w:r w:rsidRPr="0065333F">
        <w:rPr>
          <w:rFonts w:eastAsiaTheme="minorHAnsi"/>
          <w:lang w:val="en-US"/>
        </w:rPr>
        <w:t xml:space="preserve">9. </w:t>
      </w:r>
      <w:r w:rsidRPr="0065333F">
        <w:rPr>
          <w:rFonts w:eastAsiaTheme="minorHAnsi"/>
          <w:lang w:val="en-US"/>
        </w:rPr>
        <w:tab/>
        <w:t xml:space="preserve">Chen A, Bushmeneva K, Zagorski B, Colantonio A, Parsons D, Wodchis WP. Direct cost associated with acquired brain injury in Ontario. BMC Neurology. 2012 Aug 17;12(1):76. </w:t>
      </w:r>
    </w:p>
    <w:p w14:paraId="7DC931AF" w14:textId="77777777" w:rsidR="00FA5B5E" w:rsidRPr="0065333F" w:rsidRDefault="00FA5B5E" w:rsidP="00FA5B5E">
      <w:pPr>
        <w:pStyle w:val="Bibliography"/>
        <w:rPr>
          <w:rFonts w:eastAsiaTheme="minorHAnsi"/>
          <w:lang w:val="en-US"/>
        </w:rPr>
      </w:pPr>
      <w:r w:rsidRPr="0065333F">
        <w:rPr>
          <w:rFonts w:eastAsiaTheme="minorHAnsi"/>
          <w:lang w:val="en-US"/>
        </w:rPr>
        <w:t xml:space="preserve">10. </w:t>
      </w:r>
      <w:r w:rsidRPr="0065333F">
        <w:rPr>
          <w:rFonts w:eastAsiaTheme="minorHAnsi"/>
          <w:lang w:val="en-US"/>
        </w:rPr>
        <w:tab/>
        <w:t xml:space="preserve">Kim HS, Lim KB, Yoo J, Kim YW, Lee SW, Son S, et al. The efficacy of computerized cognitive rehabilitation in improving attention and executive functions in acquired brain injury patients, in acute and postacute phase. Eur J Phys Rehabil Med. 2021 Aug;57(4):551–9. </w:t>
      </w:r>
    </w:p>
    <w:p w14:paraId="2A8413E4" w14:textId="77777777" w:rsidR="00FA5B5E" w:rsidRPr="0065333F" w:rsidRDefault="00FA5B5E" w:rsidP="00FA5B5E">
      <w:pPr>
        <w:pStyle w:val="Bibliography"/>
        <w:rPr>
          <w:rFonts w:eastAsiaTheme="minorHAnsi"/>
          <w:lang w:val="en-US"/>
        </w:rPr>
      </w:pPr>
      <w:r w:rsidRPr="0065333F">
        <w:rPr>
          <w:rFonts w:eastAsiaTheme="minorHAnsi"/>
          <w:lang w:val="en-US"/>
        </w:rPr>
        <w:t xml:space="preserve">11. </w:t>
      </w:r>
      <w:r w:rsidRPr="0065333F">
        <w:rPr>
          <w:rFonts w:eastAsiaTheme="minorHAnsi"/>
          <w:lang w:val="en-US"/>
        </w:rPr>
        <w:tab/>
        <w:t xml:space="preserve">Leibson CL, Long KH, Ransom JE, Roberts RO, Hass SL, Duhig AM, et al. Direct medical costs and source of cost differences across the spectrum of cognitive decline: a population-based study. Alzheimers Dement. 2015 Aug;11(8):917–32. </w:t>
      </w:r>
    </w:p>
    <w:p w14:paraId="27FBDB56" w14:textId="77777777" w:rsidR="00FA5B5E" w:rsidRPr="0065333F" w:rsidRDefault="00FA5B5E" w:rsidP="00FA5B5E">
      <w:pPr>
        <w:pStyle w:val="Bibliography"/>
        <w:rPr>
          <w:rFonts w:eastAsiaTheme="minorHAnsi"/>
          <w:lang w:val="en-US"/>
        </w:rPr>
      </w:pPr>
      <w:r w:rsidRPr="0065333F">
        <w:rPr>
          <w:rFonts w:eastAsiaTheme="minorHAnsi"/>
          <w:lang w:val="en-US"/>
        </w:rPr>
        <w:t xml:space="preserve">12. </w:t>
      </w:r>
      <w:r w:rsidRPr="0065333F">
        <w:rPr>
          <w:rFonts w:eastAsiaTheme="minorHAnsi"/>
          <w:lang w:val="en-US"/>
        </w:rPr>
        <w:tab/>
        <w:t xml:space="preserve">Ward Fuller G, Hernandez M, Pallot D, Lecky F, Stevenson M, Gabbe B. Health State Preference Weights for the Glasgow Outcome Scale Following Traumatic Brain Injury: A Systematic Review and Mapping Study. Value Health. 2017 Jan;20(1):141–51. </w:t>
      </w:r>
    </w:p>
    <w:p w14:paraId="041A2CFD" w14:textId="77777777" w:rsidR="00FA5B5E" w:rsidRPr="0065333F" w:rsidRDefault="00FA5B5E" w:rsidP="00FA5B5E">
      <w:pPr>
        <w:pStyle w:val="Bibliography"/>
        <w:rPr>
          <w:rFonts w:eastAsiaTheme="minorHAnsi"/>
          <w:lang w:val="en-US"/>
        </w:rPr>
      </w:pPr>
      <w:r w:rsidRPr="0065333F">
        <w:rPr>
          <w:rFonts w:eastAsiaTheme="minorHAnsi"/>
          <w:lang w:val="en-US"/>
        </w:rPr>
        <w:t xml:space="preserve">13. </w:t>
      </w:r>
      <w:r w:rsidRPr="0065333F">
        <w:rPr>
          <w:rFonts w:eastAsiaTheme="minorHAnsi"/>
          <w:lang w:val="en-US"/>
        </w:rPr>
        <w:tab/>
        <w:t xml:space="preserve">Ghani Z, Saha S, Jarl J, Andersson M, Berglund JS, Anderberg P. Short Term Economic Evaluation of the Digital Platform “Support, Monitoring and Reminder Technology for Mild Dementia” (SMART4MD) for People with Mild Cognitive Impairment and their Informal Caregivers. J Alzheimers Dis. 86(4):1629–41. </w:t>
      </w:r>
    </w:p>
    <w:p w14:paraId="7B3CA8F8" w14:textId="77777777" w:rsidR="00FA5B5E" w:rsidRPr="0065333F" w:rsidRDefault="00FA5B5E" w:rsidP="00FA5B5E">
      <w:pPr>
        <w:pStyle w:val="Bibliography"/>
        <w:rPr>
          <w:rFonts w:eastAsiaTheme="minorHAnsi"/>
          <w:lang w:val="en-US"/>
        </w:rPr>
      </w:pPr>
      <w:r w:rsidRPr="0065333F">
        <w:rPr>
          <w:rFonts w:eastAsiaTheme="minorHAnsi"/>
          <w:lang w:val="en-US"/>
        </w:rPr>
        <w:lastRenderedPageBreak/>
        <w:t xml:space="preserve">14. </w:t>
      </w:r>
      <w:r w:rsidRPr="0065333F">
        <w:rPr>
          <w:rFonts w:eastAsiaTheme="minorHAnsi"/>
          <w:lang w:val="en-US"/>
        </w:rPr>
        <w:tab/>
        <w:t xml:space="preserve">Pizzo E, Wenborn J, Burgess J, Mundy J, Orrell M, King M, et al. Cost-utility analysis of community occupational therapy in dementia (COTiD-UK) versus usual care: Results from VALID, a multi-site randomised controlled trial in the UK. PLoS One. 2022;17(2):e0262828. </w:t>
      </w:r>
    </w:p>
    <w:p w14:paraId="612B21BC" w14:textId="77777777" w:rsidR="00FA5B5E" w:rsidRPr="0065333F" w:rsidRDefault="00FA5B5E" w:rsidP="00FA5B5E">
      <w:pPr>
        <w:pStyle w:val="Bibliography"/>
        <w:rPr>
          <w:rFonts w:eastAsiaTheme="minorHAnsi"/>
          <w:lang w:val="en-US"/>
        </w:rPr>
      </w:pPr>
      <w:r w:rsidRPr="0065333F">
        <w:rPr>
          <w:rFonts w:eastAsiaTheme="minorHAnsi"/>
          <w:lang w:val="en-US"/>
        </w:rPr>
        <w:t xml:space="preserve">15. </w:t>
      </w:r>
      <w:r w:rsidRPr="0065333F">
        <w:rPr>
          <w:rFonts w:eastAsiaTheme="minorHAnsi"/>
          <w:lang w:val="en-US"/>
        </w:rPr>
        <w:tab/>
        <w:t xml:space="preserve">El Alili M, Smaling HJA, Joling KJ, Achterberg WP, Francke AL, Bosmans JE, et al. Cost-effectiveness of the Namaste care family program for nursing home residents with advanced dementia in comparison with usual care: a cluster-randomized controlled trial. BMC Health Services Research. 2020 Sept 4;20(1):831. </w:t>
      </w:r>
    </w:p>
    <w:p w14:paraId="4EBA1BDD" w14:textId="77777777" w:rsidR="00FA5B5E" w:rsidRPr="0065333F" w:rsidRDefault="00FA5B5E" w:rsidP="00FA5B5E">
      <w:pPr>
        <w:pStyle w:val="Bibliography"/>
        <w:rPr>
          <w:rFonts w:eastAsiaTheme="minorHAnsi"/>
          <w:lang w:val="en-US"/>
        </w:rPr>
      </w:pPr>
      <w:r w:rsidRPr="0065333F">
        <w:rPr>
          <w:rFonts w:eastAsiaTheme="minorHAnsi"/>
          <w:lang w:val="en-US"/>
        </w:rPr>
        <w:t xml:space="preserve">16. </w:t>
      </w:r>
      <w:r w:rsidRPr="0065333F">
        <w:rPr>
          <w:rFonts w:eastAsiaTheme="minorHAnsi"/>
          <w:lang w:val="en-US"/>
        </w:rPr>
        <w:tab/>
        <w:t xml:space="preserve">Cisneros E, de Guise E, Belleville S, McKerral M. A controlled clinical efficacy trial of multimodal cognitive rehabilitation on episodic memory functioning in older adults with traumatic brain injury. Ann Phys Rehabil Med. 2021 Sept;64(5):101563. </w:t>
      </w:r>
    </w:p>
    <w:p w14:paraId="54CBBCB5" w14:textId="77777777" w:rsidR="00FA5B5E" w:rsidRPr="0065333F" w:rsidRDefault="00FA5B5E" w:rsidP="00FA5B5E">
      <w:pPr>
        <w:pStyle w:val="Bibliography"/>
        <w:rPr>
          <w:rFonts w:eastAsiaTheme="minorHAnsi"/>
          <w:lang w:val="en-US"/>
        </w:rPr>
      </w:pPr>
      <w:r w:rsidRPr="0065333F">
        <w:rPr>
          <w:rFonts w:eastAsiaTheme="minorHAnsi"/>
          <w:lang w:val="en-US"/>
        </w:rPr>
        <w:t xml:space="preserve">17. </w:t>
      </w:r>
      <w:r w:rsidRPr="0065333F">
        <w:rPr>
          <w:rFonts w:eastAsiaTheme="minorHAnsi"/>
          <w:lang w:val="en-US"/>
        </w:rPr>
        <w:tab/>
        <w:t xml:space="preserve">Howrey BT, Graham JE, Pappadis MR, Granger CV, Ottenbacher KJ. Trajectories of Functional Change After Inpatient Rehabilitation for Traumatic Brain Injury. Arch Phys Med Rehabil. 2017 Aug;98(8):1606–13. </w:t>
      </w:r>
    </w:p>
    <w:p w14:paraId="27135A46" w14:textId="77777777" w:rsidR="00FA5B5E" w:rsidRPr="0065333F" w:rsidRDefault="00FA5B5E" w:rsidP="00FA5B5E">
      <w:pPr>
        <w:pStyle w:val="Bibliography"/>
        <w:rPr>
          <w:rFonts w:eastAsiaTheme="minorHAnsi"/>
          <w:lang w:val="en-US"/>
        </w:rPr>
      </w:pPr>
      <w:r w:rsidRPr="0065333F">
        <w:rPr>
          <w:rFonts w:eastAsiaTheme="minorHAnsi"/>
          <w:lang w:val="en-US"/>
        </w:rPr>
        <w:t xml:space="preserve">18. </w:t>
      </w:r>
      <w:r w:rsidRPr="0065333F">
        <w:rPr>
          <w:rFonts w:eastAsiaTheme="minorHAnsi"/>
          <w:lang w:val="en-US"/>
        </w:rPr>
        <w:tab/>
        <w:t xml:space="preserve">Frankel JE, Marwitz JH, Cifu DX, Kreutzer JS, Englander J, Rosenthal M. A follow-up study of older adults with traumatic brain injury: taking into account decreasing length of stay. Arch Phys Med Rehabil. 2006 Jan;87(1):57–62. </w:t>
      </w:r>
    </w:p>
    <w:p w14:paraId="2C7B0633" w14:textId="77777777" w:rsidR="00FA5B5E" w:rsidRPr="0065333F" w:rsidRDefault="00FA5B5E" w:rsidP="00FA5B5E">
      <w:pPr>
        <w:pStyle w:val="Bibliography"/>
        <w:rPr>
          <w:rFonts w:eastAsiaTheme="minorHAnsi"/>
          <w:lang w:val="en-US"/>
        </w:rPr>
      </w:pPr>
      <w:r w:rsidRPr="0065333F">
        <w:rPr>
          <w:rFonts w:eastAsiaTheme="minorHAnsi"/>
          <w:lang w:val="en-US"/>
        </w:rPr>
        <w:t xml:space="preserve">19. </w:t>
      </w:r>
      <w:r w:rsidRPr="0065333F">
        <w:rPr>
          <w:rFonts w:eastAsiaTheme="minorHAnsi"/>
          <w:lang w:val="en-US"/>
        </w:rPr>
        <w:tab/>
        <w:t xml:space="preserve">Thompson HJ, Weir S, Rivara FP, Wang J, Sullivan SD, Salkever D, et al. Utilization and Costs of Health Care after Geriatric Traumatic Brain Injury. J Neurotrauma. 2012 July 1;29(10):1864–71. </w:t>
      </w:r>
    </w:p>
    <w:p w14:paraId="06A9930B" w14:textId="77777777" w:rsidR="00FA5B5E" w:rsidRPr="0065333F" w:rsidRDefault="00FA5B5E" w:rsidP="00FA5B5E">
      <w:pPr>
        <w:pStyle w:val="Bibliography"/>
        <w:rPr>
          <w:rFonts w:eastAsiaTheme="minorHAnsi"/>
          <w:lang w:val="en-US"/>
        </w:rPr>
      </w:pPr>
      <w:r w:rsidRPr="0065333F">
        <w:rPr>
          <w:rFonts w:eastAsiaTheme="minorHAnsi"/>
          <w:lang w:val="en-US"/>
        </w:rPr>
        <w:t xml:space="preserve">20. </w:t>
      </w:r>
      <w:r w:rsidRPr="0065333F">
        <w:rPr>
          <w:rFonts w:eastAsiaTheme="minorHAnsi"/>
          <w:lang w:val="en-US"/>
        </w:rPr>
        <w:tab/>
        <w:t>Canada E and SD. Physiotherapist in the Toronto Region | Wages - Job Bank [Internet]. [cited 2025 July 26]. Available from: http://www.jobbank.gc.ca/explore_career/job_market_report/wage_occupation_report.xhtml</w:t>
      </w:r>
    </w:p>
    <w:p w14:paraId="327ACF89" w14:textId="77777777" w:rsidR="00FA5B5E" w:rsidRPr="0065333F" w:rsidRDefault="00FA5B5E" w:rsidP="00FA5B5E">
      <w:pPr>
        <w:pStyle w:val="Bibliography"/>
        <w:rPr>
          <w:rFonts w:eastAsiaTheme="minorHAnsi"/>
          <w:lang w:val="en-US"/>
        </w:rPr>
      </w:pPr>
      <w:r w:rsidRPr="0065333F">
        <w:rPr>
          <w:rFonts w:eastAsiaTheme="minorHAnsi"/>
          <w:lang w:val="en-US"/>
        </w:rPr>
        <w:t xml:space="preserve">21. </w:t>
      </w:r>
      <w:r w:rsidRPr="0065333F">
        <w:rPr>
          <w:rFonts w:eastAsiaTheme="minorHAnsi"/>
          <w:lang w:val="en-US"/>
        </w:rPr>
        <w:tab/>
        <w:t>Canada E and SD. Occupational Therapist (OT) in the Toronto Region | Wages - Job Bank [Internet]. [cited 2025 July 26]. Available from: http://www.jobbank.gc.ca/explore_career/job_market_report/wage_occupation_report.xhtml</w:t>
      </w:r>
    </w:p>
    <w:p w14:paraId="1BAC8D47" w14:textId="2C7879A3" w:rsidR="00FA5B5E" w:rsidRPr="0065333F" w:rsidRDefault="00FA5B5E" w:rsidP="00FA5B5E">
      <w:pPr>
        <w:pStyle w:val="Bibliography"/>
        <w:rPr>
          <w:b/>
          <w:bCs/>
        </w:rPr>
      </w:pPr>
      <w:r w:rsidRPr="0065333F">
        <w:rPr>
          <w:b/>
          <w:bCs/>
        </w:rPr>
        <w:fldChar w:fldCharType="end"/>
      </w:r>
    </w:p>
    <w:p w14:paraId="3E5BF745" w14:textId="77777777" w:rsidR="008F5702" w:rsidRPr="0065333F" w:rsidRDefault="008F5702"/>
    <w:sectPr w:rsidR="008F5702" w:rsidRPr="0065333F" w:rsidSect="003B31E6">
      <w:pgSz w:w="15840" w:h="12240"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haron Straus" w:date="2025-04-14T14:44:00Z" w:initials="SS">
    <w:p w14:paraId="00E6562D" w14:textId="1E2E69E3" w:rsidR="00104F56" w:rsidRDefault="00104F56" w:rsidP="00104F56">
      <w:pPr>
        <w:pStyle w:val="CommentText"/>
      </w:pPr>
      <w:r>
        <w:rPr>
          <w:rStyle w:val="CommentReference"/>
        </w:rPr>
        <w:annotationRef/>
      </w:r>
      <w:r>
        <w:t>Can you add a column on study design and quality?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E6562D"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E6562D" w16cid:durableId="39F31ED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1C41BE"/>
    <w:multiLevelType w:val="hybridMultilevel"/>
    <w:tmpl w:val="8632C5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A24286"/>
    <w:multiLevelType w:val="multilevel"/>
    <w:tmpl w:val="BA92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5353615">
    <w:abstractNumId w:val="1"/>
  </w:num>
  <w:num w:numId="2" w16cid:durableId="5177917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aron Straus">
    <w15:presenceInfo w15:providerId="AD" w15:userId="S-1-5-21-1713919750-443283458-3588888695-54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CAE"/>
    <w:rsid w:val="0000101F"/>
    <w:rsid w:val="00020C45"/>
    <w:rsid w:val="0003049C"/>
    <w:rsid w:val="00040341"/>
    <w:rsid w:val="0005223E"/>
    <w:rsid w:val="000C4D94"/>
    <w:rsid w:val="000D5E2C"/>
    <w:rsid w:val="000F5261"/>
    <w:rsid w:val="00104F56"/>
    <w:rsid w:val="00115542"/>
    <w:rsid w:val="0015142A"/>
    <w:rsid w:val="001565A9"/>
    <w:rsid w:val="00163A88"/>
    <w:rsid w:val="001A5CB0"/>
    <w:rsid w:val="001D7CAE"/>
    <w:rsid w:val="00201469"/>
    <w:rsid w:val="0021532F"/>
    <w:rsid w:val="00227BDD"/>
    <w:rsid w:val="002417CC"/>
    <w:rsid w:val="00275777"/>
    <w:rsid w:val="00276AE3"/>
    <w:rsid w:val="00277668"/>
    <w:rsid w:val="00281682"/>
    <w:rsid w:val="00283B34"/>
    <w:rsid w:val="002902B2"/>
    <w:rsid w:val="002D4347"/>
    <w:rsid w:val="003365C0"/>
    <w:rsid w:val="00365636"/>
    <w:rsid w:val="0036709B"/>
    <w:rsid w:val="00382187"/>
    <w:rsid w:val="003B31E6"/>
    <w:rsid w:val="003B3BB1"/>
    <w:rsid w:val="003D4559"/>
    <w:rsid w:val="003F22B7"/>
    <w:rsid w:val="00414918"/>
    <w:rsid w:val="00415F69"/>
    <w:rsid w:val="0041721E"/>
    <w:rsid w:val="004C5C2A"/>
    <w:rsid w:val="004E5525"/>
    <w:rsid w:val="004E7170"/>
    <w:rsid w:val="00515F7D"/>
    <w:rsid w:val="005376E7"/>
    <w:rsid w:val="00546F25"/>
    <w:rsid w:val="00560F5E"/>
    <w:rsid w:val="00571A20"/>
    <w:rsid w:val="005D3062"/>
    <w:rsid w:val="006058D5"/>
    <w:rsid w:val="00627C03"/>
    <w:rsid w:val="006325A8"/>
    <w:rsid w:val="006439BD"/>
    <w:rsid w:val="00650F5E"/>
    <w:rsid w:val="0065333F"/>
    <w:rsid w:val="00671710"/>
    <w:rsid w:val="006F4DD8"/>
    <w:rsid w:val="0072188F"/>
    <w:rsid w:val="00725271"/>
    <w:rsid w:val="0073682A"/>
    <w:rsid w:val="00750EC3"/>
    <w:rsid w:val="0075761C"/>
    <w:rsid w:val="007578BA"/>
    <w:rsid w:val="007A0696"/>
    <w:rsid w:val="007C3055"/>
    <w:rsid w:val="007D70C6"/>
    <w:rsid w:val="007F3672"/>
    <w:rsid w:val="00826B15"/>
    <w:rsid w:val="00850702"/>
    <w:rsid w:val="00854E43"/>
    <w:rsid w:val="00855679"/>
    <w:rsid w:val="00857237"/>
    <w:rsid w:val="00884DB1"/>
    <w:rsid w:val="008A09F8"/>
    <w:rsid w:val="008C218B"/>
    <w:rsid w:val="008D1E67"/>
    <w:rsid w:val="008F5702"/>
    <w:rsid w:val="00916585"/>
    <w:rsid w:val="00926A77"/>
    <w:rsid w:val="00960D67"/>
    <w:rsid w:val="0096371B"/>
    <w:rsid w:val="00983EB0"/>
    <w:rsid w:val="00990E54"/>
    <w:rsid w:val="009A6F3B"/>
    <w:rsid w:val="009B5E08"/>
    <w:rsid w:val="009C650B"/>
    <w:rsid w:val="009C7866"/>
    <w:rsid w:val="009F33B6"/>
    <w:rsid w:val="00A036B3"/>
    <w:rsid w:val="00A22A38"/>
    <w:rsid w:val="00A440D9"/>
    <w:rsid w:val="00A4756E"/>
    <w:rsid w:val="00A6400B"/>
    <w:rsid w:val="00A7568B"/>
    <w:rsid w:val="00A85E7B"/>
    <w:rsid w:val="00AE4BD3"/>
    <w:rsid w:val="00AF790D"/>
    <w:rsid w:val="00B003E0"/>
    <w:rsid w:val="00B60CF3"/>
    <w:rsid w:val="00B76B9A"/>
    <w:rsid w:val="00BA0113"/>
    <w:rsid w:val="00BA37BF"/>
    <w:rsid w:val="00BC546D"/>
    <w:rsid w:val="00C023C8"/>
    <w:rsid w:val="00C04E05"/>
    <w:rsid w:val="00C100AF"/>
    <w:rsid w:val="00C23B27"/>
    <w:rsid w:val="00C35C3B"/>
    <w:rsid w:val="00C410DC"/>
    <w:rsid w:val="00C477F3"/>
    <w:rsid w:val="00C501B9"/>
    <w:rsid w:val="00C57C18"/>
    <w:rsid w:val="00C61702"/>
    <w:rsid w:val="00C70DA8"/>
    <w:rsid w:val="00C900B0"/>
    <w:rsid w:val="00CA195B"/>
    <w:rsid w:val="00CF5D06"/>
    <w:rsid w:val="00D067E7"/>
    <w:rsid w:val="00D309C6"/>
    <w:rsid w:val="00D31CFF"/>
    <w:rsid w:val="00D447BE"/>
    <w:rsid w:val="00D465EB"/>
    <w:rsid w:val="00D70945"/>
    <w:rsid w:val="00D75F4D"/>
    <w:rsid w:val="00D84773"/>
    <w:rsid w:val="00D916D9"/>
    <w:rsid w:val="00DB7DFF"/>
    <w:rsid w:val="00DD1796"/>
    <w:rsid w:val="00DF1689"/>
    <w:rsid w:val="00E15356"/>
    <w:rsid w:val="00E474E6"/>
    <w:rsid w:val="00EA0B9D"/>
    <w:rsid w:val="00EA463F"/>
    <w:rsid w:val="00EE16AF"/>
    <w:rsid w:val="00F034BC"/>
    <w:rsid w:val="00F11C6B"/>
    <w:rsid w:val="00F17DE8"/>
    <w:rsid w:val="00F50035"/>
    <w:rsid w:val="00F92ACB"/>
    <w:rsid w:val="00FA5B5E"/>
    <w:rsid w:val="00FA6D2B"/>
    <w:rsid w:val="00FF49E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73473"/>
  <w15:chartTrackingRefBased/>
  <w15:docId w15:val="{305AA517-691A-E747-A80E-52B2F3E0F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CAE"/>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D7C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D7C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7C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7C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7C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7CA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7CA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7CA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7CA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C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D7C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7C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7C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7C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7C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7C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7C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7CAE"/>
    <w:rPr>
      <w:rFonts w:eastAsiaTheme="majorEastAsia" w:cstheme="majorBidi"/>
      <w:color w:val="272727" w:themeColor="text1" w:themeTint="D8"/>
    </w:rPr>
  </w:style>
  <w:style w:type="paragraph" w:styleId="Title">
    <w:name w:val="Title"/>
    <w:basedOn w:val="Normal"/>
    <w:next w:val="Normal"/>
    <w:link w:val="TitleChar"/>
    <w:uiPriority w:val="10"/>
    <w:qFormat/>
    <w:rsid w:val="001D7CA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7C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7C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7C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7CAE"/>
    <w:pPr>
      <w:spacing w:before="160"/>
      <w:jc w:val="center"/>
    </w:pPr>
    <w:rPr>
      <w:i/>
      <w:iCs/>
      <w:color w:val="404040" w:themeColor="text1" w:themeTint="BF"/>
    </w:rPr>
  </w:style>
  <w:style w:type="character" w:customStyle="1" w:styleId="QuoteChar">
    <w:name w:val="Quote Char"/>
    <w:basedOn w:val="DefaultParagraphFont"/>
    <w:link w:val="Quote"/>
    <w:uiPriority w:val="29"/>
    <w:rsid w:val="001D7CAE"/>
    <w:rPr>
      <w:i/>
      <w:iCs/>
      <w:color w:val="404040" w:themeColor="text1" w:themeTint="BF"/>
    </w:rPr>
  </w:style>
  <w:style w:type="paragraph" w:styleId="ListParagraph">
    <w:name w:val="List Paragraph"/>
    <w:basedOn w:val="Normal"/>
    <w:uiPriority w:val="34"/>
    <w:qFormat/>
    <w:rsid w:val="001D7CAE"/>
    <w:pPr>
      <w:ind w:left="720"/>
      <w:contextualSpacing/>
    </w:pPr>
  </w:style>
  <w:style w:type="character" w:styleId="IntenseEmphasis">
    <w:name w:val="Intense Emphasis"/>
    <w:basedOn w:val="DefaultParagraphFont"/>
    <w:uiPriority w:val="21"/>
    <w:qFormat/>
    <w:rsid w:val="001D7CAE"/>
    <w:rPr>
      <w:i/>
      <w:iCs/>
      <w:color w:val="0F4761" w:themeColor="accent1" w:themeShade="BF"/>
    </w:rPr>
  </w:style>
  <w:style w:type="paragraph" w:styleId="IntenseQuote">
    <w:name w:val="Intense Quote"/>
    <w:basedOn w:val="Normal"/>
    <w:next w:val="Normal"/>
    <w:link w:val="IntenseQuoteChar"/>
    <w:uiPriority w:val="30"/>
    <w:qFormat/>
    <w:rsid w:val="001D7C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7CAE"/>
    <w:rPr>
      <w:i/>
      <w:iCs/>
      <w:color w:val="0F4761" w:themeColor="accent1" w:themeShade="BF"/>
    </w:rPr>
  </w:style>
  <w:style w:type="character" w:styleId="IntenseReference">
    <w:name w:val="Intense Reference"/>
    <w:basedOn w:val="DefaultParagraphFont"/>
    <w:uiPriority w:val="32"/>
    <w:qFormat/>
    <w:rsid w:val="001D7CAE"/>
    <w:rPr>
      <w:b/>
      <w:bCs/>
      <w:smallCaps/>
      <w:color w:val="0F4761" w:themeColor="accent1" w:themeShade="BF"/>
      <w:spacing w:val="5"/>
    </w:rPr>
  </w:style>
  <w:style w:type="table" w:styleId="TableGrid">
    <w:name w:val="Table Grid"/>
    <w:basedOn w:val="TableNormal"/>
    <w:uiPriority w:val="59"/>
    <w:rsid w:val="001D7CAE"/>
    <w:pPr>
      <w:spacing w:after="0" w:line="240" w:lineRule="auto"/>
    </w:pPr>
    <w:rPr>
      <w:rFonts w:eastAsiaTheme="minorEastAsia"/>
      <w:kern w:val="0"/>
      <w:lang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1D7CAE"/>
    <w:pPr>
      <w:spacing w:before="100" w:beforeAutospacing="1" w:after="100" w:afterAutospacing="1"/>
    </w:pPr>
  </w:style>
  <w:style w:type="character" w:styleId="CommentReference">
    <w:name w:val="annotation reference"/>
    <w:basedOn w:val="DefaultParagraphFont"/>
    <w:uiPriority w:val="99"/>
    <w:semiHidden/>
    <w:unhideWhenUsed/>
    <w:rsid w:val="00BA37BF"/>
    <w:rPr>
      <w:sz w:val="16"/>
      <w:szCs w:val="16"/>
    </w:rPr>
  </w:style>
  <w:style w:type="paragraph" w:styleId="CommentText">
    <w:name w:val="annotation text"/>
    <w:basedOn w:val="Normal"/>
    <w:link w:val="CommentTextChar"/>
    <w:uiPriority w:val="99"/>
    <w:unhideWhenUsed/>
    <w:rsid w:val="00BA37BF"/>
    <w:rPr>
      <w:sz w:val="20"/>
      <w:szCs w:val="20"/>
    </w:rPr>
  </w:style>
  <w:style w:type="character" w:customStyle="1" w:styleId="CommentTextChar">
    <w:name w:val="Comment Text Char"/>
    <w:basedOn w:val="DefaultParagraphFont"/>
    <w:link w:val="CommentText"/>
    <w:uiPriority w:val="99"/>
    <w:rsid w:val="00BA37BF"/>
    <w:rPr>
      <w:rFonts w:ascii="Times New Roman" w:eastAsia="Times New Roman" w:hAnsi="Times New Roman" w:cs="Times New Roman"/>
      <w:kern w:val="0"/>
      <w:sz w:val="20"/>
      <w:szCs w:val="20"/>
      <w14:ligatures w14:val="none"/>
    </w:rPr>
  </w:style>
  <w:style w:type="paragraph" w:styleId="Bibliography">
    <w:name w:val="Bibliography"/>
    <w:basedOn w:val="Normal"/>
    <w:next w:val="Normal"/>
    <w:uiPriority w:val="37"/>
    <w:unhideWhenUsed/>
    <w:rsid w:val="00FA5B5E"/>
    <w:pPr>
      <w:tabs>
        <w:tab w:val="left" w:pos="500"/>
      </w:tabs>
      <w:spacing w:after="240"/>
      <w:ind w:left="504" w:hanging="504"/>
    </w:pPr>
  </w:style>
  <w:style w:type="paragraph" w:styleId="NoSpacing">
    <w:name w:val="No Spacing"/>
    <w:uiPriority w:val="1"/>
    <w:qFormat/>
    <w:rsid w:val="0065333F"/>
    <w:pPr>
      <w:spacing w:after="0" w:line="240" w:lineRule="auto"/>
    </w:pPr>
  </w:style>
  <w:style w:type="table" w:styleId="TableGridLight">
    <w:name w:val="Grid Table Light"/>
    <w:basedOn w:val="TableNormal"/>
    <w:uiPriority w:val="40"/>
    <w:rsid w:val="007D70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A6400B"/>
    <w:rPr>
      <w:b/>
      <w:bCs/>
    </w:rPr>
  </w:style>
  <w:style w:type="character" w:customStyle="1" w:styleId="CommentSubjectChar">
    <w:name w:val="Comment Subject Char"/>
    <w:basedOn w:val="CommentTextChar"/>
    <w:link w:val="CommentSubject"/>
    <w:uiPriority w:val="99"/>
    <w:semiHidden/>
    <w:rsid w:val="00A6400B"/>
    <w:rPr>
      <w:rFonts w:ascii="Times New Roman" w:eastAsia="Times New Roman" w:hAnsi="Times New Roman"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21391">
      <w:bodyDiv w:val="1"/>
      <w:marLeft w:val="0"/>
      <w:marRight w:val="0"/>
      <w:marTop w:val="0"/>
      <w:marBottom w:val="0"/>
      <w:divBdr>
        <w:top w:val="none" w:sz="0" w:space="0" w:color="auto"/>
        <w:left w:val="none" w:sz="0" w:space="0" w:color="auto"/>
        <w:bottom w:val="none" w:sz="0" w:space="0" w:color="auto"/>
        <w:right w:val="none" w:sz="0" w:space="0" w:color="auto"/>
      </w:divBdr>
      <w:divsChild>
        <w:div w:id="7451754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9586606">
      <w:bodyDiv w:val="1"/>
      <w:marLeft w:val="0"/>
      <w:marRight w:val="0"/>
      <w:marTop w:val="0"/>
      <w:marBottom w:val="0"/>
      <w:divBdr>
        <w:top w:val="none" w:sz="0" w:space="0" w:color="auto"/>
        <w:left w:val="none" w:sz="0" w:space="0" w:color="auto"/>
        <w:bottom w:val="none" w:sz="0" w:space="0" w:color="auto"/>
        <w:right w:val="none" w:sz="0" w:space="0" w:color="auto"/>
      </w:divBdr>
      <w:divsChild>
        <w:div w:id="25640579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9878295">
      <w:bodyDiv w:val="1"/>
      <w:marLeft w:val="0"/>
      <w:marRight w:val="0"/>
      <w:marTop w:val="0"/>
      <w:marBottom w:val="0"/>
      <w:divBdr>
        <w:top w:val="none" w:sz="0" w:space="0" w:color="auto"/>
        <w:left w:val="none" w:sz="0" w:space="0" w:color="auto"/>
        <w:bottom w:val="none" w:sz="0" w:space="0" w:color="auto"/>
        <w:right w:val="none" w:sz="0" w:space="0" w:color="auto"/>
      </w:divBdr>
      <w:divsChild>
        <w:div w:id="77386936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5189588">
      <w:bodyDiv w:val="1"/>
      <w:marLeft w:val="0"/>
      <w:marRight w:val="0"/>
      <w:marTop w:val="0"/>
      <w:marBottom w:val="0"/>
      <w:divBdr>
        <w:top w:val="none" w:sz="0" w:space="0" w:color="auto"/>
        <w:left w:val="none" w:sz="0" w:space="0" w:color="auto"/>
        <w:bottom w:val="none" w:sz="0" w:space="0" w:color="auto"/>
        <w:right w:val="none" w:sz="0" w:space="0" w:color="auto"/>
      </w:divBdr>
    </w:div>
    <w:div w:id="405537458">
      <w:bodyDiv w:val="1"/>
      <w:marLeft w:val="0"/>
      <w:marRight w:val="0"/>
      <w:marTop w:val="0"/>
      <w:marBottom w:val="0"/>
      <w:divBdr>
        <w:top w:val="none" w:sz="0" w:space="0" w:color="auto"/>
        <w:left w:val="none" w:sz="0" w:space="0" w:color="auto"/>
        <w:bottom w:val="none" w:sz="0" w:space="0" w:color="auto"/>
        <w:right w:val="none" w:sz="0" w:space="0" w:color="auto"/>
      </w:divBdr>
    </w:div>
    <w:div w:id="460925320">
      <w:bodyDiv w:val="1"/>
      <w:marLeft w:val="0"/>
      <w:marRight w:val="0"/>
      <w:marTop w:val="0"/>
      <w:marBottom w:val="0"/>
      <w:divBdr>
        <w:top w:val="none" w:sz="0" w:space="0" w:color="auto"/>
        <w:left w:val="none" w:sz="0" w:space="0" w:color="auto"/>
        <w:bottom w:val="none" w:sz="0" w:space="0" w:color="auto"/>
        <w:right w:val="none" w:sz="0" w:space="0" w:color="auto"/>
      </w:divBdr>
    </w:div>
    <w:div w:id="699401410">
      <w:bodyDiv w:val="1"/>
      <w:marLeft w:val="0"/>
      <w:marRight w:val="0"/>
      <w:marTop w:val="0"/>
      <w:marBottom w:val="0"/>
      <w:divBdr>
        <w:top w:val="none" w:sz="0" w:space="0" w:color="auto"/>
        <w:left w:val="none" w:sz="0" w:space="0" w:color="auto"/>
        <w:bottom w:val="none" w:sz="0" w:space="0" w:color="auto"/>
        <w:right w:val="none" w:sz="0" w:space="0" w:color="auto"/>
      </w:divBdr>
    </w:div>
    <w:div w:id="921184459">
      <w:bodyDiv w:val="1"/>
      <w:marLeft w:val="0"/>
      <w:marRight w:val="0"/>
      <w:marTop w:val="0"/>
      <w:marBottom w:val="0"/>
      <w:divBdr>
        <w:top w:val="none" w:sz="0" w:space="0" w:color="auto"/>
        <w:left w:val="none" w:sz="0" w:space="0" w:color="auto"/>
        <w:bottom w:val="none" w:sz="0" w:space="0" w:color="auto"/>
        <w:right w:val="none" w:sz="0" w:space="0" w:color="auto"/>
      </w:divBdr>
      <w:divsChild>
        <w:div w:id="41270390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38947577">
      <w:bodyDiv w:val="1"/>
      <w:marLeft w:val="0"/>
      <w:marRight w:val="0"/>
      <w:marTop w:val="0"/>
      <w:marBottom w:val="0"/>
      <w:divBdr>
        <w:top w:val="none" w:sz="0" w:space="0" w:color="auto"/>
        <w:left w:val="none" w:sz="0" w:space="0" w:color="auto"/>
        <w:bottom w:val="none" w:sz="0" w:space="0" w:color="auto"/>
        <w:right w:val="none" w:sz="0" w:space="0" w:color="auto"/>
      </w:divBdr>
    </w:div>
    <w:div w:id="1095518563">
      <w:bodyDiv w:val="1"/>
      <w:marLeft w:val="0"/>
      <w:marRight w:val="0"/>
      <w:marTop w:val="0"/>
      <w:marBottom w:val="0"/>
      <w:divBdr>
        <w:top w:val="none" w:sz="0" w:space="0" w:color="auto"/>
        <w:left w:val="none" w:sz="0" w:space="0" w:color="auto"/>
        <w:bottom w:val="none" w:sz="0" w:space="0" w:color="auto"/>
        <w:right w:val="none" w:sz="0" w:space="0" w:color="auto"/>
      </w:divBdr>
      <w:divsChild>
        <w:div w:id="134277600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52093295">
      <w:bodyDiv w:val="1"/>
      <w:marLeft w:val="0"/>
      <w:marRight w:val="0"/>
      <w:marTop w:val="0"/>
      <w:marBottom w:val="0"/>
      <w:divBdr>
        <w:top w:val="none" w:sz="0" w:space="0" w:color="auto"/>
        <w:left w:val="none" w:sz="0" w:space="0" w:color="auto"/>
        <w:bottom w:val="none" w:sz="0" w:space="0" w:color="auto"/>
        <w:right w:val="none" w:sz="0" w:space="0" w:color="auto"/>
      </w:divBdr>
    </w:div>
    <w:div w:id="1569731366">
      <w:bodyDiv w:val="1"/>
      <w:marLeft w:val="0"/>
      <w:marRight w:val="0"/>
      <w:marTop w:val="0"/>
      <w:marBottom w:val="0"/>
      <w:divBdr>
        <w:top w:val="none" w:sz="0" w:space="0" w:color="auto"/>
        <w:left w:val="none" w:sz="0" w:space="0" w:color="auto"/>
        <w:bottom w:val="none" w:sz="0" w:space="0" w:color="auto"/>
        <w:right w:val="none" w:sz="0" w:space="0" w:color="auto"/>
      </w:divBdr>
    </w:div>
    <w:div w:id="1588995407">
      <w:bodyDiv w:val="1"/>
      <w:marLeft w:val="0"/>
      <w:marRight w:val="0"/>
      <w:marTop w:val="0"/>
      <w:marBottom w:val="0"/>
      <w:divBdr>
        <w:top w:val="none" w:sz="0" w:space="0" w:color="auto"/>
        <w:left w:val="none" w:sz="0" w:space="0" w:color="auto"/>
        <w:bottom w:val="none" w:sz="0" w:space="0" w:color="auto"/>
        <w:right w:val="none" w:sz="0" w:space="0" w:color="auto"/>
      </w:divBdr>
    </w:div>
    <w:div w:id="1682272060">
      <w:bodyDiv w:val="1"/>
      <w:marLeft w:val="0"/>
      <w:marRight w:val="0"/>
      <w:marTop w:val="0"/>
      <w:marBottom w:val="0"/>
      <w:divBdr>
        <w:top w:val="none" w:sz="0" w:space="0" w:color="auto"/>
        <w:left w:val="none" w:sz="0" w:space="0" w:color="auto"/>
        <w:bottom w:val="none" w:sz="0" w:space="0" w:color="auto"/>
        <w:right w:val="none" w:sz="0" w:space="0" w:color="auto"/>
      </w:divBdr>
    </w:div>
    <w:div w:id="1713922868">
      <w:bodyDiv w:val="1"/>
      <w:marLeft w:val="0"/>
      <w:marRight w:val="0"/>
      <w:marTop w:val="0"/>
      <w:marBottom w:val="0"/>
      <w:divBdr>
        <w:top w:val="none" w:sz="0" w:space="0" w:color="auto"/>
        <w:left w:val="none" w:sz="0" w:space="0" w:color="auto"/>
        <w:bottom w:val="none" w:sz="0" w:space="0" w:color="auto"/>
        <w:right w:val="none" w:sz="0" w:space="0" w:color="auto"/>
      </w:divBdr>
    </w:div>
    <w:div w:id="1731532735">
      <w:bodyDiv w:val="1"/>
      <w:marLeft w:val="0"/>
      <w:marRight w:val="0"/>
      <w:marTop w:val="0"/>
      <w:marBottom w:val="0"/>
      <w:divBdr>
        <w:top w:val="none" w:sz="0" w:space="0" w:color="auto"/>
        <w:left w:val="none" w:sz="0" w:space="0" w:color="auto"/>
        <w:bottom w:val="none" w:sz="0" w:space="0" w:color="auto"/>
        <w:right w:val="none" w:sz="0" w:space="0" w:color="auto"/>
      </w:divBdr>
    </w:div>
    <w:div w:id="1743328135">
      <w:bodyDiv w:val="1"/>
      <w:marLeft w:val="0"/>
      <w:marRight w:val="0"/>
      <w:marTop w:val="0"/>
      <w:marBottom w:val="0"/>
      <w:divBdr>
        <w:top w:val="none" w:sz="0" w:space="0" w:color="auto"/>
        <w:left w:val="none" w:sz="0" w:space="0" w:color="auto"/>
        <w:bottom w:val="none" w:sz="0" w:space="0" w:color="auto"/>
        <w:right w:val="none" w:sz="0" w:space="0" w:color="auto"/>
      </w:divBdr>
    </w:div>
    <w:div w:id="1825925851">
      <w:bodyDiv w:val="1"/>
      <w:marLeft w:val="0"/>
      <w:marRight w:val="0"/>
      <w:marTop w:val="0"/>
      <w:marBottom w:val="0"/>
      <w:divBdr>
        <w:top w:val="none" w:sz="0" w:space="0" w:color="auto"/>
        <w:left w:val="none" w:sz="0" w:space="0" w:color="auto"/>
        <w:bottom w:val="none" w:sz="0" w:space="0" w:color="auto"/>
        <w:right w:val="none" w:sz="0" w:space="0" w:color="auto"/>
      </w:divBdr>
      <w:divsChild>
        <w:div w:id="5409088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25911851">
      <w:bodyDiv w:val="1"/>
      <w:marLeft w:val="0"/>
      <w:marRight w:val="0"/>
      <w:marTop w:val="0"/>
      <w:marBottom w:val="0"/>
      <w:divBdr>
        <w:top w:val="none" w:sz="0" w:space="0" w:color="auto"/>
        <w:left w:val="none" w:sz="0" w:space="0" w:color="auto"/>
        <w:bottom w:val="none" w:sz="0" w:space="0" w:color="auto"/>
        <w:right w:val="none" w:sz="0" w:space="0" w:color="auto"/>
      </w:divBdr>
    </w:div>
    <w:div w:id="1952280428">
      <w:bodyDiv w:val="1"/>
      <w:marLeft w:val="0"/>
      <w:marRight w:val="0"/>
      <w:marTop w:val="0"/>
      <w:marBottom w:val="0"/>
      <w:divBdr>
        <w:top w:val="none" w:sz="0" w:space="0" w:color="auto"/>
        <w:left w:val="none" w:sz="0" w:space="0" w:color="auto"/>
        <w:bottom w:val="none" w:sz="0" w:space="0" w:color="auto"/>
        <w:right w:val="none" w:sz="0" w:space="0" w:color="auto"/>
      </w:divBdr>
    </w:div>
    <w:div w:id="1967157763">
      <w:bodyDiv w:val="1"/>
      <w:marLeft w:val="0"/>
      <w:marRight w:val="0"/>
      <w:marTop w:val="0"/>
      <w:marBottom w:val="0"/>
      <w:divBdr>
        <w:top w:val="none" w:sz="0" w:space="0" w:color="auto"/>
        <w:left w:val="none" w:sz="0" w:space="0" w:color="auto"/>
        <w:bottom w:val="none" w:sz="0" w:space="0" w:color="auto"/>
        <w:right w:val="none" w:sz="0" w:space="0" w:color="auto"/>
      </w:divBdr>
    </w:div>
    <w:div w:id="201399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13773</Words>
  <Characters>78507</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Huang</dc:creator>
  <cp:keywords/>
  <dc:description/>
  <cp:lastModifiedBy>Jenny Huang</cp:lastModifiedBy>
  <cp:revision>2</cp:revision>
  <dcterms:created xsi:type="dcterms:W3CDTF">2025-11-20T02:09:00Z</dcterms:created>
  <dcterms:modified xsi:type="dcterms:W3CDTF">2025-11-20T02:09:00Z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zotero-version="7.0.21"&gt;&lt;session id="INAW9oyV"/&gt;&lt;style id="http://www.zotero.org/styles/vancouver-superscript" locale="en-CA" hasBibliography="1" bibliographyStyleHasBeenSet="1"/&gt;&lt;prefs&gt;&lt;pref name="fieldType" value="Field"/&gt;&lt;/prefs&gt;</vt:lpwstr>
  </property>
  <property fmtid="{D5CDD505-2E9C-101B-9397-08002B2CF9AE}" pid="3" name="ZOTERO_PREF_2">
    <vt:lpwstr>&lt;/data&gt;</vt:lpwstr>
  </property>
</Properties>
</file>