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8FC47" w14:textId="77777777" w:rsidR="00EC09AB" w:rsidRDefault="00EC09AB" w:rsidP="00903442">
      <w:pPr>
        <w:spacing w:line="48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Supplementary Information</w:t>
      </w:r>
      <w:r w:rsidR="00800499">
        <w:rPr>
          <w:rFonts w:ascii="Times New Roman" w:eastAsia="Times New Roman" w:hAnsi="Times New Roman" w:cs="Times New Roman"/>
          <w:b/>
          <w:sz w:val="28"/>
          <w:szCs w:val="28"/>
        </w:rPr>
        <w:t xml:space="preserve"> on:</w:t>
      </w:r>
    </w:p>
    <w:p w14:paraId="6D13AFBB" w14:textId="77777777" w:rsidR="007F4186" w:rsidRPr="00EA3687" w:rsidRDefault="007F4186" w:rsidP="00903442">
      <w:pPr>
        <w:spacing w:line="480" w:lineRule="auto"/>
        <w:jc w:val="both"/>
        <w:rPr>
          <w:rFonts w:ascii="Times New Roman" w:eastAsia="Times New Roman" w:hAnsi="Times New Roman" w:cs="Times New Roman"/>
          <w:b/>
          <w:color w:val="000000" w:themeColor="text1"/>
          <w:sz w:val="28"/>
          <w:szCs w:val="28"/>
        </w:rPr>
      </w:pPr>
      <w:r w:rsidRPr="00EA3687">
        <w:rPr>
          <w:rFonts w:ascii="Times New Roman" w:eastAsia="Times New Roman" w:hAnsi="Times New Roman" w:cs="Times New Roman"/>
          <w:b/>
          <w:color w:val="000000" w:themeColor="text1"/>
          <w:sz w:val="28"/>
          <w:szCs w:val="28"/>
        </w:rPr>
        <w:t>Summer Hydrodynamics as a Dual Driver of Microplastic Retention and Settling in Shallow Water Columns</w:t>
      </w:r>
    </w:p>
    <w:p w14:paraId="27499B29" w14:textId="77777777" w:rsidR="007F4186" w:rsidRPr="00861048" w:rsidRDefault="007F4186" w:rsidP="00903442">
      <w:pPr>
        <w:spacing w:line="480" w:lineRule="auto"/>
        <w:jc w:val="both"/>
        <w:rPr>
          <w:rFonts w:ascii="Times New Roman" w:eastAsia="Times New Roman" w:hAnsi="Times New Roman" w:cs="Times New Roman"/>
          <w:b/>
          <w:sz w:val="24"/>
          <w:szCs w:val="24"/>
          <w:vertAlign w:val="superscript"/>
        </w:rPr>
      </w:pPr>
      <w:r w:rsidRPr="00861048">
        <w:rPr>
          <w:rFonts w:ascii="Times New Roman" w:eastAsia="Times New Roman" w:hAnsi="Times New Roman" w:cs="Times New Roman"/>
          <w:b/>
          <w:sz w:val="24"/>
          <w:szCs w:val="24"/>
        </w:rPr>
        <w:t>Hassan Elagami</w:t>
      </w:r>
      <w:r w:rsidRPr="00861048">
        <w:rPr>
          <w:rFonts w:ascii="Times New Roman" w:eastAsia="Times New Roman" w:hAnsi="Times New Roman" w:cs="Times New Roman"/>
          <w:b/>
          <w:sz w:val="24"/>
          <w:szCs w:val="24"/>
          <w:vertAlign w:val="superscript"/>
        </w:rPr>
        <w:t>1,</w:t>
      </w:r>
      <w:r w:rsidRPr="00861048">
        <w:rPr>
          <w:sz w:val="24"/>
          <w:szCs w:val="24"/>
        </w:rPr>
        <w:t xml:space="preserve"> </w:t>
      </w:r>
      <w:r w:rsidRPr="00861048">
        <w:rPr>
          <w:rFonts w:ascii="Times New Roman" w:eastAsia="Times New Roman" w:hAnsi="Times New Roman" w:cs="Times New Roman"/>
          <w:b/>
          <w:sz w:val="24"/>
          <w:szCs w:val="24"/>
          <w:vertAlign w:val="superscript"/>
        </w:rPr>
        <w:t>‡, *</w:t>
      </w:r>
      <w:r w:rsidRPr="00861048">
        <w:rPr>
          <w:rFonts w:ascii="Times New Roman" w:eastAsia="Times New Roman" w:hAnsi="Times New Roman" w:cs="Times New Roman"/>
          <w:b/>
          <w:sz w:val="24"/>
          <w:szCs w:val="24"/>
        </w:rPr>
        <w:t>, Pouyan Ahmadi</w:t>
      </w:r>
      <w:r w:rsidRPr="00861048">
        <w:rPr>
          <w:rFonts w:ascii="Times New Roman" w:eastAsia="Times New Roman" w:hAnsi="Times New Roman" w:cs="Times New Roman"/>
          <w:b/>
          <w:sz w:val="24"/>
          <w:szCs w:val="24"/>
          <w:vertAlign w:val="superscript"/>
        </w:rPr>
        <w:t>2</w:t>
      </w:r>
      <w:r w:rsidRPr="00861048">
        <w:rPr>
          <w:sz w:val="24"/>
          <w:szCs w:val="24"/>
        </w:rPr>
        <w:t xml:space="preserve"> </w:t>
      </w:r>
      <w:r w:rsidRPr="00861048">
        <w:rPr>
          <w:rFonts w:ascii="Times New Roman" w:eastAsia="Times New Roman" w:hAnsi="Times New Roman" w:cs="Times New Roman"/>
          <w:b/>
          <w:sz w:val="24"/>
          <w:szCs w:val="24"/>
          <w:vertAlign w:val="superscript"/>
        </w:rPr>
        <w:t>‡, *</w:t>
      </w:r>
      <w:r w:rsidRPr="00861048">
        <w:rPr>
          <w:rFonts w:ascii="Times New Roman" w:eastAsia="Times New Roman" w:hAnsi="Times New Roman" w:cs="Times New Roman"/>
          <w:b/>
          <w:sz w:val="24"/>
          <w:szCs w:val="24"/>
        </w:rPr>
        <w:t>, Jan H. Fleckenstein</w:t>
      </w:r>
      <w:r w:rsidRPr="00861048">
        <w:rPr>
          <w:rFonts w:ascii="Times New Roman" w:eastAsia="Times New Roman" w:hAnsi="Times New Roman" w:cs="Times New Roman"/>
          <w:b/>
          <w:sz w:val="24"/>
          <w:szCs w:val="24"/>
          <w:vertAlign w:val="superscript"/>
        </w:rPr>
        <w:t>2,3</w:t>
      </w:r>
      <w:r w:rsidRPr="00861048">
        <w:rPr>
          <w:rFonts w:ascii="Times New Roman" w:eastAsia="Times New Roman" w:hAnsi="Times New Roman" w:cs="Times New Roman"/>
          <w:b/>
          <w:sz w:val="24"/>
          <w:szCs w:val="24"/>
        </w:rPr>
        <w:t>,</w:t>
      </w:r>
      <w:r w:rsidRPr="00861048">
        <w:rPr>
          <w:rFonts w:ascii="Times New Roman" w:eastAsia="Times New Roman" w:hAnsi="Times New Roman" w:cs="Times New Roman"/>
          <w:b/>
          <w:sz w:val="24"/>
          <w:szCs w:val="24"/>
          <w:vertAlign w:val="superscript"/>
        </w:rPr>
        <w:t xml:space="preserve"> </w:t>
      </w:r>
      <w:r w:rsidRPr="00861048">
        <w:rPr>
          <w:rFonts w:ascii="Times New Roman" w:eastAsia="Times New Roman" w:hAnsi="Times New Roman" w:cs="Times New Roman"/>
          <w:b/>
          <w:sz w:val="24"/>
          <w:szCs w:val="24"/>
        </w:rPr>
        <w:t>Christoph Thomas</w:t>
      </w:r>
      <w:r w:rsidRPr="00861048">
        <w:rPr>
          <w:rFonts w:ascii="Times New Roman" w:eastAsia="Times New Roman" w:hAnsi="Times New Roman" w:cs="Times New Roman"/>
          <w:b/>
          <w:sz w:val="24"/>
          <w:szCs w:val="24"/>
          <w:vertAlign w:val="superscript"/>
        </w:rPr>
        <w:t>4</w:t>
      </w:r>
      <w:r w:rsidRPr="00861048">
        <w:rPr>
          <w:rFonts w:ascii="Times New Roman" w:eastAsia="Times New Roman" w:hAnsi="Times New Roman" w:cs="Times New Roman"/>
          <w:b/>
          <w:sz w:val="24"/>
          <w:szCs w:val="24"/>
        </w:rPr>
        <w:t>, Wolfgang Babel</w:t>
      </w:r>
      <w:r w:rsidRPr="00861048">
        <w:rPr>
          <w:rFonts w:ascii="Times New Roman" w:eastAsia="Times New Roman" w:hAnsi="Times New Roman" w:cs="Times New Roman"/>
          <w:b/>
          <w:sz w:val="24"/>
          <w:szCs w:val="24"/>
          <w:vertAlign w:val="superscript"/>
        </w:rPr>
        <w:t>4</w:t>
      </w:r>
      <w:r w:rsidRPr="00861048">
        <w:rPr>
          <w:rFonts w:ascii="Times New Roman" w:eastAsia="Times New Roman" w:hAnsi="Times New Roman" w:cs="Times New Roman"/>
          <w:b/>
          <w:sz w:val="24"/>
          <w:szCs w:val="24"/>
        </w:rPr>
        <w:t>, Marco La Capra</w:t>
      </w:r>
      <w:r w:rsidRPr="00861048">
        <w:rPr>
          <w:rFonts w:ascii="Times New Roman" w:eastAsia="Times New Roman" w:hAnsi="Times New Roman" w:cs="Times New Roman"/>
          <w:b/>
          <w:sz w:val="24"/>
          <w:szCs w:val="24"/>
          <w:vertAlign w:val="superscript"/>
        </w:rPr>
        <w:t>1</w:t>
      </w:r>
      <w:r w:rsidRPr="00861048">
        <w:rPr>
          <w:rFonts w:ascii="Times New Roman" w:eastAsia="Times New Roman" w:hAnsi="Times New Roman" w:cs="Times New Roman"/>
          <w:b/>
          <w:sz w:val="24"/>
          <w:szCs w:val="24"/>
        </w:rPr>
        <w:t xml:space="preserve">, Sven Frei </w:t>
      </w:r>
      <w:r w:rsidRPr="00861048">
        <w:rPr>
          <w:rFonts w:ascii="Times New Roman" w:eastAsia="Times New Roman" w:hAnsi="Times New Roman" w:cs="Times New Roman"/>
          <w:b/>
          <w:sz w:val="24"/>
          <w:szCs w:val="24"/>
          <w:vertAlign w:val="superscript"/>
        </w:rPr>
        <w:t>5</w:t>
      </w:r>
      <w:r w:rsidRPr="00861048">
        <w:rPr>
          <w:rFonts w:ascii="Times New Roman" w:eastAsia="Times New Roman" w:hAnsi="Times New Roman" w:cs="Times New Roman"/>
          <w:b/>
          <w:sz w:val="24"/>
          <w:szCs w:val="24"/>
        </w:rPr>
        <w:t>, Benjamin S. Gilfedder</w:t>
      </w:r>
      <w:r w:rsidRPr="00861048">
        <w:rPr>
          <w:rFonts w:ascii="Times New Roman" w:eastAsia="Times New Roman" w:hAnsi="Times New Roman" w:cs="Times New Roman"/>
          <w:b/>
          <w:sz w:val="24"/>
          <w:szCs w:val="24"/>
          <w:vertAlign w:val="superscript"/>
        </w:rPr>
        <w:t xml:space="preserve">6 </w:t>
      </w:r>
    </w:p>
    <w:p w14:paraId="4DD2420B" w14:textId="77777777" w:rsidR="007F4186" w:rsidRPr="00861048" w:rsidRDefault="007F4186" w:rsidP="00903442">
      <w:pPr>
        <w:spacing w:line="480" w:lineRule="auto"/>
        <w:jc w:val="both"/>
        <w:rPr>
          <w:rFonts w:ascii="Times New Roman" w:eastAsia="Times New Roman" w:hAnsi="Times New Roman" w:cs="Times New Roman"/>
          <w:b/>
          <w:sz w:val="24"/>
          <w:szCs w:val="24"/>
          <w:vertAlign w:val="superscript"/>
        </w:rPr>
      </w:pPr>
    </w:p>
    <w:p w14:paraId="163C8B25" w14:textId="77777777" w:rsidR="007F4186" w:rsidRPr="00795EF5" w:rsidRDefault="007F4186" w:rsidP="00903442">
      <w:pPr>
        <w:spacing w:line="480" w:lineRule="auto"/>
        <w:jc w:val="both"/>
        <w:rPr>
          <w:rFonts w:ascii="Times New Roman" w:eastAsia="Times New Roman" w:hAnsi="Times New Roman" w:cs="Times New Roman"/>
          <w:b/>
          <w:sz w:val="20"/>
          <w:szCs w:val="20"/>
        </w:rPr>
      </w:pPr>
      <w:r w:rsidRPr="00795EF5">
        <w:rPr>
          <w:rFonts w:ascii="Times New Roman" w:eastAsia="Times New Roman" w:hAnsi="Times New Roman" w:cs="Times New Roman"/>
          <w:sz w:val="20"/>
          <w:szCs w:val="20"/>
          <w:vertAlign w:val="superscript"/>
        </w:rPr>
        <w:t>1</w:t>
      </w:r>
      <w:r w:rsidRPr="00795EF5">
        <w:rPr>
          <w:rFonts w:ascii="Times New Roman" w:eastAsia="Times New Roman" w:hAnsi="Times New Roman" w:cs="Times New Roman"/>
          <w:sz w:val="20"/>
          <w:szCs w:val="20"/>
        </w:rPr>
        <w:t>Department of Hydrology, Bayreuth Center of Ecology and Environmental Research</w:t>
      </w:r>
    </w:p>
    <w:p w14:paraId="2BB2DA8B" w14:textId="77777777" w:rsidR="007F4186" w:rsidRPr="00795EF5" w:rsidRDefault="007F4186" w:rsidP="00903442">
      <w:pPr>
        <w:spacing w:line="480" w:lineRule="auto"/>
        <w:jc w:val="both"/>
        <w:rPr>
          <w:rFonts w:ascii="Times New Roman" w:eastAsia="Times New Roman" w:hAnsi="Times New Roman" w:cs="Times New Roman"/>
          <w:sz w:val="20"/>
          <w:szCs w:val="20"/>
        </w:rPr>
      </w:pPr>
      <w:r w:rsidRPr="00795EF5">
        <w:rPr>
          <w:rFonts w:ascii="Times New Roman" w:eastAsia="Times New Roman" w:hAnsi="Times New Roman" w:cs="Times New Roman"/>
          <w:sz w:val="20"/>
          <w:szCs w:val="20"/>
        </w:rPr>
        <w:t>(</w:t>
      </w:r>
      <w:proofErr w:type="spellStart"/>
      <w:r w:rsidRPr="00795EF5">
        <w:rPr>
          <w:rFonts w:ascii="Times New Roman" w:eastAsia="Times New Roman" w:hAnsi="Times New Roman" w:cs="Times New Roman"/>
          <w:sz w:val="20"/>
          <w:szCs w:val="20"/>
        </w:rPr>
        <w:t>BayCEER</w:t>
      </w:r>
      <w:proofErr w:type="spellEnd"/>
      <w:r w:rsidRPr="00795EF5">
        <w:rPr>
          <w:rFonts w:ascii="Times New Roman" w:eastAsia="Times New Roman" w:hAnsi="Times New Roman" w:cs="Times New Roman"/>
          <w:sz w:val="20"/>
          <w:szCs w:val="20"/>
        </w:rPr>
        <w:t>), Bayreuth, Germany</w:t>
      </w:r>
    </w:p>
    <w:p w14:paraId="0776C0A5" w14:textId="77777777" w:rsidR="007F4186" w:rsidRPr="00795EF5" w:rsidRDefault="007F4186" w:rsidP="00903442">
      <w:pPr>
        <w:spacing w:line="480" w:lineRule="auto"/>
        <w:jc w:val="both"/>
        <w:rPr>
          <w:rFonts w:ascii="Times New Roman" w:eastAsia="Times New Roman" w:hAnsi="Times New Roman" w:cs="Times New Roman"/>
          <w:sz w:val="20"/>
          <w:szCs w:val="20"/>
        </w:rPr>
      </w:pPr>
      <w:r w:rsidRPr="00795EF5">
        <w:rPr>
          <w:rFonts w:ascii="Times New Roman" w:eastAsia="Times New Roman" w:hAnsi="Times New Roman" w:cs="Times New Roman"/>
          <w:sz w:val="20"/>
          <w:szCs w:val="20"/>
          <w:vertAlign w:val="superscript"/>
        </w:rPr>
        <w:t>2</w:t>
      </w:r>
      <w:r w:rsidRPr="00795EF5">
        <w:rPr>
          <w:rFonts w:ascii="Times New Roman" w:eastAsia="Times New Roman" w:hAnsi="Times New Roman" w:cs="Times New Roman"/>
          <w:sz w:val="20"/>
          <w:szCs w:val="20"/>
        </w:rPr>
        <w:t>Department of Hydrogeology, Helmholtz-Center for Environmental Research, UFZ, Leipzig, Germany</w:t>
      </w:r>
    </w:p>
    <w:p w14:paraId="71C92B9E" w14:textId="77777777" w:rsidR="007F4186" w:rsidRPr="00795EF5" w:rsidRDefault="007F4186" w:rsidP="00903442">
      <w:pPr>
        <w:spacing w:line="480" w:lineRule="auto"/>
        <w:jc w:val="both"/>
        <w:rPr>
          <w:rFonts w:ascii="Times New Roman" w:eastAsia="Times New Roman" w:hAnsi="Times New Roman" w:cs="Times New Roman"/>
          <w:sz w:val="20"/>
          <w:szCs w:val="20"/>
        </w:rPr>
      </w:pPr>
      <w:r w:rsidRPr="00795EF5">
        <w:rPr>
          <w:rFonts w:ascii="Times New Roman" w:eastAsia="Times New Roman" w:hAnsi="Times New Roman" w:cs="Times New Roman"/>
          <w:sz w:val="20"/>
          <w:szCs w:val="20"/>
          <w:vertAlign w:val="superscript"/>
        </w:rPr>
        <w:t>3</w:t>
      </w:r>
      <w:r w:rsidRPr="00795EF5">
        <w:rPr>
          <w:rFonts w:ascii="Times New Roman" w:eastAsia="Times New Roman" w:hAnsi="Times New Roman" w:cs="Times New Roman"/>
          <w:sz w:val="20"/>
          <w:szCs w:val="20"/>
        </w:rPr>
        <w:t>Hydrologic Modeling Unit, Bayreuth Center of Ecology and Environmental Research (</w:t>
      </w:r>
      <w:proofErr w:type="spellStart"/>
      <w:r w:rsidRPr="00795EF5">
        <w:rPr>
          <w:rFonts w:ascii="Times New Roman" w:eastAsia="Times New Roman" w:hAnsi="Times New Roman" w:cs="Times New Roman"/>
          <w:sz w:val="20"/>
          <w:szCs w:val="20"/>
        </w:rPr>
        <w:t>BayCEER</w:t>
      </w:r>
      <w:proofErr w:type="spellEnd"/>
      <w:r w:rsidRPr="00795EF5">
        <w:rPr>
          <w:rFonts w:ascii="Times New Roman" w:eastAsia="Times New Roman" w:hAnsi="Times New Roman" w:cs="Times New Roman"/>
          <w:sz w:val="20"/>
          <w:szCs w:val="20"/>
        </w:rPr>
        <w:t>), University of Bayreuth, Bayreuth, Germany</w:t>
      </w:r>
    </w:p>
    <w:p w14:paraId="4D9B36A5" w14:textId="77777777" w:rsidR="007F4186" w:rsidRPr="00795EF5" w:rsidRDefault="007F4186" w:rsidP="00903442">
      <w:pPr>
        <w:spacing w:line="480" w:lineRule="auto"/>
        <w:jc w:val="both"/>
        <w:rPr>
          <w:rFonts w:ascii="Times New Roman" w:eastAsia="Times New Roman" w:hAnsi="Times New Roman" w:cs="Times New Roman"/>
          <w:sz w:val="20"/>
          <w:szCs w:val="20"/>
        </w:rPr>
      </w:pPr>
      <w:r w:rsidRPr="00795EF5">
        <w:rPr>
          <w:rFonts w:ascii="Times New Roman" w:eastAsia="Times New Roman" w:hAnsi="Times New Roman" w:cs="Times New Roman"/>
          <w:sz w:val="20"/>
          <w:szCs w:val="20"/>
          <w:vertAlign w:val="superscript"/>
        </w:rPr>
        <w:t>4</w:t>
      </w:r>
      <w:r w:rsidRPr="00795EF5">
        <w:rPr>
          <w:rFonts w:ascii="Times New Roman" w:eastAsia="Times New Roman" w:hAnsi="Times New Roman" w:cs="Times New Roman"/>
          <w:sz w:val="20"/>
          <w:szCs w:val="20"/>
        </w:rPr>
        <w:t>Micrometeorology Group, Bayreuth Center of Ecology and Environmental Research (</w:t>
      </w:r>
      <w:proofErr w:type="spellStart"/>
      <w:r w:rsidRPr="00795EF5">
        <w:rPr>
          <w:rFonts w:ascii="Times New Roman" w:eastAsia="Times New Roman" w:hAnsi="Times New Roman" w:cs="Times New Roman"/>
          <w:sz w:val="20"/>
          <w:szCs w:val="20"/>
        </w:rPr>
        <w:t>BayCEER</w:t>
      </w:r>
      <w:proofErr w:type="spellEnd"/>
      <w:r w:rsidRPr="00795EF5">
        <w:rPr>
          <w:rFonts w:ascii="Times New Roman" w:eastAsia="Times New Roman" w:hAnsi="Times New Roman" w:cs="Times New Roman"/>
          <w:sz w:val="20"/>
          <w:szCs w:val="20"/>
        </w:rPr>
        <w:t>), University of Bayreuth, Bayreuth, Germany</w:t>
      </w:r>
    </w:p>
    <w:p w14:paraId="568C47A9" w14:textId="77777777" w:rsidR="007F4186" w:rsidRPr="00795EF5" w:rsidRDefault="007F4186" w:rsidP="00903442">
      <w:pPr>
        <w:spacing w:line="480" w:lineRule="auto"/>
        <w:jc w:val="both"/>
        <w:rPr>
          <w:rFonts w:ascii="Times New Roman" w:eastAsia="Times New Roman" w:hAnsi="Times New Roman" w:cs="Times New Roman"/>
          <w:sz w:val="20"/>
          <w:szCs w:val="20"/>
        </w:rPr>
      </w:pPr>
      <w:r w:rsidRPr="00795EF5">
        <w:rPr>
          <w:rFonts w:ascii="Times New Roman" w:eastAsia="Times New Roman" w:hAnsi="Times New Roman" w:cs="Times New Roman"/>
          <w:sz w:val="20"/>
          <w:szCs w:val="20"/>
          <w:vertAlign w:val="superscript"/>
        </w:rPr>
        <w:t>5</w:t>
      </w:r>
      <w:r w:rsidRPr="00795EF5">
        <w:rPr>
          <w:rFonts w:ascii="Times New Roman" w:eastAsia="Times New Roman" w:hAnsi="Times New Roman" w:cs="Times New Roman"/>
          <w:sz w:val="20"/>
          <w:szCs w:val="20"/>
        </w:rPr>
        <w:t>Department of Aquatic Ecology and Water Quality Management, Wageningen University, Netherlands</w:t>
      </w:r>
    </w:p>
    <w:p w14:paraId="5EA5F190" w14:textId="77777777" w:rsidR="007F4186" w:rsidRPr="00795EF5" w:rsidRDefault="007F4186" w:rsidP="00903442">
      <w:pPr>
        <w:spacing w:line="480" w:lineRule="auto"/>
        <w:jc w:val="both"/>
        <w:rPr>
          <w:rFonts w:ascii="Times New Roman" w:eastAsia="Times New Roman" w:hAnsi="Times New Roman" w:cs="Times New Roman"/>
          <w:sz w:val="20"/>
          <w:szCs w:val="20"/>
        </w:rPr>
      </w:pPr>
      <w:r w:rsidRPr="00795EF5">
        <w:rPr>
          <w:rFonts w:ascii="Times New Roman" w:eastAsia="Times New Roman" w:hAnsi="Times New Roman" w:cs="Times New Roman"/>
          <w:sz w:val="20"/>
          <w:szCs w:val="20"/>
          <w:vertAlign w:val="superscript"/>
        </w:rPr>
        <w:t>6</w:t>
      </w:r>
      <w:r w:rsidRPr="00795EF5">
        <w:rPr>
          <w:rFonts w:ascii="Times New Roman" w:eastAsia="Times New Roman" w:hAnsi="Times New Roman" w:cs="Times New Roman"/>
          <w:sz w:val="20"/>
          <w:szCs w:val="20"/>
        </w:rPr>
        <w:t xml:space="preserve"> Chair of Hydrology, Faculty of Regional and Environmental Sciences, University of Trier, Trier, Germany</w:t>
      </w:r>
    </w:p>
    <w:p w14:paraId="1F3112FB" w14:textId="77777777" w:rsidR="007F4186" w:rsidRPr="00795EF5" w:rsidRDefault="007F4186" w:rsidP="00903442">
      <w:pPr>
        <w:spacing w:line="480" w:lineRule="auto"/>
        <w:jc w:val="both"/>
        <w:rPr>
          <w:rFonts w:ascii="Times New Roman" w:hAnsi="Times New Roman" w:cs="Times New Roman"/>
          <w:sz w:val="20"/>
          <w:szCs w:val="20"/>
        </w:rPr>
      </w:pPr>
      <w:r w:rsidRPr="00795EF5">
        <w:rPr>
          <w:rFonts w:ascii="Times New Roman" w:eastAsia="Times New Roman" w:hAnsi="Times New Roman" w:cs="Times New Roman"/>
          <w:b/>
          <w:color w:val="1C1D1E"/>
          <w:sz w:val="20"/>
          <w:szCs w:val="20"/>
          <w:vertAlign w:val="superscript"/>
        </w:rPr>
        <w:t>‡</w:t>
      </w:r>
      <w:r w:rsidRPr="00795EF5">
        <w:rPr>
          <w:rFonts w:ascii="Times New Roman" w:eastAsia="Times New Roman" w:hAnsi="Times New Roman" w:cs="Times New Roman"/>
          <w:b/>
          <w:sz w:val="20"/>
          <w:szCs w:val="20"/>
          <w:vertAlign w:val="superscript"/>
        </w:rPr>
        <w:t xml:space="preserve"> </w:t>
      </w:r>
      <w:r w:rsidRPr="00795EF5">
        <w:rPr>
          <w:rFonts w:ascii="Times New Roman" w:eastAsia="Times New Roman" w:hAnsi="Times New Roman" w:cs="Times New Roman"/>
          <w:b/>
          <w:sz w:val="20"/>
          <w:szCs w:val="20"/>
        </w:rPr>
        <w:t>These authors contributed equally to this research</w:t>
      </w:r>
    </w:p>
    <w:p w14:paraId="38B1EFB7" w14:textId="77777777" w:rsidR="007F4186" w:rsidRPr="00861048" w:rsidRDefault="007F4186" w:rsidP="00903442">
      <w:pPr>
        <w:spacing w:line="480" w:lineRule="auto"/>
        <w:jc w:val="both"/>
        <w:rPr>
          <w:rFonts w:ascii="Times New Roman" w:eastAsia="Times New Roman" w:hAnsi="Times New Roman" w:cs="Times New Roman"/>
          <w:b/>
          <w:sz w:val="24"/>
          <w:szCs w:val="24"/>
          <w:vertAlign w:val="superscript"/>
        </w:rPr>
      </w:pPr>
    </w:p>
    <w:p w14:paraId="1D4612BA" w14:textId="77777777" w:rsidR="007F4186" w:rsidRPr="00861048" w:rsidRDefault="007F4186" w:rsidP="00903442">
      <w:pPr>
        <w:spacing w:line="480" w:lineRule="auto"/>
        <w:jc w:val="both"/>
        <w:rPr>
          <w:rFonts w:ascii="Times New Roman" w:eastAsia="Times New Roman" w:hAnsi="Times New Roman" w:cs="Times New Roman"/>
          <w:b/>
          <w:sz w:val="24"/>
          <w:szCs w:val="24"/>
        </w:rPr>
      </w:pPr>
      <w:r w:rsidRPr="00861048">
        <w:rPr>
          <w:rFonts w:ascii="Times New Roman" w:eastAsia="Times New Roman" w:hAnsi="Times New Roman" w:cs="Times New Roman"/>
          <w:b/>
          <w:sz w:val="24"/>
          <w:szCs w:val="24"/>
          <w:vertAlign w:val="superscript"/>
        </w:rPr>
        <w:t>*</w:t>
      </w:r>
      <w:r w:rsidRPr="00861048">
        <w:rPr>
          <w:rFonts w:ascii="Times New Roman" w:eastAsia="Times New Roman" w:hAnsi="Times New Roman" w:cs="Times New Roman"/>
          <w:b/>
          <w:sz w:val="24"/>
          <w:szCs w:val="24"/>
        </w:rPr>
        <w:t>Corresponding Authors:</w:t>
      </w:r>
    </w:p>
    <w:p w14:paraId="24493BD8" w14:textId="77777777" w:rsidR="007F4186" w:rsidRPr="00861048" w:rsidRDefault="007F4186" w:rsidP="00903442">
      <w:pPr>
        <w:spacing w:line="480" w:lineRule="auto"/>
        <w:rPr>
          <w:rFonts w:ascii="Times New Roman" w:eastAsia="Times New Roman" w:hAnsi="Times New Roman" w:cs="Times New Roman"/>
          <w:b/>
          <w:color w:val="0563C1"/>
          <w:sz w:val="24"/>
          <w:szCs w:val="24"/>
          <w:u w:val="single"/>
        </w:rPr>
      </w:pPr>
      <w:r w:rsidRPr="00861048">
        <w:rPr>
          <w:rFonts w:ascii="Times New Roman" w:eastAsia="Times New Roman" w:hAnsi="Times New Roman" w:cs="Times New Roman"/>
          <w:b/>
          <w:sz w:val="24"/>
          <w:szCs w:val="24"/>
        </w:rPr>
        <w:t>Hassan Elagami</w:t>
      </w:r>
      <w:r w:rsidRPr="00861048">
        <w:rPr>
          <w:rFonts w:ascii="Times New Roman" w:eastAsia="Times New Roman" w:hAnsi="Times New Roman" w:cs="Times New Roman"/>
          <w:sz w:val="24"/>
          <w:szCs w:val="24"/>
        </w:rPr>
        <w:t>: Department of Hydrology, Bayreuth Center of Ecology and Environmental Research (</w:t>
      </w:r>
      <w:proofErr w:type="spellStart"/>
      <w:r w:rsidRPr="00861048">
        <w:rPr>
          <w:rFonts w:ascii="Times New Roman" w:eastAsia="Times New Roman" w:hAnsi="Times New Roman" w:cs="Times New Roman"/>
          <w:sz w:val="24"/>
          <w:szCs w:val="24"/>
        </w:rPr>
        <w:t>BayCEER</w:t>
      </w:r>
      <w:proofErr w:type="spellEnd"/>
      <w:r w:rsidRPr="00861048">
        <w:rPr>
          <w:rFonts w:ascii="Times New Roman" w:eastAsia="Times New Roman" w:hAnsi="Times New Roman" w:cs="Times New Roman"/>
          <w:sz w:val="24"/>
          <w:szCs w:val="24"/>
        </w:rPr>
        <w:t xml:space="preserve">), University of Bayreuth, Bayreuth, Germany; </w:t>
      </w:r>
      <w:hyperlink r:id="rId7">
        <w:r w:rsidRPr="00861048">
          <w:rPr>
            <w:rFonts w:ascii="Times New Roman" w:eastAsia="Times New Roman" w:hAnsi="Times New Roman" w:cs="Times New Roman"/>
            <w:b/>
            <w:color w:val="1155CC"/>
            <w:sz w:val="24"/>
            <w:szCs w:val="24"/>
            <w:highlight w:val="white"/>
            <w:u w:val="single"/>
          </w:rPr>
          <w:t>orcid.org/0000-0002-2919-5230</w:t>
        </w:r>
      </w:hyperlink>
      <w:r w:rsidRPr="00861048">
        <w:rPr>
          <w:rFonts w:ascii="Times New Roman" w:eastAsia="Times New Roman" w:hAnsi="Times New Roman" w:cs="Times New Roman"/>
          <w:sz w:val="24"/>
          <w:szCs w:val="24"/>
          <w:highlight w:val="white"/>
        </w:rPr>
        <w:t xml:space="preserve">; </w:t>
      </w:r>
      <w:r w:rsidRPr="00861048">
        <w:rPr>
          <w:rFonts w:ascii="Times New Roman" w:eastAsia="Times New Roman" w:hAnsi="Times New Roman" w:cs="Times New Roman"/>
          <w:b/>
          <w:sz w:val="24"/>
          <w:szCs w:val="24"/>
        </w:rPr>
        <w:t xml:space="preserve">Email: </w:t>
      </w:r>
      <w:hyperlink r:id="rId8">
        <w:r w:rsidRPr="00861048">
          <w:rPr>
            <w:rFonts w:ascii="Times New Roman" w:eastAsia="Times New Roman" w:hAnsi="Times New Roman" w:cs="Times New Roman"/>
            <w:b/>
            <w:color w:val="0563C1"/>
            <w:sz w:val="24"/>
            <w:szCs w:val="24"/>
            <w:u w:val="single"/>
          </w:rPr>
          <w:t>hassan.elagami@uni-bayreuth.de</w:t>
        </w:r>
      </w:hyperlink>
    </w:p>
    <w:p w14:paraId="288991E1" w14:textId="77777777" w:rsidR="007F4186" w:rsidRPr="00861048" w:rsidRDefault="007F4186" w:rsidP="00903442">
      <w:pPr>
        <w:spacing w:line="480" w:lineRule="auto"/>
        <w:rPr>
          <w:rFonts w:ascii="Times New Roman" w:eastAsia="Times New Roman" w:hAnsi="Times New Roman" w:cs="Times New Roman"/>
          <w:b/>
          <w:color w:val="0563C1"/>
          <w:sz w:val="24"/>
          <w:szCs w:val="24"/>
          <w:u w:val="single"/>
        </w:rPr>
      </w:pPr>
      <w:r w:rsidRPr="00861048">
        <w:rPr>
          <w:rFonts w:ascii="Times New Roman" w:eastAsia="Times New Roman" w:hAnsi="Times New Roman" w:cs="Times New Roman"/>
          <w:b/>
          <w:sz w:val="24"/>
          <w:szCs w:val="24"/>
        </w:rPr>
        <w:t xml:space="preserve">Pouyan Ahmadi: </w:t>
      </w:r>
      <w:r w:rsidRPr="00861048">
        <w:rPr>
          <w:rFonts w:ascii="Times New Roman" w:eastAsia="Times New Roman" w:hAnsi="Times New Roman" w:cs="Times New Roman"/>
          <w:sz w:val="24"/>
          <w:szCs w:val="24"/>
        </w:rPr>
        <w:t xml:space="preserve">Department of Hydrogeology, Helmholtz-Centre for Environmental Research, UFZ, Leipzig, Germany; </w:t>
      </w:r>
      <w:hyperlink r:id="rId9">
        <w:r w:rsidRPr="00861048">
          <w:rPr>
            <w:rFonts w:ascii="Times New Roman" w:eastAsia="Times New Roman" w:hAnsi="Times New Roman" w:cs="Times New Roman"/>
            <w:b/>
            <w:color w:val="1155CC"/>
            <w:sz w:val="24"/>
            <w:szCs w:val="24"/>
            <w:highlight w:val="white"/>
            <w:u w:val="single"/>
          </w:rPr>
          <w:t>orcid.org/0000-0002-5452-1560</w:t>
        </w:r>
      </w:hyperlink>
      <w:r w:rsidRPr="00861048">
        <w:rPr>
          <w:rFonts w:ascii="Times New Roman" w:eastAsia="Times New Roman" w:hAnsi="Times New Roman" w:cs="Times New Roman"/>
          <w:sz w:val="24"/>
          <w:szCs w:val="24"/>
        </w:rPr>
        <w:t xml:space="preserve">; </w:t>
      </w:r>
      <w:r w:rsidRPr="00861048">
        <w:rPr>
          <w:rFonts w:ascii="Times New Roman" w:eastAsia="Times New Roman" w:hAnsi="Times New Roman" w:cs="Times New Roman"/>
          <w:b/>
          <w:sz w:val="24"/>
          <w:szCs w:val="24"/>
        </w:rPr>
        <w:t xml:space="preserve">Email: </w:t>
      </w:r>
      <w:hyperlink r:id="rId10">
        <w:r w:rsidRPr="00861048">
          <w:rPr>
            <w:rFonts w:ascii="Times New Roman" w:eastAsia="Times New Roman" w:hAnsi="Times New Roman" w:cs="Times New Roman"/>
            <w:b/>
            <w:color w:val="1155CC"/>
            <w:sz w:val="24"/>
            <w:szCs w:val="24"/>
            <w:u w:val="single"/>
          </w:rPr>
          <w:t>pouyan.ahmadi@ufz.de</w:t>
        </w:r>
      </w:hyperlink>
    </w:p>
    <w:p w14:paraId="62DEDC3D" w14:textId="6CB4EE7E" w:rsidR="00EC09AB" w:rsidRPr="007F4186" w:rsidRDefault="007F4186" w:rsidP="00903442">
      <w:pPr>
        <w:spacing w:line="480" w:lineRule="auto"/>
        <w:rPr>
          <w:rFonts w:ascii="Times New Roman" w:eastAsia="Times New Roman" w:hAnsi="Times New Roman" w:cs="Times New Roman"/>
          <w:b/>
          <w:sz w:val="28"/>
          <w:szCs w:val="28"/>
        </w:rPr>
      </w:pPr>
      <w:r w:rsidRPr="00861048">
        <w:rPr>
          <w:rFonts w:ascii="Times New Roman" w:eastAsia="Times New Roman" w:hAnsi="Times New Roman" w:cs="Times New Roman"/>
          <w:b/>
          <w:sz w:val="24"/>
          <w:szCs w:val="24"/>
        </w:rPr>
        <w:t xml:space="preserve">Keywords: </w:t>
      </w:r>
      <w:r w:rsidRPr="00861048">
        <w:rPr>
          <w:rFonts w:ascii="Times New Roman" w:eastAsia="Times New Roman" w:hAnsi="Times New Roman" w:cs="Times New Roman"/>
          <w:sz w:val="24"/>
          <w:szCs w:val="24"/>
        </w:rPr>
        <w:t>Microplastic particle, Wind-induced turbulence, Diurnal thermal convection, Peclet number, Turbulence-enhanced deposition.</w:t>
      </w:r>
    </w:p>
    <w:p w14:paraId="1AB3EE46" w14:textId="77777777" w:rsidR="009E123B" w:rsidRDefault="009E123B" w:rsidP="00903442">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lastRenderedPageBreak/>
        <w:t>S1: Measured water velocity vs. simulated water velocity at 0.25 m depth</w:t>
      </w:r>
    </w:p>
    <w:p w14:paraId="03C8C34F" w14:textId="77777777" w:rsidR="009E123B" w:rsidRDefault="009E123B" w:rsidP="00903442">
      <w:pPr>
        <w:spacing w:line="480" w:lineRule="auto"/>
        <w:rPr>
          <w:rFonts w:ascii="Times New Roman" w:eastAsia="Times New Roman" w:hAnsi="Times New Roman" w:cs="Times New Roman"/>
          <w:b/>
          <w:sz w:val="24"/>
          <w:szCs w:val="24"/>
        </w:rPr>
      </w:pPr>
    </w:p>
    <w:p w14:paraId="47F952F0" w14:textId="26FC8714" w:rsidR="009E123B" w:rsidRPr="00725CE9" w:rsidRDefault="00725CE9" w:rsidP="00903442">
      <w:pPr>
        <w:spacing w:line="480" w:lineRule="auto"/>
        <w:jc w:val="center"/>
        <w:rPr>
          <w:rFonts w:ascii="Times New Roman" w:eastAsia="Times New Roman" w:hAnsi="Times New Roman" w:cs="Times New Roman"/>
          <w:b/>
          <w:sz w:val="24"/>
          <w:szCs w:val="24"/>
        </w:rPr>
      </w:pPr>
      <w:r>
        <w:rPr>
          <w:noProof/>
        </w:rPr>
        <w:drawing>
          <wp:inline distT="0" distB="0" distL="0" distR="0" wp14:anchorId="1828604F" wp14:editId="7EFEDC58">
            <wp:extent cx="5943600" cy="2229485"/>
            <wp:effectExtent l="0" t="0" r="0" b="0"/>
            <wp:docPr id="13624333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229485"/>
                    </a:xfrm>
                    <a:prstGeom prst="rect">
                      <a:avLst/>
                    </a:prstGeom>
                    <a:noFill/>
                    <a:ln>
                      <a:noFill/>
                    </a:ln>
                  </pic:spPr>
                </pic:pic>
              </a:graphicData>
            </a:graphic>
          </wp:inline>
        </w:drawing>
      </w:r>
    </w:p>
    <w:p w14:paraId="7EB07AFA" w14:textId="4198EE7A" w:rsidR="009E123B" w:rsidRDefault="009E123B" w:rsidP="00903442">
      <w:pPr>
        <w:spacing w:line="480" w:lineRule="auto"/>
        <w:rPr>
          <w:rFonts w:ascii="Times New Roman" w:eastAsia="Times New Roman" w:hAnsi="Times New Roman" w:cs="Times New Roman"/>
          <w:b/>
          <w:sz w:val="24"/>
          <w:szCs w:val="24"/>
          <w:u w:val="single"/>
        </w:rPr>
      </w:pPr>
      <w:r w:rsidRPr="00800499">
        <w:rPr>
          <w:rFonts w:ascii="Times New Roman" w:eastAsia="Times New Roman" w:hAnsi="Times New Roman" w:cs="Times New Roman"/>
          <w:b/>
          <w:bCs/>
          <w:sz w:val="20"/>
          <w:szCs w:val="20"/>
        </w:rPr>
        <w:t>Figure S</w:t>
      </w:r>
      <w:r>
        <w:rPr>
          <w:rFonts w:ascii="Times New Roman" w:eastAsia="Times New Roman" w:hAnsi="Times New Roman" w:cs="Times New Roman"/>
          <w:b/>
          <w:bCs/>
          <w:sz w:val="20"/>
          <w:szCs w:val="20"/>
        </w:rPr>
        <w:t>1</w:t>
      </w:r>
      <w:r w:rsidRPr="00800499">
        <w:rPr>
          <w:rFonts w:ascii="Times New Roman" w:eastAsia="Times New Roman" w:hAnsi="Times New Roman" w:cs="Times New Roman"/>
          <w:b/>
          <w:bCs/>
          <w:sz w:val="20"/>
          <w:szCs w:val="20"/>
        </w:rPr>
        <w:t>:</w:t>
      </w:r>
      <w:r w:rsidRPr="00800499">
        <w:rPr>
          <w:rFonts w:ascii="Times New Roman" w:eastAsia="Times New Roman" w:hAnsi="Times New Roman" w:cs="Times New Roman"/>
          <w:sz w:val="20"/>
          <w:szCs w:val="20"/>
        </w:rPr>
        <w:t xml:space="preserve"> Measured velocity at 0.25 m depth in experiment 1 and experiment 2 vs the CFD results for water velocity for the same depth.</w:t>
      </w:r>
    </w:p>
    <w:p w14:paraId="41C5E77A" w14:textId="37D04F66" w:rsidR="00EC09AB" w:rsidRPr="00903442" w:rsidRDefault="00EC09AB" w:rsidP="00903442">
      <w:pPr>
        <w:spacing w:line="480" w:lineRule="auto"/>
        <w:rPr>
          <w:rFonts w:ascii="Times New Roman" w:eastAsia="Times New Roman" w:hAnsi="Times New Roman" w:cs="Times New Roman"/>
          <w:sz w:val="20"/>
          <w:szCs w:val="20"/>
        </w:rPr>
      </w:pPr>
      <w:r>
        <w:rPr>
          <w:rFonts w:ascii="Times New Roman" w:eastAsia="Times New Roman" w:hAnsi="Times New Roman" w:cs="Times New Roman"/>
          <w:b/>
          <w:sz w:val="24"/>
          <w:szCs w:val="24"/>
          <w:u w:val="single"/>
        </w:rPr>
        <w:t>S</w:t>
      </w:r>
      <w:r w:rsidR="009E123B">
        <w:rPr>
          <w:rFonts w:ascii="Times New Roman" w:eastAsia="Times New Roman" w:hAnsi="Times New Roman" w:cs="Times New Roman"/>
          <w:b/>
          <w:sz w:val="24"/>
          <w:szCs w:val="24"/>
          <w:u w:val="single"/>
        </w:rPr>
        <w:t>2</w:t>
      </w:r>
      <w:r>
        <w:rPr>
          <w:rFonts w:ascii="Times New Roman" w:eastAsia="Times New Roman" w:hAnsi="Times New Roman" w:cs="Times New Roman"/>
          <w:b/>
          <w:sz w:val="24"/>
          <w:szCs w:val="24"/>
          <w:u w:val="single"/>
        </w:rPr>
        <w:t>: Mean Absolute Error (MAE) and Coefficient of Variation (CV)</w:t>
      </w:r>
    </w:p>
    <w:p w14:paraId="604E0F2E" w14:textId="77777777" w:rsidR="00EC09AB" w:rsidRDefault="00EC09AB" w:rsidP="0090344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MAE was used to quantify the average magnitude of errors between the experimental data (​</w:t>
      </w:r>
      <w:proofErr w:type="spellStart"/>
      <w:proofErr w:type="gramStart"/>
      <w:r>
        <w:rPr>
          <w:rFonts w:ascii="Times New Roman" w:eastAsia="Times New Roman" w:hAnsi="Times New Roman" w:cs="Times New Roman"/>
          <w:sz w:val="24"/>
          <w:szCs w:val="24"/>
        </w:rPr>
        <w:t>y</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vertAlign w:val="superscript"/>
        </w:rPr>
        <w:t>exp</w:t>
      </w:r>
      <w:proofErr w:type="spellEnd"/>
      <w:r>
        <w:rPr>
          <w:rFonts w:ascii="Times New Roman" w:eastAsia="Times New Roman" w:hAnsi="Times New Roman" w:cs="Times New Roman"/>
          <w:sz w:val="24"/>
          <w:szCs w:val="24"/>
        </w:rPr>
        <w:t>)  and</w:t>
      </w:r>
      <w:proofErr w:type="gramEnd"/>
      <w:r>
        <w:rPr>
          <w:rFonts w:ascii="Times New Roman" w:eastAsia="Times New Roman" w:hAnsi="Times New Roman" w:cs="Times New Roman"/>
          <w:sz w:val="24"/>
          <w:szCs w:val="24"/>
        </w:rPr>
        <w:t xml:space="preserve"> the model predictions (</w:t>
      </w:r>
      <w:proofErr w:type="spellStart"/>
      <w:r>
        <w:rPr>
          <w:rFonts w:ascii="Times New Roman" w:eastAsia="Times New Roman" w:hAnsi="Times New Roman" w:cs="Times New Roman"/>
          <w:sz w:val="24"/>
          <w:szCs w:val="24"/>
        </w:rPr>
        <w:t>y</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vertAlign w:val="superscript"/>
        </w:rPr>
        <w:t>mod</w:t>
      </w:r>
      <w:proofErr w:type="spellEnd"/>
      <w:r>
        <w:rPr>
          <w:rFonts w:ascii="Times New Roman" w:eastAsia="Times New Roman" w:hAnsi="Times New Roman" w:cs="Times New Roman"/>
          <w:sz w:val="24"/>
          <w:szCs w:val="24"/>
        </w:rPr>
        <w:t xml:space="preserve">), without considering their direction. Lower MAE indicates a closer agreement. </w:t>
      </w:r>
      <m:oMath>
        <m:r>
          <w:rPr>
            <w:rFonts w:ascii="Cambria Math" w:eastAsia="Times New Roman" w:hAnsi="Cambria Math" w:cs="Times New Roman"/>
            <w:sz w:val="24"/>
            <w:szCs w:val="24"/>
          </w:rPr>
          <m:t xml:space="preserve">  </m:t>
        </m:r>
      </m:oMath>
    </w:p>
    <w:p w14:paraId="2DA94C13" w14:textId="77777777" w:rsidR="00EC09AB" w:rsidRDefault="00EC09AB" w:rsidP="00903442">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MAE=</w:t>
      </w:r>
      <m:oMath>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N</m:t>
            </m:r>
          </m:den>
        </m:f>
        <m:r>
          <w:rPr>
            <w:rFonts w:ascii="Cambria Math" w:eastAsia="Times New Roman" w:hAnsi="Cambria Math" w:cs="Times New Roman"/>
            <w:sz w:val="24"/>
            <w:szCs w:val="24"/>
          </w:rPr>
          <m:t xml:space="preserve"> </m:t>
        </m:r>
        <m:nary>
          <m:naryPr>
            <m:chr m:val="∑"/>
            <m:ctrlPr>
              <w:rPr>
                <w:rFonts w:ascii="Cambria Math" w:eastAsia="Times New Roman" w:hAnsi="Cambria Math" w:cs="Times New Roman"/>
                <w:sz w:val="24"/>
                <w:szCs w:val="24"/>
              </w:rPr>
            </m:ctrlPr>
          </m:naryPr>
          <m:sub>
            <m:r>
              <w:rPr>
                <w:rFonts w:ascii="Cambria Math" w:eastAsia="Times New Roman" w:hAnsi="Cambria Math" w:cs="Times New Roman"/>
                <w:sz w:val="24"/>
                <w:szCs w:val="24"/>
              </w:rPr>
              <m:t>i=1</m:t>
            </m:r>
          </m:sub>
          <m:sup>
            <m:r>
              <w:rPr>
                <w:rFonts w:ascii="Cambria Math" w:eastAsia="Times New Roman" w:hAnsi="Cambria Math" w:cs="Times New Roman"/>
                <w:sz w:val="24"/>
                <w:szCs w:val="24"/>
              </w:rPr>
              <m:t>N</m:t>
            </m:r>
          </m:sup>
          <m:e>
            <m:d>
              <m:dPr>
                <m:begChr m:val="|"/>
                <m:endChr m:val="|"/>
                <m:ctrlPr>
                  <w:rPr>
                    <w:rFonts w:ascii="Cambria Math" w:eastAsia="Times New Roman" w:hAnsi="Cambria Math" w:cs="Times New Roman"/>
                    <w:sz w:val="24"/>
                    <w:szCs w:val="24"/>
                  </w:rPr>
                </m:ctrlPr>
              </m:dPr>
              <m:e>
                <m:sSubSup>
                  <m:sSubSupPr>
                    <m:ctrlPr>
                      <w:rPr>
                        <w:rFonts w:ascii="Cambria Math" w:eastAsia="Times New Roman" w:hAnsi="Cambria Math" w:cs="Times New Roman"/>
                        <w:sz w:val="24"/>
                        <w:szCs w:val="24"/>
                      </w:rPr>
                    </m:ctrlPr>
                  </m:sSubSupPr>
                  <m:e>
                    <m:r>
                      <w:rPr>
                        <w:rFonts w:ascii="Cambria Math" w:eastAsia="Times New Roman" w:hAnsi="Cambria Math" w:cs="Times New Roman"/>
                        <w:sz w:val="24"/>
                        <w:szCs w:val="24"/>
                      </w:rPr>
                      <m:t>y</m:t>
                    </m:r>
                  </m:e>
                  <m:sub>
                    <m:r>
                      <w:rPr>
                        <w:rFonts w:ascii="Cambria Math" w:eastAsia="Times New Roman" w:hAnsi="Cambria Math" w:cs="Times New Roman"/>
                        <w:sz w:val="24"/>
                        <w:szCs w:val="24"/>
                      </w:rPr>
                      <m:t>i</m:t>
                    </m:r>
                  </m:sub>
                  <m:sup>
                    <m:r>
                      <w:rPr>
                        <w:rFonts w:ascii="Cambria Math" w:eastAsia="Times New Roman" w:hAnsi="Cambria Math" w:cs="Times New Roman"/>
                        <w:sz w:val="24"/>
                        <w:szCs w:val="24"/>
                      </w:rPr>
                      <m:t xml:space="preserve">mod </m:t>
                    </m:r>
                  </m:sup>
                </m:sSubSup>
                <m:r>
                  <w:rPr>
                    <w:rFonts w:ascii="Cambria Math" w:eastAsia="Times New Roman" w:hAnsi="Cambria Math" w:cs="Times New Roman"/>
                    <w:sz w:val="24"/>
                    <w:szCs w:val="24"/>
                  </w:rPr>
                  <m:t xml:space="preserve">- </m:t>
                </m:r>
                <m:sSubSup>
                  <m:sSubSupPr>
                    <m:ctrlPr>
                      <w:rPr>
                        <w:rFonts w:ascii="Cambria Math" w:eastAsia="Times New Roman" w:hAnsi="Cambria Math" w:cs="Times New Roman"/>
                        <w:sz w:val="24"/>
                        <w:szCs w:val="24"/>
                      </w:rPr>
                    </m:ctrlPr>
                  </m:sSubSupPr>
                  <m:e>
                    <m:r>
                      <w:rPr>
                        <w:rFonts w:ascii="Cambria Math" w:eastAsia="Times New Roman" w:hAnsi="Cambria Math" w:cs="Times New Roman"/>
                        <w:sz w:val="24"/>
                        <w:szCs w:val="24"/>
                      </w:rPr>
                      <m:t>y</m:t>
                    </m:r>
                  </m:e>
                  <m:sub>
                    <m:r>
                      <w:rPr>
                        <w:rFonts w:ascii="Cambria Math" w:eastAsia="Times New Roman" w:hAnsi="Cambria Math" w:cs="Times New Roman"/>
                        <w:sz w:val="24"/>
                        <w:szCs w:val="24"/>
                      </w:rPr>
                      <m:t>i</m:t>
                    </m:r>
                  </m:sub>
                  <m:sup>
                    <m:r>
                      <w:rPr>
                        <w:rFonts w:ascii="Cambria Math" w:eastAsia="Times New Roman" w:hAnsi="Cambria Math" w:cs="Times New Roman"/>
                        <w:sz w:val="24"/>
                        <w:szCs w:val="24"/>
                      </w:rPr>
                      <m:t xml:space="preserve">exp </m:t>
                    </m:r>
                  </m:sup>
                </m:sSubSup>
              </m:e>
            </m:d>
          </m:e>
        </m:nary>
      </m:oMath>
    </w:p>
    <w:p w14:paraId="52D8521D" w14:textId="77777777" w:rsidR="00EC09AB" w:rsidRDefault="00EC09AB" w:rsidP="0090344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CV was used as a dimensionless measure of the relative variability of a signal, calculated as the ratio of the standard deviation (σ) to the mean (μ). A lower CV indicates that the values fluctuate less relative to their average.</w:t>
      </w:r>
    </w:p>
    <w:p w14:paraId="4FD2FAE0" w14:textId="77777777" w:rsidR="00EC09AB" w:rsidRDefault="00EC09AB" w:rsidP="00903442">
      <w:pPr>
        <w:spacing w:line="480" w:lineRule="auto"/>
        <w:jc w:val="center"/>
        <w:rPr>
          <w:rFonts w:ascii="Times New Roman" w:eastAsia="Times New Roman" w:hAnsi="Times New Roman" w:cs="Times New Roman"/>
          <w:sz w:val="24"/>
          <w:szCs w:val="24"/>
        </w:rPr>
      </w:pPr>
      <m:oMath>
        <m:r>
          <w:rPr>
            <w:rFonts w:ascii="Cambria Math" w:eastAsia="Times New Roman" w:hAnsi="Cambria Math" w:cs="Times New Roman"/>
            <w:sz w:val="24"/>
            <w:szCs w:val="24"/>
          </w:rPr>
          <m:t>CV=</m:t>
        </m:r>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σ</m:t>
            </m:r>
          </m:num>
          <m:den>
            <m:r>
              <w:rPr>
                <w:rFonts w:ascii="Cambria Math" w:eastAsia="Times New Roman" w:hAnsi="Cambria Math" w:cs="Times New Roman"/>
                <w:sz w:val="24"/>
                <w:szCs w:val="24"/>
              </w:rPr>
              <m:t>μ</m:t>
            </m:r>
          </m:den>
        </m:f>
      </m:oMath>
      <w:r>
        <w:rPr>
          <w:rFonts w:ascii="Times New Roman" w:eastAsia="Times New Roman" w:hAnsi="Times New Roman" w:cs="Times New Roman"/>
          <w:sz w:val="24"/>
          <w:szCs w:val="24"/>
        </w:rPr>
        <w:t xml:space="preserve"> </w:t>
      </w:r>
    </w:p>
    <w:p w14:paraId="6BEF4322" w14:textId="77777777" w:rsidR="00EC09AB" w:rsidRPr="009E123B" w:rsidRDefault="00800499" w:rsidP="00903442">
      <w:pPr>
        <w:spacing w:line="480" w:lineRule="auto"/>
        <w:rPr>
          <w:rFonts w:ascii="Times New Roman" w:eastAsia="Times New Roman" w:hAnsi="Times New Roman" w:cs="Times New Roman"/>
          <w:sz w:val="20"/>
          <w:szCs w:val="20"/>
        </w:rPr>
      </w:pPr>
      <w:r w:rsidRPr="00800499">
        <w:rPr>
          <w:rFonts w:ascii="Times New Roman" w:eastAsia="Times New Roman" w:hAnsi="Times New Roman" w:cs="Times New Roman"/>
          <w:b/>
          <w:bCs/>
          <w:sz w:val="20"/>
          <w:szCs w:val="20"/>
        </w:rPr>
        <w:t>Table S</w:t>
      </w:r>
      <w:r w:rsidR="009E123B">
        <w:rPr>
          <w:rFonts w:ascii="Times New Roman" w:eastAsia="Times New Roman" w:hAnsi="Times New Roman" w:cs="Times New Roman"/>
          <w:b/>
          <w:bCs/>
          <w:sz w:val="20"/>
          <w:szCs w:val="20"/>
        </w:rPr>
        <w:t>2</w:t>
      </w:r>
      <w:r w:rsidRPr="00800499">
        <w:rPr>
          <w:rFonts w:ascii="Times New Roman" w:eastAsia="Times New Roman" w:hAnsi="Times New Roman" w:cs="Times New Roman"/>
          <w:b/>
          <w:bCs/>
          <w:sz w:val="20"/>
          <w:szCs w:val="20"/>
        </w:rPr>
        <w:t>:</w:t>
      </w:r>
      <w:r w:rsidRPr="00800499">
        <w:rPr>
          <w:rFonts w:ascii="Times New Roman" w:eastAsia="Times New Roman" w:hAnsi="Times New Roman" w:cs="Times New Roman"/>
          <w:sz w:val="20"/>
          <w:szCs w:val="20"/>
        </w:rPr>
        <w:t xml:space="preserve"> Calculated MAE and CV for the experiments and the simulations. (These values were calculated for the times that curves were still changing </w:t>
      </w:r>
      <w:proofErr w:type="gramStart"/>
      <w:r w:rsidRPr="00800499">
        <w:rPr>
          <w:rFonts w:ascii="Times New Roman" w:eastAsia="Times New Roman" w:hAnsi="Times New Roman" w:cs="Times New Roman"/>
          <w:sz w:val="20"/>
          <w:szCs w:val="20"/>
        </w:rPr>
        <w:t>slightly, but</w:t>
      </w:r>
      <w:proofErr w:type="gramEnd"/>
      <w:r w:rsidRPr="00800499">
        <w:rPr>
          <w:rFonts w:ascii="Times New Roman" w:eastAsia="Times New Roman" w:hAnsi="Times New Roman" w:cs="Times New Roman"/>
          <w:sz w:val="20"/>
          <w:szCs w:val="20"/>
        </w:rPr>
        <w:t xml:space="preserve"> became flatter as their rate of change approached zero).</w:t>
      </w:r>
    </w:p>
    <w:tbl>
      <w:tblPr>
        <w:tblpPr w:leftFromText="180" w:rightFromText="180" w:topFromText="180" w:bottomFromText="180" w:vertAnchor="text" w:horzAnchor="margin" w:tblpXSpec="right" w:tblpY="-37"/>
        <w:tblW w:w="8789" w:type="dxa"/>
        <w:tblBorders>
          <w:insideH w:val="nil"/>
          <w:insideV w:val="nil"/>
        </w:tblBorders>
        <w:tblLayout w:type="fixed"/>
        <w:tblLook w:val="0600" w:firstRow="0" w:lastRow="0" w:firstColumn="0" w:lastColumn="0" w:noHBand="1" w:noVBand="1"/>
      </w:tblPr>
      <w:tblGrid>
        <w:gridCol w:w="2600"/>
        <w:gridCol w:w="1501"/>
        <w:gridCol w:w="1827"/>
        <w:gridCol w:w="930"/>
        <w:gridCol w:w="1931"/>
      </w:tblGrid>
      <w:tr w:rsidR="009E123B" w14:paraId="3B87D630" w14:textId="77777777" w:rsidTr="009E123B">
        <w:trPr>
          <w:trHeight w:val="285"/>
        </w:trPr>
        <w:tc>
          <w:tcPr>
            <w:tcW w:w="2600" w:type="dxa"/>
            <w:tcBorders>
              <w:top w:val="single" w:sz="8" w:space="0" w:color="000000"/>
              <w:left w:val="single" w:sz="8" w:space="0" w:color="000000"/>
              <w:bottom w:val="single" w:sz="8" w:space="0" w:color="000000"/>
              <w:right w:val="single" w:sz="8" w:space="0" w:color="000000"/>
            </w:tcBorders>
            <w:vAlign w:val="center"/>
          </w:tcPr>
          <w:p w14:paraId="54EF4E6F"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lastRenderedPageBreak/>
              <w:t>Experiment</w:t>
            </w:r>
          </w:p>
        </w:tc>
        <w:tc>
          <w:tcPr>
            <w:tcW w:w="1501" w:type="dxa"/>
            <w:tcBorders>
              <w:top w:val="single" w:sz="8" w:space="0" w:color="000000"/>
              <w:left w:val="single" w:sz="8" w:space="0" w:color="000000"/>
              <w:bottom w:val="single" w:sz="8" w:space="0" w:color="000000"/>
              <w:right w:val="single" w:sz="8" w:space="0" w:color="000000"/>
            </w:tcBorders>
            <w:vAlign w:val="center"/>
          </w:tcPr>
          <w:p w14:paraId="7BA0E57E"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Depth (m)</w:t>
            </w:r>
          </w:p>
        </w:tc>
        <w:tc>
          <w:tcPr>
            <w:tcW w:w="1827" w:type="dxa"/>
            <w:tcBorders>
              <w:top w:val="single" w:sz="8" w:space="0" w:color="000000"/>
              <w:left w:val="single" w:sz="8" w:space="0" w:color="000000"/>
              <w:bottom w:val="single" w:sz="8" w:space="0" w:color="000000"/>
              <w:right w:val="single" w:sz="8" w:space="0" w:color="000000"/>
            </w:tcBorders>
            <w:vAlign w:val="center"/>
          </w:tcPr>
          <w:p w14:paraId="66910590"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Model</w:t>
            </w:r>
          </w:p>
        </w:tc>
        <w:tc>
          <w:tcPr>
            <w:tcW w:w="930" w:type="dxa"/>
            <w:tcBorders>
              <w:top w:val="single" w:sz="8" w:space="0" w:color="000000"/>
              <w:left w:val="single" w:sz="8" w:space="0" w:color="000000"/>
              <w:bottom w:val="single" w:sz="8" w:space="0" w:color="000000"/>
              <w:right w:val="single" w:sz="8" w:space="0" w:color="000000"/>
            </w:tcBorders>
            <w:vAlign w:val="center"/>
          </w:tcPr>
          <w:p w14:paraId="648F49A4"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MAE</w:t>
            </w:r>
          </w:p>
        </w:tc>
        <w:tc>
          <w:tcPr>
            <w:tcW w:w="1931" w:type="dxa"/>
            <w:tcBorders>
              <w:top w:val="single" w:sz="8" w:space="0" w:color="000000"/>
              <w:left w:val="single" w:sz="8" w:space="0" w:color="000000"/>
              <w:bottom w:val="single" w:sz="8" w:space="0" w:color="000000"/>
              <w:right w:val="single" w:sz="8" w:space="0" w:color="000000"/>
            </w:tcBorders>
            <w:vAlign w:val="center"/>
          </w:tcPr>
          <w:p w14:paraId="6808FABB"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CV</w:t>
            </w:r>
          </w:p>
        </w:tc>
      </w:tr>
      <w:tr w:rsidR="009E123B" w14:paraId="09C70FA7" w14:textId="77777777" w:rsidTr="009E123B">
        <w:trPr>
          <w:trHeight w:val="285"/>
        </w:trPr>
        <w:tc>
          <w:tcPr>
            <w:tcW w:w="2600" w:type="dxa"/>
            <w:vMerge w:val="restart"/>
            <w:tcBorders>
              <w:top w:val="single" w:sz="8" w:space="0" w:color="000000"/>
              <w:left w:val="single" w:sz="8" w:space="0" w:color="000000"/>
              <w:bottom w:val="single" w:sz="8" w:space="0" w:color="000000"/>
              <w:right w:val="single" w:sz="8" w:space="0" w:color="000000"/>
            </w:tcBorders>
            <w:vAlign w:val="center"/>
          </w:tcPr>
          <w:p w14:paraId="6530CBBF"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Exp1</w:t>
            </w:r>
          </w:p>
        </w:tc>
        <w:tc>
          <w:tcPr>
            <w:tcW w:w="1501" w:type="dxa"/>
            <w:vMerge w:val="restart"/>
            <w:tcBorders>
              <w:top w:val="single" w:sz="8" w:space="0" w:color="000000"/>
              <w:left w:val="single" w:sz="8" w:space="0" w:color="000000"/>
              <w:bottom w:val="single" w:sz="8" w:space="0" w:color="000000"/>
              <w:right w:val="single" w:sz="8" w:space="0" w:color="000000"/>
            </w:tcBorders>
            <w:vAlign w:val="center"/>
          </w:tcPr>
          <w:p w14:paraId="1C055633"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0.25</w:t>
            </w:r>
          </w:p>
        </w:tc>
        <w:tc>
          <w:tcPr>
            <w:tcW w:w="1827" w:type="dxa"/>
            <w:tcBorders>
              <w:top w:val="single" w:sz="8" w:space="0" w:color="000000"/>
              <w:left w:val="single" w:sz="8" w:space="0" w:color="000000"/>
              <w:bottom w:val="single" w:sz="8" w:space="0" w:color="000000"/>
              <w:right w:val="single" w:sz="8" w:space="0" w:color="000000"/>
            </w:tcBorders>
            <w:vAlign w:val="center"/>
          </w:tcPr>
          <w:p w14:paraId="13C8A704"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Experiment</w:t>
            </w:r>
          </w:p>
        </w:tc>
        <w:tc>
          <w:tcPr>
            <w:tcW w:w="930" w:type="dxa"/>
            <w:tcBorders>
              <w:top w:val="single" w:sz="8" w:space="0" w:color="000000"/>
              <w:left w:val="single" w:sz="8" w:space="0" w:color="000000"/>
              <w:bottom w:val="single" w:sz="8" w:space="0" w:color="000000"/>
              <w:right w:val="single" w:sz="8" w:space="0" w:color="000000"/>
            </w:tcBorders>
            <w:vAlign w:val="center"/>
          </w:tcPr>
          <w:p w14:paraId="13BBF8AE"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w:t>
            </w:r>
          </w:p>
        </w:tc>
        <w:tc>
          <w:tcPr>
            <w:tcW w:w="1931" w:type="dxa"/>
            <w:tcBorders>
              <w:top w:val="single" w:sz="8" w:space="0" w:color="000000"/>
              <w:left w:val="single" w:sz="8" w:space="0" w:color="000000"/>
              <w:bottom w:val="single" w:sz="8" w:space="0" w:color="000000"/>
              <w:right w:val="single" w:sz="8" w:space="0" w:color="000000"/>
            </w:tcBorders>
            <w:vAlign w:val="center"/>
          </w:tcPr>
          <w:p w14:paraId="2D3FF5D7"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0.46</w:t>
            </w:r>
          </w:p>
        </w:tc>
      </w:tr>
      <w:tr w:rsidR="009E123B" w14:paraId="67D45AF3" w14:textId="77777777" w:rsidTr="009E123B">
        <w:trPr>
          <w:trHeight w:val="285"/>
        </w:trPr>
        <w:tc>
          <w:tcPr>
            <w:tcW w:w="2600" w:type="dxa"/>
            <w:vMerge/>
            <w:tcBorders>
              <w:top w:val="single" w:sz="8" w:space="0" w:color="000000"/>
              <w:left w:val="single" w:sz="8" w:space="0" w:color="000000"/>
              <w:bottom w:val="single" w:sz="8" w:space="0" w:color="000000"/>
              <w:right w:val="single" w:sz="8" w:space="0" w:color="000000"/>
            </w:tcBorders>
            <w:vAlign w:val="center"/>
          </w:tcPr>
          <w:p w14:paraId="34B02547" w14:textId="77777777" w:rsidR="009E123B" w:rsidRPr="00800499" w:rsidRDefault="009E123B" w:rsidP="00903442">
            <w:pPr>
              <w:pStyle w:val="KeinLeerraum"/>
              <w:spacing w:line="480" w:lineRule="auto"/>
              <w:jc w:val="center"/>
              <w:rPr>
                <w:rFonts w:asciiTheme="majorBidi" w:hAnsiTheme="majorBidi" w:cstheme="majorBidi"/>
              </w:rPr>
            </w:pPr>
          </w:p>
        </w:tc>
        <w:tc>
          <w:tcPr>
            <w:tcW w:w="1501" w:type="dxa"/>
            <w:vMerge/>
            <w:tcBorders>
              <w:top w:val="single" w:sz="8" w:space="0" w:color="000000"/>
              <w:left w:val="single" w:sz="8" w:space="0" w:color="000000"/>
              <w:bottom w:val="single" w:sz="8" w:space="0" w:color="000000"/>
              <w:right w:val="single" w:sz="8" w:space="0" w:color="000000"/>
            </w:tcBorders>
            <w:vAlign w:val="center"/>
          </w:tcPr>
          <w:p w14:paraId="6492E3B1" w14:textId="77777777" w:rsidR="009E123B" w:rsidRPr="00800499" w:rsidRDefault="009E123B" w:rsidP="00903442">
            <w:pPr>
              <w:pStyle w:val="KeinLeerraum"/>
              <w:spacing w:line="480" w:lineRule="auto"/>
              <w:jc w:val="center"/>
              <w:rPr>
                <w:rFonts w:asciiTheme="majorBidi" w:hAnsiTheme="majorBidi" w:cstheme="majorBidi"/>
              </w:rPr>
            </w:pPr>
          </w:p>
        </w:tc>
        <w:tc>
          <w:tcPr>
            <w:tcW w:w="1827" w:type="dxa"/>
            <w:tcBorders>
              <w:top w:val="single" w:sz="8" w:space="0" w:color="000000"/>
              <w:left w:val="single" w:sz="8" w:space="0" w:color="000000"/>
              <w:bottom w:val="single" w:sz="8" w:space="0" w:color="000000"/>
              <w:right w:val="single" w:sz="8" w:space="0" w:color="000000"/>
            </w:tcBorders>
            <w:vAlign w:val="center"/>
          </w:tcPr>
          <w:p w14:paraId="7235E167"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One-way</w:t>
            </w:r>
          </w:p>
        </w:tc>
        <w:tc>
          <w:tcPr>
            <w:tcW w:w="930" w:type="dxa"/>
            <w:tcBorders>
              <w:top w:val="single" w:sz="8" w:space="0" w:color="000000"/>
              <w:left w:val="single" w:sz="8" w:space="0" w:color="000000"/>
              <w:bottom w:val="single" w:sz="8" w:space="0" w:color="000000"/>
              <w:right w:val="single" w:sz="8" w:space="0" w:color="000000"/>
            </w:tcBorders>
            <w:vAlign w:val="center"/>
          </w:tcPr>
          <w:p w14:paraId="18152009"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20.05</w:t>
            </w:r>
          </w:p>
        </w:tc>
        <w:tc>
          <w:tcPr>
            <w:tcW w:w="1931" w:type="dxa"/>
            <w:tcBorders>
              <w:top w:val="single" w:sz="8" w:space="0" w:color="000000"/>
              <w:left w:val="single" w:sz="8" w:space="0" w:color="000000"/>
              <w:bottom w:val="single" w:sz="8" w:space="0" w:color="000000"/>
              <w:right w:val="single" w:sz="8" w:space="0" w:color="000000"/>
            </w:tcBorders>
            <w:vAlign w:val="center"/>
          </w:tcPr>
          <w:p w14:paraId="7D7AB73B"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0.36</w:t>
            </w:r>
          </w:p>
        </w:tc>
      </w:tr>
      <w:tr w:rsidR="009E123B" w14:paraId="142E6120" w14:textId="77777777" w:rsidTr="009E123B">
        <w:trPr>
          <w:trHeight w:val="285"/>
        </w:trPr>
        <w:tc>
          <w:tcPr>
            <w:tcW w:w="2600" w:type="dxa"/>
            <w:vMerge/>
            <w:tcBorders>
              <w:top w:val="single" w:sz="8" w:space="0" w:color="000000"/>
              <w:left w:val="single" w:sz="8" w:space="0" w:color="000000"/>
              <w:bottom w:val="single" w:sz="8" w:space="0" w:color="000000"/>
              <w:right w:val="single" w:sz="8" w:space="0" w:color="000000"/>
            </w:tcBorders>
            <w:vAlign w:val="center"/>
          </w:tcPr>
          <w:p w14:paraId="58B21AAE" w14:textId="77777777" w:rsidR="009E123B" w:rsidRPr="00800499" w:rsidRDefault="009E123B" w:rsidP="00903442">
            <w:pPr>
              <w:pStyle w:val="KeinLeerraum"/>
              <w:spacing w:line="480" w:lineRule="auto"/>
              <w:jc w:val="center"/>
              <w:rPr>
                <w:rFonts w:asciiTheme="majorBidi" w:hAnsiTheme="majorBidi" w:cstheme="majorBidi"/>
              </w:rPr>
            </w:pPr>
          </w:p>
        </w:tc>
        <w:tc>
          <w:tcPr>
            <w:tcW w:w="1501" w:type="dxa"/>
            <w:vMerge/>
            <w:tcBorders>
              <w:top w:val="single" w:sz="8" w:space="0" w:color="000000"/>
              <w:left w:val="single" w:sz="8" w:space="0" w:color="000000"/>
              <w:bottom w:val="single" w:sz="8" w:space="0" w:color="000000"/>
              <w:right w:val="single" w:sz="8" w:space="0" w:color="000000"/>
            </w:tcBorders>
            <w:vAlign w:val="center"/>
          </w:tcPr>
          <w:p w14:paraId="43B66F76" w14:textId="77777777" w:rsidR="009E123B" w:rsidRPr="00800499" w:rsidRDefault="009E123B" w:rsidP="00903442">
            <w:pPr>
              <w:pStyle w:val="KeinLeerraum"/>
              <w:spacing w:line="480" w:lineRule="auto"/>
              <w:jc w:val="center"/>
              <w:rPr>
                <w:rFonts w:asciiTheme="majorBidi" w:hAnsiTheme="majorBidi" w:cstheme="majorBidi"/>
              </w:rPr>
            </w:pPr>
          </w:p>
        </w:tc>
        <w:tc>
          <w:tcPr>
            <w:tcW w:w="1827" w:type="dxa"/>
            <w:tcBorders>
              <w:top w:val="single" w:sz="8" w:space="0" w:color="000000"/>
              <w:left w:val="single" w:sz="8" w:space="0" w:color="000000"/>
              <w:bottom w:val="single" w:sz="8" w:space="0" w:color="000000"/>
              <w:right w:val="single" w:sz="8" w:space="0" w:color="000000"/>
            </w:tcBorders>
            <w:vAlign w:val="center"/>
          </w:tcPr>
          <w:p w14:paraId="48DECB12"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Two-way</w:t>
            </w:r>
          </w:p>
        </w:tc>
        <w:tc>
          <w:tcPr>
            <w:tcW w:w="930" w:type="dxa"/>
            <w:tcBorders>
              <w:top w:val="single" w:sz="8" w:space="0" w:color="000000"/>
              <w:left w:val="single" w:sz="8" w:space="0" w:color="000000"/>
              <w:bottom w:val="single" w:sz="8" w:space="0" w:color="000000"/>
              <w:right w:val="single" w:sz="8" w:space="0" w:color="000000"/>
            </w:tcBorders>
            <w:vAlign w:val="center"/>
          </w:tcPr>
          <w:p w14:paraId="26215D23"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9.47</w:t>
            </w:r>
          </w:p>
        </w:tc>
        <w:tc>
          <w:tcPr>
            <w:tcW w:w="1931" w:type="dxa"/>
            <w:tcBorders>
              <w:top w:val="single" w:sz="8" w:space="0" w:color="000000"/>
              <w:left w:val="single" w:sz="8" w:space="0" w:color="000000"/>
              <w:bottom w:val="single" w:sz="8" w:space="0" w:color="000000"/>
              <w:right w:val="single" w:sz="8" w:space="0" w:color="000000"/>
            </w:tcBorders>
            <w:vAlign w:val="center"/>
          </w:tcPr>
          <w:p w14:paraId="68FEDB42"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0.41</w:t>
            </w:r>
          </w:p>
        </w:tc>
      </w:tr>
      <w:tr w:rsidR="009E123B" w14:paraId="709537DE" w14:textId="77777777" w:rsidTr="009E123B">
        <w:trPr>
          <w:trHeight w:val="285"/>
        </w:trPr>
        <w:tc>
          <w:tcPr>
            <w:tcW w:w="2600" w:type="dxa"/>
            <w:vMerge/>
            <w:tcBorders>
              <w:top w:val="single" w:sz="8" w:space="0" w:color="000000"/>
              <w:left w:val="single" w:sz="8" w:space="0" w:color="000000"/>
              <w:bottom w:val="single" w:sz="8" w:space="0" w:color="000000"/>
              <w:right w:val="single" w:sz="8" w:space="0" w:color="000000"/>
            </w:tcBorders>
            <w:vAlign w:val="center"/>
          </w:tcPr>
          <w:p w14:paraId="5250BC8D" w14:textId="77777777" w:rsidR="009E123B" w:rsidRPr="00800499" w:rsidRDefault="009E123B" w:rsidP="00903442">
            <w:pPr>
              <w:pStyle w:val="KeinLeerraum"/>
              <w:spacing w:line="480" w:lineRule="auto"/>
              <w:jc w:val="center"/>
              <w:rPr>
                <w:rFonts w:asciiTheme="majorBidi" w:hAnsiTheme="majorBidi" w:cstheme="majorBidi"/>
              </w:rPr>
            </w:pPr>
          </w:p>
        </w:tc>
        <w:tc>
          <w:tcPr>
            <w:tcW w:w="1501" w:type="dxa"/>
            <w:vMerge w:val="restart"/>
            <w:tcBorders>
              <w:top w:val="single" w:sz="8" w:space="0" w:color="000000"/>
              <w:left w:val="single" w:sz="8" w:space="0" w:color="000000"/>
              <w:bottom w:val="single" w:sz="8" w:space="0" w:color="000000"/>
              <w:right w:val="single" w:sz="8" w:space="0" w:color="000000"/>
            </w:tcBorders>
            <w:vAlign w:val="center"/>
          </w:tcPr>
          <w:p w14:paraId="7E5E4256"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2.75</w:t>
            </w:r>
          </w:p>
        </w:tc>
        <w:tc>
          <w:tcPr>
            <w:tcW w:w="1827" w:type="dxa"/>
            <w:tcBorders>
              <w:top w:val="single" w:sz="8" w:space="0" w:color="000000"/>
              <w:left w:val="single" w:sz="8" w:space="0" w:color="000000"/>
              <w:bottom w:val="single" w:sz="8" w:space="0" w:color="000000"/>
              <w:right w:val="single" w:sz="8" w:space="0" w:color="000000"/>
            </w:tcBorders>
            <w:vAlign w:val="center"/>
          </w:tcPr>
          <w:p w14:paraId="0123EAA3"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Experiment</w:t>
            </w:r>
          </w:p>
        </w:tc>
        <w:tc>
          <w:tcPr>
            <w:tcW w:w="930" w:type="dxa"/>
            <w:tcBorders>
              <w:top w:val="single" w:sz="8" w:space="0" w:color="000000"/>
              <w:left w:val="single" w:sz="8" w:space="0" w:color="000000"/>
              <w:bottom w:val="single" w:sz="8" w:space="0" w:color="000000"/>
              <w:right w:val="single" w:sz="8" w:space="0" w:color="000000"/>
            </w:tcBorders>
            <w:vAlign w:val="center"/>
          </w:tcPr>
          <w:p w14:paraId="59ED1966"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w:t>
            </w:r>
          </w:p>
        </w:tc>
        <w:tc>
          <w:tcPr>
            <w:tcW w:w="1931" w:type="dxa"/>
            <w:tcBorders>
              <w:top w:val="single" w:sz="8" w:space="0" w:color="000000"/>
              <w:left w:val="single" w:sz="8" w:space="0" w:color="000000"/>
              <w:bottom w:val="single" w:sz="8" w:space="0" w:color="000000"/>
              <w:right w:val="single" w:sz="8" w:space="0" w:color="000000"/>
            </w:tcBorders>
            <w:vAlign w:val="center"/>
          </w:tcPr>
          <w:p w14:paraId="77F44202"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0.73</w:t>
            </w:r>
          </w:p>
        </w:tc>
      </w:tr>
      <w:tr w:rsidR="009E123B" w14:paraId="465DA78E" w14:textId="77777777" w:rsidTr="009E123B">
        <w:trPr>
          <w:trHeight w:val="285"/>
        </w:trPr>
        <w:tc>
          <w:tcPr>
            <w:tcW w:w="2600" w:type="dxa"/>
            <w:vMerge/>
            <w:tcBorders>
              <w:top w:val="single" w:sz="8" w:space="0" w:color="000000"/>
              <w:left w:val="single" w:sz="8" w:space="0" w:color="000000"/>
              <w:bottom w:val="single" w:sz="8" w:space="0" w:color="000000"/>
              <w:right w:val="single" w:sz="8" w:space="0" w:color="000000"/>
            </w:tcBorders>
            <w:vAlign w:val="center"/>
          </w:tcPr>
          <w:p w14:paraId="278D2447" w14:textId="77777777" w:rsidR="009E123B" w:rsidRPr="00800499" w:rsidRDefault="009E123B" w:rsidP="00903442">
            <w:pPr>
              <w:pStyle w:val="KeinLeerraum"/>
              <w:spacing w:line="480" w:lineRule="auto"/>
              <w:jc w:val="center"/>
              <w:rPr>
                <w:rFonts w:asciiTheme="majorBidi" w:hAnsiTheme="majorBidi" w:cstheme="majorBidi"/>
              </w:rPr>
            </w:pPr>
          </w:p>
        </w:tc>
        <w:tc>
          <w:tcPr>
            <w:tcW w:w="1501" w:type="dxa"/>
            <w:vMerge/>
            <w:tcBorders>
              <w:top w:val="single" w:sz="8" w:space="0" w:color="000000"/>
              <w:left w:val="single" w:sz="8" w:space="0" w:color="000000"/>
              <w:bottom w:val="single" w:sz="8" w:space="0" w:color="000000"/>
              <w:right w:val="single" w:sz="8" w:space="0" w:color="000000"/>
            </w:tcBorders>
            <w:vAlign w:val="center"/>
          </w:tcPr>
          <w:p w14:paraId="6CB58F88" w14:textId="77777777" w:rsidR="009E123B" w:rsidRPr="00800499" w:rsidRDefault="009E123B" w:rsidP="00903442">
            <w:pPr>
              <w:pStyle w:val="KeinLeerraum"/>
              <w:spacing w:line="480" w:lineRule="auto"/>
              <w:jc w:val="center"/>
              <w:rPr>
                <w:rFonts w:asciiTheme="majorBidi" w:hAnsiTheme="majorBidi" w:cstheme="majorBidi"/>
              </w:rPr>
            </w:pPr>
          </w:p>
        </w:tc>
        <w:tc>
          <w:tcPr>
            <w:tcW w:w="1827" w:type="dxa"/>
            <w:tcBorders>
              <w:top w:val="single" w:sz="8" w:space="0" w:color="000000"/>
              <w:left w:val="single" w:sz="8" w:space="0" w:color="000000"/>
              <w:bottom w:val="single" w:sz="8" w:space="0" w:color="000000"/>
              <w:right w:val="single" w:sz="8" w:space="0" w:color="000000"/>
            </w:tcBorders>
            <w:vAlign w:val="center"/>
          </w:tcPr>
          <w:p w14:paraId="0C504926"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One-way</w:t>
            </w:r>
          </w:p>
        </w:tc>
        <w:tc>
          <w:tcPr>
            <w:tcW w:w="930" w:type="dxa"/>
            <w:tcBorders>
              <w:top w:val="single" w:sz="8" w:space="0" w:color="000000"/>
              <w:left w:val="single" w:sz="8" w:space="0" w:color="000000"/>
              <w:bottom w:val="single" w:sz="8" w:space="0" w:color="000000"/>
              <w:right w:val="single" w:sz="8" w:space="0" w:color="000000"/>
            </w:tcBorders>
            <w:vAlign w:val="center"/>
          </w:tcPr>
          <w:p w14:paraId="7F12EA47"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6.44</w:t>
            </w:r>
          </w:p>
        </w:tc>
        <w:tc>
          <w:tcPr>
            <w:tcW w:w="1931" w:type="dxa"/>
            <w:tcBorders>
              <w:top w:val="single" w:sz="8" w:space="0" w:color="000000"/>
              <w:left w:val="single" w:sz="8" w:space="0" w:color="000000"/>
              <w:bottom w:val="single" w:sz="8" w:space="0" w:color="000000"/>
              <w:right w:val="single" w:sz="8" w:space="0" w:color="000000"/>
            </w:tcBorders>
            <w:vAlign w:val="center"/>
          </w:tcPr>
          <w:p w14:paraId="13B29DD5"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0.72</w:t>
            </w:r>
          </w:p>
        </w:tc>
      </w:tr>
      <w:tr w:rsidR="009E123B" w14:paraId="6FD13BE2" w14:textId="77777777" w:rsidTr="009E123B">
        <w:trPr>
          <w:trHeight w:val="285"/>
        </w:trPr>
        <w:tc>
          <w:tcPr>
            <w:tcW w:w="2600" w:type="dxa"/>
            <w:vMerge/>
            <w:tcBorders>
              <w:top w:val="single" w:sz="8" w:space="0" w:color="000000"/>
              <w:left w:val="single" w:sz="8" w:space="0" w:color="000000"/>
              <w:bottom w:val="single" w:sz="8" w:space="0" w:color="000000"/>
              <w:right w:val="single" w:sz="8" w:space="0" w:color="000000"/>
            </w:tcBorders>
            <w:vAlign w:val="center"/>
          </w:tcPr>
          <w:p w14:paraId="11F1CEC0" w14:textId="77777777" w:rsidR="009E123B" w:rsidRPr="00800499" w:rsidRDefault="009E123B" w:rsidP="00903442">
            <w:pPr>
              <w:pStyle w:val="KeinLeerraum"/>
              <w:spacing w:line="480" w:lineRule="auto"/>
              <w:jc w:val="center"/>
              <w:rPr>
                <w:rFonts w:asciiTheme="majorBidi" w:hAnsiTheme="majorBidi" w:cstheme="majorBidi"/>
              </w:rPr>
            </w:pPr>
          </w:p>
        </w:tc>
        <w:tc>
          <w:tcPr>
            <w:tcW w:w="1501" w:type="dxa"/>
            <w:vMerge/>
            <w:tcBorders>
              <w:top w:val="single" w:sz="8" w:space="0" w:color="000000"/>
              <w:left w:val="single" w:sz="8" w:space="0" w:color="000000"/>
              <w:bottom w:val="single" w:sz="8" w:space="0" w:color="000000"/>
              <w:right w:val="single" w:sz="8" w:space="0" w:color="000000"/>
            </w:tcBorders>
            <w:vAlign w:val="center"/>
          </w:tcPr>
          <w:p w14:paraId="04955F44" w14:textId="77777777" w:rsidR="009E123B" w:rsidRPr="00800499" w:rsidRDefault="009E123B" w:rsidP="00903442">
            <w:pPr>
              <w:pStyle w:val="KeinLeerraum"/>
              <w:spacing w:line="480" w:lineRule="auto"/>
              <w:jc w:val="center"/>
              <w:rPr>
                <w:rFonts w:asciiTheme="majorBidi" w:hAnsiTheme="majorBidi" w:cstheme="majorBidi"/>
              </w:rPr>
            </w:pPr>
          </w:p>
        </w:tc>
        <w:tc>
          <w:tcPr>
            <w:tcW w:w="1827" w:type="dxa"/>
            <w:tcBorders>
              <w:top w:val="single" w:sz="8" w:space="0" w:color="000000"/>
              <w:left w:val="single" w:sz="8" w:space="0" w:color="000000"/>
              <w:bottom w:val="single" w:sz="8" w:space="0" w:color="000000"/>
              <w:right w:val="single" w:sz="8" w:space="0" w:color="000000"/>
            </w:tcBorders>
            <w:vAlign w:val="center"/>
          </w:tcPr>
          <w:p w14:paraId="71745A10"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Two-way</w:t>
            </w:r>
          </w:p>
        </w:tc>
        <w:tc>
          <w:tcPr>
            <w:tcW w:w="930" w:type="dxa"/>
            <w:tcBorders>
              <w:top w:val="single" w:sz="8" w:space="0" w:color="000000"/>
              <w:left w:val="single" w:sz="8" w:space="0" w:color="000000"/>
              <w:bottom w:val="single" w:sz="8" w:space="0" w:color="000000"/>
              <w:right w:val="single" w:sz="8" w:space="0" w:color="000000"/>
            </w:tcBorders>
            <w:vAlign w:val="center"/>
          </w:tcPr>
          <w:p w14:paraId="17B01805"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11.79</w:t>
            </w:r>
          </w:p>
        </w:tc>
        <w:tc>
          <w:tcPr>
            <w:tcW w:w="1931" w:type="dxa"/>
            <w:tcBorders>
              <w:top w:val="single" w:sz="8" w:space="0" w:color="000000"/>
              <w:left w:val="single" w:sz="8" w:space="0" w:color="000000"/>
              <w:bottom w:val="single" w:sz="8" w:space="0" w:color="000000"/>
              <w:right w:val="single" w:sz="8" w:space="0" w:color="000000"/>
            </w:tcBorders>
            <w:vAlign w:val="center"/>
          </w:tcPr>
          <w:p w14:paraId="59962333"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0.30</w:t>
            </w:r>
          </w:p>
        </w:tc>
      </w:tr>
      <w:tr w:rsidR="009E123B" w14:paraId="0F24A32E" w14:textId="77777777" w:rsidTr="009E123B">
        <w:trPr>
          <w:trHeight w:val="285"/>
        </w:trPr>
        <w:tc>
          <w:tcPr>
            <w:tcW w:w="2600" w:type="dxa"/>
            <w:vMerge w:val="restart"/>
            <w:tcBorders>
              <w:top w:val="single" w:sz="8" w:space="0" w:color="000000"/>
              <w:left w:val="single" w:sz="8" w:space="0" w:color="000000"/>
              <w:bottom w:val="single" w:sz="8" w:space="0" w:color="000000"/>
              <w:right w:val="single" w:sz="8" w:space="0" w:color="000000"/>
            </w:tcBorders>
            <w:vAlign w:val="center"/>
          </w:tcPr>
          <w:p w14:paraId="48F33D92"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Exp2</w:t>
            </w:r>
          </w:p>
        </w:tc>
        <w:tc>
          <w:tcPr>
            <w:tcW w:w="1501" w:type="dxa"/>
            <w:vMerge w:val="restart"/>
            <w:tcBorders>
              <w:top w:val="single" w:sz="8" w:space="0" w:color="000000"/>
              <w:left w:val="single" w:sz="8" w:space="0" w:color="000000"/>
              <w:bottom w:val="single" w:sz="8" w:space="0" w:color="000000"/>
              <w:right w:val="single" w:sz="8" w:space="0" w:color="000000"/>
            </w:tcBorders>
            <w:vAlign w:val="center"/>
          </w:tcPr>
          <w:p w14:paraId="368DD63E"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0.25</w:t>
            </w:r>
          </w:p>
        </w:tc>
        <w:tc>
          <w:tcPr>
            <w:tcW w:w="1827" w:type="dxa"/>
            <w:tcBorders>
              <w:top w:val="single" w:sz="8" w:space="0" w:color="000000"/>
              <w:left w:val="single" w:sz="8" w:space="0" w:color="000000"/>
              <w:bottom w:val="single" w:sz="8" w:space="0" w:color="000000"/>
              <w:right w:val="single" w:sz="8" w:space="0" w:color="000000"/>
            </w:tcBorders>
            <w:vAlign w:val="center"/>
          </w:tcPr>
          <w:p w14:paraId="7A60D7F2"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Experiment</w:t>
            </w:r>
          </w:p>
        </w:tc>
        <w:tc>
          <w:tcPr>
            <w:tcW w:w="930" w:type="dxa"/>
            <w:tcBorders>
              <w:top w:val="single" w:sz="8" w:space="0" w:color="000000"/>
              <w:left w:val="single" w:sz="8" w:space="0" w:color="000000"/>
              <w:bottom w:val="single" w:sz="8" w:space="0" w:color="000000"/>
              <w:right w:val="single" w:sz="8" w:space="0" w:color="000000"/>
            </w:tcBorders>
            <w:vAlign w:val="center"/>
          </w:tcPr>
          <w:p w14:paraId="70494D6E"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w:t>
            </w:r>
          </w:p>
        </w:tc>
        <w:tc>
          <w:tcPr>
            <w:tcW w:w="1931" w:type="dxa"/>
            <w:tcBorders>
              <w:top w:val="single" w:sz="8" w:space="0" w:color="000000"/>
              <w:left w:val="single" w:sz="8" w:space="0" w:color="000000"/>
              <w:bottom w:val="single" w:sz="8" w:space="0" w:color="000000"/>
              <w:right w:val="single" w:sz="8" w:space="0" w:color="000000"/>
            </w:tcBorders>
            <w:vAlign w:val="center"/>
          </w:tcPr>
          <w:p w14:paraId="472C722A"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0.32</w:t>
            </w:r>
          </w:p>
        </w:tc>
      </w:tr>
      <w:tr w:rsidR="009E123B" w14:paraId="785F7B14" w14:textId="77777777" w:rsidTr="009E123B">
        <w:trPr>
          <w:trHeight w:val="285"/>
        </w:trPr>
        <w:tc>
          <w:tcPr>
            <w:tcW w:w="2600" w:type="dxa"/>
            <w:vMerge/>
            <w:tcBorders>
              <w:top w:val="single" w:sz="8" w:space="0" w:color="000000"/>
              <w:left w:val="single" w:sz="8" w:space="0" w:color="000000"/>
              <w:bottom w:val="single" w:sz="8" w:space="0" w:color="000000"/>
              <w:right w:val="single" w:sz="8" w:space="0" w:color="000000"/>
            </w:tcBorders>
            <w:vAlign w:val="center"/>
          </w:tcPr>
          <w:p w14:paraId="0B94E119" w14:textId="77777777" w:rsidR="009E123B" w:rsidRPr="00800499" w:rsidRDefault="009E123B" w:rsidP="00903442">
            <w:pPr>
              <w:pStyle w:val="KeinLeerraum"/>
              <w:spacing w:line="480" w:lineRule="auto"/>
              <w:jc w:val="center"/>
              <w:rPr>
                <w:rFonts w:asciiTheme="majorBidi" w:hAnsiTheme="majorBidi" w:cstheme="majorBidi"/>
              </w:rPr>
            </w:pPr>
          </w:p>
        </w:tc>
        <w:tc>
          <w:tcPr>
            <w:tcW w:w="1501" w:type="dxa"/>
            <w:vMerge/>
            <w:tcBorders>
              <w:top w:val="single" w:sz="8" w:space="0" w:color="000000"/>
              <w:left w:val="single" w:sz="8" w:space="0" w:color="000000"/>
              <w:bottom w:val="single" w:sz="8" w:space="0" w:color="000000"/>
              <w:right w:val="single" w:sz="8" w:space="0" w:color="000000"/>
            </w:tcBorders>
            <w:vAlign w:val="center"/>
          </w:tcPr>
          <w:p w14:paraId="698C3733" w14:textId="77777777" w:rsidR="009E123B" w:rsidRPr="00800499" w:rsidRDefault="009E123B" w:rsidP="00903442">
            <w:pPr>
              <w:pStyle w:val="KeinLeerraum"/>
              <w:spacing w:line="480" w:lineRule="auto"/>
              <w:jc w:val="center"/>
              <w:rPr>
                <w:rFonts w:asciiTheme="majorBidi" w:hAnsiTheme="majorBidi" w:cstheme="majorBidi"/>
              </w:rPr>
            </w:pPr>
          </w:p>
        </w:tc>
        <w:tc>
          <w:tcPr>
            <w:tcW w:w="1827" w:type="dxa"/>
            <w:tcBorders>
              <w:top w:val="single" w:sz="8" w:space="0" w:color="000000"/>
              <w:left w:val="single" w:sz="8" w:space="0" w:color="000000"/>
              <w:bottom w:val="single" w:sz="8" w:space="0" w:color="000000"/>
              <w:right w:val="single" w:sz="8" w:space="0" w:color="000000"/>
            </w:tcBorders>
            <w:vAlign w:val="center"/>
          </w:tcPr>
          <w:p w14:paraId="432E856E"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One-way</w:t>
            </w:r>
          </w:p>
        </w:tc>
        <w:tc>
          <w:tcPr>
            <w:tcW w:w="930" w:type="dxa"/>
            <w:tcBorders>
              <w:top w:val="single" w:sz="8" w:space="0" w:color="000000"/>
              <w:left w:val="single" w:sz="8" w:space="0" w:color="000000"/>
              <w:bottom w:val="single" w:sz="8" w:space="0" w:color="000000"/>
              <w:right w:val="single" w:sz="8" w:space="0" w:color="000000"/>
            </w:tcBorders>
            <w:vAlign w:val="center"/>
          </w:tcPr>
          <w:p w14:paraId="6AC1A7FF"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51.81</w:t>
            </w:r>
          </w:p>
        </w:tc>
        <w:tc>
          <w:tcPr>
            <w:tcW w:w="1931" w:type="dxa"/>
            <w:tcBorders>
              <w:top w:val="single" w:sz="8" w:space="0" w:color="000000"/>
              <w:left w:val="single" w:sz="8" w:space="0" w:color="000000"/>
              <w:bottom w:val="single" w:sz="8" w:space="0" w:color="000000"/>
              <w:right w:val="single" w:sz="8" w:space="0" w:color="000000"/>
            </w:tcBorders>
            <w:vAlign w:val="center"/>
          </w:tcPr>
          <w:p w14:paraId="2256D614"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0.95</w:t>
            </w:r>
          </w:p>
        </w:tc>
      </w:tr>
      <w:tr w:rsidR="009E123B" w14:paraId="0B15FC8D" w14:textId="77777777" w:rsidTr="009E123B">
        <w:trPr>
          <w:trHeight w:val="285"/>
        </w:trPr>
        <w:tc>
          <w:tcPr>
            <w:tcW w:w="2600" w:type="dxa"/>
            <w:vMerge/>
            <w:tcBorders>
              <w:top w:val="single" w:sz="8" w:space="0" w:color="000000"/>
              <w:left w:val="single" w:sz="8" w:space="0" w:color="000000"/>
              <w:bottom w:val="single" w:sz="8" w:space="0" w:color="000000"/>
              <w:right w:val="single" w:sz="8" w:space="0" w:color="000000"/>
            </w:tcBorders>
            <w:vAlign w:val="center"/>
          </w:tcPr>
          <w:p w14:paraId="0201A8DA" w14:textId="77777777" w:rsidR="009E123B" w:rsidRPr="00800499" w:rsidRDefault="009E123B" w:rsidP="00903442">
            <w:pPr>
              <w:pStyle w:val="KeinLeerraum"/>
              <w:spacing w:line="480" w:lineRule="auto"/>
              <w:jc w:val="center"/>
              <w:rPr>
                <w:rFonts w:asciiTheme="majorBidi" w:hAnsiTheme="majorBidi" w:cstheme="majorBidi"/>
              </w:rPr>
            </w:pPr>
          </w:p>
        </w:tc>
        <w:tc>
          <w:tcPr>
            <w:tcW w:w="1501" w:type="dxa"/>
            <w:vMerge/>
            <w:tcBorders>
              <w:top w:val="single" w:sz="8" w:space="0" w:color="000000"/>
              <w:left w:val="single" w:sz="8" w:space="0" w:color="000000"/>
              <w:bottom w:val="single" w:sz="8" w:space="0" w:color="000000"/>
              <w:right w:val="single" w:sz="8" w:space="0" w:color="000000"/>
            </w:tcBorders>
            <w:vAlign w:val="center"/>
          </w:tcPr>
          <w:p w14:paraId="14B76CF8" w14:textId="77777777" w:rsidR="009E123B" w:rsidRPr="00800499" w:rsidRDefault="009E123B" w:rsidP="00903442">
            <w:pPr>
              <w:pStyle w:val="KeinLeerraum"/>
              <w:spacing w:line="480" w:lineRule="auto"/>
              <w:jc w:val="center"/>
              <w:rPr>
                <w:rFonts w:asciiTheme="majorBidi" w:hAnsiTheme="majorBidi" w:cstheme="majorBidi"/>
              </w:rPr>
            </w:pPr>
          </w:p>
        </w:tc>
        <w:tc>
          <w:tcPr>
            <w:tcW w:w="1827" w:type="dxa"/>
            <w:tcBorders>
              <w:top w:val="single" w:sz="8" w:space="0" w:color="000000"/>
              <w:left w:val="single" w:sz="8" w:space="0" w:color="000000"/>
              <w:bottom w:val="single" w:sz="8" w:space="0" w:color="000000"/>
              <w:right w:val="single" w:sz="8" w:space="0" w:color="000000"/>
            </w:tcBorders>
            <w:vAlign w:val="center"/>
          </w:tcPr>
          <w:p w14:paraId="5BDC1B4B"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Two-way</w:t>
            </w:r>
          </w:p>
        </w:tc>
        <w:tc>
          <w:tcPr>
            <w:tcW w:w="930" w:type="dxa"/>
            <w:tcBorders>
              <w:top w:val="single" w:sz="8" w:space="0" w:color="000000"/>
              <w:left w:val="single" w:sz="8" w:space="0" w:color="000000"/>
              <w:bottom w:val="single" w:sz="8" w:space="0" w:color="000000"/>
              <w:right w:val="single" w:sz="8" w:space="0" w:color="000000"/>
            </w:tcBorders>
            <w:vAlign w:val="center"/>
          </w:tcPr>
          <w:p w14:paraId="260FFBBE"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12.27</w:t>
            </w:r>
          </w:p>
        </w:tc>
        <w:tc>
          <w:tcPr>
            <w:tcW w:w="1931" w:type="dxa"/>
            <w:tcBorders>
              <w:top w:val="single" w:sz="8" w:space="0" w:color="000000"/>
              <w:left w:val="single" w:sz="8" w:space="0" w:color="000000"/>
              <w:bottom w:val="single" w:sz="8" w:space="0" w:color="000000"/>
              <w:right w:val="single" w:sz="8" w:space="0" w:color="000000"/>
            </w:tcBorders>
            <w:vAlign w:val="center"/>
          </w:tcPr>
          <w:p w14:paraId="4E39664A"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0.17</w:t>
            </w:r>
          </w:p>
        </w:tc>
      </w:tr>
      <w:tr w:rsidR="009E123B" w14:paraId="5EFBBD98" w14:textId="77777777" w:rsidTr="009E123B">
        <w:trPr>
          <w:trHeight w:val="285"/>
        </w:trPr>
        <w:tc>
          <w:tcPr>
            <w:tcW w:w="2600" w:type="dxa"/>
            <w:vMerge/>
            <w:tcBorders>
              <w:top w:val="single" w:sz="8" w:space="0" w:color="000000"/>
              <w:left w:val="single" w:sz="8" w:space="0" w:color="000000"/>
              <w:bottom w:val="single" w:sz="8" w:space="0" w:color="000000"/>
              <w:right w:val="single" w:sz="8" w:space="0" w:color="000000"/>
            </w:tcBorders>
            <w:vAlign w:val="center"/>
          </w:tcPr>
          <w:p w14:paraId="658674A1" w14:textId="77777777" w:rsidR="009E123B" w:rsidRPr="00800499" w:rsidRDefault="009E123B" w:rsidP="00903442">
            <w:pPr>
              <w:pStyle w:val="KeinLeerraum"/>
              <w:spacing w:line="480" w:lineRule="auto"/>
              <w:jc w:val="center"/>
              <w:rPr>
                <w:rFonts w:asciiTheme="majorBidi" w:hAnsiTheme="majorBidi" w:cstheme="majorBidi"/>
              </w:rPr>
            </w:pPr>
          </w:p>
        </w:tc>
        <w:tc>
          <w:tcPr>
            <w:tcW w:w="1501" w:type="dxa"/>
            <w:vMerge w:val="restart"/>
            <w:tcBorders>
              <w:top w:val="single" w:sz="8" w:space="0" w:color="000000"/>
              <w:left w:val="single" w:sz="8" w:space="0" w:color="000000"/>
              <w:bottom w:val="single" w:sz="8" w:space="0" w:color="000000"/>
              <w:right w:val="single" w:sz="8" w:space="0" w:color="000000"/>
            </w:tcBorders>
            <w:vAlign w:val="center"/>
          </w:tcPr>
          <w:p w14:paraId="7235224C"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2.75</w:t>
            </w:r>
          </w:p>
        </w:tc>
        <w:tc>
          <w:tcPr>
            <w:tcW w:w="1827" w:type="dxa"/>
            <w:tcBorders>
              <w:top w:val="single" w:sz="8" w:space="0" w:color="000000"/>
              <w:left w:val="single" w:sz="8" w:space="0" w:color="000000"/>
              <w:bottom w:val="single" w:sz="8" w:space="0" w:color="000000"/>
              <w:right w:val="single" w:sz="8" w:space="0" w:color="000000"/>
            </w:tcBorders>
            <w:vAlign w:val="center"/>
          </w:tcPr>
          <w:p w14:paraId="7B71A754"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Experiment</w:t>
            </w:r>
          </w:p>
        </w:tc>
        <w:tc>
          <w:tcPr>
            <w:tcW w:w="930" w:type="dxa"/>
            <w:tcBorders>
              <w:top w:val="single" w:sz="8" w:space="0" w:color="000000"/>
              <w:left w:val="single" w:sz="8" w:space="0" w:color="000000"/>
              <w:bottom w:val="single" w:sz="8" w:space="0" w:color="000000"/>
              <w:right w:val="single" w:sz="8" w:space="0" w:color="000000"/>
            </w:tcBorders>
            <w:vAlign w:val="center"/>
          </w:tcPr>
          <w:p w14:paraId="522D4D1B"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w:t>
            </w:r>
          </w:p>
        </w:tc>
        <w:tc>
          <w:tcPr>
            <w:tcW w:w="1931" w:type="dxa"/>
            <w:tcBorders>
              <w:top w:val="single" w:sz="8" w:space="0" w:color="000000"/>
              <w:left w:val="single" w:sz="8" w:space="0" w:color="000000"/>
              <w:bottom w:val="single" w:sz="8" w:space="0" w:color="000000"/>
              <w:right w:val="single" w:sz="8" w:space="0" w:color="000000"/>
            </w:tcBorders>
            <w:vAlign w:val="center"/>
          </w:tcPr>
          <w:p w14:paraId="2EF3EDEF"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0.18</w:t>
            </w:r>
          </w:p>
        </w:tc>
      </w:tr>
      <w:tr w:rsidR="009E123B" w14:paraId="2F247756" w14:textId="77777777" w:rsidTr="009E123B">
        <w:trPr>
          <w:trHeight w:val="285"/>
        </w:trPr>
        <w:tc>
          <w:tcPr>
            <w:tcW w:w="2600" w:type="dxa"/>
            <w:vMerge/>
            <w:tcBorders>
              <w:top w:val="single" w:sz="8" w:space="0" w:color="000000"/>
              <w:left w:val="single" w:sz="8" w:space="0" w:color="000000"/>
              <w:bottom w:val="single" w:sz="8" w:space="0" w:color="000000"/>
              <w:right w:val="single" w:sz="8" w:space="0" w:color="000000"/>
            </w:tcBorders>
            <w:vAlign w:val="center"/>
          </w:tcPr>
          <w:p w14:paraId="7AA54CE7" w14:textId="77777777" w:rsidR="009E123B" w:rsidRPr="00800499" w:rsidRDefault="009E123B" w:rsidP="00903442">
            <w:pPr>
              <w:pStyle w:val="KeinLeerraum"/>
              <w:spacing w:line="480" w:lineRule="auto"/>
              <w:jc w:val="center"/>
              <w:rPr>
                <w:rFonts w:asciiTheme="majorBidi" w:hAnsiTheme="majorBidi" w:cstheme="majorBidi"/>
              </w:rPr>
            </w:pPr>
          </w:p>
        </w:tc>
        <w:tc>
          <w:tcPr>
            <w:tcW w:w="1501" w:type="dxa"/>
            <w:vMerge/>
            <w:tcBorders>
              <w:top w:val="single" w:sz="8" w:space="0" w:color="000000"/>
              <w:left w:val="single" w:sz="8" w:space="0" w:color="000000"/>
              <w:bottom w:val="single" w:sz="8" w:space="0" w:color="000000"/>
              <w:right w:val="single" w:sz="8" w:space="0" w:color="000000"/>
            </w:tcBorders>
            <w:vAlign w:val="center"/>
          </w:tcPr>
          <w:p w14:paraId="32842E35" w14:textId="77777777" w:rsidR="009E123B" w:rsidRPr="00800499" w:rsidRDefault="009E123B" w:rsidP="00903442">
            <w:pPr>
              <w:pStyle w:val="KeinLeerraum"/>
              <w:spacing w:line="480" w:lineRule="auto"/>
              <w:jc w:val="center"/>
              <w:rPr>
                <w:rFonts w:asciiTheme="majorBidi" w:hAnsiTheme="majorBidi" w:cstheme="majorBidi"/>
              </w:rPr>
            </w:pPr>
          </w:p>
        </w:tc>
        <w:tc>
          <w:tcPr>
            <w:tcW w:w="1827" w:type="dxa"/>
            <w:tcBorders>
              <w:top w:val="single" w:sz="8" w:space="0" w:color="000000"/>
              <w:left w:val="single" w:sz="8" w:space="0" w:color="000000"/>
              <w:bottom w:val="single" w:sz="8" w:space="0" w:color="000000"/>
              <w:right w:val="single" w:sz="8" w:space="0" w:color="000000"/>
            </w:tcBorders>
            <w:vAlign w:val="center"/>
          </w:tcPr>
          <w:p w14:paraId="13ED7D80"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One-way</w:t>
            </w:r>
          </w:p>
        </w:tc>
        <w:tc>
          <w:tcPr>
            <w:tcW w:w="930" w:type="dxa"/>
            <w:tcBorders>
              <w:top w:val="single" w:sz="8" w:space="0" w:color="000000"/>
              <w:left w:val="single" w:sz="8" w:space="0" w:color="000000"/>
              <w:bottom w:val="single" w:sz="8" w:space="0" w:color="000000"/>
              <w:right w:val="single" w:sz="8" w:space="0" w:color="000000"/>
            </w:tcBorders>
            <w:vAlign w:val="center"/>
          </w:tcPr>
          <w:p w14:paraId="18F44D9A"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7.67</w:t>
            </w:r>
          </w:p>
        </w:tc>
        <w:tc>
          <w:tcPr>
            <w:tcW w:w="1931" w:type="dxa"/>
            <w:tcBorders>
              <w:top w:val="single" w:sz="8" w:space="0" w:color="000000"/>
              <w:left w:val="single" w:sz="8" w:space="0" w:color="000000"/>
              <w:bottom w:val="single" w:sz="8" w:space="0" w:color="000000"/>
              <w:right w:val="single" w:sz="8" w:space="0" w:color="000000"/>
            </w:tcBorders>
            <w:vAlign w:val="center"/>
          </w:tcPr>
          <w:p w14:paraId="6F51C5F7"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0.30</w:t>
            </w:r>
          </w:p>
        </w:tc>
      </w:tr>
      <w:tr w:rsidR="009E123B" w14:paraId="58D4B077" w14:textId="77777777" w:rsidTr="009E123B">
        <w:trPr>
          <w:trHeight w:val="362"/>
        </w:trPr>
        <w:tc>
          <w:tcPr>
            <w:tcW w:w="2600" w:type="dxa"/>
            <w:vMerge/>
            <w:tcBorders>
              <w:top w:val="single" w:sz="8" w:space="0" w:color="000000"/>
              <w:left w:val="single" w:sz="8" w:space="0" w:color="000000"/>
              <w:bottom w:val="single" w:sz="8" w:space="0" w:color="000000"/>
              <w:right w:val="single" w:sz="8" w:space="0" w:color="000000"/>
            </w:tcBorders>
            <w:vAlign w:val="center"/>
          </w:tcPr>
          <w:p w14:paraId="2502F995" w14:textId="77777777" w:rsidR="009E123B" w:rsidRPr="00800499" w:rsidRDefault="009E123B" w:rsidP="00903442">
            <w:pPr>
              <w:pStyle w:val="KeinLeerraum"/>
              <w:spacing w:line="480" w:lineRule="auto"/>
              <w:jc w:val="center"/>
              <w:rPr>
                <w:rFonts w:asciiTheme="majorBidi" w:hAnsiTheme="majorBidi" w:cstheme="majorBidi"/>
              </w:rPr>
            </w:pPr>
          </w:p>
        </w:tc>
        <w:tc>
          <w:tcPr>
            <w:tcW w:w="1501" w:type="dxa"/>
            <w:vMerge/>
            <w:tcBorders>
              <w:top w:val="single" w:sz="8" w:space="0" w:color="000000"/>
              <w:left w:val="single" w:sz="8" w:space="0" w:color="000000"/>
              <w:bottom w:val="single" w:sz="8" w:space="0" w:color="000000"/>
              <w:right w:val="single" w:sz="8" w:space="0" w:color="000000"/>
            </w:tcBorders>
            <w:vAlign w:val="center"/>
          </w:tcPr>
          <w:p w14:paraId="7E2D8CB6" w14:textId="77777777" w:rsidR="009E123B" w:rsidRPr="00800499" w:rsidRDefault="009E123B" w:rsidP="00903442">
            <w:pPr>
              <w:pStyle w:val="KeinLeerraum"/>
              <w:spacing w:line="480" w:lineRule="auto"/>
              <w:jc w:val="center"/>
              <w:rPr>
                <w:rFonts w:asciiTheme="majorBidi" w:hAnsiTheme="majorBidi" w:cstheme="majorBidi"/>
              </w:rPr>
            </w:pPr>
          </w:p>
        </w:tc>
        <w:tc>
          <w:tcPr>
            <w:tcW w:w="1827" w:type="dxa"/>
            <w:tcBorders>
              <w:top w:val="single" w:sz="8" w:space="0" w:color="000000"/>
              <w:left w:val="single" w:sz="8" w:space="0" w:color="000000"/>
              <w:bottom w:val="single" w:sz="8" w:space="0" w:color="000000"/>
              <w:right w:val="single" w:sz="8" w:space="0" w:color="000000"/>
            </w:tcBorders>
            <w:vAlign w:val="center"/>
          </w:tcPr>
          <w:p w14:paraId="347C1C2D"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Two-way</w:t>
            </w:r>
          </w:p>
        </w:tc>
        <w:tc>
          <w:tcPr>
            <w:tcW w:w="930" w:type="dxa"/>
            <w:tcBorders>
              <w:top w:val="single" w:sz="8" w:space="0" w:color="000000"/>
              <w:left w:val="single" w:sz="8" w:space="0" w:color="000000"/>
              <w:bottom w:val="single" w:sz="8" w:space="0" w:color="000000"/>
              <w:right w:val="single" w:sz="8" w:space="0" w:color="000000"/>
            </w:tcBorders>
            <w:vAlign w:val="center"/>
          </w:tcPr>
          <w:p w14:paraId="1851C025"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20.51</w:t>
            </w:r>
          </w:p>
        </w:tc>
        <w:tc>
          <w:tcPr>
            <w:tcW w:w="1931" w:type="dxa"/>
            <w:tcBorders>
              <w:top w:val="single" w:sz="8" w:space="0" w:color="000000"/>
              <w:left w:val="single" w:sz="8" w:space="0" w:color="000000"/>
              <w:bottom w:val="single" w:sz="8" w:space="0" w:color="000000"/>
              <w:right w:val="single" w:sz="8" w:space="0" w:color="000000"/>
            </w:tcBorders>
            <w:vAlign w:val="center"/>
          </w:tcPr>
          <w:p w14:paraId="1344FE19" w14:textId="77777777" w:rsidR="009E123B" w:rsidRPr="00800499" w:rsidRDefault="009E123B" w:rsidP="00903442">
            <w:pPr>
              <w:pStyle w:val="KeinLeerraum"/>
              <w:spacing w:line="480" w:lineRule="auto"/>
              <w:jc w:val="center"/>
              <w:rPr>
                <w:rFonts w:asciiTheme="majorBidi" w:hAnsiTheme="majorBidi" w:cstheme="majorBidi"/>
              </w:rPr>
            </w:pPr>
            <w:r w:rsidRPr="00800499">
              <w:rPr>
                <w:rFonts w:asciiTheme="majorBidi" w:hAnsiTheme="majorBidi" w:cstheme="majorBidi"/>
              </w:rPr>
              <w:t>0.04</w:t>
            </w:r>
          </w:p>
        </w:tc>
      </w:tr>
    </w:tbl>
    <w:p w14:paraId="7282A596" w14:textId="77777777" w:rsidR="00EC09AB" w:rsidRDefault="00EC09AB" w:rsidP="00903442">
      <w:pPr>
        <w:spacing w:line="480" w:lineRule="auto"/>
        <w:rPr>
          <w:rFonts w:ascii="Times New Roman" w:eastAsia="Times New Roman" w:hAnsi="Times New Roman" w:cs="Times New Roman"/>
          <w:sz w:val="24"/>
          <w:szCs w:val="24"/>
        </w:rPr>
      </w:pPr>
    </w:p>
    <w:p w14:paraId="19175BF6" w14:textId="77777777" w:rsidR="00EC09AB" w:rsidRDefault="00EC09AB" w:rsidP="00903442">
      <w:pPr>
        <w:spacing w:line="480" w:lineRule="auto"/>
        <w:rPr>
          <w:rFonts w:ascii="Times New Roman" w:eastAsia="Times New Roman" w:hAnsi="Times New Roman" w:cs="Times New Roman"/>
          <w:sz w:val="24"/>
          <w:szCs w:val="24"/>
        </w:rPr>
      </w:pPr>
    </w:p>
    <w:p w14:paraId="302FB892" w14:textId="77777777" w:rsidR="00EC09AB" w:rsidRDefault="00EC09AB" w:rsidP="00903442">
      <w:pPr>
        <w:spacing w:line="480" w:lineRule="auto"/>
        <w:rPr>
          <w:rFonts w:ascii="Times New Roman" w:eastAsia="Times New Roman" w:hAnsi="Times New Roman" w:cs="Times New Roman"/>
          <w:sz w:val="24"/>
          <w:szCs w:val="24"/>
        </w:rPr>
      </w:pPr>
    </w:p>
    <w:p w14:paraId="31C88877" w14:textId="77777777" w:rsidR="00EC09AB" w:rsidRDefault="00EC09AB" w:rsidP="00903442">
      <w:pPr>
        <w:spacing w:line="480" w:lineRule="auto"/>
        <w:rPr>
          <w:rFonts w:ascii="Times New Roman" w:eastAsia="Times New Roman" w:hAnsi="Times New Roman" w:cs="Times New Roman"/>
          <w:sz w:val="24"/>
          <w:szCs w:val="24"/>
        </w:rPr>
      </w:pPr>
    </w:p>
    <w:p w14:paraId="75280562" w14:textId="77777777" w:rsidR="00EC09AB" w:rsidRDefault="00EC09AB" w:rsidP="00903442">
      <w:pPr>
        <w:spacing w:line="480" w:lineRule="auto"/>
        <w:rPr>
          <w:rFonts w:ascii="Times New Roman" w:eastAsia="Times New Roman" w:hAnsi="Times New Roman" w:cs="Times New Roman"/>
          <w:sz w:val="24"/>
          <w:szCs w:val="24"/>
        </w:rPr>
      </w:pPr>
    </w:p>
    <w:p w14:paraId="1B637DBC" w14:textId="77777777" w:rsidR="00EC09AB" w:rsidRDefault="00EC09AB" w:rsidP="00903442">
      <w:pPr>
        <w:spacing w:line="480" w:lineRule="auto"/>
        <w:rPr>
          <w:rFonts w:ascii="Times New Roman" w:eastAsia="Times New Roman" w:hAnsi="Times New Roman" w:cs="Times New Roman"/>
          <w:sz w:val="24"/>
          <w:szCs w:val="24"/>
        </w:rPr>
      </w:pPr>
    </w:p>
    <w:p w14:paraId="52DB55F6" w14:textId="77777777" w:rsidR="009E123B" w:rsidRDefault="009E123B" w:rsidP="00903442">
      <w:pPr>
        <w:spacing w:line="480" w:lineRule="auto"/>
      </w:pPr>
      <w:bookmarkStart w:id="0" w:name="_heading=h.96eefsdw3s7m" w:colFirst="0" w:colLast="0"/>
      <w:bookmarkStart w:id="1" w:name="_heading=h.n599auqvdjn3" w:colFirst="0" w:colLast="0"/>
      <w:bookmarkStart w:id="2" w:name="_heading=h.yp6ddvbgozkn" w:colFirst="0" w:colLast="0"/>
      <w:bookmarkStart w:id="3" w:name="_heading=h.geqdke1o0ehi" w:colFirst="0" w:colLast="0"/>
      <w:bookmarkStart w:id="4" w:name="_heading=h.3qattvnb1yf9" w:colFirst="0" w:colLast="0"/>
      <w:bookmarkStart w:id="5" w:name="_heading=h.p7pnsyue974h" w:colFirst="0" w:colLast="0"/>
      <w:bookmarkEnd w:id="0"/>
      <w:bookmarkEnd w:id="1"/>
      <w:bookmarkEnd w:id="2"/>
      <w:bookmarkEnd w:id="3"/>
      <w:bookmarkEnd w:id="4"/>
      <w:bookmarkEnd w:id="5"/>
    </w:p>
    <w:p w14:paraId="42DDAB17" w14:textId="77777777" w:rsidR="009E123B" w:rsidRDefault="009E123B" w:rsidP="00903442">
      <w:pPr>
        <w:spacing w:line="480" w:lineRule="auto"/>
        <w:rPr>
          <w:rFonts w:ascii="Times New Roman" w:eastAsia="Times New Roman" w:hAnsi="Times New Roman" w:cs="Times New Roman"/>
          <w:b/>
          <w:sz w:val="24"/>
          <w:szCs w:val="24"/>
          <w:u w:val="single"/>
        </w:rPr>
      </w:pPr>
    </w:p>
    <w:p w14:paraId="4CF97B27" w14:textId="77777777" w:rsidR="00EC09AB" w:rsidRPr="009E123B" w:rsidRDefault="00EC09AB" w:rsidP="00903442">
      <w:p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w:t>
      </w:r>
      <w:r w:rsidR="000F3711">
        <w:rPr>
          <w:rFonts w:ascii="Times New Roman" w:eastAsia="Times New Roman" w:hAnsi="Times New Roman" w:cs="Times New Roman"/>
          <w:b/>
          <w:sz w:val="24"/>
          <w:szCs w:val="24"/>
          <w:u w:val="single"/>
        </w:rPr>
        <w:t>3</w:t>
      </w:r>
      <w:r>
        <w:rPr>
          <w:rFonts w:ascii="Times New Roman" w:eastAsia="Times New Roman" w:hAnsi="Times New Roman" w:cs="Times New Roman"/>
          <w:b/>
          <w:sz w:val="24"/>
          <w:szCs w:val="24"/>
          <w:u w:val="single"/>
        </w:rPr>
        <w:t>: Difference between the daily maximum and minimum temperature</w:t>
      </w:r>
    </w:p>
    <w:p w14:paraId="19F6734B" w14:textId="296ACAAC" w:rsidR="00EC09AB" w:rsidRDefault="00725CE9" w:rsidP="00903442">
      <w:pPr>
        <w:spacing w:line="480" w:lineRule="auto"/>
        <w:rPr>
          <w:rFonts w:ascii="Times New Roman" w:eastAsia="Times New Roman" w:hAnsi="Times New Roman" w:cs="Times New Roman"/>
          <w:b/>
          <w:sz w:val="24"/>
          <w:szCs w:val="24"/>
        </w:rPr>
      </w:pPr>
      <w:r>
        <w:rPr>
          <w:noProof/>
        </w:rPr>
        <w:drawing>
          <wp:inline distT="0" distB="0" distL="0" distR="0" wp14:anchorId="292F2C2F" wp14:editId="1AC9E689">
            <wp:extent cx="6380676" cy="2540000"/>
            <wp:effectExtent l="0" t="0" r="1270" b="0"/>
            <wp:docPr id="60743694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11137" cy="2552126"/>
                    </a:xfrm>
                    <a:prstGeom prst="rect">
                      <a:avLst/>
                    </a:prstGeom>
                    <a:noFill/>
                    <a:ln>
                      <a:noFill/>
                    </a:ln>
                  </pic:spPr>
                </pic:pic>
              </a:graphicData>
            </a:graphic>
          </wp:inline>
        </w:drawing>
      </w:r>
    </w:p>
    <w:p w14:paraId="6E5FBD07" w14:textId="78E9B318" w:rsidR="00903442" w:rsidRPr="00903442" w:rsidRDefault="00EC09AB" w:rsidP="00903442">
      <w:pPr>
        <w:spacing w:line="480" w:lineRule="auto"/>
        <w:rPr>
          <w:rFonts w:ascii="Times New Roman" w:eastAsia="Times New Roman" w:hAnsi="Times New Roman" w:cs="Times New Roman"/>
          <w:sz w:val="20"/>
          <w:szCs w:val="20"/>
        </w:rPr>
      </w:pPr>
      <w:r w:rsidRPr="00800499">
        <w:rPr>
          <w:rFonts w:ascii="Times New Roman" w:eastAsia="Times New Roman" w:hAnsi="Times New Roman" w:cs="Times New Roman"/>
          <w:b/>
          <w:bCs/>
          <w:sz w:val="20"/>
          <w:szCs w:val="20"/>
        </w:rPr>
        <w:t>Figure S</w:t>
      </w:r>
      <w:r w:rsidR="000F3711" w:rsidRPr="00800499">
        <w:rPr>
          <w:rFonts w:ascii="Times New Roman" w:eastAsia="Times New Roman" w:hAnsi="Times New Roman" w:cs="Times New Roman"/>
          <w:b/>
          <w:bCs/>
          <w:sz w:val="20"/>
          <w:szCs w:val="20"/>
        </w:rPr>
        <w:t>3</w:t>
      </w:r>
      <w:r w:rsidRPr="00800499">
        <w:rPr>
          <w:rFonts w:ascii="Times New Roman" w:eastAsia="Times New Roman" w:hAnsi="Times New Roman" w:cs="Times New Roman"/>
          <w:b/>
          <w:bCs/>
          <w:sz w:val="20"/>
          <w:szCs w:val="20"/>
        </w:rPr>
        <w:t>:</w:t>
      </w:r>
      <w:r w:rsidRPr="00800499">
        <w:rPr>
          <w:rFonts w:ascii="Times New Roman" w:eastAsia="Times New Roman" w:hAnsi="Times New Roman" w:cs="Times New Roman"/>
          <w:sz w:val="20"/>
          <w:szCs w:val="20"/>
        </w:rPr>
        <w:t xml:space="preserve"> Difference of maximum and minimum temperatures recorded during each day in A) Exp. 1, and B) Exp. 2. The 30th of July is the day with the maximum temperature difference highlighted on panel A.</w:t>
      </w:r>
    </w:p>
    <w:p w14:paraId="48850107" w14:textId="42827F72" w:rsidR="00DB200F" w:rsidRDefault="008F2D2C" w:rsidP="00903442">
      <w:pPr>
        <w:spacing w:after="160"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w:lastRenderedPageBreak/>
        <w:drawing>
          <wp:anchor distT="0" distB="0" distL="114300" distR="114300" simplePos="0" relativeHeight="251658240" behindDoc="1" locked="0" layoutInCell="1" allowOverlap="1" wp14:anchorId="3FF8AB60" wp14:editId="7033335E">
            <wp:simplePos x="0" y="0"/>
            <wp:positionH relativeFrom="column">
              <wp:posOffset>1631950</wp:posOffset>
            </wp:positionH>
            <wp:positionV relativeFrom="page">
              <wp:posOffset>1365250</wp:posOffset>
            </wp:positionV>
            <wp:extent cx="2622550" cy="5710555"/>
            <wp:effectExtent l="0" t="0" r="6350" b="4445"/>
            <wp:wrapTight wrapText="bothSides">
              <wp:wrapPolygon edited="0">
                <wp:start x="0" y="0"/>
                <wp:lineTo x="0" y="21545"/>
                <wp:lineTo x="21495" y="21545"/>
                <wp:lineTo x="2149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b="511"/>
                    <a:stretch/>
                  </pic:blipFill>
                  <pic:spPr bwMode="auto">
                    <a:xfrm>
                      <a:off x="0" y="0"/>
                      <a:ext cx="2622550" cy="5710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13EB">
        <w:rPr>
          <w:rFonts w:ascii="Times New Roman" w:eastAsia="Times New Roman" w:hAnsi="Times New Roman" w:cs="Times New Roman"/>
          <w:b/>
          <w:sz w:val="24"/>
          <w:szCs w:val="24"/>
          <w:u w:val="single"/>
        </w:rPr>
        <w:t>S4</w:t>
      </w:r>
      <w:r w:rsidR="00DB200F">
        <w:rPr>
          <w:rFonts w:ascii="Times New Roman" w:eastAsia="Times New Roman" w:hAnsi="Times New Roman" w:cs="Times New Roman"/>
          <w:b/>
          <w:sz w:val="24"/>
          <w:szCs w:val="24"/>
          <w:u w:val="single"/>
        </w:rPr>
        <w:t>: Snapshots of forming convective and diffusive heat transport in the mesocosm</w:t>
      </w:r>
    </w:p>
    <w:p w14:paraId="31854721" w14:textId="4ECDA6BD" w:rsidR="00DB200F" w:rsidRDefault="00DB200F" w:rsidP="00903442">
      <w:pPr>
        <w:spacing w:after="160" w:line="480" w:lineRule="auto"/>
        <w:rPr>
          <w:rFonts w:ascii="Times New Roman" w:eastAsia="Times New Roman" w:hAnsi="Times New Roman" w:cs="Times New Roman"/>
          <w:b/>
          <w:sz w:val="24"/>
          <w:szCs w:val="24"/>
          <w:u w:val="single"/>
        </w:rPr>
      </w:pPr>
    </w:p>
    <w:p w14:paraId="610691CE" w14:textId="77777777" w:rsidR="000E0AA8" w:rsidRDefault="000E0AA8" w:rsidP="00903442">
      <w:pPr>
        <w:spacing w:after="160" w:line="480" w:lineRule="auto"/>
        <w:rPr>
          <w:rFonts w:ascii="Times New Roman" w:eastAsia="Times New Roman" w:hAnsi="Times New Roman" w:cs="Times New Roman"/>
          <w:b/>
          <w:sz w:val="24"/>
          <w:szCs w:val="24"/>
          <w:u w:val="single"/>
        </w:rPr>
      </w:pPr>
    </w:p>
    <w:p w14:paraId="54147D5A" w14:textId="77777777" w:rsidR="000E0AA8" w:rsidRDefault="000E0AA8" w:rsidP="00903442">
      <w:pPr>
        <w:spacing w:after="160" w:line="480" w:lineRule="auto"/>
        <w:rPr>
          <w:rFonts w:ascii="Times New Roman" w:eastAsia="Times New Roman" w:hAnsi="Times New Roman" w:cs="Times New Roman"/>
          <w:b/>
          <w:sz w:val="24"/>
          <w:szCs w:val="24"/>
          <w:u w:val="single"/>
        </w:rPr>
      </w:pPr>
    </w:p>
    <w:p w14:paraId="3119C6A7" w14:textId="77777777" w:rsidR="000E0AA8" w:rsidRDefault="000E0AA8" w:rsidP="00903442">
      <w:pPr>
        <w:spacing w:after="160" w:line="480" w:lineRule="auto"/>
        <w:rPr>
          <w:rFonts w:ascii="Times New Roman" w:eastAsia="Times New Roman" w:hAnsi="Times New Roman" w:cs="Times New Roman"/>
          <w:b/>
          <w:sz w:val="24"/>
          <w:szCs w:val="24"/>
          <w:u w:val="single"/>
        </w:rPr>
      </w:pPr>
    </w:p>
    <w:p w14:paraId="44E6D028" w14:textId="77777777" w:rsidR="000E0AA8" w:rsidRDefault="000E0AA8" w:rsidP="00903442">
      <w:pPr>
        <w:spacing w:after="160" w:line="480" w:lineRule="auto"/>
        <w:rPr>
          <w:rFonts w:ascii="Times New Roman" w:eastAsia="Times New Roman" w:hAnsi="Times New Roman" w:cs="Times New Roman"/>
          <w:b/>
          <w:sz w:val="24"/>
          <w:szCs w:val="24"/>
          <w:u w:val="single"/>
        </w:rPr>
      </w:pPr>
    </w:p>
    <w:p w14:paraId="65CC600D" w14:textId="77777777" w:rsidR="000E0AA8" w:rsidRDefault="000E0AA8" w:rsidP="00903442">
      <w:pPr>
        <w:spacing w:after="160" w:line="480" w:lineRule="auto"/>
        <w:rPr>
          <w:rFonts w:ascii="Times New Roman" w:eastAsia="Times New Roman" w:hAnsi="Times New Roman" w:cs="Times New Roman"/>
          <w:b/>
          <w:sz w:val="24"/>
          <w:szCs w:val="24"/>
          <w:u w:val="single"/>
        </w:rPr>
      </w:pPr>
    </w:p>
    <w:p w14:paraId="6C8DC489" w14:textId="77777777" w:rsidR="000E0AA8" w:rsidRDefault="000E0AA8" w:rsidP="00903442">
      <w:pPr>
        <w:spacing w:after="160" w:line="480" w:lineRule="auto"/>
        <w:rPr>
          <w:rFonts w:ascii="Times New Roman" w:eastAsia="Times New Roman" w:hAnsi="Times New Roman" w:cs="Times New Roman"/>
          <w:b/>
          <w:sz w:val="24"/>
          <w:szCs w:val="24"/>
          <w:u w:val="single"/>
        </w:rPr>
      </w:pPr>
    </w:p>
    <w:p w14:paraId="15B9B89A" w14:textId="77777777" w:rsidR="000E0AA8" w:rsidRDefault="000E0AA8" w:rsidP="00903442">
      <w:pPr>
        <w:spacing w:after="160" w:line="480" w:lineRule="auto"/>
        <w:rPr>
          <w:rFonts w:ascii="Times New Roman" w:eastAsia="Times New Roman" w:hAnsi="Times New Roman" w:cs="Times New Roman"/>
          <w:b/>
          <w:sz w:val="24"/>
          <w:szCs w:val="24"/>
          <w:u w:val="single"/>
        </w:rPr>
      </w:pPr>
    </w:p>
    <w:p w14:paraId="10EBB71A" w14:textId="77777777" w:rsidR="000E0AA8" w:rsidRDefault="000E0AA8" w:rsidP="00903442">
      <w:pPr>
        <w:spacing w:after="160" w:line="480" w:lineRule="auto"/>
        <w:rPr>
          <w:rFonts w:ascii="Times New Roman" w:eastAsia="Times New Roman" w:hAnsi="Times New Roman" w:cs="Times New Roman"/>
          <w:b/>
          <w:sz w:val="24"/>
          <w:szCs w:val="24"/>
          <w:u w:val="single"/>
        </w:rPr>
      </w:pPr>
    </w:p>
    <w:p w14:paraId="3DDC1B0A" w14:textId="77777777" w:rsidR="000E0AA8" w:rsidRDefault="000E0AA8" w:rsidP="00903442">
      <w:pPr>
        <w:spacing w:after="160" w:line="480" w:lineRule="auto"/>
        <w:rPr>
          <w:rFonts w:ascii="Times New Roman" w:eastAsia="Times New Roman" w:hAnsi="Times New Roman" w:cs="Times New Roman"/>
          <w:b/>
          <w:sz w:val="24"/>
          <w:szCs w:val="24"/>
          <w:u w:val="single"/>
        </w:rPr>
      </w:pPr>
    </w:p>
    <w:p w14:paraId="40062A1F" w14:textId="77777777" w:rsidR="000E0AA8" w:rsidRDefault="000E0AA8" w:rsidP="00903442">
      <w:pPr>
        <w:spacing w:after="160" w:line="480" w:lineRule="auto"/>
        <w:rPr>
          <w:rFonts w:ascii="Times New Roman" w:eastAsia="Times New Roman" w:hAnsi="Times New Roman" w:cs="Times New Roman"/>
          <w:b/>
          <w:sz w:val="24"/>
          <w:szCs w:val="24"/>
          <w:u w:val="single"/>
        </w:rPr>
      </w:pPr>
    </w:p>
    <w:p w14:paraId="478AB8C9" w14:textId="77777777" w:rsidR="000E0AA8" w:rsidRDefault="000E0AA8" w:rsidP="00903442">
      <w:pPr>
        <w:spacing w:after="160" w:line="480" w:lineRule="auto"/>
        <w:rPr>
          <w:rFonts w:ascii="Times New Roman" w:eastAsia="Times New Roman" w:hAnsi="Times New Roman" w:cs="Times New Roman"/>
          <w:b/>
          <w:sz w:val="24"/>
          <w:szCs w:val="24"/>
          <w:u w:val="single"/>
        </w:rPr>
      </w:pPr>
    </w:p>
    <w:p w14:paraId="39633962" w14:textId="77777777" w:rsidR="000E0AA8" w:rsidRDefault="000E0AA8" w:rsidP="00903442">
      <w:pPr>
        <w:spacing w:after="160" w:line="480" w:lineRule="auto"/>
        <w:rPr>
          <w:rFonts w:ascii="Times New Roman" w:eastAsia="Times New Roman" w:hAnsi="Times New Roman" w:cs="Times New Roman"/>
          <w:b/>
          <w:sz w:val="24"/>
          <w:szCs w:val="24"/>
          <w:u w:val="single"/>
        </w:rPr>
      </w:pPr>
    </w:p>
    <w:p w14:paraId="2E9D353A" w14:textId="77777777" w:rsidR="00340368" w:rsidRPr="008A2E0A" w:rsidRDefault="000E0AA8" w:rsidP="00903442">
      <w:pPr>
        <w:spacing w:after="160" w:line="480" w:lineRule="auto"/>
        <w:jc w:val="both"/>
        <w:rPr>
          <w:rFonts w:ascii="Times New Roman" w:eastAsia="Times New Roman" w:hAnsi="Times New Roman" w:cs="Times New Roman"/>
          <w:b/>
          <w:sz w:val="20"/>
          <w:szCs w:val="20"/>
        </w:rPr>
      </w:pPr>
      <w:r w:rsidRPr="003F318F">
        <w:rPr>
          <w:rFonts w:ascii="Times New Roman" w:eastAsia="Times New Roman" w:hAnsi="Times New Roman" w:cs="Times New Roman"/>
          <w:b/>
          <w:sz w:val="20"/>
          <w:szCs w:val="20"/>
        </w:rPr>
        <w:t>Figure S</w:t>
      </w:r>
      <w:r w:rsidR="002A2331">
        <w:rPr>
          <w:rFonts w:ascii="Times New Roman" w:eastAsia="Times New Roman" w:hAnsi="Times New Roman" w:cs="Times New Roman"/>
          <w:b/>
          <w:sz w:val="20"/>
          <w:szCs w:val="20"/>
        </w:rPr>
        <w:t>4</w:t>
      </w:r>
      <w:r w:rsidRPr="003F318F">
        <w:rPr>
          <w:rFonts w:ascii="Times New Roman" w:eastAsia="Times New Roman" w:hAnsi="Times New Roman" w:cs="Times New Roman"/>
          <w:b/>
          <w:sz w:val="20"/>
          <w:szCs w:val="20"/>
        </w:rPr>
        <w:t xml:space="preserve">: </w:t>
      </w:r>
      <w:r w:rsidR="003F318F" w:rsidRPr="003F318F">
        <w:rPr>
          <w:rFonts w:ascii="Times New Roman" w:eastAsia="Times New Roman" w:hAnsi="Times New Roman" w:cs="Times New Roman"/>
          <w:bCs/>
          <w:sz w:val="20"/>
          <w:szCs w:val="20"/>
        </w:rPr>
        <w:t xml:space="preserve">Time steps immediately preceding and following the snapshot shown in Figure </w:t>
      </w:r>
      <w:r w:rsidR="0019742B">
        <w:rPr>
          <w:rFonts w:ascii="Times New Roman" w:eastAsia="Times New Roman" w:hAnsi="Times New Roman" w:cs="Times New Roman"/>
          <w:bCs/>
          <w:sz w:val="20"/>
          <w:szCs w:val="20"/>
        </w:rPr>
        <w:t>7</w:t>
      </w:r>
      <w:r w:rsidR="003F318F" w:rsidRPr="003F318F">
        <w:rPr>
          <w:rFonts w:ascii="Times New Roman" w:eastAsia="Times New Roman" w:hAnsi="Times New Roman" w:cs="Times New Roman"/>
          <w:bCs/>
          <w:sz w:val="20"/>
          <w:szCs w:val="20"/>
        </w:rPr>
        <w:t xml:space="preserve">A. As in that figure, the horizontal axis represents the mesocosm length (7.5 m) and the vertical axis its depth (3 m); the color scale and legend are identical to those used in Figure </w:t>
      </w:r>
      <w:r w:rsidR="0019742B">
        <w:rPr>
          <w:rFonts w:ascii="Times New Roman" w:eastAsia="Times New Roman" w:hAnsi="Times New Roman" w:cs="Times New Roman"/>
          <w:bCs/>
          <w:sz w:val="20"/>
          <w:szCs w:val="20"/>
        </w:rPr>
        <w:t>7</w:t>
      </w:r>
      <w:r w:rsidR="003F318F" w:rsidRPr="003F318F">
        <w:rPr>
          <w:rFonts w:ascii="Times New Roman" w:eastAsia="Times New Roman" w:hAnsi="Times New Roman" w:cs="Times New Roman"/>
          <w:bCs/>
          <w:sz w:val="20"/>
          <w:szCs w:val="20"/>
        </w:rPr>
        <w:t>A.</w:t>
      </w:r>
      <w:r w:rsidR="00FD13EB" w:rsidRPr="003F318F">
        <w:rPr>
          <w:rFonts w:ascii="Times New Roman" w:eastAsia="Times New Roman" w:hAnsi="Times New Roman" w:cs="Times New Roman"/>
          <w:b/>
          <w:sz w:val="20"/>
          <w:szCs w:val="20"/>
        </w:rPr>
        <w:br w:type="page"/>
      </w:r>
    </w:p>
    <w:p w14:paraId="600FB6A1" w14:textId="77777777" w:rsidR="00EC09AB" w:rsidRPr="00340368" w:rsidRDefault="00EC09AB" w:rsidP="00903442">
      <w:p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S</w:t>
      </w:r>
      <w:r w:rsidR="00DB200F">
        <w:rPr>
          <w:rFonts w:ascii="Times New Roman" w:eastAsia="Times New Roman" w:hAnsi="Times New Roman" w:cs="Times New Roman"/>
          <w:b/>
          <w:sz w:val="24"/>
          <w:szCs w:val="24"/>
          <w:u w:val="single"/>
        </w:rPr>
        <w:t>5</w:t>
      </w:r>
      <w:r>
        <w:rPr>
          <w:rFonts w:ascii="Times New Roman" w:eastAsia="Times New Roman" w:hAnsi="Times New Roman" w:cs="Times New Roman"/>
          <w:b/>
          <w:sz w:val="24"/>
          <w:szCs w:val="24"/>
          <w:u w:val="single"/>
        </w:rPr>
        <w:t xml:space="preserve">: Deposited MP particles on the bed of the </w:t>
      </w:r>
      <w:r w:rsidR="00FD3EBD">
        <w:rPr>
          <w:rFonts w:ascii="Times New Roman" w:eastAsia="Times New Roman" w:hAnsi="Times New Roman" w:cs="Times New Roman"/>
          <w:b/>
          <w:sz w:val="24"/>
          <w:szCs w:val="24"/>
          <w:u w:val="single"/>
        </w:rPr>
        <w:t>Mesocosm</w:t>
      </w:r>
      <w:r>
        <w:rPr>
          <w:rFonts w:ascii="Times New Roman" w:eastAsia="Times New Roman" w:hAnsi="Times New Roman" w:cs="Times New Roman"/>
          <w:b/>
          <w:sz w:val="24"/>
          <w:szCs w:val="24"/>
          <w:u w:val="single"/>
        </w:rPr>
        <w:t xml:space="preserve"> (CFD results)</w:t>
      </w:r>
    </w:p>
    <w:p w14:paraId="55DE200B" w14:textId="77777777" w:rsidR="00EC09AB" w:rsidRDefault="00EC09AB" w:rsidP="00903442">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de-DE"/>
        </w:rPr>
        <w:drawing>
          <wp:inline distT="0" distB="0" distL="0" distR="0" wp14:anchorId="660D5AA8" wp14:editId="295BD0ED">
            <wp:extent cx="4343400" cy="3242510"/>
            <wp:effectExtent l="0" t="0" r="0" b="0"/>
            <wp:docPr id="3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4351191" cy="3248326"/>
                    </a:xfrm>
                    <a:prstGeom prst="rect">
                      <a:avLst/>
                    </a:prstGeom>
                    <a:ln/>
                  </pic:spPr>
                </pic:pic>
              </a:graphicData>
            </a:graphic>
          </wp:inline>
        </w:drawing>
      </w:r>
    </w:p>
    <w:p w14:paraId="458032DE" w14:textId="77777777" w:rsidR="00EC09AB" w:rsidRPr="00800499" w:rsidRDefault="00EC09AB" w:rsidP="00903442">
      <w:pPr>
        <w:spacing w:line="480" w:lineRule="auto"/>
        <w:rPr>
          <w:rFonts w:ascii="Times New Roman" w:eastAsia="Times New Roman" w:hAnsi="Times New Roman" w:cs="Times New Roman"/>
          <w:sz w:val="20"/>
          <w:szCs w:val="20"/>
        </w:rPr>
      </w:pPr>
      <w:r w:rsidRPr="00800499">
        <w:rPr>
          <w:rFonts w:ascii="Times New Roman" w:eastAsia="Times New Roman" w:hAnsi="Times New Roman" w:cs="Times New Roman"/>
          <w:b/>
          <w:bCs/>
          <w:sz w:val="20"/>
          <w:szCs w:val="20"/>
        </w:rPr>
        <w:t>Figure S</w:t>
      </w:r>
      <w:r w:rsidR="00DB200F">
        <w:rPr>
          <w:rFonts w:ascii="Times New Roman" w:eastAsia="Times New Roman" w:hAnsi="Times New Roman" w:cs="Times New Roman"/>
          <w:b/>
          <w:bCs/>
          <w:sz w:val="20"/>
          <w:szCs w:val="20"/>
        </w:rPr>
        <w:t>5</w:t>
      </w:r>
      <w:r w:rsidRPr="00800499">
        <w:rPr>
          <w:rFonts w:ascii="Times New Roman" w:eastAsia="Times New Roman" w:hAnsi="Times New Roman" w:cs="Times New Roman"/>
          <w:b/>
          <w:bCs/>
          <w:sz w:val="20"/>
          <w:szCs w:val="20"/>
        </w:rPr>
        <w:t>:</w:t>
      </w:r>
      <w:r w:rsidRPr="00800499">
        <w:rPr>
          <w:rFonts w:ascii="Times New Roman" w:eastAsia="Times New Roman" w:hAnsi="Times New Roman" w:cs="Times New Roman"/>
          <w:sz w:val="20"/>
          <w:szCs w:val="20"/>
        </w:rPr>
        <w:t xml:space="preserve"> Deposited MP particles on the bed layer after 3 days, 5 days, 1 week, and 2 weeks after MP particle addition in the first experiment. </w:t>
      </w:r>
    </w:p>
    <w:p w14:paraId="622C4590" w14:textId="77777777" w:rsidR="002A0E95" w:rsidRDefault="002A0E95" w:rsidP="00903442">
      <w:pPr>
        <w:spacing w:line="480" w:lineRule="auto"/>
      </w:pPr>
    </w:p>
    <w:sectPr w:rsidR="002A0E95" w:rsidSect="00356495">
      <w:headerReference w:type="default" r:id="rId15"/>
      <w:footerReference w:type="default" r:id="rId16"/>
      <w:pgSz w:w="12240" w:h="15840"/>
      <w:pgMar w:top="1440" w:right="1440" w:bottom="1440" w:left="1440"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C45D2" w14:textId="77777777" w:rsidR="00887F2E" w:rsidRDefault="00887F2E">
      <w:pPr>
        <w:spacing w:line="240" w:lineRule="auto"/>
      </w:pPr>
      <w:r>
        <w:separator/>
      </w:r>
    </w:p>
  </w:endnote>
  <w:endnote w:type="continuationSeparator" w:id="0">
    <w:p w14:paraId="48942345" w14:textId="77777777" w:rsidR="00887F2E" w:rsidRDefault="00887F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A3D4" w14:textId="77777777" w:rsidR="002F176F" w:rsidRDefault="002F17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2C5FA" w14:textId="77777777" w:rsidR="00887F2E" w:rsidRDefault="00887F2E">
      <w:pPr>
        <w:spacing w:line="240" w:lineRule="auto"/>
      </w:pPr>
      <w:r>
        <w:separator/>
      </w:r>
    </w:p>
  </w:footnote>
  <w:footnote w:type="continuationSeparator" w:id="0">
    <w:p w14:paraId="56C4A5F2" w14:textId="77777777" w:rsidR="00887F2E" w:rsidRDefault="00887F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86646" w14:textId="77777777" w:rsidR="002F176F" w:rsidRDefault="002F176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C24"/>
    <w:rsid w:val="00096356"/>
    <w:rsid w:val="000E0AA8"/>
    <w:rsid w:val="000F3711"/>
    <w:rsid w:val="0019742B"/>
    <w:rsid w:val="00231C30"/>
    <w:rsid w:val="00236204"/>
    <w:rsid w:val="002A0E95"/>
    <w:rsid w:val="002A2331"/>
    <w:rsid w:val="002F176F"/>
    <w:rsid w:val="00340368"/>
    <w:rsid w:val="003F318F"/>
    <w:rsid w:val="00524578"/>
    <w:rsid w:val="005F1413"/>
    <w:rsid w:val="00651F09"/>
    <w:rsid w:val="00686C24"/>
    <w:rsid w:val="00725CE9"/>
    <w:rsid w:val="007F4186"/>
    <w:rsid w:val="00800499"/>
    <w:rsid w:val="00887F2E"/>
    <w:rsid w:val="008A2E0A"/>
    <w:rsid w:val="008A55C3"/>
    <w:rsid w:val="008F2D2C"/>
    <w:rsid w:val="00903442"/>
    <w:rsid w:val="0096710B"/>
    <w:rsid w:val="00985719"/>
    <w:rsid w:val="009B2D46"/>
    <w:rsid w:val="009D4A36"/>
    <w:rsid w:val="009E123B"/>
    <w:rsid w:val="00A10407"/>
    <w:rsid w:val="00A11F90"/>
    <w:rsid w:val="00A424A6"/>
    <w:rsid w:val="00B32F3F"/>
    <w:rsid w:val="00DB200F"/>
    <w:rsid w:val="00EC09AB"/>
    <w:rsid w:val="00F67AD4"/>
    <w:rsid w:val="00FD13EB"/>
    <w:rsid w:val="00FD3EB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03BEEC"/>
  <w15:chartTrackingRefBased/>
  <w15:docId w15:val="{E258FFCE-D2B4-4C41-9843-74069813D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EC09AB"/>
    <w:pPr>
      <w:spacing w:after="0" w:line="276" w:lineRule="auto"/>
    </w:pPr>
    <w:rPr>
      <w:rFonts w:ascii="Arial" w:eastAsia="Arial" w:hAnsi="Arial" w:cs="Arial"/>
      <w:lang w:val="en"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EC09AB"/>
  </w:style>
  <w:style w:type="character" w:styleId="Hyperlink">
    <w:name w:val="Hyperlink"/>
    <w:basedOn w:val="Absatz-Standardschriftart"/>
    <w:uiPriority w:val="99"/>
    <w:unhideWhenUsed/>
    <w:rsid w:val="00800499"/>
    <w:rPr>
      <w:color w:val="0563C1" w:themeColor="hyperlink"/>
      <w:u w:val="single"/>
    </w:rPr>
  </w:style>
  <w:style w:type="paragraph" w:styleId="KeinLeerraum">
    <w:name w:val="No Spacing"/>
    <w:uiPriority w:val="1"/>
    <w:qFormat/>
    <w:rsid w:val="00800499"/>
    <w:pPr>
      <w:spacing w:after="0" w:line="240" w:lineRule="auto"/>
    </w:pPr>
    <w:rPr>
      <w:rFonts w:ascii="Arial" w:eastAsia="Arial" w:hAnsi="Arial" w:cs="Arial"/>
      <w:lang w:val="en" w:eastAsia="de-DE"/>
    </w:rPr>
  </w:style>
  <w:style w:type="character" w:styleId="NichtaufgelsteErwhnung">
    <w:name w:val="Unresolved Mention"/>
    <w:basedOn w:val="Absatz-Standardschriftart"/>
    <w:uiPriority w:val="99"/>
    <w:semiHidden/>
    <w:unhideWhenUsed/>
    <w:rsid w:val="00967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05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ssan.elagami@uni-bayreuth.de"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2-2919-5230"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pouyan.ahmadi@ufz.de" TargetMode="External"/><Relationship Id="rId4" Type="http://schemas.openxmlformats.org/officeDocument/2006/relationships/webSettings" Target="webSettings.xml"/><Relationship Id="rId9" Type="http://schemas.openxmlformats.org/officeDocument/2006/relationships/hyperlink" Target="https://orcid.org/0000-0002-5452-1560" TargetMode="External"/><Relationship Id="rId1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49B2F-4DEA-4002-80D4-3098BC268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543</Words>
  <Characters>3427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Erstbenutzer</dc:creator>
  <cp:keywords/>
  <dc:description/>
  <cp:lastModifiedBy>Elagami, Hassan</cp:lastModifiedBy>
  <cp:revision>18</cp:revision>
  <dcterms:created xsi:type="dcterms:W3CDTF">2025-10-23T14:11:00Z</dcterms:created>
  <dcterms:modified xsi:type="dcterms:W3CDTF">2025-11-18T19:34:00Z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4da07897-b29f-4c43-bfa5-7e28ba619a37</vt:lpwstr>
  </property>
</Properties>
</file>