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Univariate analysis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right="0"/>
        <w:jc w:val="both"/>
        <w:rPr>
          <w:b w:val="1"/>
        </w:rPr>
      </w:pPr>
      <w:r w:rsidDel="00000000" w:rsidR="00000000" w:rsidRPr="00000000">
        <w:rPr>
          <w:b w:val="1"/>
          <w:rtl w:val="0"/>
        </w:rPr>
        <w:t xml:space="preserve">Table 1 - Mortality univariate analysis</w:t>
      </w:r>
    </w:p>
    <w:tbl>
      <w:tblPr>
        <w:tblStyle w:val="Table1"/>
        <w:tblW w:w="11160.0" w:type="dxa"/>
        <w:jc w:val="left"/>
        <w:tblInd w:w="-1327.005695687551"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20"/>
        <w:gridCol w:w="3630"/>
        <w:gridCol w:w="2190"/>
        <w:gridCol w:w="1926.8714401952802"/>
        <w:gridCol w:w="893.1285598047197"/>
        <w:tblGridChange w:id="0">
          <w:tblGrid>
            <w:gridCol w:w="2520"/>
            <w:gridCol w:w="3630"/>
            <w:gridCol w:w="2190"/>
            <w:gridCol w:w="1926.8714401952802"/>
            <w:gridCol w:w="893.1285598047197"/>
          </w:tblGrid>
        </w:tblGridChange>
      </w:tblGrid>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tcMar>
              <w:top w:w="40.0" w:type="dxa"/>
              <w:left w:w="40.0" w:type="dxa"/>
              <w:bottom w:w="40.0" w:type="dxa"/>
              <w:right w:w="40.0" w:type="dxa"/>
            </w:tcMar>
            <w:vAlign w:val="bottom"/>
          </w:tcPr>
          <w:p w:rsidR="00000000" w:rsidDel="00000000" w:rsidP="00000000" w:rsidRDefault="00000000" w:rsidRPr="00000000" w14:paraId="00000003">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Section</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tcMar>
              <w:top w:w="40.0" w:type="dxa"/>
              <w:left w:w="40.0" w:type="dxa"/>
              <w:bottom w:w="40.0" w:type="dxa"/>
              <w:right w:w="40.0" w:type="dxa"/>
            </w:tcMar>
            <w:vAlign w:val="bottom"/>
          </w:tcPr>
          <w:p w:rsidR="00000000" w:rsidDel="00000000" w:rsidP="00000000" w:rsidRDefault="00000000" w:rsidRPr="00000000" w14:paraId="00000004">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Variable</w:t>
            </w:r>
            <w:r w:rsidDel="00000000" w:rsidR="00000000" w:rsidRPr="00000000">
              <w:rPr>
                <w:rtl w:val="0"/>
              </w:rPr>
            </w:r>
          </w:p>
        </w:tc>
        <w:tc>
          <w:tcPr>
            <w:gridSpan w:val="2"/>
            <w:tcBorders>
              <w:top w:color="cccccc" w:space="0" w:sz="3" w:val="single"/>
              <w:left w:color="cccccc" w:space="0" w:sz="3" w:val="single"/>
              <w:bottom w:color="cccccc" w:space="0" w:sz="3" w:val="single"/>
              <w:right w:color="cccccc" w:space="0" w:sz="3" w:val="single"/>
            </w:tcBorders>
            <w:tcMar>
              <w:top w:w="40.0" w:type="dxa"/>
              <w:left w:w="40.0" w:type="dxa"/>
              <w:bottom w:w="40.0" w:type="dxa"/>
              <w:right w:w="40.0" w:type="dxa"/>
            </w:tcMar>
            <w:vAlign w:val="bottom"/>
          </w:tcPr>
          <w:p w:rsidR="00000000" w:rsidDel="00000000" w:rsidP="00000000" w:rsidRDefault="00000000" w:rsidRPr="00000000" w14:paraId="0000000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rtl w:val="0"/>
              </w:rPr>
              <w:t xml:space="preserve">Alive at 30 days</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07">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P</w:t>
            </w:r>
            <w:r w:rsidDel="00000000" w:rsidR="00000000" w:rsidRPr="00000000">
              <w:rPr>
                <w:rFonts w:ascii="Arial" w:cs="Arial" w:eastAsia="Arial" w:hAnsi="Arial"/>
                <w:rtl w:val="0"/>
              </w:rPr>
              <w:t xml:space="preserve"> value</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08">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Demographic and baseline characteristics</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0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0A">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Yes (n = 152)</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0B">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No (n = 43)</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0C">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0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0E">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Age, years</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0F">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50.5 [42.0-68.0]</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10">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64.0 [53.5-71.5]</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11">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0,006</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12">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13">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Male sex, n (%)</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14">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90 (59.2%)</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15">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25 (58.1%)</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16">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1</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17">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Comorbidities</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1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1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1A">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1B">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1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1D">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Hypertension, n (%)</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1E">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50 (32.9%)</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1F">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23 (53.5%)</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20">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0,022</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2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22">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Diabetes mellitus, n (%)</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23">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29 (19.1%)</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24">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11 (25.6%)</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25">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0,473</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2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27">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Dyslipidemia, n (%)</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28">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42 (27.6%)</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29">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8 (18.6%)</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2A">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0,318</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2B">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2C">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Ischemic heart disease, n (%)</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2D">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10 (6.6%)</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2E">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2 (4.7%)</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2F">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1</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3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31">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Heart failure, n (%)</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32">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4 (2.6%)</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33">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7 (16.3%)</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34">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0,003</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3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36">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Chronic kidney disease, n (%)</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37">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15 (9.9%)</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38">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5 (11.6%)</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39">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0,777</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3A">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3B">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Liver cirrhosis, n (%)</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3C">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2 (1.3%)</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3D">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2 (4.7%)</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3E">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0,212</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3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40">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Alcohol use disorder, n (%)</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41">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11 (7.2%)</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42">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7 (16.3%)</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43">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0,08</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4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45">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COPD or asthma, n (%)</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46">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17 (11.2%)</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47">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3 (7.0%)</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48">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0,574</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4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4A">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Neutropenia, n (%)</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4B">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2 (1.3%)</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4C">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2 (4.7%)</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4D">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0,212</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4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4F">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Solid organ transplant, n (%)</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50">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3 (2.0%)</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51">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0 (0.0%)</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52">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1</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53">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54">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Cancer, n (%)</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55">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11 (7.2%)</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56">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6 (14.0%)</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57">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0,217</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5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59">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HIV/AIDS, n (%)</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5A">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1 (0.7%)</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5B">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0 (0.0%)</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5C">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1</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5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5E">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Pregnant or puerperal, n (%)</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5F">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6 (3.9%)</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60">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0 (0.0%)</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61">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0,342</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62">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63">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Charlson comorbidity index</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64">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1.00 [0.00-4.00]</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65">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3.00 [1.00-4.00]</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66">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0,044</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67">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Pre-admission factors</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6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6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6A">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6B">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6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6D">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NSAID use within 1 week, n (%)</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6E">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32 (21.1%)</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6F">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11 (25.6%)</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70">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0,671</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7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72">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History of COVID-19 infection, n (%)</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73">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14 (9.2%)</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74">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5 (11.6%)</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75">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0,574</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76">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Severity scores and admission data</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7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7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7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7A">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7B">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7C">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SAPS III score</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7D">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58.5 [47.8-71.2]</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7E">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80.0 [72.0-89.0]</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7F">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&lt;0.001</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8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81">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SOFA score</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82">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7.00 [5.00-10.0]</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83">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11.0 [8.00-14.0]</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84">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&lt;0.002</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8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86">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Leukocytes on admission, /mm³</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87">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12700 [5485-18315]</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88">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4800 [2135-9390]</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89">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&lt;0.003</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8A">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8B">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NLR on admission</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8C">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19.1 [9.25-47.0]</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8D">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14.0 [7.52-32.1]</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8E">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0,075</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8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90">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Platelets on admission, /mm³</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91">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158500 [109750-228500]</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92">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115000 [87500-175500]</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93">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0,008</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9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95">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CRP on admission, mg/L</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96">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249 [38.2-345]</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97">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204 [43.8-330]</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98">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0,422</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9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9A">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PCT on admission, ng/mL</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9B">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26.5 [10.3-64.5]</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9C">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64.3 [18.7-100]</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9D">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0,012</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9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9F">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Coagulopathy on admission, n (%)</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A0">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77 (50.7%)</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A1">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28 (65.1%)</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A2">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0,132</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A3">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Clinical variables</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A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A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A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A7">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A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A9">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ARDS (Berlin definition), n (%)</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AA">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56 (36.8%)</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AB">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25 (58.1%)</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AC">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0,02</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A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AE">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Prone positioning, n (%)</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AF">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21 (13.8%)</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B0">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13 (30.2%)</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B1">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0,023</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B2">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B3">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Duration of mechanical ventilation, days</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B4">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5.50 [0.00-14.0]</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B5">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2.00 [1.00-10.5]</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B6">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0,468</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B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B8">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VV ECMO, n (%)</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B9">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6 (3.9%)</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BA">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2 (4.7%)</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BB">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1</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B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BD">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VA ECMO, n (%)</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BE">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5 (3.3%)</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BF">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4 (9.3%)</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C0">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0,11</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C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C2">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Any ECMO, n (%)</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C3">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10 (6.6%)</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C4">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5 (11.6%)</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C5">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0,329</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C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C7">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Acute kidney injury, n (%)</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C8">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107 (70.4%)</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C9">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39 (90.7%)</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CA">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0,012</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CB">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CC">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Renal replacement therapy, n (%)</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CD">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46 (30.3%)</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CE">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26 (60.5%)</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CF">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0,001</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D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D1">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Septic shock, n (%)</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D2">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120 (78.9%)</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D3">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43 (100%)</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D4">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0,002</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D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D6">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Duration of vasopressors, days</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D7">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3.00 [1.00-6.25]</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D8">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2.00 [1.00-5.00]</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D9">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0,874</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DA">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DB">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Streptococcus pyogenes bacteremia, n (%)</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DC">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79 (52.0%)</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DD">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31 (72.1%)</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DE">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0,03</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D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E0">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Surgical debridement, n (%)</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E1">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69 (45.4%)</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E2">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13 (30.2%)</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E3">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0,109</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E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E5">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STS criteria fulfilled, n (%)</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E6">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74 (48.7%)</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E7">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40 (93.0%)</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E8">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&lt;0.001</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E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EA">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Pneumonia, n (%)</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EB">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56 (36.8%)</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EC">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20 (46.5%)</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ED">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0,332</w:t>
            </w:r>
            <w:r w:rsidDel="00000000" w:rsidR="00000000" w:rsidRPr="00000000">
              <w:rPr>
                <w:rtl w:val="0"/>
              </w:rPr>
            </w:r>
          </w:p>
        </w:tc>
      </w:tr>
      <w:tr>
        <w:trPr>
          <w:cantSplit w:val="0"/>
          <w:trHeight w:val="315"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E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E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F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F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F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F3">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Outcomes</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F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F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F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F7">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F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F9">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ICU length of stay, days</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FA">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10.0 [5.00-23.0]</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FB">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3.00 [1.00-22.0]</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FC">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0,001</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F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FE">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Pre-COVID period, n (%)</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FF">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51 (33.6%)</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100">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16 (37.2%)</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101">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0,792</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dddddd"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102">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3" w:val="single"/>
              <w:left w:color="cccccc" w:space="0" w:sz="3" w:val="single"/>
              <w:bottom w:color="dddddd"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103">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Post-COVID period, n (%)</w:t>
            </w:r>
            <w:r w:rsidDel="00000000" w:rsidR="00000000" w:rsidRPr="00000000">
              <w:rPr>
                <w:rtl w:val="0"/>
              </w:rPr>
            </w:r>
          </w:p>
        </w:tc>
        <w:tc>
          <w:tcPr>
            <w:tcBorders>
              <w:top w:color="cccccc" w:space="0" w:sz="3" w:val="single"/>
              <w:left w:color="cccccc" w:space="0" w:sz="3" w:val="single"/>
              <w:bottom w:color="dddddd"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104">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101 (66.4%)</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105">
            <w:pPr>
              <w:widowControl w:val="0"/>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27 (62.8%)</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106">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rtl w:val="0"/>
              </w:rPr>
              <w:t xml:space="preserve">0,792</w:t>
            </w:r>
            <w:r w:rsidDel="00000000" w:rsidR="00000000" w:rsidRPr="00000000">
              <w:rPr>
                <w:rtl w:val="0"/>
              </w:rPr>
            </w:r>
          </w:p>
        </w:tc>
      </w:tr>
    </w:tbl>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Multivariate logistic regression</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binary logistic regression was performed to identify clinical and epidemiological factors independently associated with the post-COVID period.</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Model specification</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dependent variable was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Pre_Post_COVID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(0 = pre-pandemic, 1 = post-pandemic). Independent variables included pneumonia, Berlin ARDS, ICU length of stay, days of mechanical ventilation, ECMO, and days on vasopressors. Stepwise bidirectional selection based on the Akaike Information Criterion (AIC) was applied to identify the most parsimonious model. The final model included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pneumonia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days of mechanical ventilation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with an AIC of 246.</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Model fit</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 performance was assessed using the McFadden pseudo-R² (McFadden R² = 0.04). Although low, we considere</w:t>
      </w:r>
      <w:r w:rsidDel="00000000" w:rsidR="00000000" w:rsidRPr="00000000">
        <w:rPr>
          <w:rtl w:val="0"/>
        </w:rPr>
        <w:t xml:space="preserv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value </w:t>
      </w:r>
      <w:r w:rsidDel="00000000" w:rsidR="00000000" w:rsidRPr="00000000">
        <w:rPr>
          <w:rtl w:val="0"/>
        </w:rPr>
        <w:t xml:space="preserve">acceptable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due to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moderate sample size and non-predictive explanatory objectives. Residual diagnostics and the absence of influential observations supported model adequacy.</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Collinearity assessment</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Multicollinearity was evaluated using the Variance Inflation Factor (VIF). </w:t>
      </w:r>
      <w:r w:rsidDel="00000000" w:rsidR="00000000" w:rsidRPr="00000000">
        <w:rPr>
          <w:rtl w:val="0"/>
        </w:rPr>
        <w:t xml:space="preserve">The two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variables in the final model showed both VIF = 1.02, indicating no collinearity (VIF &lt; 5).</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Interpretation and robustness</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b w:val="1"/>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Odds ratios (OR) and 95% confidence intervals (CI) were computed. Given the explanatory nature of the model, </w:t>
      </w:r>
      <w:r w:rsidDel="00000000" w:rsidR="00000000" w:rsidRPr="00000000">
        <w:rPr>
          <w:i w:val="0"/>
          <w:smallCaps w:val="0"/>
          <w:strike w:val="0"/>
          <w:color w:val="000000"/>
          <w:sz w:val="22"/>
          <w:szCs w:val="22"/>
          <w:u w:val="none"/>
          <w:shd w:fill="auto" w:val="clear"/>
          <w:vertAlign w:val="baseline"/>
          <w:rtl w:val="0"/>
        </w:rPr>
        <w:t xml:space="preserve">no cross-validation was performed, 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nd overfitting was instead assessed via McFadden’s pseudo-R² and AIC comparison between intermediate models, both supporting adequate model stability and parsimony.</w:t>
      </w:r>
      <w:r w:rsidDel="00000000" w:rsidR="00000000" w:rsidRPr="00000000">
        <w:br w:type="page"/>
      </w: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Incidence analysis</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Temporal changes in iGAS incidence were assessed using a Poisson regression model, with calendar years as the independent variable and the annual number of cases as the dependent variable. Since the population at risk remained constant across years, no offset adjustment was required.</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Comparison of the residual deviance (33.3) with the residual degrees of freedom (3) yielded a dispersion ratio of 11.1, indicating substantial overdispersion. To evaluate its impact, a quasi-Poisson model was fitted, which maintained identical point estimates (rate ratios) but produced wider confidence intervals and non-significant p-values due to the small number of annual observations. The direction and magnitude of effects were consistent across both models</w:t>
      </w:r>
      <w:r w:rsidDel="00000000" w:rsidR="00000000" w:rsidRPr="00000000">
        <w:rPr>
          <w:rtl w:val="0"/>
        </w:rPr>
        <w:t xml:space="preserve"> (see table 3 and 4)</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Given the descriptive and explanatory objective of the analysis, the Poisson estimates are presented in the main text for interpretative clarity, acknowledging the presence of overdispersion and confirming the robustness of findings through the quasi-Poisson sensitivity analysis.</w:t>
      </w:r>
    </w:p>
    <w:p w:rsidR="00000000" w:rsidDel="00000000" w:rsidP="00000000" w:rsidRDefault="00000000" w:rsidRPr="00000000" w14:paraId="00000116">
      <w:pPr>
        <w:spacing w:line="276" w:lineRule="auto"/>
        <w:jc w:val="both"/>
        <w:rPr/>
      </w:pPr>
      <w:r w:rsidDel="00000000" w:rsidR="00000000" w:rsidRPr="00000000">
        <w:rPr>
          <w:b w:val="1"/>
          <w:rtl w:val="0"/>
        </w:rPr>
        <w:t xml:space="preserve">Table 2 - Annual incidence, global and infections subtypes</w:t>
      </w:r>
      <w:r w:rsidDel="00000000" w:rsidR="00000000" w:rsidRPr="00000000">
        <w:rPr>
          <w:rtl w:val="0"/>
        </w:rPr>
      </w:r>
    </w:p>
    <w:tbl>
      <w:tblPr>
        <w:tblStyle w:val="Table2"/>
        <w:tblW w:w="10470.0" w:type="dxa"/>
        <w:jc w:val="left"/>
        <w:tblInd w:w="-765.4027664768103"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0"/>
        <w:gridCol w:w="1695"/>
        <w:gridCol w:w="980.3213995117983"/>
        <w:gridCol w:w="1944.6786004882017"/>
        <w:gridCol w:w="1410"/>
        <w:gridCol w:w="1890"/>
        <w:gridCol w:w="1590"/>
        <w:tblGridChange w:id="0">
          <w:tblGrid>
            <w:gridCol w:w="960"/>
            <w:gridCol w:w="1695"/>
            <w:gridCol w:w="980.3213995117983"/>
            <w:gridCol w:w="1944.6786004882017"/>
            <w:gridCol w:w="1410"/>
            <w:gridCol w:w="1890"/>
            <w:gridCol w:w="1590"/>
          </w:tblGrid>
        </w:tblGridChange>
      </w:tblGrid>
      <w:tr>
        <w:trPr>
          <w:cantSplit w:val="0"/>
          <w:trHeight w:val="300" w:hRule="atLeast"/>
          <w:tblHeader w:val="0"/>
        </w:trPr>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17">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Year</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1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Population at risk</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19">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Total cases</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1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Annual incidence per 100.000 inhabitants</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1B">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Mortality</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1C">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Pneumonia</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1D">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SSTI</w:t>
            </w:r>
          </w:p>
        </w:tc>
      </w:tr>
      <w:tr>
        <w:trPr>
          <w:cantSplit w:val="0"/>
          <w:trHeight w:val="300" w:hRule="atLeast"/>
          <w:tblHeader w:val="0"/>
        </w:trPr>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1E">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2018</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1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6.737.930,00</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20">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21">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0,46</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22">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16,1%</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2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2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61,3%</w:t>
            </w:r>
          </w:p>
        </w:tc>
      </w:tr>
      <w:tr>
        <w:trPr>
          <w:cantSplit w:val="0"/>
          <w:trHeight w:val="300" w:hRule="atLeast"/>
          <w:tblHeader w:val="0"/>
        </w:trPr>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2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2019</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26">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6.737.930,00</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27">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35</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2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0,52</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29">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31,4%</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2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28,6%</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2B">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57,1%</w:t>
            </w:r>
          </w:p>
        </w:tc>
      </w:tr>
      <w:tr>
        <w:trPr>
          <w:cantSplit w:val="0"/>
          <w:trHeight w:val="300" w:hRule="atLeast"/>
          <w:tblHeader w:val="0"/>
        </w:trPr>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2C">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2020</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2D">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6.737.930,00</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2E">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2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0,24</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30">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18,8%</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31">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25%</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32">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75%</w:t>
            </w:r>
          </w:p>
        </w:tc>
      </w:tr>
      <w:tr>
        <w:trPr>
          <w:cantSplit w:val="0"/>
          <w:trHeight w:val="300" w:hRule="atLeast"/>
          <w:tblHeader w:val="0"/>
        </w:trPr>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3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2021</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3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6.737.930,00</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3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36">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0,09</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37">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50%</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3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50%</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39">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50%</w:t>
            </w:r>
          </w:p>
        </w:tc>
      </w:tr>
      <w:tr>
        <w:trPr>
          <w:cantSplit w:val="0"/>
          <w:trHeight w:val="300" w:hRule="atLeast"/>
          <w:tblHeader w:val="0"/>
        </w:trPr>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3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2022</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3B">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6.737.930,00</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3C">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28</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3D">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0,42</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3E">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14,3%</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3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57,1%</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40">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42,9%</w:t>
            </w:r>
          </w:p>
        </w:tc>
      </w:tr>
      <w:tr>
        <w:trPr>
          <w:cantSplit w:val="0"/>
          <w:trHeight w:val="300" w:hRule="atLeast"/>
          <w:tblHeader w:val="0"/>
        </w:trPr>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41">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2023</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42">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6.737.930,00</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4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79</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4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1,17</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4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16,5%</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46">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43%</w:t>
            </w:r>
          </w:p>
        </w:tc>
        <w:tc>
          <w:tcPr>
            <w:tcBorders>
              <w:top w:color="cccccc" w:space="0" w:sz="3" w:val="single"/>
              <w:left w:color="cccccc" w:space="0" w:sz="3" w:val="single"/>
              <w:bottom w:color="cccccc" w:space="0" w:sz="3" w:val="single"/>
              <w:right w:color="cccccc" w:space="0" w:sz="3" w:val="single"/>
            </w:tcBorders>
            <w:tcMar>
              <w:top w:w="0.0" w:type="dxa"/>
              <w:left w:w="40.0" w:type="dxa"/>
              <w:bottom w:w="0.0" w:type="dxa"/>
              <w:right w:w="40.0" w:type="dxa"/>
            </w:tcMar>
            <w:vAlign w:val="bottom"/>
          </w:tcPr>
          <w:p w:rsidR="00000000" w:rsidDel="00000000" w:rsidP="00000000" w:rsidRDefault="00000000" w:rsidRPr="00000000" w14:paraId="00000147">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48,1%</w:t>
            </w:r>
          </w:p>
        </w:tc>
      </w:tr>
    </w:tbl>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pPr>
      <w:r w:rsidDel="00000000" w:rsidR="00000000" w:rsidRPr="00000000">
        <w:rPr>
          <w:b w:val="1"/>
          <w:rtl w:val="0"/>
        </w:rPr>
        <w:t xml:space="preserve">Table 3 - Poisson regression model</w:t>
      </w:r>
      <w:r w:rsidDel="00000000" w:rsidR="00000000" w:rsidRPr="00000000">
        <w:rPr>
          <w:rtl w:val="0"/>
        </w:rPr>
      </w:r>
    </w:p>
    <w:tbl>
      <w:tblPr>
        <w:tblStyle w:val="Table3"/>
        <w:tblW w:w="10470.0" w:type="dxa"/>
        <w:jc w:val="left"/>
        <w:tblInd w:w="-810.3023516237403" w:type="dxa"/>
        <w:tblBorders>
          <w:top w:color="dddddd" w:space="0" w:sz="8" w:val="single"/>
          <w:left w:color="dddddd" w:space="0" w:sz="8" w:val="single"/>
          <w:bottom w:color="dddddd" w:space="0" w:sz="8" w:val="single"/>
          <w:right w:color="dddddd" w:space="0" w:sz="8" w:val="single"/>
          <w:insideH w:color="dddddd" w:space="0" w:sz="8" w:val="single"/>
          <w:insideV w:color="dddddd" w:space="0" w:sz="8" w:val="single"/>
        </w:tblBorders>
        <w:tblLayout w:type="fixed"/>
        <w:tblLook w:val="0600"/>
      </w:tblPr>
      <w:tblGrid>
        <w:gridCol w:w="2325"/>
        <w:gridCol w:w="1230"/>
        <w:gridCol w:w="1035"/>
        <w:gridCol w:w="1005"/>
        <w:gridCol w:w="945"/>
        <w:gridCol w:w="1521.0806270996632"/>
        <w:gridCol w:w="2408.919372900337"/>
        <w:tblGridChange w:id="0">
          <w:tblGrid>
            <w:gridCol w:w="2325"/>
            <w:gridCol w:w="1230"/>
            <w:gridCol w:w="1035"/>
            <w:gridCol w:w="1005"/>
            <w:gridCol w:w="945"/>
            <w:gridCol w:w="1521.0806270996632"/>
            <w:gridCol w:w="2408.919372900337"/>
          </w:tblGrid>
        </w:tblGridChange>
      </w:tblGrid>
      <w:tr>
        <w:trPr>
          <w:cantSplit w:val="0"/>
          <w:trHeight w:val="785" w:hRule="atLeast"/>
          <w:tblHeader w:val="0"/>
        </w:trPr>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Variable</w:t>
            </w:r>
            <w:r w:rsidDel="00000000" w:rsidR="00000000" w:rsidRPr="00000000">
              <w:rPr>
                <w:rtl w:val="0"/>
              </w:rPr>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Estimate (β)</w:t>
            </w:r>
            <w:r w:rsidDel="00000000" w:rsidR="00000000" w:rsidRPr="00000000">
              <w:rPr>
                <w:rtl w:val="0"/>
              </w:rPr>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Std. Error</w:t>
            </w:r>
            <w:r w:rsidDel="00000000" w:rsidR="00000000" w:rsidRPr="00000000">
              <w:rPr>
                <w:rtl w:val="0"/>
              </w:rPr>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z value</w:t>
            </w:r>
            <w:r w:rsidDel="00000000" w:rsidR="00000000" w:rsidRPr="00000000">
              <w:rPr>
                <w:rtl w:val="0"/>
              </w:rPr>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p-value</w:t>
            </w:r>
            <w:r w:rsidDel="00000000" w:rsidR="00000000" w:rsidRPr="00000000">
              <w:rPr>
                <w:rtl w:val="0"/>
              </w:rPr>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RR = exp(β)</w:t>
            </w:r>
            <w:r w:rsidDel="00000000" w:rsidR="00000000" w:rsidRPr="00000000">
              <w:rPr>
                <w:rtl w:val="0"/>
              </w:rPr>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95% CI for RR</w:t>
            </w:r>
            <w:r w:rsidDel="00000000" w:rsidR="00000000" w:rsidRPr="00000000">
              <w:rPr>
                <w:rtl w:val="0"/>
              </w:rPr>
            </w:r>
          </w:p>
        </w:tc>
      </w:tr>
      <w:tr>
        <w:trPr>
          <w:cantSplit w:val="0"/>
          <w:trHeight w:val="785" w:hRule="atLeast"/>
          <w:tblHeader w:val="0"/>
        </w:trPr>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Intercept (2018–2020)</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3.3081</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0.1104</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29.96</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&lt;0.001</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27.36</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(22.0–34.0)*</w:t>
            </w:r>
          </w:p>
        </w:tc>
      </w:tr>
      <w:tr>
        <w:trPr>
          <w:cantSplit w:val="0"/>
          <w:trHeight w:val="500" w:hRule="atLeast"/>
          <w:tblHeader w:val="0"/>
        </w:trPr>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2021</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–1.5163</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0.4229</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–3.59</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&lt;0.001</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0.22</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0.09–0.46</w:t>
            </w:r>
          </w:p>
        </w:tc>
      </w:tr>
      <w:tr>
        <w:trPr>
          <w:cantSplit w:val="0"/>
          <w:trHeight w:val="500" w:hRule="atLeast"/>
          <w:tblHeader w:val="0"/>
        </w:trPr>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Post-2021</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0.6716</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0.1468</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4.58</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&lt;0.001</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1.96</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1.47–2.62</w:t>
            </w:r>
          </w:p>
        </w:tc>
      </w:tr>
    </w:tbl>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b w:val="1"/>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b w:val="1"/>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b w:val="1"/>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pPr>
      <w:r w:rsidDel="00000000" w:rsidR="00000000" w:rsidRPr="00000000">
        <w:rPr>
          <w:b w:val="1"/>
          <w:rtl w:val="0"/>
        </w:rPr>
        <w:t xml:space="preserve">Table 4 - Quasi-Poisson regression model</w:t>
      </w:r>
      <w:r w:rsidDel="00000000" w:rsidR="00000000" w:rsidRPr="00000000">
        <w:rPr>
          <w:rtl w:val="0"/>
        </w:rPr>
      </w:r>
    </w:p>
    <w:tbl>
      <w:tblPr>
        <w:tblStyle w:val="Table4"/>
        <w:tblW w:w="10425.0" w:type="dxa"/>
        <w:jc w:val="left"/>
        <w:tblInd w:w="-675.2519596864502" w:type="dxa"/>
        <w:tblBorders>
          <w:top w:color="dddddd" w:space="0" w:sz="8" w:val="single"/>
          <w:left w:color="dddddd" w:space="0" w:sz="8" w:val="single"/>
          <w:bottom w:color="dddddd" w:space="0" w:sz="8" w:val="single"/>
          <w:right w:color="dddddd" w:space="0" w:sz="8" w:val="single"/>
          <w:insideH w:color="dddddd" w:space="0" w:sz="8" w:val="single"/>
          <w:insideV w:color="dddddd" w:space="0" w:sz="8" w:val="single"/>
        </w:tblBorders>
        <w:tblLayout w:type="fixed"/>
        <w:tblLook w:val="0600"/>
      </w:tblPr>
      <w:tblGrid>
        <w:gridCol w:w="2265"/>
        <w:gridCol w:w="1245"/>
        <w:gridCol w:w="1350"/>
        <w:gridCol w:w="871.5453527435608"/>
        <w:gridCol w:w="1003.4546472564392"/>
        <w:gridCol w:w="1305"/>
        <w:gridCol w:w="2385"/>
        <w:tblGridChange w:id="0">
          <w:tblGrid>
            <w:gridCol w:w="2265"/>
            <w:gridCol w:w="1245"/>
            <w:gridCol w:w="1350"/>
            <w:gridCol w:w="871.5453527435608"/>
            <w:gridCol w:w="1003.4546472564392"/>
            <w:gridCol w:w="1305"/>
            <w:gridCol w:w="2385"/>
          </w:tblGrid>
        </w:tblGridChange>
      </w:tblGrid>
      <w:tr>
        <w:trPr>
          <w:cantSplit w:val="0"/>
          <w:trHeight w:val="785" w:hRule="atLeast"/>
          <w:tblHeader w:val="0"/>
        </w:trPr>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Variable</w:t>
            </w:r>
            <w:r w:rsidDel="00000000" w:rsidR="00000000" w:rsidRPr="00000000">
              <w:rPr>
                <w:rtl w:val="0"/>
              </w:rPr>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Estimate (β)</w:t>
            </w:r>
            <w:r w:rsidDel="00000000" w:rsidR="00000000" w:rsidRPr="00000000">
              <w:rPr>
                <w:rtl w:val="0"/>
              </w:rPr>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Std. Error</w:t>
            </w:r>
            <w:r w:rsidDel="00000000" w:rsidR="00000000" w:rsidRPr="00000000">
              <w:rPr>
                <w:rtl w:val="0"/>
              </w:rPr>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 value</w:t>
            </w:r>
            <w:r w:rsidDel="00000000" w:rsidR="00000000" w:rsidRPr="00000000">
              <w:rPr>
                <w:rtl w:val="0"/>
              </w:rPr>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p-value</w:t>
            </w:r>
            <w:r w:rsidDel="00000000" w:rsidR="00000000" w:rsidRPr="00000000">
              <w:rPr>
                <w:rtl w:val="0"/>
              </w:rPr>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RR = exp(β)</w:t>
            </w:r>
            <w:r w:rsidDel="00000000" w:rsidR="00000000" w:rsidRPr="00000000">
              <w:rPr>
                <w:rtl w:val="0"/>
              </w:rPr>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95% CI for RR*</w:t>
            </w:r>
            <w:r w:rsidDel="00000000" w:rsidR="00000000" w:rsidRPr="00000000">
              <w:rPr>
                <w:rtl w:val="0"/>
              </w:rPr>
            </w:r>
          </w:p>
        </w:tc>
      </w:tr>
      <w:tr>
        <w:trPr>
          <w:cantSplit w:val="0"/>
          <w:trHeight w:val="785" w:hRule="atLeast"/>
          <w:tblHeader w:val="0"/>
        </w:trPr>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Intercept (2018–2020)</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3.3081</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0.3587</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9.22</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0.0027</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27.36</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(13.4–55.9)</w:t>
            </w:r>
          </w:p>
        </w:tc>
      </w:tr>
      <w:tr>
        <w:trPr>
          <w:cantSplit w:val="0"/>
          <w:trHeight w:val="500" w:hRule="atLeast"/>
          <w:tblHeader w:val="0"/>
        </w:trPr>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2021</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–1.5163</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1.3737</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–1.10</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0.35</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0.22</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(0.02–2.41)</w:t>
            </w:r>
          </w:p>
        </w:tc>
      </w:tr>
      <w:tr>
        <w:trPr>
          <w:cantSplit w:val="0"/>
          <w:trHeight w:val="500" w:hRule="atLeast"/>
          <w:tblHeader w:val="0"/>
        </w:trPr>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Post-2021</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0.6716</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0.4767</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1.41</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0.25</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1.96</w:t>
            </w:r>
          </w:p>
        </w:tc>
        <w:tc>
          <w:tcPr>
            <w:tcBorders>
              <w:top w:color="dddddd" w:space="0" w:sz="8" w:val="single"/>
              <w:left w:color="dddddd" w:space="0" w:sz="8" w:val="single"/>
              <w:bottom w:color="dddddd" w:space="0" w:sz="8" w:val="single"/>
              <w:right w:color="dddddd" w:space="0" w:sz="8" w:val="single"/>
            </w:tcBorders>
            <w:tcMar>
              <w:top w:w="100.0" w:type="dxa"/>
              <w:left w:w="100.0" w:type="dxa"/>
              <w:bottom w:w="100.0" w:type="dxa"/>
              <w:right w:w="100.0" w:type="dxa"/>
            </w:tcMar>
            <w:vAlign w:val="top"/>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(0.77–5.00)</w:t>
            </w:r>
          </w:p>
        </w:tc>
      </w:tr>
    </w:tbl>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pPr>
      <w:r w:rsidDel="00000000" w:rsidR="00000000" w:rsidRPr="00000000">
        <w:rPr>
          <w:rtl w:val="0"/>
        </w:rPr>
      </w:r>
    </w:p>
    <w:sectPr>
      <w:footerReference r:id="rId6" w:type="default"/>
      <w:pgSz w:h="16838" w:w="11906" w:orient="portrait"/>
      <w:pgMar w:bottom="1417" w:top="1417" w:left="1701" w:right="170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