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D9627" w14:textId="77777777" w:rsidR="009B6814" w:rsidRDefault="009B6814" w:rsidP="009B6814">
      <w:pPr>
        <w:rPr>
          <w:b/>
          <w:bCs/>
          <w:lang w:val="en-US"/>
        </w:rPr>
      </w:pPr>
      <w:r w:rsidRPr="00B6174B">
        <w:rPr>
          <w:noProof/>
          <w:lang w:eastAsia="fr-FR"/>
        </w:rPr>
        <w:drawing>
          <wp:inline distT="0" distB="0" distL="0" distR="0" wp14:anchorId="6C6F579D" wp14:editId="06811B7F">
            <wp:extent cx="5760720" cy="8111609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11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br w:type="page"/>
      </w:r>
    </w:p>
    <w:p w14:paraId="45861CD3" w14:textId="77777777" w:rsidR="009B6814" w:rsidRPr="005C2311" w:rsidRDefault="009B6814" w:rsidP="009B6814">
      <w:pPr>
        <w:spacing w:line="360" w:lineRule="auto"/>
        <w:jc w:val="both"/>
        <w:rPr>
          <w:lang w:val="en-GB"/>
        </w:rPr>
      </w:pPr>
      <w:r>
        <w:rPr>
          <w:b/>
          <w:bCs/>
          <w:lang w:val="en-US"/>
        </w:rPr>
        <w:lastRenderedPageBreak/>
        <w:t>Supplementary Figure 1</w:t>
      </w:r>
      <w:r>
        <w:rPr>
          <w:lang w:val="en-US"/>
        </w:rPr>
        <w:t xml:space="preserve">: </w:t>
      </w:r>
      <w:r>
        <w:rPr>
          <w:b/>
          <w:bCs/>
          <w:lang w:val="en-GB"/>
        </w:rPr>
        <w:t xml:space="preserve">T0901317 does not improve motor phenotypes in zQ175 mice. </w:t>
      </w:r>
      <w:r>
        <w:rPr>
          <w:lang w:val="en-GB"/>
        </w:rPr>
        <w:t>(</w:t>
      </w:r>
      <w:r>
        <w:rPr>
          <w:b/>
          <w:bCs/>
          <w:lang w:val="en-GB"/>
        </w:rPr>
        <w:t>a</w:t>
      </w:r>
      <w:r>
        <w:rPr>
          <w:lang w:val="en-GB"/>
        </w:rPr>
        <w:t>) WT mice were treated with vehicle or T0901317 (21 mg/kg) by oral gavage and mRNA levels of LXR target genes (</w:t>
      </w:r>
      <w:r>
        <w:rPr>
          <w:i/>
          <w:iCs/>
          <w:lang w:val="en-GB"/>
        </w:rPr>
        <w:t>Abca1</w:t>
      </w:r>
      <w:r>
        <w:rPr>
          <w:lang w:val="en-GB"/>
        </w:rPr>
        <w:t>,</w:t>
      </w:r>
      <w:r>
        <w:rPr>
          <w:i/>
          <w:iCs/>
          <w:lang w:val="en-GB"/>
        </w:rPr>
        <w:t xml:space="preserve"> ApoE</w:t>
      </w:r>
      <w:r>
        <w:rPr>
          <w:lang w:val="en-GB"/>
        </w:rPr>
        <w:t xml:space="preserve">, </w:t>
      </w:r>
      <w:r>
        <w:rPr>
          <w:i/>
          <w:iCs/>
          <w:lang w:val="en-GB"/>
        </w:rPr>
        <w:t>Abcg1</w:t>
      </w:r>
      <w:r>
        <w:rPr>
          <w:lang w:val="en-GB"/>
        </w:rPr>
        <w:t xml:space="preserve">) were measured in the striatum, hippocampus and liver after RTqPCR relative to </w:t>
      </w:r>
      <w:r>
        <w:rPr>
          <w:i/>
          <w:iCs/>
          <w:lang w:val="en-GB"/>
        </w:rPr>
        <w:t>Hprt</w:t>
      </w:r>
      <w:r>
        <w:rPr>
          <w:lang w:val="en-GB"/>
        </w:rPr>
        <w:t xml:space="preserve"> housekeeping gene</w:t>
      </w:r>
      <w:r>
        <w:rPr>
          <w:color w:val="000000" w:themeColor="text1"/>
          <w:lang w:val="en-US"/>
        </w:rPr>
        <w:t>, data were normalized to vehicle group</w:t>
      </w:r>
      <w:r>
        <w:rPr>
          <w:lang w:val="en-GB"/>
        </w:rPr>
        <w:t xml:space="preserve"> (striatum: n=7-8 per group; hippocampus and liver: n=5 per group). (</w:t>
      </w:r>
      <w:r>
        <w:rPr>
          <w:b/>
          <w:bCs/>
          <w:lang w:val="en-GB"/>
        </w:rPr>
        <w:t>b, c</w:t>
      </w:r>
      <w:r>
        <w:rPr>
          <w:lang w:val="en-GB"/>
        </w:rPr>
        <w:t>) Male (</w:t>
      </w:r>
      <w:r>
        <w:rPr>
          <w:b/>
          <w:bCs/>
          <w:lang w:val="en-GB"/>
        </w:rPr>
        <w:t>b</w:t>
      </w:r>
      <w:r>
        <w:rPr>
          <w:lang w:val="en-GB"/>
        </w:rPr>
        <w:t>) and female (</w:t>
      </w:r>
      <w:r>
        <w:rPr>
          <w:b/>
          <w:bCs/>
          <w:lang w:val="en-GB"/>
        </w:rPr>
        <w:t>c</w:t>
      </w:r>
      <w:r>
        <w:rPr>
          <w:lang w:val="en-GB"/>
        </w:rPr>
        <w:t>) body weight were measured weekly in WT (n=7 males, n=11 females), HET (n=9 males, n=8 females) and HET+T0 (n=8 males, n=9 females) mice. The vertical dotted red line represents the starting point of treatment, red arrows indicate behavioral testing time points. (</w:t>
      </w:r>
      <w:r>
        <w:rPr>
          <w:b/>
          <w:bCs/>
          <w:lang w:val="en-GB"/>
        </w:rPr>
        <w:t>d, e</w:t>
      </w:r>
      <w:r>
        <w:rPr>
          <w:lang w:val="en-GB"/>
        </w:rPr>
        <w:t>) Locomotor coordination was evaluated by latency to fall measured in the accelerated rotarod test before (</w:t>
      </w:r>
      <w:r>
        <w:rPr>
          <w:b/>
          <w:bCs/>
          <w:lang w:val="en-GB"/>
        </w:rPr>
        <w:t>d</w:t>
      </w:r>
      <w:r>
        <w:rPr>
          <w:lang w:val="en-GB"/>
        </w:rPr>
        <w:t>) and after (</w:t>
      </w:r>
      <w:r>
        <w:rPr>
          <w:b/>
          <w:bCs/>
          <w:lang w:val="en-GB"/>
        </w:rPr>
        <w:t>e</w:t>
      </w:r>
      <w:r>
        <w:rPr>
          <w:lang w:val="en-GB"/>
        </w:rPr>
        <w:t>) T0901317 treatment (WT: n=7 males and n=11 females; HET: n=9 for males and n=8 females; HET+T0: n=8 males and 9 females). (</w:t>
      </w:r>
      <w:r>
        <w:rPr>
          <w:b/>
          <w:bCs/>
          <w:lang w:val="en-GB"/>
        </w:rPr>
        <w:t>f, g</w:t>
      </w:r>
      <w:r>
        <w:rPr>
          <w:lang w:val="en-GB"/>
        </w:rPr>
        <w:t>) Anxiety-like behavior was assessed by the percentage of time spent in the light compartment of the Dark/Light box (WT: n=12 males and n=9 females; HET: n=7 males and females; HET+T0: n=7 males and n=8 females) (</w:t>
      </w:r>
      <w:r>
        <w:rPr>
          <w:b/>
          <w:bCs/>
          <w:lang w:val="en-GB"/>
        </w:rPr>
        <w:t>f</w:t>
      </w:r>
      <w:r>
        <w:rPr>
          <w:lang w:val="en-GB"/>
        </w:rPr>
        <w:t>), or in the open arms of the elevated O-maze (n=21 WT, n=14 HET, n=15 HET+T0) (</w:t>
      </w:r>
      <w:r>
        <w:rPr>
          <w:b/>
          <w:bCs/>
          <w:lang w:val="en-GB"/>
        </w:rPr>
        <w:t>g</w:t>
      </w:r>
      <w:r>
        <w:rPr>
          <w:lang w:val="en-GB"/>
        </w:rPr>
        <w:t>). Data are represented as mean ± SEM. Statistical analysis: two-tailed unpaired Student’s t-test (</w:t>
      </w:r>
      <w:r>
        <w:rPr>
          <w:b/>
          <w:bCs/>
          <w:lang w:val="en-GB"/>
        </w:rPr>
        <w:t>a</w:t>
      </w:r>
      <w:r>
        <w:rPr>
          <w:lang w:val="en-GB"/>
        </w:rPr>
        <w:t>), two-way repeated measures ANOVA (</w:t>
      </w:r>
      <w:r>
        <w:rPr>
          <w:b/>
          <w:bCs/>
          <w:lang w:val="en-GB"/>
        </w:rPr>
        <w:t>b, c</w:t>
      </w:r>
      <w:r w:rsidRPr="001238E0">
        <w:rPr>
          <w:bCs/>
          <w:lang w:val="en-GB"/>
        </w:rPr>
        <w:t>)</w:t>
      </w:r>
      <w:r>
        <w:rPr>
          <w:bCs/>
          <w:lang w:val="en-GB"/>
        </w:rPr>
        <w:t xml:space="preserve">, </w:t>
      </w:r>
      <w:r>
        <w:rPr>
          <w:lang w:val="en-GB"/>
        </w:rPr>
        <w:t>two-way (</w:t>
      </w:r>
      <w:r>
        <w:rPr>
          <w:b/>
          <w:bCs/>
          <w:lang w:val="en-GB"/>
        </w:rPr>
        <w:t>d, e, f</w:t>
      </w:r>
      <w:r>
        <w:rPr>
          <w:lang w:val="en-GB"/>
        </w:rPr>
        <w:t>) or one-way (</w:t>
      </w:r>
      <w:r>
        <w:rPr>
          <w:b/>
          <w:bCs/>
          <w:lang w:val="en-GB"/>
        </w:rPr>
        <w:t>g</w:t>
      </w:r>
      <w:r>
        <w:rPr>
          <w:lang w:val="en-GB"/>
        </w:rPr>
        <w:t xml:space="preserve">) ANOVA followed by Tukey’s </w:t>
      </w:r>
      <w:r>
        <w:rPr>
          <w:i/>
          <w:iCs/>
          <w:lang w:val="en-GB"/>
        </w:rPr>
        <w:t>post hoc</w:t>
      </w:r>
      <w:r>
        <w:rPr>
          <w:lang w:val="en-GB"/>
        </w:rPr>
        <w:t xml:space="preserve"> test. Group effect: * p&lt;0.05, ** p&lt;0.01, *** p&lt;0.001, **** p&lt;0.0001, ns=not significant (</w:t>
      </w:r>
      <w:r>
        <w:rPr>
          <w:b/>
          <w:bCs/>
          <w:lang w:val="en-GB"/>
        </w:rPr>
        <w:t>a-g</w:t>
      </w:r>
      <w:r>
        <w:rPr>
          <w:lang w:val="en-GB"/>
        </w:rPr>
        <w:t>). Difference between HET and HET+T0 weight: ° p&lt;0.05 (</w:t>
      </w:r>
      <w:r>
        <w:rPr>
          <w:b/>
          <w:bCs/>
          <w:lang w:val="en-GB"/>
        </w:rPr>
        <w:t>b, c</w:t>
      </w:r>
      <w:r>
        <w:rPr>
          <w:lang w:val="en-GB"/>
        </w:rPr>
        <w:t>).</w:t>
      </w:r>
    </w:p>
    <w:p w14:paraId="450CAF81" w14:textId="77777777" w:rsidR="009B6814" w:rsidRDefault="009B6814" w:rsidP="009B6814">
      <w:pPr>
        <w:rPr>
          <w:highlight w:val="yellow"/>
          <w:lang w:val="en-GB"/>
        </w:rPr>
      </w:pPr>
      <w:r>
        <w:rPr>
          <w:highlight w:val="yellow"/>
          <w:lang w:val="en-GB"/>
        </w:rPr>
        <w:br w:type="page"/>
      </w:r>
    </w:p>
    <w:p w14:paraId="12B5D470" w14:textId="77777777" w:rsidR="009B6814" w:rsidRDefault="009B6814" w:rsidP="009B6814">
      <w:pPr>
        <w:rPr>
          <w:b/>
          <w:bCs/>
          <w:lang w:val="en-GB"/>
        </w:rPr>
      </w:pPr>
      <w:r w:rsidRPr="00B6174B">
        <w:rPr>
          <w:noProof/>
          <w:lang w:eastAsia="fr-FR"/>
        </w:rPr>
        <w:lastRenderedPageBreak/>
        <w:drawing>
          <wp:inline distT="0" distB="0" distL="0" distR="0" wp14:anchorId="22089B8C" wp14:editId="3F441D7B">
            <wp:extent cx="5760720" cy="6988828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8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GB"/>
        </w:rPr>
        <w:br w:type="page"/>
      </w:r>
    </w:p>
    <w:p w14:paraId="64A387BB" w14:textId="77777777" w:rsidR="009B6814" w:rsidRPr="00197B8A" w:rsidRDefault="009B6814" w:rsidP="009B6814">
      <w:pPr>
        <w:spacing w:line="360" w:lineRule="auto"/>
        <w:jc w:val="both"/>
        <w:rPr>
          <w:lang w:val="en-GB"/>
        </w:rPr>
      </w:pPr>
      <w:r w:rsidRPr="007F049A">
        <w:rPr>
          <w:b/>
          <w:bCs/>
          <w:lang w:val="en-GB"/>
        </w:rPr>
        <w:lastRenderedPageBreak/>
        <w:t>Supplementary Figure 2</w:t>
      </w:r>
      <w:r w:rsidRPr="007F049A">
        <w:rPr>
          <w:lang w:val="en-GB"/>
        </w:rPr>
        <w:t xml:space="preserve">: </w:t>
      </w:r>
      <w:r w:rsidRPr="00F67522">
        <w:rPr>
          <w:b/>
          <w:lang w:val="en-GB"/>
        </w:rPr>
        <w:t>T0901317 rescues striatal and hippocampal synaptic gene expression and SPN identity genes</w:t>
      </w:r>
      <w:r>
        <w:rPr>
          <w:lang w:val="en-GB"/>
        </w:rPr>
        <w:t>.</w:t>
      </w:r>
      <w:r>
        <w:rPr>
          <w:b/>
          <w:bCs/>
          <w:lang w:val="en-GB"/>
        </w:rPr>
        <w:t xml:space="preserve"> </w:t>
      </w:r>
      <w:r>
        <w:rPr>
          <w:bCs/>
          <w:lang w:val="en-GB"/>
        </w:rPr>
        <w:t>(</w:t>
      </w:r>
      <w:r w:rsidRPr="007F049A">
        <w:rPr>
          <w:b/>
          <w:bCs/>
          <w:lang w:val="en-GB"/>
        </w:rPr>
        <w:t>a</w:t>
      </w:r>
      <w:r>
        <w:rPr>
          <w:bCs/>
          <w:lang w:val="en-GB"/>
        </w:rPr>
        <w:t>) Dotplots representing top enriched terms from Gene Ontology (GO) Biological Process (BP) 2023, GO Cellular Component 2023, predicted transcriptional factors (ChEA) 2022 or HD-related signature (HD signature) 2021 databases, based on genes downregulated in the striatum of HET mice and corrected by T0901317. The colour scale represents the log</w:t>
      </w:r>
      <w:r w:rsidRPr="002C6CC0">
        <w:rPr>
          <w:bCs/>
          <w:vertAlign w:val="subscript"/>
          <w:lang w:val="en-GB"/>
        </w:rPr>
        <w:t>10</w:t>
      </w:r>
      <w:r>
        <w:rPr>
          <w:bCs/>
          <w:lang w:val="en-GB"/>
        </w:rPr>
        <w:t xml:space="preserve">(1/FDR), reflecting enrichment significance. Dot size indicates the percentage of genes from the input set present in each terms. </w:t>
      </w:r>
      <w:r w:rsidRPr="00197B8A">
        <w:rPr>
          <w:bCs/>
          <w:lang w:val="en-GB"/>
        </w:rPr>
        <w:t>(</w:t>
      </w:r>
      <w:r w:rsidRPr="00197B8A">
        <w:rPr>
          <w:b/>
          <w:bCs/>
          <w:lang w:val="en-GB"/>
        </w:rPr>
        <w:t>b</w:t>
      </w:r>
      <w:r w:rsidRPr="00197B8A">
        <w:rPr>
          <w:bCs/>
          <w:lang w:val="en-GB"/>
        </w:rPr>
        <w:t xml:space="preserve">) Synaptic subcellular localisation analysis using SynGO database </w:t>
      </w:r>
      <w:r>
        <w:rPr>
          <w:bCs/>
          <w:lang w:val="en-GB"/>
        </w:rPr>
        <w:t xml:space="preserve">for </w:t>
      </w:r>
      <w:r w:rsidRPr="00197B8A">
        <w:rPr>
          <w:bCs/>
          <w:lang w:val="en-GB"/>
        </w:rPr>
        <w:t>the 199 downregulated genes in HET striatum and corrected by T0901317. (</w:t>
      </w:r>
      <w:r w:rsidRPr="00197B8A">
        <w:rPr>
          <w:b/>
          <w:bCs/>
          <w:lang w:val="en-GB"/>
        </w:rPr>
        <w:t>c</w:t>
      </w:r>
      <w:r w:rsidRPr="00197B8A">
        <w:rPr>
          <w:bCs/>
          <w:lang w:val="en-GB"/>
        </w:rPr>
        <w:t xml:space="preserve">, </w:t>
      </w:r>
      <w:r w:rsidRPr="00197B8A">
        <w:rPr>
          <w:b/>
          <w:bCs/>
          <w:lang w:val="en-GB"/>
        </w:rPr>
        <w:t>d</w:t>
      </w:r>
      <w:r w:rsidRPr="00197B8A">
        <w:rPr>
          <w:bCs/>
          <w:lang w:val="en-GB"/>
        </w:rPr>
        <w:t xml:space="preserve">) </w:t>
      </w:r>
      <w:r>
        <w:rPr>
          <w:bCs/>
          <w:lang w:val="en-GB"/>
        </w:rPr>
        <w:t>Dot plot representing t</w:t>
      </w:r>
      <w:r w:rsidRPr="00197B8A">
        <w:rPr>
          <w:bCs/>
          <w:lang w:val="en-GB"/>
        </w:rPr>
        <w:t xml:space="preserve">op </w:t>
      </w:r>
      <w:r>
        <w:rPr>
          <w:bCs/>
          <w:lang w:val="en-GB"/>
        </w:rPr>
        <w:t xml:space="preserve">enriched </w:t>
      </w:r>
      <w:r w:rsidRPr="00197B8A">
        <w:rPr>
          <w:bCs/>
          <w:lang w:val="en-GB"/>
        </w:rPr>
        <w:t xml:space="preserve">GO BP </w:t>
      </w:r>
      <w:r>
        <w:rPr>
          <w:bCs/>
          <w:lang w:val="en-GB"/>
        </w:rPr>
        <w:t xml:space="preserve">2023 </w:t>
      </w:r>
      <w:r w:rsidRPr="00197B8A">
        <w:rPr>
          <w:bCs/>
          <w:lang w:val="en-GB"/>
        </w:rPr>
        <w:t xml:space="preserve">terms </w:t>
      </w:r>
      <w:r>
        <w:rPr>
          <w:bCs/>
          <w:lang w:val="en-GB"/>
        </w:rPr>
        <w:t>for</w:t>
      </w:r>
      <w:r w:rsidRPr="00197B8A">
        <w:rPr>
          <w:bCs/>
          <w:lang w:val="en-GB"/>
        </w:rPr>
        <w:t xml:space="preserve"> downregulated genes in HET corrected by T0901317 (</w:t>
      </w:r>
      <w:r w:rsidRPr="00197B8A">
        <w:rPr>
          <w:b/>
          <w:bCs/>
          <w:lang w:val="en-GB"/>
        </w:rPr>
        <w:t>c</w:t>
      </w:r>
      <w:r w:rsidRPr="00197B8A">
        <w:rPr>
          <w:bCs/>
          <w:lang w:val="en-GB"/>
        </w:rPr>
        <w:t>) or d</w:t>
      </w:r>
      <w:r>
        <w:rPr>
          <w:bCs/>
          <w:lang w:val="en-GB"/>
        </w:rPr>
        <w:t>o</w:t>
      </w:r>
      <w:r w:rsidRPr="00197B8A">
        <w:rPr>
          <w:bCs/>
          <w:lang w:val="en-GB"/>
        </w:rPr>
        <w:t>wnregulated by T0901317 (</w:t>
      </w:r>
      <w:r w:rsidRPr="00197B8A">
        <w:rPr>
          <w:b/>
          <w:bCs/>
          <w:lang w:val="en-GB"/>
        </w:rPr>
        <w:t>d</w:t>
      </w:r>
      <w:r w:rsidRPr="00197B8A">
        <w:rPr>
          <w:bCs/>
          <w:lang w:val="en-GB"/>
        </w:rPr>
        <w:t xml:space="preserve">) in hippocampus. </w:t>
      </w:r>
      <w:r>
        <w:rPr>
          <w:bCs/>
          <w:lang w:val="en-GB"/>
        </w:rPr>
        <w:t>Enrichment scores are shown as log</w:t>
      </w:r>
      <w:r w:rsidRPr="00BC0606">
        <w:rPr>
          <w:bCs/>
          <w:vertAlign w:val="subscript"/>
          <w:lang w:val="en-GB"/>
        </w:rPr>
        <w:t>10</w:t>
      </w:r>
      <w:r>
        <w:rPr>
          <w:bCs/>
          <w:lang w:val="en-GB"/>
        </w:rPr>
        <w:t xml:space="preserve">(1/FDR), with dots representing gene-term overlap percentage. </w:t>
      </w:r>
      <w:r w:rsidRPr="00197B8A">
        <w:rPr>
          <w:bCs/>
          <w:lang w:val="en-GB"/>
        </w:rPr>
        <w:t>(</w:t>
      </w:r>
      <w:r w:rsidRPr="00197B8A">
        <w:rPr>
          <w:b/>
          <w:bCs/>
          <w:lang w:val="en-GB"/>
        </w:rPr>
        <w:t>e</w:t>
      </w:r>
      <w:r w:rsidRPr="00197B8A">
        <w:rPr>
          <w:bCs/>
          <w:lang w:val="en-GB"/>
        </w:rPr>
        <w:t xml:space="preserve">) mRNA level (RPK, reads per kilobases) of </w:t>
      </w:r>
      <w:r w:rsidRPr="00197B8A">
        <w:rPr>
          <w:bCs/>
          <w:i/>
          <w:lang w:val="en-GB"/>
        </w:rPr>
        <w:t xml:space="preserve">Bdnf </w:t>
      </w:r>
      <w:r w:rsidRPr="00197B8A">
        <w:rPr>
          <w:bCs/>
          <w:lang w:val="en-GB"/>
        </w:rPr>
        <w:t xml:space="preserve">and </w:t>
      </w:r>
      <w:r w:rsidRPr="00197B8A">
        <w:rPr>
          <w:bCs/>
          <w:i/>
          <w:lang w:val="en-GB"/>
        </w:rPr>
        <w:t xml:space="preserve">Dnmt3l </w:t>
      </w:r>
      <w:r w:rsidRPr="00197B8A">
        <w:rPr>
          <w:bCs/>
          <w:lang w:val="en-GB"/>
        </w:rPr>
        <w:t xml:space="preserve">from bulk RNAseq data in hippocampus (n=5 per group). </w:t>
      </w:r>
      <w:r w:rsidRPr="00197B8A">
        <w:rPr>
          <w:lang w:val="en-GB"/>
        </w:rPr>
        <w:t xml:space="preserve">Data are </w:t>
      </w:r>
      <w:r>
        <w:rPr>
          <w:lang w:val="en-GB"/>
        </w:rPr>
        <w:t>represented as</w:t>
      </w:r>
      <w:r w:rsidRPr="00197B8A">
        <w:rPr>
          <w:lang w:val="en-GB"/>
        </w:rPr>
        <w:t xml:space="preserve"> mean ± SEM</w:t>
      </w:r>
      <w:r>
        <w:rPr>
          <w:lang w:val="en-GB"/>
        </w:rPr>
        <w:t>,</w:t>
      </w:r>
      <w:r w:rsidRPr="00197B8A">
        <w:rPr>
          <w:lang w:val="en-GB"/>
        </w:rPr>
        <w:t xml:space="preserve"> p-value </w:t>
      </w:r>
      <w:r>
        <w:rPr>
          <w:lang w:val="en-GB"/>
        </w:rPr>
        <w:t>are from differential expression analysis.</w:t>
      </w:r>
      <w:r w:rsidRPr="00197B8A">
        <w:rPr>
          <w:lang w:val="en-GB"/>
        </w:rPr>
        <w:t xml:space="preserve"> </w:t>
      </w:r>
      <w:r>
        <w:rPr>
          <w:lang w:val="en-GB"/>
        </w:rPr>
        <w:t>For functional enrichment analysis, using EnrichR software, a significance threshold of adjusted p-value (FDR) &lt; 0.1 was used. Adjusted p-values were calculated using the Benjamini-Hochberg method for multiple testing correction.</w:t>
      </w:r>
    </w:p>
    <w:p w14:paraId="709AEFDD" w14:textId="77777777" w:rsidR="009B6814" w:rsidRDefault="009B6814" w:rsidP="009B6814">
      <w:pPr>
        <w:rPr>
          <w:highlight w:val="cyan"/>
          <w:lang w:val="en-GB"/>
        </w:rPr>
      </w:pPr>
      <w:r>
        <w:rPr>
          <w:highlight w:val="cyan"/>
          <w:lang w:val="en-GB"/>
        </w:rPr>
        <w:br w:type="page"/>
      </w:r>
    </w:p>
    <w:p w14:paraId="02F0F6D0" w14:textId="77777777" w:rsidR="009B6814" w:rsidRDefault="009B6814" w:rsidP="009B6814">
      <w:pPr>
        <w:rPr>
          <w:b/>
          <w:bCs/>
          <w:lang w:val="en-US"/>
        </w:rPr>
      </w:pPr>
      <w:r w:rsidRPr="00B6174B">
        <w:rPr>
          <w:noProof/>
          <w:lang w:eastAsia="fr-FR"/>
        </w:rPr>
        <w:lastRenderedPageBreak/>
        <w:drawing>
          <wp:inline distT="0" distB="0" distL="0" distR="0" wp14:anchorId="332BC66F" wp14:editId="3168667E">
            <wp:extent cx="5760720" cy="4311902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9310C" w14:textId="77777777" w:rsidR="009B6814" w:rsidRDefault="009B6814" w:rsidP="009B6814">
      <w:pPr>
        <w:rPr>
          <w:b/>
          <w:bCs/>
          <w:lang w:val="en-US"/>
        </w:rPr>
      </w:pPr>
    </w:p>
    <w:p w14:paraId="3A1B8F00" w14:textId="77777777" w:rsidR="009B6814" w:rsidRDefault="009B6814" w:rsidP="009B6814">
      <w:pPr>
        <w:spacing w:after="0" w:line="360" w:lineRule="auto"/>
        <w:jc w:val="both"/>
        <w:rPr>
          <w:lang w:val="en-GB"/>
        </w:rPr>
      </w:pPr>
      <w:r>
        <w:rPr>
          <w:b/>
          <w:bCs/>
          <w:lang w:val="en-US"/>
        </w:rPr>
        <w:t xml:space="preserve">Supplementary Figure 3: </w:t>
      </w:r>
      <w:r>
        <w:rPr>
          <w:b/>
          <w:bCs/>
          <w:lang w:val="en-GB"/>
        </w:rPr>
        <w:t xml:space="preserve">Characterization of molecular and cellular effects of T0901317 in HD striatum. </w:t>
      </w:r>
      <w:r>
        <w:rPr>
          <w:lang w:val="en-GB"/>
        </w:rPr>
        <w:t>(</w:t>
      </w:r>
      <w:r>
        <w:rPr>
          <w:b/>
          <w:bCs/>
          <w:lang w:val="en-GB"/>
        </w:rPr>
        <w:t>a-b</w:t>
      </w:r>
      <w:r>
        <w:rPr>
          <w:lang w:val="en-GB"/>
        </w:rPr>
        <w:t>) mRNA levels of LXR target genes (</w:t>
      </w:r>
      <w:r>
        <w:rPr>
          <w:i/>
          <w:iCs/>
          <w:lang w:val="en-GB"/>
        </w:rPr>
        <w:t>Abca1</w:t>
      </w:r>
      <w:r>
        <w:rPr>
          <w:lang w:val="en-GB"/>
        </w:rPr>
        <w:t xml:space="preserve">, </w:t>
      </w:r>
      <w:r>
        <w:rPr>
          <w:i/>
          <w:iCs/>
          <w:lang w:val="en-GB"/>
        </w:rPr>
        <w:t>ApoE</w:t>
      </w:r>
      <w:r>
        <w:rPr>
          <w:lang w:val="en-GB"/>
        </w:rPr>
        <w:t xml:space="preserve">, </w:t>
      </w:r>
      <w:r>
        <w:rPr>
          <w:i/>
          <w:iCs/>
          <w:lang w:val="en-GB"/>
        </w:rPr>
        <w:t>Abcg1</w:t>
      </w:r>
      <w:r>
        <w:rPr>
          <w:lang w:val="en-GB"/>
        </w:rPr>
        <w:t xml:space="preserve">, </w:t>
      </w:r>
      <w:r>
        <w:rPr>
          <w:i/>
          <w:iCs/>
          <w:lang w:val="en-GB"/>
        </w:rPr>
        <w:t>FasN</w:t>
      </w:r>
      <w:r>
        <w:rPr>
          <w:lang w:val="en-GB"/>
        </w:rPr>
        <w:t>) were measured in the striatum (</w:t>
      </w:r>
      <w:r>
        <w:rPr>
          <w:b/>
          <w:bCs/>
          <w:lang w:val="en-GB"/>
        </w:rPr>
        <w:t>a</w:t>
      </w:r>
      <w:r>
        <w:rPr>
          <w:lang w:val="en-GB"/>
        </w:rPr>
        <w:t>) and liver (</w:t>
      </w:r>
      <w:r>
        <w:rPr>
          <w:b/>
          <w:bCs/>
          <w:lang w:val="en-GB"/>
        </w:rPr>
        <w:t>b</w:t>
      </w:r>
      <w:r>
        <w:rPr>
          <w:lang w:val="en-GB"/>
        </w:rPr>
        <w:t xml:space="preserve">) of WT, HET and HET+T0 mice (n=5 per group) after RTqPCR relative to </w:t>
      </w:r>
      <w:r>
        <w:rPr>
          <w:i/>
          <w:iCs/>
          <w:lang w:val="en-GB"/>
        </w:rPr>
        <w:t>Hprt</w:t>
      </w:r>
      <w:r>
        <w:rPr>
          <w:lang w:val="en-GB"/>
        </w:rPr>
        <w:t xml:space="preserve"> housekeeping gene, data are normalized to the WT group. (</w:t>
      </w:r>
      <w:r>
        <w:rPr>
          <w:b/>
          <w:bCs/>
          <w:lang w:val="en-GB"/>
        </w:rPr>
        <w:t>c</w:t>
      </w:r>
      <w:r>
        <w:rPr>
          <w:lang w:val="en-GB"/>
        </w:rPr>
        <w:t>) Sections from the dorsal striatum (ST), the Nucleus Accumbens (NAc: Core and Shell) and the motor cortex (Cx) for immunostaining with EM48 (white) antibody and Hoechst labelling for nucleus (blue). Scale bare = 60 µm. (</w:t>
      </w:r>
      <w:r>
        <w:rPr>
          <w:b/>
          <w:bCs/>
          <w:lang w:val="en-GB"/>
        </w:rPr>
        <w:t>d</w:t>
      </w:r>
      <w:r>
        <w:rPr>
          <w:lang w:val="en-GB"/>
        </w:rPr>
        <w:t>) Quantification of aggregates density (number/µm</w:t>
      </w:r>
      <w:r>
        <w:rPr>
          <w:vertAlign w:val="superscript"/>
          <w:lang w:val="en-GB"/>
        </w:rPr>
        <w:t>2</w:t>
      </w:r>
      <w:r>
        <w:rPr>
          <w:lang w:val="en-GB"/>
        </w:rPr>
        <w:t xml:space="preserve">) (n=5, except for HET+T0 in shell: n=4). Data are represented as mean ± SEM. Statistical analysis: one-way ANOVA followed by Tukey’s </w:t>
      </w:r>
      <w:r>
        <w:rPr>
          <w:i/>
          <w:lang w:val="en-GB"/>
        </w:rPr>
        <w:t>post hoc</w:t>
      </w:r>
      <w:r>
        <w:rPr>
          <w:lang w:val="en-GB"/>
        </w:rPr>
        <w:t xml:space="preserve"> test (</w:t>
      </w:r>
      <w:r>
        <w:rPr>
          <w:b/>
          <w:bCs/>
          <w:lang w:val="en-GB"/>
        </w:rPr>
        <w:t>a, b</w:t>
      </w:r>
      <w:r>
        <w:rPr>
          <w:lang w:val="en-GB"/>
        </w:rPr>
        <w:t>), two-tailed unpaired Student’s t-test (</w:t>
      </w:r>
      <w:r>
        <w:rPr>
          <w:b/>
          <w:bCs/>
          <w:lang w:val="en-GB"/>
        </w:rPr>
        <w:t xml:space="preserve">d, </w:t>
      </w:r>
      <w:r w:rsidRPr="00754711">
        <w:rPr>
          <w:bCs/>
          <w:lang w:val="en-GB"/>
        </w:rPr>
        <w:t>for dorsal striatum, core and motor cortex</w:t>
      </w:r>
      <w:r>
        <w:rPr>
          <w:lang w:val="en-GB"/>
        </w:rPr>
        <w:t>) or Mann-Whitney test (</w:t>
      </w:r>
      <w:r w:rsidRPr="00754711">
        <w:rPr>
          <w:b/>
          <w:lang w:val="en-GB"/>
        </w:rPr>
        <w:t>d</w:t>
      </w:r>
      <w:r>
        <w:rPr>
          <w:lang w:val="en-GB"/>
        </w:rPr>
        <w:t>, for shell). Group effect: * p&lt;0.05, ** p&lt;0.01, *** p&lt;0.001, **** p&lt;0.0001, ns=not significant (</w:t>
      </w:r>
      <w:r>
        <w:rPr>
          <w:b/>
          <w:bCs/>
          <w:lang w:val="en-GB"/>
        </w:rPr>
        <w:t>a, b, d</w:t>
      </w:r>
      <w:r>
        <w:rPr>
          <w:lang w:val="en-GB"/>
        </w:rPr>
        <w:t xml:space="preserve">). </w:t>
      </w:r>
    </w:p>
    <w:p w14:paraId="4E49C44C" w14:textId="77777777" w:rsidR="009B6814" w:rsidRDefault="009B6814" w:rsidP="009B6814">
      <w:pPr>
        <w:rPr>
          <w:lang w:val="en-GB"/>
        </w:rPr>
      </w:pPr>
      <w:r>
        <w:rPr>
          <w:lang w:val="en-GB"/>
        </w:rPr>
        <w:br w:type="page"/>
      </w:r>
    </w:p>
    <w:p w14:paraId="7EFC7484" w14:textId="77777777" w:rsidR="009B6814" w:rsidRDefault="009B6814" w:rsidP="009B6814">
      <w:pPr>
        <w:rPr>
          <w:b/>
          <w:bCs/>
          <w:lang w:val="en-US"/>
        </w:rPr>
      </w:pPr>
      <w:r w:rsidRPr="00B6174B">
        <w:rPr>
          <w:noProof/>
          <w:lang w:eastAsia="fr-FR"/>
        </w:rPr>
        <w:lastRenderedPageBreak/>
        <w:drawing>
          <wp:inline distT="0" distB="0" distL="0" distR="0" wp14:anchorId="0D30C545" wp14:editId="230CA536">
            <wp:extent cx="5760720" cy="8111609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11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br w:type="page"/>
      </w:r>
    </w:p>
    <w:p w14:paraId="360EF526" w14:textId="77777777" w:rsidR="009B6814" w:rsidRDefault="009B6814" w:rsidP="009B6814">
      <w:pPr>
        <w:spacing w:line="360" w:lineRule="auto"/>
        <w:jc w:val="both"/>
        <w:rPr>
          <w:lang w:val="en-GB"/>
        </w:rPr>
      </w:pPr>
      <w:r>
        <w:rPr>
          <w:b/>
          <w:bCs/>
          <w:lang w:val="en-US"/>
        </w:rPr>
        <w:lastRenderedPageBreak/>
        <w:t>Supplementary Figure 4</w:t>
      </w:r>
      <w:r>
        <w:rPr>
          <w:lang w:val="en-GB"/>
        </w:rPr>
        <w:t xml:space="preserve">: </w:t>
      </w:r>
      <w:r>
        <w:rPr>
          <w:b/>
          <w:bCs/>
          <w:lang w:val="en-GB"/>
        </w:rPr>
        <w:t>Characterisation of T0901317 effect on brain structures and metabolites.</w:t>
      </w:r>
      <w:r>
        <w:rPr>
          <w:lang w:val="en-GB"/>
        </w:rPr>
        <w:t xml:space="preserve"> (</w:t>
      </w:r>
      <w:r>
        <w:rPr>
          <w:b/>
          <w:bCs/>
          <w:lang w:val="en-GB"/>
        </w:rPr>
        <w:t>a</w:t>
      </w:r>
      <w:r>
        <w:rPr>
          <w:lang w:val="en-GB"/>
        </w:rPr>
        <w:t>) Representative coronal scans obtained by structural MRI and segmentation templates overlaid. Cerebral brain region volumes (percentage of total brain volume) were measured in males (n=5 WT, n=4 HET and HET+T0) (</w:t>
      </w:r>
      <w:r>
        <w:rPr>
          <w:b/>
          <w:bCs/>
          <w:lang w:val="en-GB"/>
        </w:rPr>
        <w:t>b</w:t>
      </w:r>
      <w:r>
        <w:rPr>
          <w:lang w:val="en-GB"/>
        </w:rPr>
        <w:t>) and females (n=3 WT, n=4 HET and HET+T0) (</w:t>
      </w:r>
      <w:r>
        <w:rPr>
          <w:b/>
          <w:bCs/>
          <w:lang w:val="en-GB"/>
        </w:rPr>
        <w:t>c</w:t>
      </w:r>
      <w:r>
        <w:rPr>
          <w:lang w:val="en-GB"/>
        </w:rPr>
        <w:t xml:space="preserve">). Abbreviation for brain regions: Cx: Cortex; DG of Hipp: Dentate gyrus of hippocampus; ML/MLF: Medial lemniscus/medial longitudinal fasciculus; NAc: Nucleus </w:t>
      </w:r>
      <w:r w:rsidRPr="009374D3">
        <w:rPr>
          <w:lang w:val="en-GB"/>
        </w:rPr>
        <w:t>Accumbens; SG of Hipp: Striatum granulosum of hippocampus. (</w:t>
      </w:r>
      <w:r w:rsidRPr="009374D3">
        <w:rPr>
          <w:b/>
          <w:bCs/>
          <w:lang w:val="en-GB"/>
        </w:rPr>
        <w:t>d-g</w:t>
      </w:r>
      <w:r w:rsidRPr="009374D3">
        <w:rPr>
          <w:lang w:val="en-GB"/>
        </w:rPr>
        <w:t xml:space="preserve">) Striatal and hippocampal metabolite relative concentrations were measured in WT, HET and HET+T0 (n=6 per group) mice with </w:t>
      </w:r>
      <w:r w:rsidRPr="009374D3">
        <w:rPr>
          <w:vertAlign w:val="superscript"/>
          <w:lang w:val="en-GB"/>
        </w:rPr>
        <w:t>1</w:t>
      </w:r>
      <w:r w:rsidRPr="009374D3">
        <w:rPr>
          <w:lang w:val="en-GB"/>
        </w:rPr>
        <w:t>H-RMN. Anatomical images with</w:t>
      </w:r>
      <w:r>
        <w:rPr>
          <w:lang w:val="en-GB"/>
        </w:rPr>
        <w:t xml:space="preserve"> the acquisition voxel (green squared), and a representative </w:t>
      </w:r>
      <w:r>
        <w:rPr>
          <w:vertAlign w:val="superscript"/>
          <w:lang w:val="en-GB"/>
        </w:rPr>
        <w:t>1</w:t>
      </w:r>
      <w:r>
        <w:rPr>
          <w:lang w:val="en-GB"/>
        </w:rPr>
        <w:t>H-RMN spectrum for striatum (</w:t>
      </w:r>
      <w:r>
        <w:rPr>
          <w:b/>
          <w:bCs/>
          <w:lang w:val="en-GB"/>
        </w:rPr>
        <w:t>d</w:t>
      </w:r>
      <w:r>
        <w:rPr>
          <w:lang w:val="en-GB"/>
        </w:rPr>
        <w:t>) or hippocampus (</w:t>
      </w:r>
      <w:r>
        <w:rPr>
          <w:b/>
          <w:bCs/>
          <w:lang w:val="en-GB"/>
        </w:rPr>
        <w:t>f</w:t>
      </w:r>
      <w:r>
        <w:rPr>
          <w:lang w:val="en-GB"/>
        </w:rPr>
        <w:t>). Concentration of metabolites (GABA: γ-aminobutyrique acid; Gln: glutamine; Glu: Glutamate; Ins: Inositol; NAA: N-acetyl aspartic acid; NAAG: N-Acetylaspartylglutamate; Tau: Taurine) relative to total creatine (tCr) as an internal control (</w:t>
      </w:r>
      <w:r>
        <w:rPr>
          <w:b/>
          <w:bCs/>
          <w:lang w:val="en-GB"/>
        </w:rPr>
        <w:t>e, g</w:t>
      </w:r>
      <w:r>
        <w:rPr>
          <w:lang w:val="en-GB"/>
        </w:rPr>
        <w:t>). (</w:t>
      </w:r>
      <w:r>
        <w:rPr>
          <w:b/>
          <w:lang w:val="en-GB"/>
        </w:rPr>
        <w:t>h</w:t>
      </w:r>
      <w:r>
        <w:rPr>
          <w:lang w:val="en-GB"/>
        </w:rPr>
        <w:t>) Section from the paraventricular nucleus of hypothalamus for immunostaining against oxytocin. Scale bare = 100 µm. (</w:t>
      </w:r>
      <w:r w:rsidRPr="00F43FD8">
        <w:rPr>
          <w:b/>
          <w:lang w:val="en-GB"/>
        </w:rPr>
        <w:t>i</w:t>
      </w:r>
      <w:r>
        <w:rPr>
          <w:lang w:val="en-GB"/>
        </w:rPr>
        <w:t xml:space="preserve">) Quantification of the number neurons expressing oxytocin in the paraventricular nucleus in WT, HET and HET+T0 mice (n=5 WT and HET+T0, n=4 HET). Data are represented as mean ± SEM. Statistical analysis: two-way ANOVA followed by Tukey’s </w:t>
      </w:r>
      <w:r>
        <w:rPr>
          <w:i/>
          <w:iCs/>
          <w:lang w:val="en-GB"/>
        </w:rPr>
        <w:t>post hoc</w:t>
      </w:r>
      <w:r>
        <w:rPr>
          <w:lang w:val="en-GB"/>
        </w:rPr>
        <w:t xml:space="preserve"> test (</w:t>
      </w:r>
      <w:r>
        <w:rPr>
          <w:b/>
          <w:bCs/>
          <w:lang w:val="en-GB"/>
        </w:rPr>
        <w:t>b, c, e, g</w:t>
      </w:r>
      <w:r>
        <w:rPr>
          <w:lang w:val="en-GB"/>
        </w:rPr>
        <w:t xml:space="preserve">) or Kruskal-Wallis followed by Dunn’s </w:t>
      </w:r>
      <w:r>
        <w:rPr>
          <w:i/>
          <w:lang w:val="en-GB"/>
        </w:rPr>
        <w:t>post hoc</w:t>
      </w:r>
      <w:r>
        <w:rPr>
          <w:lang w:val="en-GB"/>
        </w:rPr>
        <w:t xml:space="preserve"> test (</w:t>
      </w:r>
      <w:r>
        <w:rPr>
          <w:b/>
          <w:lang w:val="en-GB"/>
        </w:rPr>
        <w:t>i</w:t>
      </w:r>
      <w:r>
        <w:rPr>
          <w:lang w:val="en-GB"/>
        </w:rPr>
        <w:t>). Group effect: * p&lt;0.05, ** p&lt;0.01, *** p&lt;0.001, **** p&lt;0.0001 (</w:t>
      </w:r>
      <w:r w:rsidRPr="008D1824">
        <w:rPr>
          <w:b/>
          <w:lang w:val="en-GB"/>
        </w:rPr>
        <w:t>b, c, e, g</w:t>
      </w:r>
      <w:r>
        <w:rPr>
          <w:lang w:val="en-GB"/>
        </w:rPr>
        <w:t>).</w:t>
      </w:r>
    </w:p>
    <w:p w14:paraId="76DF7CC2" w14:textId="77777777" w:rsidR="009B6814" w:rsidRDefault="009B6814" w:rsidP="009B6814">
      <w:pPr>
        <w:rPr>
          <w:lang w:val="en-GB"/>
        </w:rPr>
      </w:pPr>
      <w:r>
        <w:rPr>
          <w:lang w:val="en-GB"/>
        </w:rPr>
        <w:br w:type="page"/>
      </w:r>
    </w:p>
    <w:p w14:paraId="76C20307" w14:textId="77777777" w:rsidR="009B6814" w:rsidRDefault="009B6814" w:rsidP="009B6814">
      <w:pPr>
        <w:rPr>
          <w:b/>
          <w:bCs/>
          <w:lang w:val="en-US"/>
        </w:rPr>
      </w:pPr>
      <w:r w:rsidRPr="00B6174B">
        <w:rPr>
          <w:noProof/>
          <w:lang w:eastAsia="fr-FR"/>
        </w:rPr>
        <w:lastRenderedPageBreak/>
        <w:drawing>
          <wp:inline distT="0" distB="0" distL="0" distR="0" wp14:anchorId="372AC47C" wp14:editId="7EC0A7E7">
            <wp:extent cx="5760720" cy="8021231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2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br w:type="page"/>
      </w:r>
    </w:p>
    <w:p w14:paraId="0BFB1AC2" w14:textId="77777777" w:rsidR="009B6814" w:rsidRPr="00EA20F7" w:rsidRDefault="009B6814" w:rsidP="009B6814">
      <w:pPr>
        <w:spacing w:after="0" w:line="360" w:lineRule="auto"/>
        <w:jc w:val="both"/>
        <w:rPr>
          <w:b/>
          <w:lang w:val="en-US"/>
        </w:rPr>
      </w:pPr>
      <w:r>
        <w:rPr>
          <w:b/>
          <w:bCs/>
          <w:lang w:val="en-US"/>
        </w:rPr>
        <w:lastRenderedPageBreak/>
        <w:t xml:space="preserve">Supplementary Figure 5: </w:t>
      </w:r>
      <w:r w:rsidRPr="00C91CC8">
        <w:rPr>
          <w:b/>
          <w:lang w:val="en-US"/>
        </w:rPr>
        <w:t>Dynamic of LXR pro</w:t>
      </w:r>
      <w:r>
        <w:rPr>
          <w:b/>
          <w:lang w:val="en-US"/>
        </w:rPr>
        <w:t xml:space="preserve">tein in presence of various ligands. </w:t>
      </w:r>
      <w:r w:rsidRPr="00B007C7">
        <w:rPr>
          <w:bCs/>
          <w:lang w:val="en-GB"/>
        </w:rPr>
        <w:t>(</w:t>
      </w:r>
      <w:r>
        <w:rPr>
          <w:b/>
          <w:lang w:val="en-GB"/>
        </w:rPr>
        <w:t>a</w:t>
      </w:r>
      <w:r>
        <w:rPr>
          <w:lang w:val="en-GB"/>
        </w:rPr>
        <w:t xml:space="preserve">) </w:t>
      </w:r>
      <w:r w:rsidRPr="00C91CC8">
        <w:rPr>
          <w:lang w:val="en-US"/>
        </w:rPr>
        <w:t xml:space="preserve">Root-Mean-Square Deviation </w:t>
      </w:r>
      <w:r>
        <w:rPr>
          <w:lang w:val="en-US"/>
        </w:rPr>
        <w:t>(</w:t>
      </w:r>
      <w:r w:rsidRPr="00C91CC8">
        <w:rPr>
          <w:rFonts w:asciiTheme="minorHAnsi" w:hAnsiTheme="minorHAnsi" w:cstheme="minorHAnsi"/>
          <w:lang w:val="en-US"/>
        </w:rPr>
        <w:t>RMSD</w:t>
      </w:r>
      <w:r>
        <w:rPr>
          <w:rFonts w:asciiTheme="minorHAnsi" w:hAnsiTheme="minorHAnsi" w:cstheme="minorHAnsi"/>
          <w:lang w:val="en-US"/>
        </w:rPr>
        <w:t xml:space="preserve">) of </w:t>
      </w:r>
      <w:r>
        <w:rPr>
          <w:lang w:val="en-GB"/>
        </w:rPr>
        <w:t>LXR</w:t>
      </w:r>
      <w:r w:rsidRPr="00B007C7">
        <w:rPr>
          <w:rFonts w:ascii="Symbol" w:hAnsi="Symbol"/>
          <w:bCs/>
          <w:lang w:val="en-GB"/>
        </w:rPr>
        <w:t></w:t>
      </w:r>
      <w:r>
        <w:rPr>
          <w:rFonts w:ascii="Symbol" w:hAnsi="Symbol"/>
          <w:bCs/>
          <w:lang w:val="en-GB"/>
        </w:rPr>
        <w:t></w:t>
      </w:r>
      <w:r>
        <w:rPr>
          <w:rFonts w:asciiTheme="minorHAnsi" w:hAnsiTheme="minorHAnsi" w:cstheme="minorHAnsi"/>
          <w:lang w:val="en-US"/>
        </w:rPr>
        <w:t xml:space="preserve">in presence </w:t>
      </w:r>
      <w:r>
        <w:rPr>
          <w:lang w:val="en-GB"/>
        </w:rPr>
        <w:t xml:space="preserve">of various ligand (PFM012, PFM014 and </w:t>
      </w:r>
      <w:r w:rsidRPr="00625FF9">
        <w:rPr>
          <w:lang w:val="en-GB"/>
        </w:rPr>
        <w:t>24(S),</w:t>
      </w:r>
      <w:r>
        <w:rPr>
          <w:lang w:val="en-GB"/>
        </w:rPr>
        <w:t xml:space="preserve"> </w:t>
      </w:r>
      <w:r w:rsidRPr="00625FF9">
        <w:rPr>
          <w:lang w:val="en-GB"/>
        </w:rPr>
        <w:t>25-epoxycholesterol</w:t>
      </w:r>
      <w:r>
        <w:rPr>
          <w:lang w:val="en-GB"/>
        </w:rPr>
        <w:t xml:space="preserve"> (Co1108)). PFM014 and Co1108 showed similar profile compared to PFM012.</w:t>
      </w:r>
      <w:r w:rsidRPr="00C91CC8">
        <w:rPr>
          <w:bCs/>
          <w:lang w:val="en-GB"/>
        </w:rPr>
        <w:t xml:space="preserve"> </w:t>
      </w:r>
      <w:r w:rsidRPr="00B007C7">
        <w:rPr>
          <w:bCs/>
          <w:lang w:val="en-GB"/>
        </w:rPr>
        <w:t>(</w:t>
      </w:r>
      <w:r>
        <w:rPr>
          <w:b/>
          <w:lang w:val="en-GB"/>
        </w:rPr>
        <w:t>b</w:t>
      </w:r>
      <w:r>
        <w:rPr>
          <w:lang w:val="en-GB"/>
        </w:rPr>
        <w:t>)</w:t>
      </w:r>
      <w:r w:rsidRPr="00C91CC8">
        <w:rPr>
          <w:lang w:val="en-US"/>
        </w:rPr>
        <w:t xml:space="preserve"> </w:t>
      </w:r>
      <w:r w:rsidRPr="00B007C7">
        <w:rPr>
          <w:lang w:val="en-US"/>
        </w:rPr>
        <w:t>Root-mean-square-fluctuation</w:t>
      </w:r>
      <w:r w:rsidRPr="00B007C7">
        <w:rPr>
          <w:lang w:val="en-GB"/>
        </w:rPr>
        <w:t xml:space="preserve"> </w:t>
      </w:r>
      <w:r>
        <w:rPr>
          <w:lang w:val="en-GB"/>
        </w:rPr>
        <w:t>(RMSF) of LXR</w:t>
      </w:r>
      <w:r w:rsidRPr="00B007C7">
        <w:rPr>
          <w:rFonts w:ascii="Symbol" w:hAnsi="Symbol"/>
          <w:bCs/>
          <w:lang w:val="en-GB"/>
        </w:rPr>
        <w:t></w:t>
      </w:r>
      <w:r>
        <w:rPr>
          <w:lang w:val="en-GB"/>
        </w:rPr>
        <w:t xml:space="preserve"> AA during the 40 ns dynamics in presence of various ligand (PFM012, PFM014 and </w:t>
      </w:r>
      <w:r w:rsidRPr="00625FF9">
        <w:rPr>
          <w:lang w:val="en-GB"/>
        </w:rPr>
        <w:t>24(S),</w:t>
      </w:r>
      <w:r>
        <w:rPr>
          <w:lang w:val="en-GB"/>
        </w:rPr>
        <w:t xml:space="preserve"> </w:t>
      </w:r>
      <w:r w:rsidRPr="00625FF9">
        <w:rPr>
          <w:lang w:val="en-GB"/>
        </w:rPr>
        <w:t>25-epoxycholesterol</w:t>
      </w:r>
      <w:r>
        <w:rPr>
          <w:lang w:val="en-GB"/>
        </w:rPr>
        <w:t xml:space="preserve"> (Co1108)). </w:t>
      </w:r>
      <w:r w:rsidRPr="00B007C7">
        <w:rPr>
          <w:bCs/>
          <w:lang w:val="en-GB"/>
        </w:rPr>
        <w:t>(</w:t>
      </w:r>
      <w:r>
        <w:rPr>
          <w:b/>
          <w:lang w:val="en-GB"/>
        </w:rPr>
        <w:t>c</w:t>
      </w:r>
      <w:r>
        <w:rPr>
          <w:lang w:val="en-GB"/>
        </w:rPr>
        <w:t xml:space="preserve">) </w:t>
      </w:r>
      <w:r w:rsidRPr="00BB7A97">
        <w:rPr>
          <w:rFonts w:asciiTheme="minorHAnsi" w:hAnsiTheme="minorHAnsi" w:cstheme="minorHAnsi"/>
          <w:lang w:val="en-GB"/>
        </w:rPr>
        <w:t>Sequence</w:t>
      </w:r>
      <w:r>
        <w:rPr>
          <w:lang w:val="en-GB"/>
        </w:rPr>
        <w:t xml:space="preserve"> alignment of LXR</w:t>
      </w:r>
      <w:r>
        <w:rPr>
          <w:rFonts w:ascii="Symbol" w:hAnsi="Symbol"/>
          <w:lang w:val="en-GB"/>
        </w:rPr>
        <w:t></w:t>
      </w:r>
      <w:r>
        <w:rPr>
          <w:lang w:val="en-GB"/>
        </w:rPr>
        <w:t>, and LXR</w:t>
      </w:r>
      <w:r>
        <w:rPr>
          <w:rFonts w:ascii="Symbol" w:hAnsi="Symbol"/>
          <w:lang w:val="en-GB"/>
        </w:rPr>
        <w:t></w:t>
      </w:r>
      <w:r>
        <w:rPr>
          <w:rFonts w:ascii="Symbol" w:hAnsi="Symbol"/>
          <w:lang w:val="en-GB"/>
        </w:rPr>
        <w:t></w:t>
      </w:r>
      <w:r w:rsidRPr="00C91CC8">
        <w:rPr>
          <w:rFonts w:asciiTheme="minorHAnsi" w:hAnsiTheme="minorHAnsi" w:cstheme="minorHAnsi"/>
          <w:lang w:val="en-GB"/>
        </w:rPr>
        <w:t>and localization of LBD domain used for molecular mode</w:t>
      </w:r>
      <w:r>
        <w:rPr>
          <w:rFonts w:asciiTheme="minorHAnsi" w:hAnsiTheme="minorHAnsi" w:cstheme="minorHAnsi"/>
          <w:lang w:val="en-GB"/>
        </w:rPr>
        <w:t>l</w:t>
      </w:r>
      <w:r w:rsidRPr="00C91CC8">
        <w:rPr>
          <w:rFonts w:asciiTheme="minorHAnsi" w:hAnsiTheme="minorHAnsi" w:cstheme="minorHAnsi"/>
          <w:lang w:val="en-GB"/>
        </w:rPr>
        <w:t>ling studies.</w:t>
      </w:r>
      <w:r>
        <w:rPr>
          <w:b/>
          <w:sz w:val="24"/>
          <w:szCs w:val="24"/>
          <w:lang w:val="en-GB"/>
        </w:rPr>
        <w:br w:type="page"/>
      </w:r>
    </w:p>
    <w:p w14:paraId="3B3E37A7" w14:textId="77777777" w:rsidR="009B6814" w:rsidRDefault="009B6814" w:rsidP="009B6814">
      <w:pPr>
        <w:spacing w:after="0" w:line="36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List of tables</w:t>
      </w:r>
    </w:p>
    <w:p w14:paraId="5CE9DDD4" w14:textId="77777777" w:rsidR="009B6814" w:rsidRDefault="009B6814" w:rsidP="009B6814">
      <w:pPr>
        <w:spacing w:after="0" w:line="360" w:lineRule="auto"/>
        <w:jc w:val="both"/>
        <w:rPr>
          <w:b/>
          <w:bCs/>
          <w:lang w:val="en-US"/>
        </w:rPr>
      </w:pPr>
    </w:p>
    <w:p w14:paraId="12EFF7E4" w14:textId="77777777" w:rsidR="009B6814" w:rsidRPr="00211EAF" w:rsidRDefault="009B6814" w:rsidP="009B6814">
      <w:pPr>
        <w:spacing w:after="0" w:line="360" w:lineRule="auto"/>
        <w:jc w:val="both"/>
        <w:rPr>
          <w:bCs/>
          <w:lang w:val="en-US"/>
        </w:rPr>
      </w:pPr>
      <w:r>
        <w:rPr>
          <w:b/>
          <w:bCs/>
          <w:lang w:val="en-US"/>
        </w:rPr>
        <w:t xml:space="preserve">Supplementary Table 1: </w:t>
      </w:r>
      <w:r>
        <w:rPr>
          <w:bCs/>
          <w:lang w:val="en-US"/>
        </w:rPr>
        <w:t xml:space="preserve">Count table with Reads Per Kilobase (RPK) from striatal or hippocampal bulk RNAseq data, in the three groups WT, HET and HET+T0 (n=5/group for each structure) </w:t>
      </w:r>
      <w:r w:rsidRPr="00211EAF">
        <w:rPr>
          <w:bCs/>
          <w:lang w:val="en-US"/>
        </w:rPr>
        <w:t>(Figure 3 and Supplementary Figure 2)</w:t>
      </w:r>
    </w:p>
    <w:p w14:paraId="1B05B28F" w14:textId="77777777" w:rsidR="009B6814" w:rsidRPr="00211EAF" w:rsidRDefault="009B6814" w:rsidP="009B6814">
      <w:pPr>
        <w:spacing w:after="0" w:line="360" w:lineRule="auto"/>
        <w:jc w:val="both"/>
        <w:rPr>
          <w:bCs/>
          <w:lang w:val="en-US"/>
        </w:rPr>
      </w:pPr>
      <w:r>
        <w:rPr>
          <w:b/>
          <w:bCs/>
          <w:lang w:val="en-US"/>
        </w:rPr>
        <w:t xml:space="preserve">Supplementary Table 2: </w:t>
      </w:r>
      <w:r w:rsidRPr="00211EAF">
        <w:rPr>
          <w:bCs/>
          <w:lang w:val="en-US"/>
        </w:rPr>
        <w:t xml:space="preserve">List of </w:t>
      </w:r>
      <w:r>
        <w:rPr>
          <w:bCs/>
          <w:lang w:val="en-US"/>
        </w:rPr>
        <w:t>Differentially Expressed Genes (</w:t>
      </w:r>
      <w:r w:rsidRPr="00211EAF">
        <w:rPr>
          <w:bCs/>
          <w:lang w:val="en-US"/>
        </w:rPr>
        <w:t>DEG</w:t>
      </w:r>
      <w:r>
        <w:rPr>
          <w:bCs/>
          <w:lang w:val="en-US"/>
        </w:rPr>
        <w:t>)</w:t>
      </w:r>
      <w:r w:rsidRPr="00211EAF">
        <w:rPr>
          <w:bCs/>
          <w:lang w:val="en-US"/>
        </w:rPr>
        <w:t xml:space="preserve"> in HET striatum</w:t>
      </w:r>
      <w:r>
        <w:rPr>
          <w:bCs/>
          <w:lang w:val="en-US"/>
        </w:rPr>
        <w:t xml:space="preserve"> (ST)</w:t>
      </w:r>
      <w:r w:rsidRPr="00211EAF">
        <w:rPr>
          <w:bCs/>
          <w:lang w:val="en-US"/>
        </w:rPr>
        <w:t xml:space="preserve"> or hippocampus </w:t>
      </w:r>
      <w:r>
        <w:rPr>
          <w:bCs/>
          <w:lang w:val="en-US"/>
        </w:rPr>
        <w:t xml:space="preserve">(HP) compared to WT, </w:t>
      </w:r>
      <w:r w:rsidRPr="00211EAF">
        <w:rPr>
          <w:bCs/>
          <w:lang w:val="en-US"/>
        </w:rPr>
        <w:t xml:space="preserve">and indication </w:t>
      </w:r>
      <w:r>
        <w:rPr>
          <w:bCs/>
          <w:lang w:val="en-US"/>
        </w:rPr>
        <w:t xml:space="preserve">of </w:t>
      </w:r>
      <w:r w:rsidRPr="00211EAF">
        <w:rPr>
          <w:bCs/>
          <w:lang w:val="en-US"/>
        </w:rPr>
        <w:t>whether the</w:t>
      </w:r>
      <w:r>
        <w:rPr>
          <w:bCs/>
          <w:lang w:val="en-US"/>
        </w:rPr>
        <w:t>y</w:t>
      </w:r>
      <w:r w:rsidRPr="00211EAF">
        <w:rPr>
          <w:bCs/>
          <w:lang w:val="en-US"/>
        </w:rPr>
        <w:t xml:space="preserve"> overlap with the other tissue or with Geomic dataset</w:t>
      </w:r>
      <w:r>
        <w:rPr>
          <w:bCs/>
          <w:lang w:val="en-US"/>
        </w:rPr>
        <w:t xml:space="preserve"> pathogenic or compensatory responses.</w:t>
      </w:r>
    </w:p>
    <w:p w14:paraId="449FCB6D" w14:textId="77777777" w:rsidR="009B6814" w:rsidRPr="009374D3" w:rsidRDefault="009B6814" w:rsidP="009B6814">
      <w:pPr>
        <w:spacing w:after="0" w:line="360" w:lineRule="auto"/>
        <w:jc w:val="both"/>
        <w:rPr>
          <w:b/>
          <w:bCs/>
          <w:lang w:val="en-US"/>
        </w:rPr>
      </w:pPr>
      <w:r w:rsidRPr="009374D3">
        <w:rPr>
          <w:b/>
          <w:bCs/>
          <w:lang w:val="en-US"/>
        </w:rPr>
        <w:t xml:space="preserve">Supplementary Table 3: </w:t>
      </w:r>
      <w:r w:rsidRPr="009374D3">
        <w:rPr>
          <w:bCs/>
          <w:lang w:val="en-US"/>
        </w:rPr>
        <w:t xml:space="preserve">Top 20 pathways enriched among the HET </w:t>
      </w:r>
      <w:r w:rsidRPr="009374D3">
        <w:rPr>
          <w:bCs/>
          <w:i/>
          <w:lang w:val="en-US"/>
        </w:rPr>
        <w:t>vs</w:t>
      </w:r>
      <w:r w:rsidRPr="009374D3">
        <w:rPr>
          <w:bCs/>
          <w:lang w:val="en-US"/>
        </w:rPr>
        <w:t xml:space="preserve"> WT DEG common to the striatum and hippocampus (Fig.3a)</w:t>
      </w:r>
    </w:p>
    <w:p w14:paraId="414BE645" w14:textId="77777777" w:rsidR="009B6814" w:rsidRPr="009374D3" w:rsidRDefault="009B6814" w:rsidP="009B6814">
      <w:pPr>
        <w:spacing w:after="0" w:line="360" w:lineRule="auto"/>
        <w:jc w:val="both"/>
        <w:rPr>
          <w:bCs/>
          <w:lang w:val="en-US"/>
        </w:rPr>
      </w:pPr>
      <w:r w:rsidRPr="009374D3">
        <w:rPr>
          <w:b/>
          <w:bCs/>
          <w:lang w:val="en-US"/>
        </w:rPr>
        <w:t xml:space="preserve">Supplementary Table 4: </w:t>
      </w:r>
      <w:r w:rsidRPr="009374D3">
        <w:rPr>
          <w:bCs/>
          <w:lang w:val="en-US"/>
        </w:rPr>
        <w:t xml:space="preserve">Top 20 pathways enriched among striatal HET </w:t>
      </w:r>
      <w:r w:rsidRPr="009374D3">
        <w:rPr>
          <w:bCs/>
          <w:i/>
          <w:lang w:val="en-US"/>
        </w:rPr>
        <w:t xml:space="preserve">vs </w:t>
      </w:r>
      <w:r w:rsidRPr="009374D3">
        <w:rPr>
          <w:bCs/>
          <w:lang w:val="en-US"/>
        </w:rPr>
        <w:t>WT DEG that overlap with compensatory and pathogenic effects from the Geomic dataset (Fig.3c)</w:t>
      </w:r>
    </w:p>
    <w:p w14:paraId="17CDBE75" w14:textId="77777777" w:rsidR="009B6814" w:rsidRPr="009374D3" w:rsidRDefault="009B6814" w:rsidP="009B6814">
      <w:pPr>
        <w:spacing w:after="0" w:line="360" w:lineRule="auto"/>
        <w:jc w:val="both"/>
        <w:rPr>
          <w:bCs/>
          <w:lang w:val="en-US"/>
        </w:rPr>
      </w:pPr>
      <w:r w:rsidRPr="009374D3">
        <w:rPr>
          <w:b/>
          <w:bCs/>
          <w:lang w:val="en-US"/>
        </w:rPr>
        <w:t xml:space="preserve">Supplementary Table 5: Results of </w:t>
      </w:r>
      <w:r w:rsidRPr="009374D3">
        <w:rPr>
          <w:bCs/>
          <w:lang w:val="en-US"/>
        </w:rPr>
        <w:t xml:space="preserve">DEG analysis of striatal (ST) and hippocampal (HP) genes according to the following comparison: HET+T0 </w:t>
      </w:r>
      <w:r w:rsidRPr="009374D3">
        <w:rPr>
          <w:bCs/>
          <w:i/>
          <w:lang w:val="en-US"/>
        </w:rPr>
        <w:t>vs</w:t>
      </w:r>
      <w:r w:rsidRPr="009374D3">
        <w:rPr>
          <w:bCs/>
          <w:lang w:val="en-US"/>
        </w:rPr>
        <w:t xml:space="preserve"> HET, HET+T0 </w:t>
      </w:r>
      <w:r w:rsidRPr="009374D3">
        <w:rPr>
          <w:bCs/>
          <w:i/>
          <w:lang w:val="en-US"/>
        </w:rPr>
        <w:t>vs</w:t>
      </w:r>
      <w:r w:rsidRPr="009374D3">
        <w:rPr>
          <w:bCs/>
          <w:lang w:val="en-US"/>
        </w:rPr>
        <w:t xml:space="preserve"> WT, HET </w:t>
      </w:r>
      <w:r w:rsidRPr="009374D3">
        <w:rPr>
          <w:bCs/>
          <w:i/>
          <w:lang w:val="en-US"/>
        </w:rPr>
        <w:t xml:space="preserve">vs </w:t>
      </w:r>
      <w:r w:rsidRPr="009374D3">
        <w:rPr>
          <w:bCs/>
          <w:lang w:val="en-US"/>
        </w:rPr>
        <w:t>WT (Fig. 3a-c)</w:t>
      </w:r>
    </w:p>
    <w:p w14:paraId="4B105CBB" w14:textId="77777777" w:rsidR="009B6814" w:rsidRPr="009374D3" w:rsidRDefault="009B6814" w:rsidP="009B6814">
      <w:pPr>
        <w:spacing w:after="0" w:line="360" w:lineRule="auto"/>
        <w:jc w:val="both"/>
        <w:rPr>
          <w:bCs/>
          <w:lang w:val="en-US"/>
        </w:rPr>
      </w:pPr>
      <w:r w:rsidRPr="009374D3">
        <w:rPr>
          <w:b/>
          <w:bCs/>
          <w:lang w:val="en-US"/>
        </w:rPr>
        <w:t xml:space="preserve">Supplementary Table 6: </w:t>
      </w:r>
      <w:r w:rsidRPr="009374D3">
        <w:rPr>
          <w:bCs/>
          <w:lang w:val="en-US"/>
        </w:rPr>
        <w:t>Gene class in rescue plot (Fig.3d-e)</w:t>
      </w:r>
    </w:p>
    <w:p w14:paraId="4DC23DB0" w14:textId="77777777" w:rsidR="009B6814" w:rsidRDefault="009B6814" w:rsidP="009B6814">
      <w:pPr>
        <w:spacing w:after="0" w:line="360" w:lineRule="auto"/>
        <w:jc w:val="both"/>
        <w:rPr>
          <w:b/>
          <w:bCs/>
          <w:lang w:val="en-US"/>
        </w:rPr>
      </w:pPr>
      <w:r w:rsidRPr="009374D3">
        <w:rPr>
          <w:b/>
          <w:bCs/>
          <w:lang w:val="en-US"/>
        </w:rPr>
        <w:t xml:space="preserve">Supplementary Table 7: </w:t>
      </w:r>
      <w:r w:rsidRPr="009374D3">
        <w:rPr>
          <w:bCs/>
          <w:lang w:val="en-US"/>
        </w:rPr>
        <w:t>Top 20 pathways enriched among downregulated</w:t>
      </w:r>
      <w:r w:rsidRPr="00211EAF">
        <w:rPr>
          <w:bCs/>
          <w:lang w:val="en-US"/>
        </w:rPr>
        <w:t xml:space="preserve"> genes in HET striatum and corrected by T0901317 (Supp. Fig.2a)</w:t>
      </w:r>
      <w:r w:rsidRPr="00211EAF">
        <w:rPr>
          <w:b/>
          <w:bCs/>
          <w:lang w:val="en-US"/>
        </w:rPr>
        <w:t xml:space="preserve"> </w:t>
      </w:r>
    </w:p>
    <w:p w14:paraId="2FC554EB" w14:textId="77777777" w:rsidR="009B6814" w:rsidRPr="00211EAF" w:rsidRDefault="009B6814" w:rsidP="009B6814">
      <w:pPr>
        <w:spacing w:after="0" w:line="360" w:lineRule="auto"/>
        <w:jc w:val="both"/>
        <w:rPr>
          <w:bCs/>
          <w:lang w:val="en-US"/>
        </w:rPr>
      </w:pPr>
      <w:r>
        <w:rPr>
          <w:b/>
          <w:bCs/>
          <w:lang w:val="en-US"/>
        </w:rPr>
        <w:t xml:space="preserve">Supplementary Table 8: </w:t>
      </w:r>
      <w:r w:rsidRPr="00211EAF">
        <w:rPr>
          <w:bCs/>
          <w:lang w:val="en-US"/>
        </w:rPr>
        <w:t xml:space="preserve">Top 20 pathways enriched </w:t>
      </w:r>
      <w:r>
        <w:rPr>
          <w:bCs/>
          <w:lang w:val="en-US"/>
        </w:rPr>
        <w:t>among</w:t>
      </w:r>
      <w:r w:rsidRPr="00211EAF">
        <w:rPr>
          <w:bCs/>
          <w:lang w:val="en-US"/>
        </w:rPr>
        <w:t xml:space="preserve"> downregulated genes in HET hippocampus and corrected by T0901317 (Supp. Fig.2c)</w:t>
      </w:r>
    </w:p>
    <w:p w14:paraId="405775E4" w14:textId="77777777" w:rsidR="009B6814" w:rsidRPr="00211EAF" w:rsidRDefault="009B6814" w:rsidP="009B6814">
      <w:pPr>
        <w:spacing w:after="0" w:line="360" w:lineRule="auto"/>
        <w:jc w:val="both"/>
        <w:rPr>
          <w:bCs/>
          <w:lang w:val="en-US"/>
        </w:rPr>
      </w:pPr>
      <w:r>
        <w:rPr>
          <w:b/>
          <w:bCs/>
          <w:lang w:val="en-US"/>
        </w:rPr>
        <w:t xml:space="preserve">Supplementary Table 9: </w:t>
      </w:r>
      <w:r w:rsidRPr="00211EAF">
        <w:rPr>
          <w:bCs/>
          <w:lang w:val="en-US"/>
        </w:rPr>
        <w:t xml:space="preserve">Top 20 pathways enriched </w:t>
      </w:r>
      <w:r>
        <w:rPr>
          <w:bCs/>
          <w:lang w:val="en-US"/>
        </w:rPr>
        <w:t xml:space="preserve">among </w:t>
      </w:r>
      <w:r w:rsidRPr="00211EAF">
        <w:rPr>
          <w:bCs/>
          <w:lang w:val="en-US"/>
        </w:rPr>
        <w:t>downregulated genes in hippocampus induced by T0901317 (Supp. Fig.2d)</w:t>
      </w:r>
    </w:p>
    <w:p w14:paraId="76528058" w14:textId="77777777" w:rsidR="009B6814" w:rsidRPr="00921F51" w:rsidRDefault="009B6814" w:rsidP="009B6814">
      <w:pPr>
        <w:rPr>
          <w:b/>
          <w:sz w:val="24"/>
          <w:szCs w:val="24"/>
          <w:lang w:val="en-GB"/>
        </w:rPr>
      </w:pPr>
    </w:p>
    <w:p w14:paraId="5612ABF9" w14:textId="77777777" w:rsidR="00865217" w:rsidRDefault="00865217"/>
    <w:sectPr w:rsidR="00865217" w:rsidSect="009B6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814"/>
    <w:rsid w:val="002E281E"/>
    <w:rsid w:val="003201BB"/>
    <w:rsid w:val="00865217"/>
    <w:rsid w:val="008D232C"/>
    <w:rsid w:val="009B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98221"/>
  <w15:chartTrackingRefBased/>
  <w15:docId w15:val="{29107251-D8D2-4760-A30F-A31021A16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81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681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6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68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8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681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6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6814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6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681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6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681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68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6814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68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68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1133</Words>
  <Characters>6507</Characters>
  <Application>Microsoft Office Word</Application>
  <DocSecurity>0</DocSecurity>
  <Lines>95</Lines>
  <Paragraphs>22</Paragraphs>
  <ScaleCrop>false</ScaleCrop>
  <Company>Springer Nature</Company>
  <LinksUpToDate>false</LinksUpToDate>
  <CharactersWithSpaces>7618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2025-12-01T06:52:00Z</dcterms:created>
  <dcterms:modified xsi:type="dcterms:W3CDTF">2025-12-01T06:53:00Z</dcterms:modified>
</cp:coreProperties>
</file>