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9320F" w14:textId="371CB729" w:rsidR="00226E64" w:rsidRPr="003707A9" w:rsidRDefault="001057DC" w:rsidP="001057DC">
      <w:pPr>
        <w:jc w:val="left"/>
        <w:rPr>
          <w:sz w:val="18"/>
          <w:szCs w:val="18"/>
        </w:rPr>
      </w:pPr>
      <w:r w:rsidRPr="001057DC">
        <w:rPr>
          <w:rFonts w:ascii="Verdana" w:hAnsi="Verdana" w:cs="Arial"/>
          <w:b/>
          <w:bCs/>
          <w:sz w:val="24"/>
          <w:szCs w:val="32"/>
          <w:shd w:val="clear" w:color="auto" w:fill="FFFFFF"/>
        </w:rPr>
        <w:t>Supplementary material</w:t>
      </w:r>
      <w:r w:rsidR="00E349E3">
        <w:rPr>
          <w:noProof/>
          <w:sz w:val="18"/>
          <w:szCs w:val="18"/>
        </w:rPr>
        <w:drawing>
          <wp:inline distT="0" distB="0" distL="0" distR="0" wp14:anchorId="08F8EFDE" wp14:editId="4486AF92">
            <wp:extent cx="6186805" cy="4375785"/>
            <wp:effectExtent l="0" t="0" r="4445" b="571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805" cy="437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D48B7" w14:textId="77777777" w:rsidR="00FB0789" w:rsidRDefault="00226E64" w:rsidP="00591B35">
      <w:pPr>
        <w:rPr>
          <w:rFonts w:ascii="Verdana" w:hAnsi="Verdana" w:cs="Verdana"/>
          <w:sz w:val="18"/>
          <w:szCs w:val="18"/>
        </w:rPr>
        <w:sectPr w:rsidR="00FB0789" w:rsidSect="00845EB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0" w:name="_Toc65764928"/>
      <w:r w:rsidRPr="00ED7743">
        <w:rPr>
          <w:rFonts w:ascii="Verdana" w:hAnsi="Verdana" w:cs="Verdana" w:hint="eastAsia"/>
          <w:b/>
          <w:sz w:val="18"/>
          <w:szCs w:val="18"/>
        </w:rPr>
        <w:t xml:space="preserve">Figure </w:t>
      </w:r>
      <w:r>
        <w:rPr>
          <w:rFonts w:ascii="Verdana" w:hAnsi="Verdana" w:cs="Verdana"/>
          <w:b/>
          <w:sz w:val="18"/>
          <w:szCs w:val="18"/>
        </w:rPr>
        <w:t>S1</w:t>
      </w:r>
      <w:r w:rsidRPr="00ED7743">
        <w:rPr>
          <w:rFonts w:ascii="Verdana" w:hAnsi="Verdana" w:cs="Verdana"/>
          <w:b/>
          <w:sz w:val="18"/>
          <w:szCs w:val="18"/>
        </w:rPr>
        <w:t xml:space="preserve"> </w:t>
      </w:r>
      <w:r w:rsidRPr="00ED7743">
        <w:rPr>
          <w:rFonts w:ascii="Verdana" w:hAnsi="Verdana" w:cs="Verdana" w:hint="eastAsia"/>
          <w:b/>
          <w:sz w:val="18"/>
          <w:szCs w:val="18"/>
        </w:rPr>
        <w:t>Maps showing the d</w:t>
      </w:r>
      <w:r w:rsidRPr="00ED7743">
        <w:rPr>
          <w:rFonts w:ascii="Verdana" w:hAnsi="Verdana" w:cs="Verdana"/>
          <w:b/>
          <w:sz w:val="18"/>
          <w:szCs w:val="18"/>
        </w:rPr>
        <w:t xml:space="preserve">istribution of the sample plots </w:t>
      </w:r>
      <w:r w:rsidRPr="00ED7743">
        <w:rPr>
          <w:rFonts w:ascii="Verdana" w:hAnsi="Verdana" w:cs="Verdana" w:hint="eastAsia"/>
          <w:b/>
          <w:sz w:val="18"/>
          <w:szCs w:val="18"/>
        </w:rPr>
        <w:t xml:space="preserve">for the investigation of biomass carbon density </w:t>
      </w:r>
      <w:r w:rsidRPr="00ED7743">
        <w:rPr>
          <w:rFonts w:ascii="Verdana" w:hAnsi="Verdana" w:cs="Verdana"/>
          <w:b/>
          <w:sz w:val="18"/>
          <w:szCs w:val="18"/>
        </w:rPr>
        <w:t xml:space="preserve">for natural </w:t>
      </w:r>
      <w:bookmarkStart w:id="1" w:name="_Hlk66175370"/>
      <w:r w:rsidRPr="00ED7743">
        <w:rPr>
          <w:rFonts w:ascii="Verdana" w:hAnsi="Verdana" w:cs="Verdana"/>
          <w:b/>
          <w:sz w:val="18"/>
          <w:szCs w:val="18"/>
        </w:rPr>
        <w:t>broad-leaved and coniferous forests</w:t>
      </w:r>
      <w:r w:rsidRPr="00ED7743">
        <w:rPr>
          <w:rFonts w:ascii="Verdana" w:hAnsi="Verdana" w:cs="Verdana" w:hint="eastAsia"/>
          <w:b/>
          <w:sz w:val="18"/>
          <w:szCs w:val="18"/>
        </w:rPr>
        <w:t xml:space="preserve"> </w:t>
      </w:r>
      <w:bookmarkEnd w:id="1"/>
      <w:r w:rsidRPr="00ED7743">
        <w:rPr>
          <w:rFonts w:ascii="Verdana" w:hAnsi="Verdana" w:cs="Verdana"/>
          <w:b/>
          <w:sz w:val="18"/>
          <w:szCs w:val="18"/>
        </w:rPr>
        <w:t xml:space="preserve">in </w:t>
      </w:r>
      <w:r>
        <w:rPr>
          <w:rFonts w:ascii="Verdana" w:hAnsi="Verdana" w:cs="Verdana"/>
          <w:b/>
          <w:sz w:val="18"/>
          <w:szCs w:val="18"/>
        </w:rPr>
        <w:t>Shanxi, China</w:t>
      </w:r>
      <w:r w:rsidRPr="00ED7743">
        <w:rPr>
          <w:rFonts w:ascii="Verdana" w:hAnsi="Verdana" w:cs="Verdana"/>
          <w:b/>
          <w:sz w:val="18"/>
          <w:szCs w:val="18"/>
        </w:rPr>
        <w:t>.</w:t>
      </w:r>
      <w:r w:rsidRPr="00ED7743">
        <w:rPr>
          <w:rFonts w:ascii="Verdana" w:hAnsi="Verdana" w:cs="Verdana" w:hint="eastAsia"/>
          <w:b/>
          <w:sz w:val="18"/>
          <w:szCs w:val="18"/>
        </w:rPr>
        <w:t xml:space="preserve"> </w:t>
      </w:r>
      <w:r w:rsidRPr="00F2129B">
        <w:rPr>
          <w:rFonts w:ascii="Verdana" w:hAnsi="Verdana" w:cs="Verdana"/>
          <w:sz w:val="18"/>
          <w:szCs w:val="18"/>
        </w:rPr>
        <w:t xml:space="preserve">The number </w:t>
      </w:r>
      <w:r w:rsidRPr="00F2129B">
        <w:rPr>
          <w:rFonts w:ascii="Verdana" w:hAnsi="Verdana" w:cs="Verdana" w:hint="eastAsia"/>
          <w:sz w:val="18"/>
          <w:szCs w:val="18"/>
        </w:rPr>
        <w:t>in</w:t>
      </w:r>
      <w:r w:rsidRPr="00F2129B">
        <w:rPr>
          <w:rFonts w:ascii="Verdana" w:hAnsi="Verdana" w:cs="Verdana"/>
          <w:sz w:val="18"/>
          <w:szCs w:val="18"/>
        </w:rPr>
        <w:t xml:space="preserve"> parentheses </w:t>
      </w:r>
      <w:r w:rsidRPr="00F2129B">
        <w:rPr>
          <w:rFonts w:ascii="Verdana" w:hAnsi="Verdana" w:cs="Verdana" w:hint="eastAsia"/>
          <w:sz w:val="18"/>
          <w:szCs w:val="18"/>
        </w:rPr>
        <w:t>denotes</w:t>
      </w:r>
      <w:r w:rsidRPr="00F2129B">
        <w:rPr>
          <w:rFonts w:ascii="Verdana" w:hAnsi="Verdana" w:cs="Verdana"/>
          <w:sz w:val="18"/>
          <w:szCs w:val="18"/>
        </w:rPr>
        <w:t xml:space="preserve"> the number of </w:t>
      </w:r>
      <w:r w:rsidRPr="00F2129B">
        <w:rPr>
          <w:rFonts w:ascii="Verdana" w:hAnsi="Verdana" w:cs="Verdana" w:hint="eastAsia"/>
          <w:sz w:val="18"/>
          <w:szCs w:val="18"/>
        </w:rPr>
        <w:t xml:space="preserve">the </w:t>
      </w:r>
      <w:r w:rsidRPr="00F2129B">
        <w:rPr>
          <w:rFonts w:ascii="Verdana" w:hAnsi="Verdana" w:cs="Verdana"/>
          <w:sz w:val="18"/>
          <w:szCs w:val="18"/>
        </w:rPr>
        <w:t>sample plots.</w:t>
      </w:r>
      <w:bookmarkEnd w:id="0"/>
    </w:p>
    <w:p w14:paraId="42E255DF" w14:textId="3B5925C0" w:rsidR="00226E64" w:rsidRPr="00F2129B" w:rsidRDefault="00A42A0C" w:rsidP="00591B35">
      <w:pPr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 wp14:anchorId="6F963816" wp14:editId="286EBD19">
            <wp:extent cx="4735830" cy="1802765"/>
            <wp:effectExtent l="0" t="0" r="762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830" cy="180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8CD4F" w14:textId="323FEC2F" w:rsidR="00A42A0C" w:rsidRPr="007C1468" w:rsidRDefault="00A42A0C" w:rsidP="00591B35">
      <w:pPr>
        <w:rPr>
          <w:rFonts w:ascii="Verdana" w:hAnsi="Verdana"/>
          <w:b/>
          <w:bCs/>
          <w:sz w:val="18"/>
          <w:szCs w:val="18"/>
        </w:rPr>
        <w:sectPr w:rsidR="00A42A0C" w:rsidRPr="007C1468" w:rsidSect="00845EB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2" w:name="_Toc65764929"/>
      <w:r w:rsidRPr="007C1468">
        <w:rPr>
          <w:rFonts w:ascii="Verdana" w:hAnsi="Verdana"/>
          <w:b/>
          <w:bCs/>
          <w:color w:val="000000" w:themeColor="text1"/>
          <w:sz w:val="18"/>
          <w:szCs w:val="18"/>
        </w:rPr>
        <w:t>Figure S2</w:t>
      </w:r>
      <w:bookmarkEnd w:id="2"/>
      <w:r w:rsidR="00B70FBA" w:rsidRPr="007C1468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The exploratory structure equation models showing the </w:t>
      </w:r>
      <w:r w:rsidR="00721863" w:rsidRPr="007C1468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geographical, climatic and stand </w:t>
      </w:r>
      <w:r w:rsidR="00B70FBA" w:rsidRPr="007C1468">
        <w:rPr>
          <w:rFonts w:ascii="Verdana" w:hAnsi="Verdana"/>
          <w:b/>
          <w:bCs/>
          <w:color w:val="000000" w:themeColor="text1"/>
          <w:sz w:val="18"/>
          <w:szCs w:val="18"/>
        </w:rPr>
        <w:t>factors that have direct and indirect effects on BCD (biomass carbon density) of natural broad-leaved and coniferous forests in Shanxi, China</w:t>
      </w:r>
      <w:r w:rsidR="004B383E" w:rsidRPr="007C1468">
        <w:rPr>
          <w:rFonts w:ascii="Verdana" w:hAnsi="Verdana"/>
          <w:b/>
          <w:bCs/>
          <w:color w:val="000000" w:themeColor="text1"/>
          <w:sz w:val="18"/>
          <w:szCs w:val="18"/>
        </w:rPr>
        <w:t>.</w:t>
      </w:r>
      <w:r w:rsidR="00B70FBA" w:rsidRPr="007C1468">
        <w:rPr>
          <w:rFonts w:ascii="Verdana" w:hAnsi="Verdana"/>
          <w:b/>
          <w:bCs/>
          <w:sz w:val="18"/>
          <w:szCs w:val="18"/>
        </w:rPr>
        <w:t xml:space="preserve"> </w:t>
      </w:r>
    </w:p>
    <w:p w14:paraId="312AF148" w14:textId="74E09849" w:rsidR="00226E64" w:rsidRDefault="002021FF" w:rsidP="00D67BB0">
      <w:pPr>
        <w:jc w:val="left"/>
      </w:pPr>
      <w:r>
        <w:rPr>
          <w:noProof/>
        </w:rPr>
        <w:lastRenderedPageBreak/>
        <w:drawing>
          <wp:inline distT="0" distB="0" distL="0" distR="0" wp14:anchorId="46FA4E70" wp14:editId="545FA8EE">
            <wp:extent cx="6175375" cy="208407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5375" cy="208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E7DF0" w14:textId="4EA974B0" w:rsidR="00076369" w:rsidRPr="004B383E" w:rsidRDefault="008A38C4" w:rsidP="00591B35">
      <w:pPr>
        <w:rPr>
          <w:rFonts w:ascii="Verdana" w:hAnsi="Verdana"/>
          <w:b/>
          <w:bCs/>
          <w:sz w:val="18"/>
          <w:szCs w:val="18"/>
        </w:rPr>
        <w:sectPr w:rsidR="00076369" w:rsidRPr="004B383E" w:rsidSect="00845EB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3" w:name="_Toc65764930"/>
      <w:r w:rsidRPr="004B383E">
        <w:rPr>
          <w:rFonts w:ascii="Verdana" w:hAnsi="Verdana"/>
          <w:b/>
          <w:bCs/>
          <w:sz w:val="18"/>
          <w:szCs w:val="18"/>
        </w:rPr>
        <w:t>Figure S3</w:t>
      </w:r>
      <w:r w:rsidR="006927E2" w:rsidRPr="004B383E">
        <w:rPr>
          <w:rFonts w:ascii="Verdana" w:hAnsi="Verdana"/>
          <w:b/>
          <w:bCs/>
          <w:sz w:val="18"/>
          <w:szCs w:val="18"/>
        </w:rPr>
        <w:t xml:space="preserve"> </w:t>
      </w:r>
      <w:bookmarkEnd w:id="3"/>
      <w:r w:rsidR="001B08B8" w:rsidRPr="004B383E">
        <w:rPr>
          <w:rFonts w:ascii="Verdana" w:hAnsi="Verdana"/>
          <w:b/>
          <w:bCs/>
          <w:sz w:val="18"/>
          <w:szCs w:val="18"/>
        </w:rPr>
        <w:t xml:space="preserve">The good-fitting structure equation models showing the factors that have direct and indirect effects on biomass carbon density of </w:t>
      </w:r>
      <w:r w:rsidR="00411646" w:rsidRPr="004B383E">
        <w:rPr>
          <w:rFonts w:ascii="Verdana" w:hAnsi="Verdana"/>
          <w:b/>
          <w:bCs/>
          <w:sz w:val="18"/>
          <w:szCs w:val="18"/>
        </w:rPr>
        <w:t xml:space="preserve">broad-leaved (left) and </w:t>
      </w:r>
      <w:r w:rsidR="001B08B8" w:rsidRPr="004B383E">
        <w:rPr>
          <w:rFonts w:ascii="Verdana" w:hAnsi="Verdana"/>
          <w:b/>
          <w:bCs/>
          <w:sz w:val="18"/>
          <w:szCs w:val="18"/>
        </w:rPr>
        <w:t>coniferous</w:t>
      </w:r>
      <w:r w:rsidR="00411646" w:rsidRPr="004B383E">
        <w:rPr>
          <w:rFonts w:ascii="Verdana" w:hAnsi="Verdana"/>
          <w:b/>
          <w:bCs/>
          <w:sz w:val="18"/>
          <w:szCs w:val="18"/>
        </w:rPr>
        <w:t xml:space="preserve"> (right)</w:t>
      </w:r>
      <w:r w:rsidR="001B08B8" w:rsidRPr="004B383E">
        <w:rPr>
          <w:rFonts w:ascii="Verdana" w:hAnsi="Verdana"/>
          <w:b/>
          <w:bCs/>
          <w:sz w:val="18"/>
          <w:szCs w:val="18"/>
        </w:rPr>
        <w:t xml:space="preserve"> forests in Shanxi, China</w:t>
      </w:r>
      <w:r w:rsidR="00C710FD" w:rsidRPr="004B383E">
        <w:rPr>
          <w:rFonts w:ascii="Verdana" w:hAnsi="Verdana"/>
          <w:b/>
          <w:bCs/>
          <w:sz w:val="18"/>
          <w:szCs w:val="18"/>
        </w:rPr>
        <w:t>.</w:t>
      </w:r>
      <w:r w:rsidR="00C710FD" w:rsidRPr="004B383E">
        <w:rPr>
          <w:rFonts w:ascii="Verdana" w:hAnsi="Verdana"/>
          <w:sz w:val="18"/>
          <w:szCs w:val="18"/>
        </w:rPr>
        <w:t xml:space="preserve"> LAT, latitude;</w:t>
      </w:r>
      <w:r w:rsidR="000123E4" w:rsidRPr="004B383E">
        <w:rPr>
          <w:rFonts w:ascii="Verdana" w:hAnsi="Verdana"/>
          <w:sz w:val="18"/>
          <w:szCs w:val="18"/>
        </w:rPr>
        <w:t xml:space="preserve"> ELE, elevation; TEMP, annual mean air temperature;</w:t>
      </w:r>
      <w:r w:rsidR="00C710FD" w:rsidRPr="004B383E">
        <w:rPr>
          <w:rFonts w:ascii="Verdana" w:hAnsi="Verdana"/>
          <w:sz w:val="18"/>
          <w:szCs w:val="18"/>
        </w:rPr>
        <w:t xml:space="preserve"> PRCP, annual mean precipitation</w:t>
      </w:r>
      <w:r w:rsidR="000123E4" w:rsidRPr="004B383E">
        <w:rPr>
          <w:rFonts w:ascii="Verdana" w:hAnsi="Verdana"/>
          <w:sz w:val="18"/>
          <w:szCs w:val="18"/>
        </w:rPr>
        <w:t>; AGE, stand age; COV, stand coverage; TYPE: forest types.</w:t>
      </w:r>
      <w:r w:rsidR="00C710FD" w:rsidRPr="004B383E">
        <w:rPr>
          <w:rFonts w:ascii="Verdana" w:hAnsi="Verdana"/>
          <w:sz w:val="18"/>
          <w:szCs w:val="18"/>
        </w:rPr>
        <w:t xml:space="preserve"> Indicators for a </w:t>
      </w:r>
      <w:r w:rsidR="00C710FD" w:rsidRPr="004B383E">
        <w:rPr>
          <w:rFonts w:ascii="Verdana" w:hAnsi="Verdana"/>
          <w:bCs/>
          <w:sz w:val="18"/>
          <w:szCs w:val="18"/>
        </w:rPr>
        <w:t>good-fitting</w:t>
      </w:r>
      <w:r w:rsidR="00C710FD" w:rsidRPr="004B383E">
        <w:rPr>
          <w:rFonts w:ascii="Verdana" w:hAnsi="Verdana"/>
          <w:sz w:val="18"/>
          <w:szCs w:val="18"/>
        </w:rPr>
        <w:t xml:space="preserve"> </w:t>
      </w:r>
      <w:r w:rsidR="00C710FD" w:rsidRPr="004B383E">
        <w:rPr>
          <w:rFonts w:ascii="Verdana" w:hAnsi="Verdana"/>
          <w:bCs/>
          <w:sz w:val="18"/>
          <w:szCs w:val="18"/>
        </w:rPr>
        <w:t xml:space="preserve">model are an insignificant </w:t>
      </w:r>
      <w:r w:rsidR="00C710FD" w:rsidRPr="004B383E">
        <w:rPr>
          <w:rFonts w:ascii="Verdana" w:hAnsi="Verdana"/>
          <w:sz w:val="18"/>
          <w:szCs w:val="18"/>
        </w:rPr>
        <w:t>χ</w:t>
      </w:r>
      <w:r w:rsidR="00C710FD" w:rsidRPr="004B383E">
        <w:rPr>
          <w:rFonts w:ascii="Verdana" w:hAnsi="Verdana"/>
          <w:sz w:val="18"/>
          <w:szCs w:val="18"/>
          <w:vertAlign w:val="superscript"/>
        </w:rPr>
        <w:t>2</w:t>
      </w:r>
      <w:r w:rsidR="00C710FD" w:rsidRPr="004B383E">
        <w:rPr>
          <w:rFonts w:ascii="Verdana" w:hAnsi="Verdana"/>
          <w:sz w:val="18"/>
          <w:szCs w:val="18"/>
        </w:rPr>
        <w:t xml:space="preserve"> test statistic (</w:t>
      </w:r>
      <w:r w:rsidR="00C710FD" w:rsidRPr="004B383E">
        <w:rPr>
          <w:rFonts w:ascii="Verdana" w:hAnsi="Verdana"/>
          <w:i/>
          <w:sz w:val="18"/>
          <w:szCs w:val="18"/>
        </w:rPr>
        <w:t>P</w:t>
      </w:r>
      <w:r w:rsidR="00C710FD" w:rsidRPr="004B383E">
        <w:rPr>
          <w:rFonts w:ascii="Verdana" w:hAnsi="Verdana"/>
          <w:sz w:val="18"/>
          <w:szCs w:val="18"/>
        </w:rPr>
        <w:t xml:space="preserve"> &gt; 0.05; indicating that sample and observed covariance matrices are statistically indistinguishable), CFI &gt; 0.95 and RMSEA &lt; 0.08 (Grace et al., 2016; Hoyle, 2012). In the good-fitting model</w:t>
      </w:r>
      <w:r w:rsidR="00C710FD" w:rsidRPr="004B383E">
        <w:rPr>
          <w:rFonts w:ascii="Verdana" w:hAnsi="Verdana"/>
          <w:bCs/>
          <w:sz w:val="18"/>
          <w:szCs w:val="18"/>
        </w:rPr>
        <w:t xml:space="preserve">, </w:t>
      </w:r>
      <w:r w:rsidR="00C710FD" w:rsidRPr="004B383E">
        <w:rPr>
          <w:rFonts w:ascii="Verdana" w:hAnsi="Verdana"/>
          <w:sz w:val="18"/>
          <w:szCs w:val="18"/>
        </w:rPr>
        <w:t>solid arrows indicate significant paths (</w:t>
      </w:r>
      <w:r w:rsidR="00C710FD" w:rsidRPr="004B383E">
        <w:rPr>
          <w:rFonts w:ascii="Verdana" w:hAnsi="Verdana"/>
          <w:i/>
          <w:sz w:val="18"/>
          <w:szCs w:val="18"/>
        </w:rPr>
        <w:t>P</w:t>
      </w:r>
      <w:r w:rsidR="00C710FD" w:rsidRPr="004B383E">
        <w:rPr>
          <w:rFonts w:ascii="Verdana" w:hAnsi="Verdana"/>
          <w:sz w:val="18"/>
          <w:szCs w:val="18"/>
        </w:rPr>
        <w:t xml:space="preserve"> &lt; 0.05), while dashed arrows are non-significant paths. The numbers along the arrows are standardized regression weights indicating the effect size (black, significant; grey, non-significant). The thickness of the arrow is proportion to the size of the effect</w:t>
      </w:r>
      <w:r w:rsidR="002D7514" w:rsidRPr="004B383E">
        <w:rPr>
          <w:rFonts w:ascii="Verdana" w:hAnsi="Verdana"/>
          <w:sz w:val="18"/>
          <w:szCs w:val="18"/>
        </w:rPr>
        <w:t>.</w:t>
      </w:r>
    </w:p>
    <w:p w14:paraId="269826CD" w14:textId="72C6F752" w:rsidR="008A38C4" w:rsidRDefault="00076369" w:rsidP="00591B35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7E51DE46" wp14:editId="673B8E17">
            <wp:extent cx="3788595" cy="530524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3209" cy="531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B055D" w14:textId="760B9FBF" w:rsidR="00076369" w:rsidRPr="00BB02E6" w:rsidRDefault="006B2DC2" w:rsidP="00591B35">
      <w:pPr>
        <w:rPr>
          <w:b/>
          <w:bCs/>
        </w:rPr>
      </w:pPr>
      <w:bookmarkStart w:id="4" w:name="_Toc65764931"/>
      <w:r>
        <w:rPr>
          <w:rFonts w:ascii="Verdana" w:hAnsi="Verdana" w:cs="Verdana"/>
          <w:b/>
          <w:sz w:val="18"/>
          <w:szCs w:val="18"/>
        </w:rPr>
        <w:t>Figure S4 T</w:t>
      </w:r>
      <w:r w:rsidRPr="00731021">
        <w:rPr>
          <w:rFonts w:ascii="Verdana" w:hAnsi="Verdana" w:cs="Verdana"/>
          <w:b/>
          <w:sz w:val="18"/>
          <w:szCs w:val="18"/>
        </w:rPr>
        <w:t>he plot showing the changes of different factors with the hot spots groups at different significant levels (right) of natural broad-leaved and coniferous forests</w:t>
      </w:r>
      <w:r w:rsidRPr="009A409F">
        <w:rPr>
          <w:rFonts w:ascii="Verdana" w:hAnsi="Verdana" w:cs="Verdana"/>
          <w:b/>
          <w:sz w:val="18"/>
          <w:szCs w:val="18"/>
        </w:rPr>
        <w:t xml:space="preserve"> in Shanxi</w:t>
      </w:r>
      <w:r>
        <w:rPr>
          <w:rFonts w:ascii="Verdana" w:hAnsi="Verdana" w:cs="Verdana"/>
          <w:b/>
          <w:sz w:val="18"/>
          <w:szCs w:val="18"/>
        </w:rPr>
        <w:t>, China</w:t>
      </w:r>
      <w:r w:rsidRPr="00731021">
        <w:rPr>
          <w:rFonts w:ascii="Verdana" w:hAnsi="Verdana" w:cs="Verdana"/>
          <w:b/>
          <w:sz w:val="18"/>
          <w:szCs w:val="18"/>
        </w:rPr>
        <w:t>.</w:t>
      </w:r>
      <w:r w:rsidRPr="00731021">
        <w:rPr>
          <w:rFonts w:ascii="Verdana" w:hAnsi="Verdana" w:cs="Verdana"/>
          <w:sz w:val="18"/>
          <w:szCs w:val="18"/>
        </w:rPr>
        <w:t xml:space="preserve"> ELE: elevation, LAT: latitude, TEMP; temperature, PRCP: precipitation</w:t>
      </w:r>
      <w:bookmarkEnd w:id="4"/>
    </w:p>
    <w:sectPr w:rsidR="00076369" w:rsidRPr="00BB02E6" w:rsidSect="00845EB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AFF66" w14:textId="77777777" w:rsidR="00713600" w:rsidRDefault="00713600" w:rsidP="00713600">
      <w:r>
        <w:separator/>
      </w:r>
    </w:p>
  </w:endnote>
  <w:endnote w:type="continuationSeparator" w:id="0">
    <w:p w14:paraId="105599E3" w14:textId="77777777" w:rsidR="00713600" w:rsidRDefault="00713600" w:rsidP="00713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24F70" w14:textId="77777777" w:rsidR="00713600" w:rsidRDefault="00713600" w:rsidP="00713600">
      <w:r>
        <w:separator/>
      </w:r>
    </w:p>
  </w:footnote>
  <w:footnote w:type="continuationSeparator" w:id="0">
    <w:p w14:paraId="2745DD8B" w14:textId="77777777" w:rsidR="00713600" w:rsidRDefault="00713600" w:rsidP="007136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2trQwN7UwNrMwNDVS0lEKTi0uzszPAykwqgUAHPGZfSwAAAA="/>
  </w:docVars>
  <w:rsids>
    <w:rsidRoot w:val="00B61DB7"/>
    <w:rsid w:val="00010879"/>
    <w:rsid w:val="000123E4"/>
    <w:rsid w:val="00076369"/>
    <w:rsid w:val="000F56FC"/>
    <w:rsid w:val="001057DC"/>
    <w:rsid w:val="00131415"/>
    <w:rsid w:val="00144FC9"/>
    <w:rsid w:val="00152BC9"/>
    <w:rsid w:val="001B08B8"/>
    <w:rsid w:val="002021FF"/>
    <w:rsid w:val="00226E64"/>
    <w:rsid w:val="00243C97"/>
    <w:rsid w:val="00251DD0"/>
    <w:rsid w:val="002A3FB7"/>
    <w:rsid w:val="002A7A92"/>
    <w:rsid w:val="002B0919"/>
    <w:rsid w:val="002D7514"/>
    <w:rsid w:val="003316BC"/>
    <w:rsid w:val="00351829"/>
    <w:rsid w:val="003C30C7"/>
    <w:rsid w:val="00411646"/>
    <w:rsid w:val="004B383E"/>
    <w:rsid w:val="00520150"/>
    <w:rsid w:val="00524A25"/>
    <w:rsid w:val="0059174D"/>
    <w:rsid w:val="00591B35"/>
    <w:rsid w:val="005A4D4C"/>
    <w:rsid w:val="005F409C"/>
    <w:rsid w:val="006927E2"/>
    <w:rsid w:val="006B2DC2"/>
    <w:rsid w:val="00710105"/>
    <w:rsid w:val="00713600"/>
    <w:rsid w:val="00721863"/>
    <w:rsid w:val="007C1468"/>
    <w:rsid w:val="007F2461"/>
    <w:rsid w:val="00821066"/>
    <w:rsid w:val="00830470"/>
    <w:rsid w:val="00845EB0"/>
    <w:rsid w:val="00855A79"/>
    <w:rsid w:val="00860EEB"/>
    <w:rsid w:val="00890427"/>
    <w:rsid w:val="008A1C76"/>
    <w:rsid w:val="008A38C4"/>
    <w:rsid w:val="008B0C06"/>
    <w:rsid w:val="008E1D30"/>
    <w:rsid w:val="008E5BCF"/>
    <w:rsid w:val="009769A2"/>
    <w:rsid w:val="009A0037"/>
    <w:rsid w:val="009A7442"/>
    <w:rsid w:val="009D34F8"/>
    <w:rsid w:val="00A42A0C"/>
    <w:rsid w:val="00A60BE5"/>
    <w:rsid w:val="00A63695"/>
    <w:rsid w:val="00B61DB7"/>
    <w:rsid w:val="00B66423"/>
    <w:rsid w:val="00B70FBA"/>
    <w:rsid w:val="00B76760"/>
    <w:rsid w:val="00B87744"/>
    <w:rsid w:val="00BB02E6"/>
    <w:rsid w:val="00BB32EA"/>
    <w:rsid w:val="00BB330B"/>
    <w:rsid w:val="00BE2041"/>
    <w:rsid w:val="00BE27E1"/>
    <w:rsid w:val="00C206A0"/>
    <w:rsid w:val="00C374E2"/>
    <w:rsid w:val="00C64060"/>
    <w:rsid w:val="00C710FD"/>
    <w:rsid w:val="00C837DE"/>
    <w:rsid w:val="00C8616E"/>
    <w:rsid w:val="00CD57A9"/>
    <w:rsid w:val="00D67BB0"/>
    <w:rsid w:val="00DA25A6"/>
    <w:rsid w:val="00DE2A83"/>
    <w:rsid w:val="00E349E3"/>
    <w:rsid w:val="00E44155"/>
    <w:rsid w:val="00E46989"/>
    <w:rsid w:val="00E945BB"/>
    <w:rsid w:val="00EC75EB"/>
    <w:rsid w:val="00F16255"/>
    <w:rsid w:val="00F951B6"/>
    <w:rsid w:val="00FB0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4B6623F2"/>
  <w15:chartTrackingRefBased/>
  <w15:docId w15:val="{25E21C74-BB2C-404F-AA39-8AB50DFC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Cs w:val="24"/>
    </w:rPr>
  </w:style>
  <w:style w:type="paragraph" w:styleId="1">
    <w:name w:val="heading 1"/>
    <w:basedOn w:val="a"/>
    <w:next w:val="a"/>
    <w:link w:val="10"/>
    <w:qFormat/>
    <w:rsid w:val="002A7A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rsid w:val="00131415"/>
    <w:pPr>
      <w:tabs>
        <w:tab w:val="right" w:leader="dot" w:pos="8296"/>
      </w:tabs>
    </w:pPr>
    <w:rPr>
      <w:noProof/>
      <w:color w:val="000000"/>
    </w:rPr>
  </w:style>
  <w:style w:type="paragraph" w:styleId="TOC2">
    <w:name w:val="toc 2"/>
    <w:basedOn w:val="a"/>
    <w:next w:val="a"/>
    <w:autoRedefine/>
    <w:rsid w:val="00131415"/>
    <w:pPr>
      <w:ind w:leftChars="200" w:left="420"/>
    </w:pPr>
  </w:style>
  <w:style w:type="paragraph" w:styleId="TOC3">
    <w:name w:val="toc 3"/>
    <w:basedOn w:val="a"/>
    <w:next w:val="a"/>
    <w:autoRedefine/>
    <w:rsid w:val="00131415"/>
    <w:pPr>
      <w:ind w:leftChars="400" w:left="840"/>
    </w:pPr>
  </w:style>
  <w:style w:type="character" w:customStyle="1" w:styleId="10">
    <w:name w:val="标题 1 字符"/>
    <w:basedOn w:val="a0"/>
    <w:link w:val="1"/>
    <w:rsid w:val="002A7A92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2A7A9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styleId="a3">
    <w:name w:val="Hyperlink"/>
    <w:basedOn w:val="a0"/>
    <w:uiPriority w:val="99"/>
    <w:unhideWhenUsed/>
    <w:rsid w:val="002A7A92"/>
    <w:rPr>
      <w:color w:val="0563C1" w:themeColor="hyperlink"/>
      <w:u w:val="single"/>
    </w:rPr>
  </w:style>
  <w:style w:type="paragraph" w:styleId="a4">
    <w:name w:val="header"/>
    <w:basedOn w:val="a"/>
    <w:link w:val="a5"/>
    <w:rsid w:val="007136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13600"/>
    <w:rPr>
      <w:sz w:val="18"/>
      <w:szCs w:val="18"/>
    </w:rPr>
  </w:style>
  <w:style w:type="paragraph" w:styleId="a6">
    <w:name w:val="footer"/>
    <w:basedOn w:val="a"/>
    <w:link w:val="a7"/>
    <w:rsid w:val="007136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136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652EA-03E5-4FE0-B6E1-FE9999658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2451</TotalTime>
  <Pages>4</Pages>
  <Words>247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fanxiaohui</dc:creator>
  <cp:keywords/>
  <dc:description/>
  <cp:lastModifiedBy>fanxiaohui</cp:lastModifiedBy>
  <cp:revision>107</cp:revision>
  <dcterms:created xsi:type="dcterms:W3CDTF">2021-03-03T06:20:00Z</dcterms:created>
  <dcterms:modified xsi:type="dcterms:W3CDTF">2021-08-04T05:24:00Z</dcterms:modified>
</cp:coreProperties>
</file>