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77DD" w:rsidRDefault="001077DD" w:rsidP="001077DD">
      <w:pPr>
        <w:rPr>
          <w:rFonts w:ascii="Arial" w:hAnsi="Arial" w:cs="Arial"/>
          <w:b/>
          <w:bCs/>
          <w:sz w:val="20"/>
          <w:szCs w:val="20"/>
        </w:rPr>
      </w:pPr>
      <w:bookmarkStart w:id="0" w:name="_Hlk206962979"/>
      <w:r>
        <w:rPr>
          <w:rFonts w:ascii="Arial" w:hAnsi="Arial" w:cs="Arial"/>
          <w:b/>
          <w:bCs/>
          <w:sz w:val="20"/>
          <w:szCs w:val="20"/>
        </w:rPr>
        <w:t>Supplementary materials</w:t>
      </w:r>
    </w:p>
    <w:p w:rsidR="001077DD" w:rsidRDefault="001077DD" w:rsidP="001077DD">
      <w:pPr>
        <w:rPr>
          <w:rFonts w:ascii="Arial" w:hAnsi="Arial" w:cs="Arial"/>
          <w:sz w:val="18"/>
          <w:szCs w:val="18"/>
        </w:rPr>
      </w:pPr>
      <w:bookmarkStart w:id="1" w:name="补表1"/>
      <w:r>
        <w:rPr>
          <w:rFonts w:ascii="Arial" w:hAnsi="Arial" w:cs="Arial"/>
          <w:b/>
          <w:bCs/>
          <w:sz w:val="18"/>
          <w:szCs w:val="18"/>
        </w:rPr>
        <w:t xml:space="preserve">Supplementary Table 1. </w:t>
      </w:r>
      <w:r>
        <w:rPr>
          <w:rFonts w:ascii="Arial" w:hAnsi="Arial" w:cs="Arial"/>
          <w:sz w:val="18"/>
          <w:szCs w:val="18"/>
        </w:rPr>
        <w:t xml:space="preserve">Baseline characteristics in patients with </w:t>
      </w:r>
      <w:r>
        <w:rPr>
          <w:rFonts w:ascii="Arial" w:hAnsi="Arial" w:cs="Arial" w:hint="eastAsia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N0</w:t>
      </w:r>
      <w:r>
        <w:rPr>
          <w:rFonts w:ascii="Arial" w:hAnsi="Arial" w:cs="Arial" w:hint="eastAsia"/>
          <w:sz w:val="18"/>
          <w:szCs w:val="18"/>
        </w:rPr>
        <w:t xml:space="preserve"> disease</w:t>
      </w:r>
      <w:r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50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5"/>
        <w:gridCol w:w="1345"/>
        <w:gridCol w:w="1184"/>
        <w:gridCol w:w="1173"/>
        <w:gridCol w:w="1379"/>
      </w:tblGrid>
      <w:tr w:rsidR="001077DD" w:rsidTr="003405AB">
        <w:trPr>
          <w:trHeight w:val="90"/>
          <w:tblHeader/>
        </w:trPr>
        <w:tc>
          <w:tcPr>
            <w:tcW w:w="3225" w:type="dxa"/>
            <w:vMerge w:val="restart"/>
            <w:tcBorders>
              <w:top w:val="single" w:sz="12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370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spacing w:before="20" w:after="20"/>
              <w:ind w:left="20" w:right="20"/>
              <w:jc w:val="center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ypN0</w:t>
            </w:r>
          </w:p>
        </w:tc>
        <w:tc>
          <w:tcPr>
            <w:tcW w:w="1379" w:type="dxa"/>
            <w:vMerge w:val="restart"/>
            <w:tcBorders>
              <w:top w:val="single" w:sz="12" w:space="0" w:color="auto"/>
            </w:tcBorders>
            <w:vAlign w:val="center"/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-value</w:t>
            </w:r>
          </w:p>
        </w:tc>
      </w:tr>
      <w:tr w:rsidR="001077DD" w:rsidTr="003405AB">
        <w:trPr>
          <w:tblHeader/>
        </w:trPr>
        <w:tc>
          <w:tcPr>
            <w:tcW w:w="3225" w:type="dxa"/>
            <w:vMerge/>
            <w:tcBorders>
              <w:bottom w:val="single" w:sz="6" w:space="0" w:color="auto"/>
            </w:tcBorders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Overall,</w:t>
            </w: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N=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</w:rPr>
              <w:t>302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18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Yes, N=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</w:rPr>
              <w:t>274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17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No, N=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</w:rPr>
              <w:t>28</w:t>
            </w: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379" w:type="dxa"/>
            <w:vMerge/>
            <w:tcBorders>
              <w:bottom w:val="single" w:sz="6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Age at diagnos</w:t>
            </w:r>
            <w:r>
              <w:rPr>
                <w:rFonts w:ascii="Arial" w:eastAsia="DejaVu Sans" w:hAnsi="Arial" w:cs="Arial" w:hint="eastAsia"/>
                <w:b/>
                <w:color w:val="000000"/>
                <w:sz w:val="18"/>
                <w:szCs w:val="18"/>
              </w:rPr>
              <w:t>is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 xml:space="preserve"> (years)</w:t>
            </w:r>
          </w:p>
        </w:tc>
        <w:tc>
          <w:tcPr>
            <w:tcW w:w="1345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0.495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˂40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69 (22.8)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61 (22.3)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(28.6)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40-6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219 (72.5)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199 (72.6)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29 (71.4)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14 (4.6)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14 (4.1)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BMI (kg/m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0.135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˂18.5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 (3.3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 (7.1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18.5-24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169 (56.0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153 (55.8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 (57.1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24-28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92 (30.5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87 (31.8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 (17.9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≥28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31 (10.3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 (9.5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 (17.9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Occupation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0.010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Manual worker or others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168 (55.6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146 (53.3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 (78.6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Mental worker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134 (44.4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128 (46.7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 (21.4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Education level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0.712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Without higher education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193 (63.9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176 (64.2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 (60.7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With higher education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109 (36.1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98 (35.8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 (39.3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Mar</w:t>
            </w: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i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tal status 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&gt;0.999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Married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289 (95.7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262 (95.6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27 (96.4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Unmarried or others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(4.3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 (4.4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 (3.6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widowControl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Menopausal status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0.497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Postmenopausal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115 (38.1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106 (38.7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 (32.1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Premenopausal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187 (61.9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168 (61.3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 (67.9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Family history of cancer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0.055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Yes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34 (11.3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34 (12.4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 (0.0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No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268 (88.7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240 (87.6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28 (100.0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CEA (ng/ml)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1.59</w:t>
            </w:r>
          </w:p>
          <w:p w:rsidR="001077DD" w:rsidRDefault="001077DD" w:rsidP="003405AB">
            <w:pPr>
              <w:spacing w:before="20" w:after="20"/>
              <w:ind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(1.06,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2.46)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1.60</w:t>
            </w:r>
          </w:p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(1.06,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2.42)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1.41</w:t>
            </w:r>
          </w:p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(1.07,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2.66)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0.654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CA125 (U/ml)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(10, 20)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(10, 20)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 (12, 20)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0.072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4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CA15-3 (U/ml) 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 (8, 18)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 (8, 18)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 (13, 24)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0.002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4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Laterality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0.612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Left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154 (51.0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141 (51.5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(46.4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Right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148 (49.0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133 (48.5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 (53.6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Quadrant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0.413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UIQ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45 (14.9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43 (15.7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 (7.1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UOQ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178 (58.9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158 (57.7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20 (71.4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Central area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 (0.0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LIQ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(13.2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35 (12.8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 (17.9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LOQ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31 (10.3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30 (10.9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 (3.6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Clinical T stage 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0.014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T1-2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264 (87.4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244 (89.1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20 (71.4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T3-4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38 (12.6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30 (10.9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Clinical stage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0.023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Ⅰ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28 (9.3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25 (9.1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 (10.7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Ⅱ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262 (86.8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241 (88.0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 (75.0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Ⅲ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 (4.0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 (14.3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Molecular subtype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06*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HR+ (HER2-)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65 (21.5)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52 (19.0)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13 (46.4)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HER2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+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61 (20.2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59 (21.5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 (7.1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80 (26.5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73 (26.6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 (25.0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TNBC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96 (31.8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90 (32.8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 (21.4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ER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0.005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163 (54.0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155 (56.6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lastRenderedPageBreak/>
              <w:t>Positive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139 (46.0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119 (43.4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20 (71.4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PR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0.248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192 (63.6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177 (64.6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 (53.6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Positive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110 (36.4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97 (35.4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(46.4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HER2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0.105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161 (53.3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142 (51.8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 (67.9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Positive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141 (46.7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132 (48.2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 (32.1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Ki-67 </w:t>
            </w:r>
            <w:r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0.751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˂</w:t>
            </w:r>
            <w:r>
              <w:rPr>
                <w:rFonts w:ascii="Arial" w:hAnsi="Arial" w:cs="Arial" w:hint="eastAsia"/>
                <w:sz w:val="18"/>
                <w:szCs w:val="18"/>
              </w:rPr>
              <w:t>30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32 (10.6)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30 (10.9)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 (7.1)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270 (89.4)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244 (89.1)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26 (92.9)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Histological</w:t>
            </w:r>
            <w:r>
              <w:rPr>
                <w:rFonts w:ascii="Arial" w:eastAsia="STKaiti" w:hAnsi="Arial" w:cs="Arial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g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rade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0.274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/>
                <w:bCs/>
                <w:color w:val="000000"/>
                <w:sz w:val="18"/>
                <w:szCs w:val="18"/>
              </w:rPr>
              <w:t>Ⅱ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234 (77.5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210 (76.6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 (85.7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bCs/>
                <w:color w:val="000000"/>
                <w:sz w:val="18"/>
                <w:szCs w:val="18"/>
              </w:rPr>
              <w:t>Ⅲ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68 (22.5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64 (23.4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 (14.3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Pathological type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&gt;0.999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IBC-NST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294 (97.4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266 (97.1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28 (100.0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IBC-ST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 (0.0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</w:rPr>
              <w:t>Post-</w:t>
            </w:r>
            <w:r>
              <w:rPr>
                <w:rFonts w:ascii="Arial" w:eastAsia="SimSun" w:hAnsi="Arial" w:cs="Arial" w:hint="eastAsia"/>
                <w:b/>
                <w:color w:val="000000"/>
                <w:kern w:val="0"/>
                <w:sz w:val="18"/>
                <w:szCs w:val="18"/>
              </w:rPr>
              <w:t xml:space="preserve">NAS </w:t>
            </w: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</w:rPr>
              <w:t>radiological assessment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 xml:space="preserve">rPD or 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rSD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52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17.2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39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14.2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46.4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rPR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210 (69.5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195 (71.2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 (53.6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rCR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(13.2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(14.6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 (0.0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Breast surgery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0.907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Breast conserving surgery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108 (35.8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99 (36.1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 (32.1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Mastectomy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170 (56.3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153 (55.8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 (60.7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5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Breast reconstruction surgery</w:t>
            </w:r>
          </w:p>
        </w:tc>
        <w:tc>
          <w:tcPr>
            <w:tcW w:w="1345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 (7.9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84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 (8.0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3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 (7.1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79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8306" w:type="dxa"/>
            <w:gridSpan w:val="5"/>
            <w:tcBorders>
              <w:top w:val="single" w:sz="12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Median (Interquartile range); n (%). 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shd w:val="clear" w:color="auto" w:fill="FFFFFF"/>
              </w:rPr>
              <w:t>Fisher's exact test.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Pearson's Chi-squared test.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4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Wilcoxon rank sum test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cN0, clinical N0; </w:t>
            </w:r>
            <w:r>
              <w:rPr>
                <w:rFonts w:ascii="Arial" w:eastAsia="SimSun" w:hAnsi="Arial" w:cs="Arial"/>
                <w:sz w:val="18"/>
                <w:szCs w:val="18"/>
              </w:rPr>
              <w:t>BMI, body mass index; CEA, carcinoembryonic antigen; CA125, cancer antigen 125; CA15-3, cancer antigen 15-3; UIQ, upper inner quadrant; UOQ, upper outer quadrant; LIQ, lower inner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>quadrant; LOQ, lower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outer quadrant; TNBC, triple negative breast cancer; HER2, human epidermal growth factor receptor 2; HR, hormone receptor; ER, estrogen receptor; PR, progesterone receptor; IBC-NST, invasive breast carcinoma of no special type; IBC-ST, invasive breast carcinoma of special type;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NAS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neoadjuvant </w:t>
            </w:r>
            <w:r>
              <w:rPr>
                <w:rFonts w:ascii="Arial" w:hAnsi="Arial" w:cs="Arial"/>
                <w:sz w:val="20"/>
                <w:szCs w:val="20"/>
              </w:rPr>
              <w:t>systemic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>therapy; rPD, radiological prog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r</w:t>
            </w:r>
            <w:r>
              <w:rPr>
                <w:rFonts w:ascii="Arial" w:eastAsia="SimSun" w:hAnsi="Arial" w:cs="Arial"/>
                <w:sz w:val="18"/>
                <w:szCs w:val="18"/>
              </w:rPr>
              <w:t>essed disease; rSD, radiological stable disease; rPR, radiological partial response; rCR, radiological complete response.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>*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SimSun" w:hAnsi="Arial" w:cs="Arial"/>
                <w:sz w:val="18"/>
                <w:szCs w:val="18"/>
              </w:rPr>
              <w:t>&lt;0.05; **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SimSun" w:hAnsi="Arial" w:cs="Arial"/>
                <w:sz w:val="18"/>
                <w:szCs w:val="18"/>
              </w:rPr>
              <w:t>&lt;0.01; ***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SimSun" w:hAnsi="Arial" w:cs="Arial" w:hint="eastAsia"/>
                <w:i/>
                <w:iCs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.</w:t>
            </w:r>
          </w:p>
        </w:tc>
      </w:tr>
      <w:bookmarkEnd w:id="1"/>
    </w:tbl>
    <w:p w:rsidR="001077DD" w:rsidRDefault="001077DD" w:rsidP="001077DD">
      <w:pPr>
        <w:autoSpaceDE w:val="0"/>
        <w:spacing w:before="20" w:after="20"/>
        <w:ind w:right="20"/>
        <w:jc w:val="left"/>
        <w:rPr>
          <w:rFonts w:ascii="Arial" w:eastAsia="SimSun" w:hAnsi="Arial" w:cs="Arial"/>
          <w:sz w:val="18"/>
          <w:szCs w:val="18"/>
        </w:rPr>
      </w:pPr>
    </w:p>
    <w:p w:rsidR="001077DD" w:rsidRDefault="001077DD" w:rsidP="001077DD">
      <w:pPr>
        <w:rPr>
          <w:rFonts w:ascii="Arial" w:hAnsi="Arial" w:cs="Arial"/>
          <w:sz w:val="18"/>
          <w:szCs w:val="18"/>
        </w:rPr>
      </w:pPr>
      <w:bookmarkStart w:id="2" w:name="补表2"/>
      <w:r>
        <w:rPr>
          <w:rFonts w:ascii="Arial" w:hAnsi="Arial" w:cs="Arial"/>
          <w:b/>
          <w:bCs/>
          <w:sz w:val="18"/>
          <w:szCs w:val="18"/>
        </w:rPr>
        <w:t>Supplementary Table 2.</w:t>
      </w:r>
      <w:r>
        <w:rPr>
          <w:rFonts w:ascii="Arial" w:hAnsi="Arial" w:cs="Arial"/>
          <w:sz w:val="18"/>
          <w:szCs w:val="18"/>
        </w:rPr>
        <w:t xml:space="preserve"> Baseline characteristics in patients with cN1 </w:t>
      </w:r>
      <w:r>
        <w:rPr>
          <w:rFonts w:ascii="Arial" w:hAnsi="Arial" w:cs="Arial" w:hint="eastAsia"/>
          <w:sz w:val="18"/>
          <w:szCs w:val="18"/>
        </w:rPr>
        <w:t>disease</w:t>
      </w:r>
      <w:r>
        <w:rPr>
          <w:rFonts w:ascii="Arial" w:hAnsi="Arial" w:cs="Arial"/>
          <w:sz w:val="18"/>
          <w:szCs w:val="18"/>
        </w:rPr>
        <w:t>.</w:t>
      </w:r>
    </w:p>
    <w:tbl>
      <w:tblPr>
        <w:tblStyle w:val="50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3"/>
        <w:gridCol w:w="1216"/>
        <w:gridCol w:w="1304"/>
        <w:gridCol w:w="1317"/>
        <w:gridCol w:w="1246"/>
      </w:tblGrid>
      <w:tr w:rsidR="001077DD" w:rsidTr="003405AB">
        <w:trPr>
          <w:tblHeader/>
        </w:trPr>
        <w:tc>
          <w:tcPr>
            <w:tcW w:w="3223" w:type="dxa"/>
            <w:vMerge w:val="restart"/>
            <w:tcBorders>
              <w:top w:val="single" w:sz="12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216" w:type="dxa"/>
            <w:vMerge w:val="restart"/>
            <w:tcBorders>
              <w:top w:val="single" w:sz="12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Overall,</w:t>
            </w: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N=</w:t>
            </w: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766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621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spacing w:before="20" w:after="20"/>
              <w:ind w:left="20" w:right="20"/>
              <w:jc w:val="center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ypN0</w:t>
            </w:r>
          </w:p>
        </w:tc>
        <w:tc>
          <w:tcPr>
            <w:tcW w:w="1246" w:type="dxa"/>
            <w:vMerge w:val="restart"/>
            <w:tcBorders>
              <w:top w:val="single" w:sz="12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i/>
                <w:iCs/>
                <w:color w:val="000000"/>
                <w:sz w:val="18"/>
                <w:szCs w:val="18"/>
              </w:rPr>
              <w:t>P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-value</w:t>
            </w:r>
          </w:p>
        </w:tc>
      </w:tr>
      <w:tr w:rsidR="001077DD" w:rsidTr="003405AB">
        <w:trPr>
          <w:tblHeader/>
        </w:trPr>
        <w:tc>
          <w:tcPr>
            <w:tcW w:w="3223" w:type="dxa"/>
            <w:vMerge/>
            <w:tcBorders>
              <w:bottom w:val="single" w:sz="6" w:space="0" w:color="auto"/>
            </w:tcBorders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vMerge/>
            <w:tcBorders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Yes, N=</w:t>
            </w: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385</w:t>
            </w:r>
            <w:r>
              <w:rPr>
                <w:rFonts w:ascii="Arial" w:eastAsia="SimSun" w:hAnsi="Arial" w:cs="Arial" w:hint="eastAsia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3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No, N=</w:t>
            </w:r>
            <w:r>
              <w:rPr>
                <w:rFonts w:ascii="Arial" w:hAnsi="Arial" w:cs="Arial" w:hint="eastAsia"/>
                <w:b/>
                <w:color w:val="000000"/>
                <w:sz w:val="18"/>
                <w:szCs w:val="18"/>
              </w:rPr>
              <w:t>381</w:t>
            </w: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46" w:type="dxa"/>
            <w:vMerge/>
            <w:tcBorders>
              <w:bottom w:val="single" w:sz="6" w:space="0" w:color="auto"/>
            </w:tcBorders>
            <w:vAlign w:val="center"/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Age at diagnos</w:t>
            </w:r>
            <w:r>
              <w:rPr>
                <w:rFonts w:ascii="Arial" w:eastAsia="DejaVu Sans" w:hAnsi="Arial" w:cs="Arial" w:hint="eastAsia"/>
                <w:b/>
                <w:color w:val="000000"/>
                <w:sz w:val="18"/>
                <w:szCs w:val="18"/>
              </w:rPr>
              <w:t>is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 xml:space="preserve"> (years)</w:t>
            </w:r>
          </w:p>
        </w:tc>
        <w:tc>
          <w:tcPr>
            <w:tcW w:w="1216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6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0.672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˂40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40-6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549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71.7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281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73.0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268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70.3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6.3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BMI (kg/m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0.873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˂18.5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29 (3.8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 (3.9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 (3.7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18.5-24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436 (56.9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220 (57.1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216 (56.7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24-28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235 (30.7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120 (31.2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115 (30.2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≥28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66 (8.6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30 (7.8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36 (9.4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Occupation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0.150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Manual worker or others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414 (54.0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218 (56.6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196 (51.4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Mental worker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352 (46.0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167 (43.4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185 (48.6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Education level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0.137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Without higher education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499 (65.1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241 (62.6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258 (67.7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lastRenderedPageBreak/>
              <w:t>With higher education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267 (34.9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144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(37.4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123 (32.3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Marital status 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0.035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Married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747 (97.5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380 (98.7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367 (96.3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Unmarried or others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 (2.5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 (1.3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 (3.7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widowControl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Menopausal status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0.858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Postmenopausal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302 (39.4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153 (39.7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149 (39.1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Premenopausal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464 (60.6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232 (60.3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232 (60.9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Family history of cancer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0.436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Yes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106 (13.8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57 (14.8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49 (12.9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No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660 (86.2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328 (85.2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332 (87.1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CEA (ng/ml)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1.86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</w:p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(1.19,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2.83)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1.78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</w:p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(1.11,2.69)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2.01</w:t>
            </w:r>
          </w:p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(1.31,3.21)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0.011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CA125 (U/ml)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 (10, 21)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 (10, 21)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(10, 21)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0.878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CA15-3 (U/ml) 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(9, 20)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 (9, 19)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 (9, 21)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0.041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Laterality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0.470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Left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384 (50.1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188 (48.8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196 (51.4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Right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382 (49.9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197 (51.2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185 (48.6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Quadrant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0.060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UIQ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92 (12.0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52 (13.5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(10.5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UOQ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474 (61.9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225 (58.4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249 (65.4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Central area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 (3.1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 (2.1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 (4.2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LIQ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79 (10.3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43 (11.2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36 (9.4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LOQ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97 (12.7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57 (14.8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(10.5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Clinical T stage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0.460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T1-2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680 (88.8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345 (89.6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335 (87.9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T3-4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86 (11.2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(10.4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46 (12.1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Clinical stage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0.460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sz w:val="18"/>
                <w:szCs w:val="18"/>
              </w:rPr>
              <w:t>Ⅱ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680 (88.8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345 (89.6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335 (87.9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sz w:val="18"/>
                <w:szCs w:val="18"/>
              </w:rPr>
              <w:t>Ⅲ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86 (11.2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40 (10.4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46 (12.1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Molecular subtype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HR+ (HER2-)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287 (37.5)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87 (22.6)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200 (52.5)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HER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2+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340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44.4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224(58.2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116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30.4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TNBC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139 (18.1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74 (19.2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65 (17.1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ER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294 (38.4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191 (49.6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103 (27.0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Positive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472 (61.6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194 (50.4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278 (73.0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PR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373 (48.7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228 (59.2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145 (38.1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Positive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393 (51.3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157 (40.8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236 (61.9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HER2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426 (55.6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161 (41.8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265 (69.6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Positive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340 (44.4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224 (58.2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116 (30.4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Ki-67 </w:t>
            </w:r>
            <w:r>
              <w:rPr>
                <w:rFonts w:ascii="Arial" w:eastAsia="SimSun" w:hAnsi="Arial" w:cs="Arial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0.009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˂</w:t>
            </w:r>
            <w:r>
              <w:rPr>
                <w:rFonts w:ascii="Arial" w:hAnsi="Arial" w:cs="Arial" w:hint="eastAsia"/>
                <w:sz w:val="18"/>
                <w:szCs w:val="18"/>
              </w:rPr>
              <w:t>30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84 (11.0)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31 (8.1)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53 (13.9)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≥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682 (89.0)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354 (91.9)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328 (86.1)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Histological</w:t>
            </w:r>
            <w:r>
              <w:rPr>
                <w:rFonts w:ascii="Arial" w:eastAsia="STKaiti" w:hAnsi="Arial" w:cs="Arial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b/>
                <w:color w:val="000000"/>
                <w:sz w:val="18"/>
                <w:szCs w:val="18"/>
              </w:rPr>
              <w:t>g</w:t>
            </w:r>
            <w:r>
              <w:rPr>
                <w:rFonts w:ascii="Arial" w:eastAsia="DejaVu Sans" w:hAnsi="Arial" w:cs="Arial"/>
                <w:b/>
                <w:color w:val="000000"/>
                <w:sz w:val="18"/>
                <w:szCs w:val="18"/>
              </w:rPr>
              <w:t>rade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392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4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bCs/>
                <w:color w:val="000000"/>
                <w:sz w:val="18"/>
                <w:szCs w:val="18"/>
              </w:rPr>
              <w:t>Ⅰ or Ⅱ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622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81.2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308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314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82.4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 w:hint="eastAsia"/>
                <w:bCs/>
                <w:color w:val="000000"/>
                <w:sz w:val="18"/>
                <w:szCs w:val="18"/>
              </w:rPr>
              <w:t>Ⅲ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144 (18.8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77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20.0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67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17.6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Pathological type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36*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IBC-NST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(96.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9)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8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(9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8.2)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36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(95.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5)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  <w:vAlign w:val="center"/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IBC-ST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 (3.1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 (1.8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17 (4.5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SimSun" w:hAnsi="Arial" w:cs="Arial"/>
                <w:sz w:val="18"/>
                <w:szCs w:val="18"/>
                <w:highlight w:val="yellow"/>
              </w:rPr>
            </w:pP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</w:rPr>
              <w:t>Post-</w:t>
            </w:r>
            <w:r>
              <w:rPr>
                <w:rFonts w:ascii="Arial" w:eastAsia="SimSun" w:hAnsi="Arial" w:cs="Arial" w:hint="eastAsia"/>
                <w:b/>
                <w:color w:val="000000"/>
                <w:kern w:val="0"/>
                <w:sz w:val="18"/>
                <w:szCs w:val="18"/>
              </w:rPr>
              <w:t xml:space="preserve">NAS </w:t>
            </w:r>
            <w:r>
              <w:rPr>
                <w:rFonts w:ascii="Arial" w:eastAsia="SimSun" w:hAnsi="Arial" w:cs="Arial"/>
                <w:b/>
                <w:color w:val="000000"/>
                <w:kern w:val="0"/>
                <w:sz w:val="18"/>
                <w:szCs w:val="18"/>
              </w:rPr>
              <w:t>radiological assessment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rPD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 xml:space="preserve"> or rSD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123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16.1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9.1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88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23.1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rPR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73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(7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4.8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87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(7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4.5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86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(7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5.1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right="20"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lastRenderedPageBreak/>
              <w:t>rCR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7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9.1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63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(1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6.4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 (1.</w:t>
            </w:r>
            <w:r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Breast surgery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0.593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Breast conserving surgery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242 (31.6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127 (33.0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115 (30.2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Mastectomy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483 (63.1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236 (61.3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247 (64.8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nil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3223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ind w:firstLineChars="100" w:firstLine="180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Breast reconstruction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>surgery</w:t>
            </w:r>
          </w:p>
        </w:tc>
        <w:tc>
          <w:tcPr>
            <w:tcW w:w="1216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41 (5.4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22 (5.7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17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19 (5.0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46" w:type="dxa"/>
            <w:tcBorders>
              <w:top w:val="nil"/>
              <w:bottom w:val="single" w:sz="12" w:space="0" w:color="auto"/>
            </w:tcBorders>
          </w:tcPr>
          <w:p w:rsidR="001077DD" w:rsidRDefault="001077DD" w:rsidP="003405AB">
            <w:pPr>
              <w:spacing w:before="20" w:after="20"/>
              <w:ind w:left="20"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</w:p>
        </w:tc>
      </w:tr>
      <w:tr w:rsidR="001077DD" w:rsidTr="003405AB">
        <w:tc>
          <w:tcPr>
            <w:tcW w:w="8306" w:type="dxa"/>
            <w:gridSpan w:val="5"/>
            <w:tcBorders>
              <w:top w:val="single" w:sz="12" w:space="0" w:color="auto"/>
              <w:bottom w:val="nil"/>
            </w:tcBorders>
          </w:tcPr>
          <w:p w:rsidR="001077DD" w:rsidRDefault="001077DD" w:rsidP="003405AB">
            <w:pPr>
              <w:spacing w:before="20" w:after="20"/>
              <w:ind w:right="20"/>
              <w:rPr>
                <w:rFonts w:ascii="Arial" w:eastAsia="DejaVu Sans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jaVu Sans" w:hAnsi="Arial" w:cs="Arial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 xml:space="preserve">Median (Interquartile range); n (%).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Pearson's Chi-squared test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Wilcoxon rank sum test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vertAlign w:val="superscript"/>
              </w:rPr>
              <w:t>4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shd w:val="clear" w:color="auto" w:fill="FFFFFF"/>
              </w:rPr>
              <w:t>Fisher's exact test.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cN1, clinical N1; BMI, body mass index; CEA, carcinoembryonic antigen; CA125, cancer antigen 125; CA15-3, cancer antigen 15-3; UIQ, upper inner quadrant; UOQ, upper outer quadrant; LIQ, lower inner quadrant; LOQ, lower outer quadrant; TNBC, triple negative breast cancer; </w:t>
            </w:r>
            <w:bookmarkStart w:id="3" w:name="_Hlk196164149"/>
            <w:r>
              <w:rPr>
                <w:rFonts w:ascii="Arial" w:eastAsia="SimSun" w:hAnsi="Arial" w:cs="Arial"/>
                <w:sz w:val="18"/>
                <w:szCs w:val="18"/>
              </w:rPr>
              <w:t>HER2, human epidermal growth factor receptor 2; HR, hormone receptor;</w:t>
            </w:r>
            <w:bookmarkEnd w:id="3"/>
            <w:r>
              <w:rPr>
                <w:rFonts w:ascii="Arial" w:eastAsia="SimSun" w:hAnsi="Arial" w:cs="Arial"/>
                <w:sz w:val="18"/>
                <w:szCs w:val="18"/>
              </w:rPr>
              <w:t xml:space="preserve"> ER, estrogen receptor; PR, progesterone receptor; IBC-NST, invasive breast carcinoma of no special type; IBC-ST, invasive breast carcinoma of special type;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NAS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neoadjuvant </w:t>
            </w:r>
            <w:r>
              <w:rPr>
                <w:rFonts w:ascii="Arial" w:hAnsi="Arial" w:cs="Arial"/>
                <w:sz w:val="20"/>
                <w:szCs w:val="20"/>
              </w:rPr>
              <w:t>systemic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eastAsia="SimSun" w:hAnsi="Arial" w:cs="Arial"/>
                <w:sz w:val="18"/>
                <w:szCs w:val="18"/>
              </w:rPr>
              <w:t>therapy; rPD, radiological progressed disease; rSD, radiological stable disease; rPR, radiological partial response; rCR, radiological complete response.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&lt;0.05; 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&lt;0.01; ***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/>
                <w:i/>
                <w:iCs/>
                <w:sz w:val="18"/>
                <w:szCs w:val="18"/>
              </w:rPr>
              <w:t>P</w:t>
            </w:r>
            <w:r>
              <w:rPr>
                <w:rFonts w:ascii="Arial" w:eastAsia="DejaVu Sans" w:hAnsi="Arial" w:cs="Arial"/>
                <w:color w:val="000000"/>
                <w:sz w:val="18"/>
                <w:szCs w:val="18"/>
              </w:rPr>
              <w:t>&lt;0.001.</w:t>
            </w:r>
          </w:p>
        </w:tc>
      </w:tr>
      <w:bookmarkEnd w:id="0"/>
      <w:bookmarkEnd w:id="2"/>
    </w:tbl>
    <w:p w:rsidR="001077DD" w:rsidRDefault="001077DD" w:rsidP="001077DD">
      <w:pPr>
        <w:spacing w:line="480" w:lineRule="auto"/>
        <w:rPr>
          <w:rFonts w:ascii="Arial" w:eastAsia="DengXian Light" w:hAnsi="Arial" w:cs="Arial"/>
          <w:b/>
          <w:bCs/>
          <w:sz w:val="28"/>
          <w:szCs w:val="28"/>
        </w:rPr>
      </w:pPr>
    </w:p>
    <w:p w:rsidR="00DE6AE2" w:rsidRDefault="00DE6AE2"/>
    <w:sectPr w:rsidR="00DE6AE2" w:rsidSect="001077DD">
      <w:pgSz w:w="11906" w:h="16838"/>
      <w:pgMar w:top="1440" w:right="1800" w:bottom="1440" w:left="1800" w:header="851" w:footer="992" w:gutter="0"/>
      <w:lnNumType w:countBy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STKaiti">
    <w:altName w:val="华文楷体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7DD"/>
    <w:rsid w:val="001077DD"/>
    <w:rsid w:val="00133824"/>
    <w:rsid w:val="00195413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CB6C98-87C1-47CB-A191-6AC8C991A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7DD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77D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77D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77D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077D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077D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077D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077D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1077D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077D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07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107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107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1077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1077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07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107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107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107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77D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107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77D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107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77D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99"/>
    <w:qFormat/>
    <w:rsid w:val="00107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77D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77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77D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99"/>
    <w:qFormat/>
    <w:rsid w:val="001077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77DD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qFormat/>
    <w:rsid w:val="001077DD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1077DD"/>
    <w:rPr>
      <w:rFonts w:ascii="SimSun" w:eastAsia="SimSun" w:hAnsi="DengXian" w:cs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107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77DD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107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77DD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1077D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qFormat/>
    <w:rsid w:val="001077D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unhideWhenUsed/>
    <w:qFormat/>
    <w:rsid w:val="001077DD"/>
    <w:rPr>
      <w:color w:val="954F72"/>
      <w:u w:val="single"/>
    </w:rPr>
  </w:style>
  <w:style w:type="character" w:styleId="Emphasis">
    <w:name w:val="Emphasis"/>
    <w:basedOn w:val="DefaultParagraphFont"/>
    <w:uiPriority w:val="20"/>
    <w:qFormat/>
    <w:rsid w:val="001077DD"/>
    <w:rPr>
      <w:i/>
    </w:rPr>
  </w:style>
  <w:style w:type="character" w:styleId="LineNumber">
    <w:name w:val="line number"/>
    <w:basedOn w:val="DefaultParagraphFont"/>
    <w:uiPriority w:val="99"/>
    <w:unhideWhenUsed/>
    <w:qFormat/>
    <w:rsid w:val="001077DD"/>
  </w:style>
  <w:style w:type="character" w:styleId="Hyperlink">
    <w:name w:val="Hyperlink"/>
    <w:basedOn w:val="DefaultParagraphFont"/>
    <w:uiPriority w:val="99"/>
    <w:unhideWhenUsed/>
    <w:qFormat/>
    <w:rsid w:val="001077DD"/>
    <w:rPr>
      <w:color w:val="0563C1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1077DD"/>
    <w:pPr>
      <w:jc w:val="center"/>
    </w:pPr>
    <w:rPr>
      <w:rFonts w:cs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1077DD"/>
    <w:rPr>
      <w:rFonts w:ascii="DengXian" w:eastAsia="DengXian" w:hAnsi="DengXian" w:cs="DengXian"/>
      <w:sz w:val="20"/>
      <w:szCs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1077DD"/>
    <w:rPr>
      <w:rFonts w:cs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1077DD"/>
    <w:rPr>
      <w:rFonts w:ascii="DengXian" w:eastAsia="DengXian" w:hAnsi="DengXian" w:cs="DengXian"/>
      <w:sz w:val="20"/>
      <w:szCs w:val="22"/>
      <w:lang w:eastAsia="zh-CN"/>
      <w14:ligatures w14:val="none"/>
    </w:rPr>
  </w:style>
  <w:style w:type="paragraph" w:customStyle="1" w:styleId="AuthorList">
    <w:name w:val="Author List"/>
    <w:basedOn w:val="Subtitle"/>
    <w:next w:val="Normal"/>
    <w:uiPriority w:val="1"/>
    <w:qFormat/>
    <w:rsid w:val="001077DD"/>
    <w:pPr>
      <w:numPr>
        <w:ilvl w:val="0"/>
      </w:numPr>
      <w:spacing w:before="240" w:after="240" w:line="240" w:lineRule="auto"/>
    </w:pPr>
    <w:rPr>
      <w:rFonts w:ascii="Times New Roman" w:eastAsia="DengXian" w:hAnsi="Times New Roman" w:cs="Times New Roman"/>
      <w:b/>
      <w:color w:val="auto"/>
      <w:spacing w:val="0"/>
      <w:kern w:val="0"/>
      <w:sz w:val="24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qFormat/>
    <w:rsid w:val="001077DD"/>
    <w:rPr>
      <w:color w:val="808080"/>
    </w:rPr>
  </w:style>
  <w:style w:type="character" w:customStyle="1" w:styleId="1">
    <w:name w:val="未处理的提及1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  <w:style w:type="paragraph" w:customStyle="1" w:styleId="10">
    <w:name w:val="修订1"/>
    <w:uiPriority w:val="99"/>
    <w:semiHidden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2"/>
      <w:lang w:eastAsia="zh-CN"/>
      <w14:ligatures w14:val="none"/>
    </w:rPr>
  </w:style>
  <w:style w:type="table" w:customStyle="1" w:styleId="11">
    <w:name w:val="网格型1"/>
    <w:basedOn w:val="TableNormal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未处理的提及2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  <w:style w:type="table" w:customStyle="1" w:styleId="110">
    <w:name w:val="网格型11"/>
    <w:basedOn w:val="TableNormal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TableNormal"/>
    <w:qFormat/>
    <w:rsid w:val="001077DD"/>
    <w:pPr>
      <w:spacing w:after="0" w:line="240" w:lineRule="auto"/>
    </w:pPr>
    <w:rPr>
      <w:rFonts w:ascii="DengXian" w:eastAsia="DengXian" w:hAnsi="DengXian" w:cs="DengXian" w:hint="eastAsia"/>
      <w:sz w:val="21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TableNormal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1">
    <w:name w:val="标题 41"/>
    <w:basedOn w:val="Normal"/>
    <w:next w:val="Normal"/>
    <w:uiPriority w:val="9"/>
    <w:unhideWhenUsed/>
    <w:qFormat/>
    <w:rsid w:val="001077DD"/>
    <w:pPr>
      <w:keepNext/>
      <w:keepLines/>
      <w:spacing w:before="80" w:after="40"/>
      <w:outlineLvl w:val="3"/>
    </w:pPr>
    <w:rPr>
      <w:color w:val="2F5496"/>
      <w:sz w:val="28"/>
      <w:szCs w:val="28"/>
    </w:rPr>
  </w:style>
  <w:style w:type="paragraph" w:customStyle="1" w:styleId="51">
    <w:name w:val="标题 51"/>
    <w:basedOn w:val="Normal"/>
    <w:next w:val="Normal"/>
    <w:uiPriority w:val="9"/>
    <w:unhideWhenUsed/>
    <w:qFormat/>
    <w:rsid w:val="001077DD"/>
    <w:pPr>
      <w:keepNext/>
      <w:keepLines/>
      <w:spacing w:before="80" w:after="40"/>
      <w:outlineLvl w:val="4"/>
    </w:pPr>
    <w:rPr>
      <w:color w:val="2F5496"/>
      <w:sz w:val="24"/>
      <w:szCs w:val="24"/>
    </w:rPr>
  </w:style>
  <w:style w:type="paragraph" w:customStyle="1" w:styleId="61">
    <w:name w:val="标题 61"/>
    <w:basedOn w:val="Normal"/>
    <w:next w:val="Normal"/>
    <w:uiPriority w:val="9"/>
    <w:unhideWhenUsed/>
    <w:qFormat/>
    <w:rsid w:val="001077DD"/>
    <w:pPr>
      <w:keepNext/>
      <w:keepLines/>
      <w:spacing w:before="40"/>
      <w:outlineLvl w:val="5"/>
    </w:pPr>
    <w:rPr>
      <w:b/>
      <w:bCs/>
      <w:color w:val="2F5496"/>
    </w:rPr>
  </w:style>
  <w:style w:type="paragraph" w:customStyle="1" w:styleId="71">
    <w:name w:val="标题 71"/>
    <w:basedOn w:val="Normal"/>
    <w:next w:val="Normal"/>
    <w:uiPriority w:val="9"/>
    <w:unhideWhenUsed/>
    <w:qFormat/>
    <w:rsid w:val="001077DD"/>
    <w:pPr>
      <w:keepNext/>
      <w:keepLines/>
      <w:spacing w:before="40"/>
      <w:outlineLvl w:val="6"/>
    </w:pPr>
    <w:rPr>
      <w:b/>
      <w:bCs/>
      <w:color w:val="595959"/>
    </w:rPr>
  </w:style>
  <w:style w:type="paragraph" w:customStyle="1" w:styleId="81">
    <w:name w:val="标题 81"/>
    <w:basedOn w:val="Normal"/>
    <w:next w:val="Normal"/>
    <w:uiPriority w:val="9"/>
    <w:unhideWhenUsed/>
    <w:qFormat/>
    <w:rsid w:val="001077DD"/>
    <w:pPr>
      <w:keepNext/>
      <w:keepLines/>
      <w:outlineLvl w:val="7"/>
    </w:pPr>
    <w:rPr>
      <w:color w:val="595959"/>
    </w:rPr>
  </w:style>
  <w:style w:type="paragraph" w:customStyle="1" w:styleId="91">
    <w:name w:val="标题 91"/>
    <w:basedOn w:val="Normal"/>
    <w:next w:val="Normal"/>
    <w:uiPriority w:val="9"/>
    <w:unhideWhenUsed/>
    <w:qFormat/>
    <w:rsid w:val="001077DD"/>
    <w:pPr>
      <w:keepNext/>
      <w:keepLines/>
      <w:outlineLvl w:val="8"/>
    </w:pPr>
    <w:rPr>
      <w:rFonts w:eastAsia="DengXian Light"/>
      <w:color w:val="595959"/>
    </w:rPr>
  </w:style>
  <w:style w:type="character" w:customStyle="1" w:styleId="4">
    <w:name w:val="标题 4 字符"/>
    <w:basedOn w:val="DefaultParagraphFont"/>
    <w:uiPriority w:val="9"/>
    <w:semiHidden/>
    <w:qFormat/>
    <w:rsid w:val="001077DD"/>
    <w:rPr>
      <w:rFonts w:cs="Times New Roman"/>
      <w:color w:val="2F5496"/>
      <w:sz w:val="28"/>
      <w:szCs w:val="28"/>
    </w:rPr>
  </w:style>
  <w:style w:type="character" w:customStyle="1" w:styleId="5">
    <w:name w:val="标题 5 字符"/>
    <w:basedOn w:val="DefaultParagraphFont"/>
    <w:uiPriority w:val="9"/>
    <w:semiHidden/>
    <w:qFormat/>
    <w:rsid w:val="001077DD"/>
    <w:rPr>
      <w:rFonts w:cs="Times New Roman"/>
      <w:color w:val="2F5496"/>
      <w:sz w:val="24"/>
      <w:szCs w:val="24"/>
    </w:rPr>
  </w:style>
  <w:style w:type="character" w:customStyle="1" w:styleId="60">
    <w:name w:val="标题 6 字符"/>
    <w:basedOn w:val="DefaultParagraphFont"/>
    <w:uiPriority w:val="9"/>
    <w:semiHidden/>
    <w:qFormat/>
    <w:rsid w:val="001077DD"/>
    <w:rPr>
      <w:rFonts w:cs="Times New Roman"/>
      <w:b/>
      <w:bCs/>
      <w:color w:val="2F5496"/>
    </w:rPr>
  </w:style>
  <w:style w:type="character" w:customStyle="1" w:styleId="7">
    <w:name w:val="标题 7 字符"/>
    <w:basedOn w:val="DefaultParagraphFont"/>
    <w:uiPriority w:val="9"/>
    <w:semiHidden/>
    <w:qFormat/>
    <w:rsid w:val="001077DD"/>
    <w:rPr>
      <w:rFonts w:cs="Times New Roman"/>
      <w:b/>
      <w:bCs/>
      <w:color w:val="595959"/>
    </w:rPr>
  </w:style>
  <w:style w:type="character" w:customStyle="1" w:styleId="8">
    <w:name w:val="标题 8 字符"/>
    <w:basedOn w:val="DefaultParagraphFont"/>
    <w:uiPriority w:val="9"/>
    <w:semiHidden/>
    <w:qFormat/>
    <w:rsid w:val="001077DD"/>
    <w:rPr>
      <w:rFonts w:cs="Times New Roman"/>
      <w:color w:val="595959"/>
    </w:rPr>
  </w:style>
  <w:style w:type="character" w:customStyle="1" w:styleId="9">
    <w:name w:val="标题 9 字符"/>
    <w:basedOn w:val="DefaultParagraphFont"/>
    <w:uiPriority w:val="9"/>
    <w:semiHidden/>
    <w:qFormat/>
    <w:rsid w:val="001077DD"/>
    <w:rPr>
      <w:rFonts w:eastAsia="DengXian Light" w:cs="Times New Roman"/>
      <w:color w:val="595959"/>
    </w:rPr>
  </w:style>
  <w:style w:type="paragraph" w:customStyle="1" w:styleId="12">
    <w:name w:val="标题1"/>
    <w:basedOn w:val="Normal"/>
    <w:next w:val="Normal"/>
    <w:uiPriority w:val="10"/>
    <w:qFormat/>
    <w:rsid w:val="001077DD"/>
    <w:pPr>
      <w:spacing w:after="80"/>
      <w:contextualSpacing/>
      <w:jc w:val="center"/>
    </w:pPr>
    <w:rPr>
      <w:rFonts w:ascii="DengXian Light" w:eastAsia="DengXian Light" w:hAnsi="DengXian Light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uiPriority w:val="10"/>
    <w:qFormat/>
    <w:rsid w:val="001077DD"/>
    <w:rPr>
      <w:rFonts w:ascii="DengXian Light" w:eastAsia="DengXian Light" w:hAnsi="DengXian Light" w:cs="Times New Roman"/>
      <w:spacing w:val="-10"/>
      <w:kern w:val="28"/>
      <w:sz w:val="56"/>
      <w:szCs w:val="56"/>
    </w:rPr>
  </w:style>
  <w:style w:type="paragraph" w:customStyle="1" w:styleId="13">
    <w:name w:val="引用1"/>
    <w:basedOn w:val="Normal"/>
    <w:next w:val="Normal"/>
    <w:uiPriority w:val="29"/>
    <w:qFormat/>
    <w:rsid w:val="001077DD"/>
    <w:pPr>
      <w:spacing w:before="160" w:after="160"/>
      <w:jc w:val="center"/>
    </w:pPr>
    <w:rPr>
      <w:i/>
      <w:iCs/>
      <w:color w:val="404040"/>
    </w:rPr>
  </w:style>
  <w:style w:type="character" w:customStyle="1" w:styleId="a0">
    <w:name w:val="引用 字符"/>
    <w:basedOn w:val="DefaultParagraphFont"/>
    <w:uiPriority w:val="29"/>
    <w:qFormat/>
    <w:rsid w:val="001077DD"/>
    <w:rPr>
      <w:i/>
      <w:iCs/>
      <w:color w:val="404040"/>
    </w:rPr>
  </w:style>
  <w:style w:type="character" w:customStyle="1" w:styleId="14">
    <w:name w:val="明显强调1"/>
    <w:basedOn w:val="DefaultParagraphFont"/>
    <w:uiPriority w:val="21"/>
    <w:qFormat/>
    <w:rsid w:val="001077DD"/>
    <w:rPr>
      <w:i/>
      <w:iCs/>
      <w:color w:val="2F5496"/>
    </w:rPr>
  </w:style>
  <w:style w:type="paragraph" w:customStyle="1" w:styleId="15">
    <w:name w:val="明显引用1"/>
    <w:basedOn w:val="Normal"/>
    <w:next w:val="Normal"/>
    <w:uiPriority w:val="30"/>
    <w:qFormat/>
    <w:rsid w:val="001077D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a1">
    <w:name w:val="明显引用 字符"/>
    <w:basedOn w:val="DefaultParagraphFont"/>
    <w:uiPriority w:val="30"/>
    <w:qFormat/>
    <w:rsid w:val="001077DD"/>
    <w:rPr>
      <w:i/>
      <w:iCs/>
      <w:color w:val="2F5496"/>
    </w:rPr>
  </w:style>
  <w:style w:type="character" w:customStyle="1" w:styleId="16">
    <w:name w:val="明显参考1"/>
    <w:basedOn w:val="DefaultParagraphFont"/>
    <w:uiPriority w:val="32"/>
    <w:qFormat/>
    <w:rsid w:val="001077DD"/>
    <w:rPr>
      <w:b/>
      <w:bCs/>
      <w:smallCaps/>
      <w:color w:val="2F5496"/>
      <w:spacing w:val="5"/>
    </w:rPr>
  </w:style>
  <w:style w:type="table" w:customStyle="1" w:styleId="3">
    <w:name w:val="网格型3"/>
    <w:basedOn w:val="TableNormal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basedOn w:val="TableNormal"/>
    <w:uiPriority w:val="99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1"/>
    <w:basedOn w:val="TableNormal"/>
    <w:uiPriority w:val="99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TableNormal"/>
    <w:uiPriority w:val="99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网格型5"/>
    <w:basedOn w:val="TableNormal"/>
    <w:uiPriority w:val="99"/>
    <w:qFormat/>
    <w:rsid w:val="001077DD"/>
    <w:pPr>
      <w:spacing w:after="0" w:line="240" w:lineRule="auto"/>
    </w:pPr>
    <w:rPr>
      <w:rFonts w:ascii="DengXian" w:eastAsia="DengXian" w:hAnsi="DengXian" w:cs="Times New Roman"/>
      <w:sz w:val="21"/>
      <w:szCs w:val="21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明显强调2"/>
    <w:basedOn w:val="DefaultParagraphFont"/>
    <w:uiPriority w:val="21"/>
    <w:qFormat/>
    <w:rsid w:val="001077DD"/>
    <w:rPr>
      <w:i/>
      <w:iCs/>
      <w:color w:val="4472C4"/>
    </w:rPr>
  </w:style>
  <w:style w:type="character" w:customStyle="1" w:styleId="23">
    <w:name w:val="明显参考2"/>
    <w:basedOn w:val="DefaultParagraphFont"/>
    <w:uiPriority w:val="32"/>
    <w:qFormat/>
    <w:rsid w:val="001077DD"/>
    <w:rPr>
      <w:b/>
      <w:bCs/>
      <w:smallCaps/>
      <w:color w:val="4472C4"/>
      <w:spacing w:val="5"/>
    </w:rPr>
  </w:style>
  <w:style w:type="character" w:customStyle="1" w:styleId="30">
    <w:name w:val="未处理的提及3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  <w:style w:type="character" w:customStyle="1" w:styleId="42">
    <w:name w:val="未处理的提及4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  <w:style w:type="character" w:customStyle="1" w:styleId="52">
    <w:name w:val="未处理的提及5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  <w:style w:type="character" w:customStyle="1" w:styleId="62">
    <w:name w:val="未处理的提及6"/>
    <w:basedOn w:val="DefaultParagraphFont"/>
    <w:uiPriority w:val="99"/>
    <w:unhideWhenUsed/>
    <w:qFormat/>
    <w:rsid w:val="00107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1154</Words>
  <Characters>6407</Characters>
  <Application>Microsoft Office Word</Application>
  <DocSecurity>0</DocSecurity>
  <Lines>400</Lines>
  <Paragraphs>252</Paragraphs>
  <ScaleCrop>false</ScaleCrop>
  <Company>Springer Nature</Company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2025-12-12T09:05:00Z</dcterms:created>
  <dcterms:modified xsi:type="dcterms:W3CDTF">2025-12-12T09:05:00Z</dcterms:modified>
</cp:coreProperties>
</file>