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AD49" w14:textId="77777777" w:rsid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5EBA36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Experimental design:</w:t>
      </w:r>
    </w:p>
    <w:p w14:paraId="5B1A8AA6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) Experimental groups:</w:t>
      </w:r>
    </w:p>
    <w:p w14:paraId="2445E4C3" w14:textId="2F278DF0" w:rsidR="00661BB0" w:rsidRPr="00661BB0" w:rsidRDefault="00DD52A1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ACLF</w:t>
      </w:r>
      <w:r w:rsidR="00931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neutrophils</w:t>
      </w:r>
      <w:r w:rsidR="00931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1BB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(n=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="00661BB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6724859" w14:textId="086499A4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E1D11" w14:textId="77777777" w:rsidR="0033310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(ii) Control groups:</w:t>
      </w:r>
    </w:p>
    <w:p w14:paraId="6250AB56" w14:textId="11809E0B" w:rsidR="00661BB0" w:rsidRPr="00661BB0" w:rsidRDefault="00DD52A1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BB6041">
        <w:rPr>
          <w:rFonts w:ascii="Times New Roman" w:eastAsia="Times New Roman" w:hAnsi="Times New Roman" w:cs="Times New Roman"/>
          <w:color w:val="000000"/>
          <w:sz w:val="24"/>
          <w:szCs w:val="24"/>
        </w:rPr>
        <w:t>ealthy neutrophils</w:t>
      </w:r>
      <w:r w:rsidR="00931D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1BB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(n=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 w:rsidR="00661BB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4BC9FD80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A6979F" w14:textId="49A735E3" w:rsidR="009F7868" w:rsidRPr="009F7868" w:rsidRDefault="00661BB0" w:rsidP="009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Sample:</w:t>
      </w:r>
    </w:p>
    <w:p w14:paraId="33DD8425" w14:textId="6C013DD0" w:rsidR="003F4EA7" w:rsidRPr="003F4EA7" w:rsidRDefault="003F4EA7" w:rsidP="003F4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DF00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Volume/mass of sample processed:</w:t>
      </w:r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br/>
        <w:t>A total of 6 ml of blood was collected from each study group in EDTA-coated purple-top vacutainers. Plasma was aseptically separated and stored at −80°C until further use.</w:t>
      </w:r>
    </w:p>
    <w:p w14:paraId="54235622" w14:textId="77777777" w:rsidR="003F4EA7" w:rsidRPr="003F4EA7" w:rsidRDefault="003F4EA7" w:rsidP="003F4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3F4EA7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PMN Isolation</w:t>
      </w:r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br/>
        <w:t xml:space="preserve">Polymorphonuclear neutrophils (PMNs) were isolated using a modified Boyum’s double-gradient centrifugation method. The blood pellet containing the buffy coat was diluted with an equal volume of sterile 1× PBS (VWR, USA, 97062-730) at room temperature (RT). A double gradient was prepared in a 15 ml centrifuge tube by layering </w:t>
      </w:r>
      <w:proofErr w:type="spellStart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>Ficoll-Hisep</w:t>
      </w:r>
      <w:proofErr w:type="spellEnd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(</w:t>
      </w:r>
      <w:proofErr w:type="spellStart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>Himedia</w:t>
      </w:r>
      <w:proofErr w:type="spellEnd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, INDIA, LSM 1077) over </w:t>
      </w:r>
      <w:proofErr w:type="spellStart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>Granulosep</w:t>
      </w:r>
      <w:proofErr w:type="spellEnd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(</w:t>
      </w:r>
      <w:proofErr w:type="spellStart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>Himedia</w:t>
      </w:r>
      <w:proofErr w:type="spellEnd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>, INDIA, LS004) in a 2:3 ratio. The diluted blood was carefully layered on top and centrifuged at 300×g for 30 minutes at RT without brakes.</w:t>
      </w:r>
    </w:p>
    <w:p w14:paraId="6AAC3642" w14:textId="77777777" w:rsidR="003F4EA7" w:rsidRDefault="003F4EA7" w:rsidP="003F4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Following centrifugation, distinct layers were formed in the following order (top to bottom): diluted plasma, PBMC layer, </w:t>
      </w:r>
      <w:proofErr w:type="spellStart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>Hisep</w:t>
      </w:r>
      <w:proofErr w:type="spellEnd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, PMN layer, </w:t>
      </w:r>
      <w:proofErr w:type="spellStart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>Granulosep</w:t>
      </w:r>
      <w:proofErr w:type="spellEnd"/>
      <w:r w:rsidRPr="003F4EA7">
        <w:rPr>
          <w:rFonts w:ascii="Times New Roman" w:eastAsia="Times New Roman" w:hAnsi="Times New Roman" w:cs="Times New Roman"/>
          <w:sz w:val="24"/>
          <w:szCs w:val="24"/>
          <w:lang w:val="en-IN"/>
        </w:rPr>
        <w:t>, and RBC pellet. The plasma was discarded, and the PBMC layer was carefully removed. The enriched PMN layer was collected, resuspended in sterile 1× PBS, and washed twice by centrifugation at 500×g for 10 minutes. Any contaminating RBCs were removed by incubating the washed pellet in 1× RBC lysis solution for 10 minutes at 4°C, followed by two additional washes with 1× PBS.</w:t>
      </w:r>
    </w:p>
    <w:p w14:paraId="5851F2D8" w14:textId="77777777" w:rsidR="00FA7112" w:rsidRPr="009D5C1A" w:rsidRDefault="00FA7112" w:rsidP="00FA7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9D5C1A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RNA Isolation</w:t>
      </w:r>
      <w:r w:rsidRPr="009D5C1A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br/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Total RNA was isolated from cell pellets using the </w:t>
      </w:r>
      <w:proofErr w:type="spellStart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TRIzol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™ reagent (</w:t>
      </w:r>
      <w:proofErr w:type="spellStart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Thermo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Fisher Scientific, USA, Cat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: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155960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18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) according to the manufacturer's instructions with slight modifications for optimal yield and purity. Briefly,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1000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µL of </w:t>
      </w:r>
      <w:proofErr w:type="spellStart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TRIzol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was added to each sample pellet and homogenized thoroughly by pipetting and gentle </w:t>
      </w:r>
      <w:proofErr w:type="spellStart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vortexing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. The homogenized samples were incubated at room temperature for 5 minutes to allow complete dissociation of nucleoprotein complexes.</w:t>
      </w:r>
    </w:p>
    <w:p w14:paraId="5ADE2B5F" w14:textId="77777777" w:rsidR="00FA7112" w:rsidRPr="009D5C1A" w:rsidRDefault="00FA7112" w:rsidP="00FA7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Following incubation,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2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00 µL of chloroform (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SRL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, Cat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: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30792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) was added to each tube, and the samples were vigorously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vortexed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for 15 seconds, followed by a 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5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-minute incubation at room temperature. Phase separation was achieved by centrifugation at 12,000×g for 15 minutes at 4°C. The upper aqueous phase, containing RNA, was carefully transferred to a new RNase-free microcentrifuge tube without disturbing the interphase.</w:t>
      </w:r>
    </w:p>
    <w:p w14:paraId="1832D2BA" w14:textId="77777777" w:rsidR="00FA7112" w:rsidRPr="009D5C1A" w:rsidRDefault="00FA7112" w:rsidP="00FA7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An equal volume of isopropanol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Qualigens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, Cat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: Q13827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) was added to the aqueous phase to precipitate RNA. Samples were incubated for 1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20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minutes a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t -20℃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temperature and centrifuged at 12,000×g for 10 minutes at 4°C. The resulting RNA pellet was washed twice with 7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0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% ethanol, air-dried for 5–10 minutes, and resuspended in 3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2</w:t>
      </w: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µL of nuclease-free water</w:t>
      </w:r>
      <w:r>
        <w:rPr>
          <w:rFonts w:ascii="Times New Roman" w:eastAsia="Times New Roman" w:hAnsi="Times New Roman" w:cs="Times New Roman"/>
          <w:sz w:val="24"/>
          <w:szCs w:val="24"/>
          <w:lang w:val="en-IN"/>
        </w:rPr>
        <w:t>.</w:t>
      </w:r>
    </w:p>
    <w:p w14:paraId="70CADCAB" w14:textId="77777777" w:rsidR="00FA7112" w:rsidRPr="009D5C1A" w:rsidRDefault="00FA7112" w:rsidP="00FA7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RNA quantity and purity were assessed using a </w:t>
      </w:r>
      <w:proofErr w:type="spellStart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>NanoDrop</w:t>
      </w:r>
      <w:proofErr w:type="spellEnd"/>
      <w:r w:rsidRPr="009D5C1A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spectrophotometer. Only samples with A260/A280 ratios between 1.8 and 2.0 were included for downstream qPCR analysis.</w:t>
      </w:r>
    </w:p>
    <w:p w14:paraId="2E4641AA" w14:textId="77777777" w:rsidR="00FA7112" w:rsidRDefault="00FA7112" w:rsidP="003F4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</w:p>
    <w:p w14:paraId="57296165" w14:textId="77777777" w:rsidR="00FA7112" w:rsidRPr="003F4EA7" w:rsidRDefault="00FA7112" w:rsidP="003F4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/>
        </w:rPr>
      </w:pPr>
    </w:p>
    <w:p w14:paraId="27E7D734" w14:textId="77777777" w:rsidR="00DD52A1" w:rsidRDefault="00DD52A1" w:rsidP="00661B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</w:pPr>
    </w:p>
    <w:p w14:paraId="75A2AD1A" w14:textId="0E3BD1AF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III. qPCR target information</w:t>
      </w:r>
    </w:p>
    <w:p w14:paraId="1B855775" w14:textId="0B0DF0D1" w:rsid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DC3B06" w14:textId="77777777" w:rsidR="00333100" w:rsidRPr="00661BB0" w:rsidRDefault="0033310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8DA01E" w14:textId="77777777" w:rsidR="0057311C" w:rsidRPr="0057311C" w:rsidRDefault="00661BB0" w:rsidP="0057311C">
      <w:pPr>
        <w:spacing w:after="0"/>
        <w:jc w:val="both"/>
        <w:rPr>
          <w:color w:val="000000"/>
          <w:lang w:val="en-IN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Primer designing strategy: </w:t>
      </w:r>
      <w:r w:rsidR="0057311C" w:rsidRPr="0057311C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The primers for the selected genes were designed using the IDT </w:t>
      </w:r>
      <w:proofErr w:type="spellStart"/>
      <w:r w:rsidR="0057311C" w:rsidRPr="0057311C">
        <w:rPr>
          <w:rFonts w:ascii="Times New Roman" w:hAnsi="Times New Roman" w:cs="Times New Roman"/>
          <w:color w:val="000000"/>
          <w:sz w:val="24"/>
          <w:szCs w:val="24"/>
          <w:lang w:val="en-IN"/>
        </w:rPr>
        <w:t>PrimerQuest</w:t>
      </w:r>
      <w:proofErr w:type="spellEnd"/>
      <w:r w:rsidR="0057311C" w:rsidRPr="0057311C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 tool. The design parameters were set to ensure that all primers span exon-exon junctions, meeting intron-exclusion criteria. Additionally, the primers were designed to amplify mRNA splice variants. The specificity of the designed primers was verified using the NCBI BLAST platform.</w:t>
      </w:r>
    </w:p>
    <w:p w14:paraId="6FA18B8B" w14:textId="77777777" w:rsidR="00333100" w:rsidRPr="00661BB0" w:rsidRDefault="00333100" w:rsidP="00661B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282DB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A2CFD2" w14:textId="494E1336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0B70F9" w14:textId="3677FE3E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(ii) Manufacturer of oligonucleotides: </w:t>
      </w:r>
      <w:r w:rsidR="005C52E9">
        <w:rPr>
          <w:rFonts w:ascii="Times New Roman" w:eastAsia="Times New Roman" w:hAnsi="Times New Roman" w:cs="Times New Roman"/>
          <w:color w:val="000000"/>
          <w:sz w:val="24"/>
          <w:szCs w:val="24"/>
        </w:rPr>
        <w:t>IDT</w:t>
      </w:r>
    </w:p>
    <w:tbl>
      <w:tblPr>
        <w:tblW w:w="7326" w:type="dxa"/>
        <w:tblLook w:val="04A0" w:firstRow="1" w:lastRow="0" w:firstColumn="1" w:lastColumn="0" w:noHBand="0" w:noVBand="1"/>
      </w:tblPr>
      <w:tblGrid>
        <w:gridCol w:w="1280"/>
        <w:gridCol w:w="3616"/>
        <w:gridCol w:w="950"/>
        <w:gridCol w:w="1480"/>
      </w:tblGrid>
      <w:tr w:rsidR="005C52E9" w:rsidRPr="005C52E9" w14:paraId="55DCA988" w14:textId="77777777" w:rsidTr="00DF00DD">
        <w:trPr>
          <w:trHeight w:val="28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F025" w14:textId="77777777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 Name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BFEA" w14:textId="77777777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Primer Sequence (5’-&gt;3)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533D" w14:textId="1E9377C8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Length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4630" w14:textId="77777777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Amplicon Size</w:t>
            </w:r>
          </w:p>
        </w:tc>
      </w:tr>
      <w:tr w:rsidR="005C52E9" w:rsidRPr="005C52E9" w14:paraId="1268FC80" w14:textId="77777777" w:rsidTr="00DF00DD">
        <w:trPr>
          <w:trHeight w:val="288"/>
        </w:trPr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09742" w14:textId="23BEB3AA" w:rsidR="005C52E9" w:rsidRPr="0071695B" w:rsidRDefault="00DF00DD" w:rsidP="00716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77214" w14:textId="1A6708B4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3E76" w14:textId="7DC59B15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2E9" w:rsidRPr="005C52E9" w14:paraId="4A5FFC4E" w14:textId="77777777" w:rsidTr="00DF00DD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6DA" w14:textId="77777777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Forward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368F" w14:textId="0DFB1914" w:rsidR="005C52E9" w:rsidRPr="0071695B" w:rsidRDefault="00DF00DD" w:rsidP="0071695B">
            <w:pPr>
              <w:jc w:val="center"/>
              <w:rPr>
                <w:rFonts w:ascii="Times New Roman" w:hAnsi="Times New Roman" w:cs="Times New Roman"/>
              </w:rPr>
            </w:pPr>
            <w:r w:rsidRPr="0071695B">
              <w:rPr>
                <w:rFonts w:ascii="Times New Roman" w:hAnsi="Times New Roman" w:cs="Times New Roman"/>
              </w:rPr>
              <w:t>GTAACCCGTTGAACCCCATT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CBDD" w14:textId="7F72E448" w:rsidR="005C52E9" w:rsidRPr="0071695B" w:rsidRDefault="0071695B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B4CD" w14:textId="01E43128" w:rsidR="005C52E9" w:rsidRPr="0071695B" w:rsidRDefault="003235BB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3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5C52E9" w:rsidRPr="005C52E9" w14:paraId="0B6AA596" w14:textId="77777777" w:rsidTr="00DF00DD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2263" w14:textId="77777777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Reverse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18F0" w14:textId="56AB8ADD" w:rsidR="005C52E9" w:rsidRPr="0071695B" w:rsidRDefault="00DF00DD" w:rsidP="0071695B">
            <w:pPr>
              <w:jc w:val="center"/>
              <w:rPr>
                <w:rFonts w:ascii="Times New Roman" w:hAnsi="Times New Roman" w:cs="Times New Roman"/>
              </w:rPr>
            </w:pPr>
            <w:r w:rsidRPr="0071695B">
              <w:rPr>
                <w:rFonts w:ascii="Times New Roman" w:hAnsi="Times New Roman" w:cs="Times New Roman"/>
              </w:rPr>
              <w:t>CCATCCAATCGGTAGTAGCG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9B63" w14:textId="7BAE30DF" w:rsidR="005C52E9" w:rsidRPr="0071695B" w:rsidRDefault="0071695B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387" w14:textId="20DB6F97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2E9" w:rsidRPr="005C52E9" w14:paraId="319DA0D3" w14:textId="77777777" w:rsidTr="00DF00DD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F2291" w14:textId="524E5DA5" w:rsidR="005C52E9" w:rsidRPr="0071695B" w:rsidRDefault="00DD52A1" w:rsidP="00716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ELANE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DDB8E" w14:textId="1D54AA2E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CD057" w14:textId="541174A3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A040" w14:textId="3CB46775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52E9" w:rsidRPr="005C52E9" w14:paraId="5B4D0DA6" w14:textId="77777777" w:rsidTr="00DF00DD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5DF" w14:textId="77777777" w:rsidR="005C52E9" w:rsidRPr="0071695B" w:rsidRDefault="005C52E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Forward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4FF9" w14:textId="54F3A0CE" w:rsidR="005C52E9" w:rsidRPr="0071695B" w:rsidRDefault="006833C8" w:rsidP="0071695B">
            <w:pPr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>GGTCTGCAACGGGCTAATC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D3A1" w14:textId="6FC83535" w:rsidR="005C52E9" w:rsidRPr="0071695B" w:rsidRDefault="006833C8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AEF7" w14:textId="28F8651A" w:rsidR="005C52E9" w:rsidRPr="0071695B" w:rsidRDefault="00EA2759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683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F00DD" w:rsidRPr="005C52E9" w14:paraId="1FBD811E" w14:textId="77777777" w:rsidTr="00DF00DD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A3ED8" w14:textId="0C2AC0D9" w:rsidR="00DF00DD" w:rsidRPr="0071695B" w:rsidRDefault="00DF00DD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Reverse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9DE14" w14:textId="0F7D5BAF" w:rsidR="00DF00DD" w:rsidRPr="0071695B" w:rsidRDefault="006833C8" w:rsidP="0071695B">
            <w:pPr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>TCGGAGCGTTGGATGATAGA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7789" w14:textId="5B919E28" w:rsidR="00DF00DD" w:rsidRPr="0071695B" w:rsidRDefault="0071695B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83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AD8B" w14:textId="77777777" w:rsidR="00DF00DD" w:rsidRPr="0071695B" w:rsidRDefault="00DF00DD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00DD" w:rsidRPr="005C52E9" w14:paraId="05C3A590" w14:textId="77777777" w:rsidTr="002D0CE8">
        <w:trPr>
          <w:trHeight w:val="288"/>
        </w:trPr>
        <w:tc>
          <w:tcPr>
            <w:tcW w:w="7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90BF" w14:textId="6122A33C" w:rsidR="00DF00DD" w:rsidRPr="0071695B" w:rsidRDefault="00DD52A1" w:rsidP="007169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CD177</w:t>
            </w:r>
          </w:p>
        </w:tc>
      </w:tr>
      <w:tr w:rsidR="00DF00DD" w:rsidRPr="005C52E9" w14:paraId="56569ECB" w14:textId="77777777" w:rsidTr="00DF00DD">
        <w:trPr>
          <w:trHeight w:val="28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F08C" w14:textId="5416B45A" w:rsidR="00DF00DD" w:rsidRPr="0071695B" w:rsidRDefault="00DF00DD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Forward</w:t>
            </w: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C1FF9" w14:textId="2BFCA252" w:rsidR="00DF00DD" w:rsidRPr="0071695B" w:rsidRDefault="00DF00DD" w:rsidP="0071695B">
            <w:pPr>
              <w:jc w:val="center"/>
              <w:rPr>
                <w:rFonts w:ascii="Times New Roman" w:hAnsi="Times New Roman" w:cs="Times New Roman"/>
                <w:color w:val="1A1A1A"/>
              </w:rPr>
            </w:pPr>
            <w:r w:rsidRPr="0071695B">
              <w:rPr>
                <w:rFonts w:ascii="Times New Roman" w:hAnsi="Times New Roman" w:cs="Times New Roman"/>
                <w:color w:val="1A1A1A"/>
              </w:rPr>
              <w:t>GG</w:t>
            </w:r>
            <w:r w:rsidR="006833C8">
              <w:rPr>
                <w:rFonts w:ascii="Times New Roman" w:hAnsi="Times New Roman" w:cs="Times New Roman"/>
                <w:color w:val="1A1A1A"/>
              </w:rPr>
              <w:t>G</w:t>
            </w:r>
            <w:r w:rsidRPr="0071695B">
              <w:rPr>
                <w:rFonts w:ascii="Times New Roman" w:hAnsi="Times New Roman" w:cs="Times New Roman"/>
                <w:color w:val="1A1A1A"/>
              </w:rPr>
              <w:t>AC</w:t>
            </w:r>
            <w:r w:rsidR="006833C8">
              <w:rPr>
                <w:rFonts w:ascii="Times New Roman" w:hAnsi="Times New Roman" w:cs="Times New Roman"/>
                <w:color w:val="1A1A1A"/>
              </w:rPr>
              <w:t>G</w:t>
            </w:r>
            <w:r w:rsidRPr="0071695B">
              <w:rPr>
                <w:rFonts w:ascii="Times New Roman" w:hAnsi="Times New Roman" w:cs="Times New Roman"/>
                <w:color w:val="1A1A1A"/>
              </w:rPr>
              <w:t>T</w:t>
            </w:r>
            <w:r w:rsidR="006833C8">
              <w:rPr>
                <w:rFonts w:ascii="Times New Roman" w:hAnsi="Times New Roman" w:cs="Times New Roman"/>
                <w:color w:val="1A1A1A"/>
              </w:rPr>
              <w:t>GTCGTTAGAAATG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69B4" w14:textId="156E8934" w:rsidR="00DF00DD" w:rsidRPr="0071695B" w:rsidRDefault="0071695B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83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D47E" w14:textId="025E00C8" w:rsidR="00DF00DD" w:rsidRPr="0071695B" w:rsidRDefault="006833C8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DF00DD" w:rsidRPr="005C52E9" w14:paraId="3828A44C" w14:textId="77777777" w:rsidTr="00DF00DD">
        <w:trPr>
          <w:trHeight w:val="288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F1B79" w14:textId="0A33BBA6" w:rsidR="00DF00DD" w:rsidRPr="0071695B" w:rsidRDefault="00DF00DD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Reverse</w:t>
            </w:r>
          </w:p>
        </w:tc>
        <w:tc>
          <w:tcPr>
            <w:tcW w:w="3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E372" w14:textId="49028BAB" w:rsidR="00DF00DD" w:rsidRPr="0071695B" w:rsidRDefault="006833C8" w:rsidP="0071695B">
            <w:pPr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>CATCTGGGTTGGTGTAAGTG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7B3B" w14:textId="16EAE51A" w:rsidR="00DF00DD" w:rsidRPr="0071695B" w:rsidRDefault="0071695B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6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83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7913" w14:textId="6FF1CFF6" w:rsidR="00DF00DD" w:rsidRPr="0071695B" w:rsidRDefault="00DF00DD" w:rsidP="0071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F9D772" w14:textId="330A841B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1CB2C33" w14:textId="57BC3A3A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A6B56B3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qPCR protocol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2E9F762" w14:textId="1C38CDFB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439BA" w14:textId="6A7A9523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proofErr w:type="spellEnd"/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Complete reaction conditions: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SYBR green 1 chemistry was used to</w:t>
      </w:r>
      <w:r w:rsidR="001A1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determine the relative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expression of the target genes. </w:t>
      </w:r>
      <w:r w:rsidR="001A1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cycling parameters are: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Initial denaturation at 95°C for 3 minutes,</w:t>
      </w:r>
      <w:r w:rsidR="00885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followed by annealing,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amplification and detection for </w:t>
      </w:r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cycles (95°C 30’’, 60°C 20’’, 72°C 20’’) at end-point fluorescence, and </w:t>
      </w:r>
      <w:r w:rsidRPr="00661B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melt-curve analysis at 60-95°C at 0.1 °C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rise per second at continuous fluorescence to detect specific amplicons.</w:t>
      </w:r>
    </w:p>
    <w:p w14:paraId="06E76738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F903B" w14:textId="4878AE33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(ii) Reaction volume and components: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Reaction volume of total 10</w:t>
      </w:r>
      <w:r w:rsidR="00333100" w:rsidRPr="003331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3100"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="0033310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Components were </w:t>
      </w:r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1130"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proofErr w:type="spellStart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mastermix</w:t>
      </w:r>
      <w:proofErr w:type="spellEnd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consisting of 5 </w:t>
      </w:r>
      <w:r w:rsidR="001A1130"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of SYBR Green buffer. </w:t>
      </w:r>
      <w:proofErr w:type="spellStart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Mastermix</w:t>
      </w:r>
      <w:proofErr w:type="spellEnd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Thermo</w:t>
      </w:r>
      <w:proofErr w:type="spellEnd"/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Fisher Scientific Dynamo Flash: F415S), 0.</w:t>
      </w:r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1130"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of forward + </w:t>
      </w:r>
      <w:r w:rsidR="00885E0F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0.</w:t>
      </w:r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85E0F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5E0F"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="00885E0F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 w:rsidR="00885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reverse primers (0.4mM), </w:t>
      </w:r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.6 </w:t>
      </w:r>
      <w:r w:rsidR="001A1130"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of nuclease-free water, and </w:t>
      </w:r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235BB" w:rsidRP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>µ</w:t>
      </w:r>
      <w:r w:rsidR="003235BB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template cDNA.</w:t>
      </w:r>
    </w:p>
    <w:p w14:paraId="30FD0CD0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E15842" w14:textId="3F753DE3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(v) Manufacture of qPCR instruments: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Agilent </w:t>
      </w:r>
      <w:proofErr w:type="spellStart"/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>AriaMx</w:t>
      </w:r>
      <w:proofErr w:type="spellEnd"/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eal-</w:t>
      </w:r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ime PCR </w:t>
      </w:r>
      <w:r w:rsidR="003235BB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 used to carry out the qPCR experiments.</w:t>
      </w:r>
    </w:p>
    <w:p w14:paraId="3E03CDDE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FD9B16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AC5A2C" w14:textId="14AEEE7B" w:rsidR="00E23C96" w:rsidRPr="00E23C96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23C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Keywords and abbreviations</w:t>
      </w:r>
    </w:p>
    <w:p w14:paraId="59FE9E6A" w14:textId="0867797A" w:rsidR="00E23C96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MIQE: The Minimum Information for Publication of Quantitative Real-Time PCR Experiments qPCR: Quantitative real time PCR</w:t>
      </w:r>
    </w:p>
    <w:p w14:paraId="463361E0" w14:textId="18103F1F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DC: Disease controls</w:t>
      </w:r>
    </w:p>
    <w:p w14:paraId="3C3EA1C5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9D0E2C6" w14:textId="77777777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98A875" w14:textId="04ABEE41" w:rsid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DFD82D" w14:textId="707528C3" w:rsidR="00E23C96" w:rsidRDefault="00E23C96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A9A8B0" w14:textId="5CB95ED9" w:rsidR="00E23C96" w:rsidRDefault="00E23C96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788EC9" w14:textId="020A9AB4" w:rsidR="00E23C96" w:rsidRDefault="00E23C96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D8B28" w14:textId="77777777" w:rsidR="00E23C96" w:rsidRPr="00661BB0" w:rsidRDefault="00E23C96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38B3D" w14:textId="54682261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PCR standardization and primer efficiency:</w:t>
      </w:r>
    </w:p>
    <w:p w14:paraId="1C9B1DDB" w14:textId="0DBA58CF" w:rsidR="00DD52A1" w:rsidRPr="00661BB0" w:rsidRDefault="003235BB" w:rsidP="00DD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30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8S rRNA </w:t>
      </w:r>
      <w:r w:rsidR="00661BB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D303C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61BB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used as </w:t>
      </w:r>
      <w:r w:rsidR="00D303C4">
        <w:rPr>
          <w:rFonts w:ascii="Times New Roman" w:eastAsia="Times New Roman" w:hAnsi="Times New Roman" w:cs="Times New Roman"/>
          <w:color w:val="000000"/>
          <w:sz w:val="24"/>
          <w:szCs w:val="24"/>
        </w:rPr>
        <w:t>the housekeeping gene</w:t>
      </w:r>
      <w:r w:rsidR="00661BB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. Primer validation</w:t>
      </w:r>
      <w:r w:rsidR="00D303C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661BB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standardization</w:t>
      </w:r>
      <w:r w:rsidR="00D303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reaction conditions </w:t>
      </w:r>
      <w:r w:rsidR="00661BB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>were done by temperature gradient PCR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23C96">
        <w:rPr>
          <w:rFonts w:ascii="Times New Roman" w:eastAsia="Times New Roman" w:hAnsi="Times New Roman" w:cs="Times New Roman"/>
          <w:color w:val="000000"/>
          <w:sz w:val="24"/>
          <w:szCs w:val="24"/>
        </w:rPr>
        <w:t>Himedia</w:t>
      </w:r>
      <w:proofErr w:type="spellEnd"/>
      <w:r w:rsidR="00E23C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Prima-96</w:t>
      </w:r>
      <w:r w:rsidR="00E23C96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E4"/>
      </w:r>
      <w:r w:rsidR="00E23C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Well Block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system.</w:t>
      </w:r>
      <w:r w:rsidR="00661BB0" w:rsidRPr="00661BB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61BB0" w:rsidRPr="00661B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Reaction conditions were optimized to be same for all the genes, and chosen for qPCR as follows: 95°C 3’, 95°C 30’’, 60°C 20’’, 72°C 20’’. </w:t>
      </w:r>
    </w:p>
    <w:p w14:paraId="0894182E" w14:textId="11859C99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050F0" w14:textId="199C0CE5" w:rsidR="00661BB0" w:rsidRPr="00661BB0" w:rsidRDefault="00661BB0" w:rsidP="0066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References:</w:t>
      </w:r>
    </w:p>
    <w:p w14:paraId="138F6E91" w14:textId="30FEDBAB" w:rsidR="003B0794" w:rsidRPr="000356F5" w:rsidRDefault="00661BB0" w:rsidP="000356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(In accordance with the MIQE</w:t>
      </w:r>
      <w:r w:rsidRPr="00661BB0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vertAlign w:val="superscript"/>
        </w:rPr>
        <w:t>1</w:t>
      </w:r>
      <w:r w:rsidRPr="00661B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guidelines):</w:t>
      </w:r>
      <w:hyperlink r:id="rId8" w:history="1">
        <w:r w:rsidRPr="00661BB0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</w:rPr>
          <w:t xml:space="preserve"> </w:t>
        </w:r>
        <w:r w:rsidRPr="00661BB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http://clinchem.aaccjnls.org/content/55/4/611</w:t>
        </w:r>
      </w:hyperlink>
    </w:p>
    <w:sectPr w:rsidR="003B0794" w:rsidRPr="00035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6ACD7" w14:textId="77777777" w:rsidR="00B6048E" w:rsidRDefault="00B6048E" w:rsidP="00DD52A1">
      <w:pPr>
        <w:spacing w:after="0" w:line="240" w:lineRule="auto"/>
      </w:pPr>
      <w:r>
        <w:separator/>
      </w:r>
    </w:p>
  </w:endnote>
  <w:endnote w:type="continuationSeparator" w:id="0">
    <w:p w14:paraId="3952F14D" w14:textId="77777777" w:rsidR="00B6048E" w:rsidRDefault="00B6048E" w:rsidP="00DD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64631" w14:textId="77777777" w:rsidR="00B6048E" w:rsidRDefault="00B6048E" w:rsidP="00DD52A1">
      <w:pPr>
        <w:spacing w:after="0" w:line="240" w:lineRule="auto"/>
      </w:pPr>
      <w:r>
        <w:separator/>
      </w:r>
    </w:p>
  </w:footnote>
  <w:footnote w:type="continuationSeparator" w:id="0">
    <w:p w14:paraId="7946F9C4" w14:textId="77777777" w:rsidR="00B6048E" w:rsidRDefault="00B6048E" w:rsidP="00DD5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192"/>
    <w:multiLevelType w:val="hybridMultilevel"/>
    <w:tmpl w:val="9CA8668E"/>
    <w:lvl w:ilvl="0" w:tplc="FEC43430">
      <w:start w:val="1"/>
      <w:numFmt w:val="lowerRoman"/>
      <w:lvlText w:val="(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3148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B0"/>
    <w:rsid w:val="00002A1B"/>
    <w:rsid w:val="000356F5"/>
    <w:rsid w:val="000C7868"/>
    <w:rsid w:val="000F5309"/>
    <w:rsid w:val="001A1130"/>
    <w:rsid w:val="0026129A"/>
    <w:rsid w:val="003235BB"/>
    <w:rsid w:val="00333100"/>
    <w:rsid w:val="0036474C"/>
    <w:rsid w:val="003A1B01"/>
    <w:rsid w:val="003B0794"/>
    <w:rsid w:val="003C088F"/>
    <w:rsid w:val="003F4EA7"/>
    <w:rsid w:val="0057311C"/>
    <w:rsid w:val="005B453F"/>
    <w:rsid w:val="005C52E9"/>
    <w:rsid w:val="005F6FEA"/>
    <w:rsid w:val="00661BB0"/>
    <w:rsid w:val="006726C3"/>
    <w:rsid w:val="006833C8"/>
    <w:rsid w:val="00697EC1"/>
    <w:rsid w:val="006B1C3E"/>
    <w:rsid w:val="006E0216"/>
    <w:rsid w:val="00704AB7"/>
    <w:rsid w:val="0071695B"/>
    <w:rsid w:val="00877D3E"/>
    <w:rsid w:val="00885E0F"/>
    <w:rsid w:val="008B73D3"/>
    <w:rsid w:val="00931D02"/>
    <w:rsid w:val="0094665B"/>
    <w:rsid w:val="009B1187"/>
    <w:rsid w:val="009F7868"/>
    <w:rsid w:val="00AC3339"/>
    <w:rsid w:val="00B6048E"/>
    <w:rsid w:val="00B814F9"/>
    <w:rsid w:val="00BB5926"/>
    <w:rsid w:val="00BB6041"/>
    <w:rsid w:val="00C1024B"/>
    <w:rsid w:val="00C84B10"/>
    <w:rsid w:val="00CB2C5B"/>
    <w:rsid w:val="00CF04C9"/>
    <w:rsid w:val="00D303C4"/>
    <w:rsid w:val="00DD52A1"/>
    <w:rsid w:val="00DF00DD"/>
    <w:rsid w:val="00E23C96"/>
    <w:rsid w:val="00E34237"/>
    <w:rsid w:val="00E55C7F"/>
    <w:rsid w:val="00EA2759"/>
    <w:rsid w:val="00ED4052"/>
    <w:rsid w:val="00EF0F62"/>
    <w:rsid w:val="00FA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C7F4"/>
  <w15:chartTrackingRefBased/>
  <w15:docId w15:val="{D1836911-0175-4FDB-9584-D2BC42EE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61B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7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2A1"/>
  </w:style>
  <w:style w:type="paragraph" w:styleId="Footer">
    <w:name w:val="footer"/>
    <w:basedOn w:val="Normal"/>
    <w:link w:val="FooterChar"/>
    <w:uiPriority w:val="99"/>
    <w:unhideWhenUsed/>
    <w:rsid w:val="00DD5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3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1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nchem.aaccjnls.org/content/55/4/6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2E2F8-2B45-4013-9A64-753BEF6A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Shonali Mukherjee</cp:lastModifiedBy>
  <cp:revision>8</cp:revision>
  <dcterms:created xsi:type="dcterms:W3CDTF">2025-07-02T05:56:00Z</dcterms:created>
  <dcterms:modified xsi:type="dcterms:W3CDTF">2025-07-03T07:12:00Z</dcterms:modified>
</cp:coreProperties>
</file>