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8840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5CAD8F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Experimental design:</w:t>
      </w:r>
    </w:p>
    <w:p w14:paraId="357B042B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) Experimental groups:</w:t>
      </w:r>
    </w:p>
    <w:p w14:paraId="4B5BA875" w14:textId="0B344CF2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ACLF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whole blood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(n=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65A6B3F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10217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(ii) Control groups:</w:t>
      </w:r>
    </w:p>
    <w:p w14:paraId="5E49FAA7" w14:textId="2A1FEDE4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Healthy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whole blood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(n=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5721D1C0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8A0F8" w14:textId="77777777" w:rsidR="009D5C1A" w:rsidRPr="009F7868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Sample:</w:t>
      </w:r>
    </w:p>
    <w:p w14:paraId="79C42B59" w14:textId="51C9E1CE" w:rsidR="009D5C1A" w:rsidRPr="003F4EA7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DF0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Volume/mass of sample processed:</w:t>
      </w:r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br/>
        <w:t>A total of 6 ml of blood was collected from each study group in EDTA-coated purple-top vacutainers. Plasma was aseptically separated and stored at −80°C until further use.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200µl of whole blood was taken for RNA isolation to proceed with.</w:t>
      </w:r>
    </w:p>
    <w:p w14:paraId="46CB5487" w14:textId="71553B05" w:rsidR="009D5C1A" w:rsidRP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RNA Isolation</w:t>
      </w:r>
      <w:r w:rsidRPr="009D5C1A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br/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Total RNA was isolated from cell pellets using the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TRIzol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™ reagent (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Thermo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Fisher Scientific, USA, Cat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: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155960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18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) according to the manufacturer's instructions with slight modifications for optimal yield and purity. Briefly,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1000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µL of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TRIzol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was added to each sample pellet and homogenized thoroughly by pipetting and gentle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vortexing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. The homogenized samples were incubated at room temperature for 5 minutes to allow complete dissociation of nucleoprotein complexes.</w:t>
      </w:r>
    </w:p>
    <w:p w14:paraId="01769404" w14:textId="23877C01" w:rsidR="009D5C1A" w:rsidRP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Following incubation,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2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00 µL of chloroform (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SRL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, Cat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: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30792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) was added to each tube, and the samples were vigorously 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vortexed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for 15 seconds, followed by a 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5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-minute incubation at room temperature. Phase separation was achieved by centrifugation at 12,000×g for 15 minutes at 4°C. The upper aqueous phase, containing RNA, was carefully transferred to a new RNase-free microcentrifuge tube without disturbing the interphase.</w:t>
      </w:r>
    </w:p>
    <w:p w14:paraId="3D19102E" w14:textId="746418A1" w:rsidR="009D5C1A" w:rsidRP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An equal volume of isopropanol (</w:t>
      </w:r>
      <w:proofErr w:type="spellStart"/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Qualigens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, Cat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: Q13827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) was added to the aqueous phase to precipitate RNA. Samples were incubated for 1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20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minutes a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t -20℃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temperature and centrifuged at 12,000×g for 10 minutes at 4°C. The resulting RNA pellet was washed twice with 7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0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% ethanol, air-dried for 5–10 minutes, and resuspended in 3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2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µL of nuclease-free water</w:t>
      </w:r>
      <w:r w:rsidR="0037175C">
        <w:rPr>
          <w:rFonts w:ascii="Times New Roman" w:eastAsia="Times New Roman" w:hAnsi="Times New Roman" w:cs="Times New Roman"/>
          <w:sz w:val="24"/>
          <w:szCs w:val="24"/>
          <w:lang w:val="en-IN"/>
        </w:rPr>
        <w:t>.</w:t>
      </w:r>
    </w:p>
    <w:p w14:paraId="058E8D6E" w14:textId="1E380BC9" w:rsidR="009D5C1A" w:rsidRP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RNA quantity and purity were assessed using a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NanoDrop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spectrophotometer. Only samples with A260/A280 ratios between 1.8 and 2.0 were included for downstream qPCR analysis.</w:t>
      </w:r>
    </w:p>
    <w:p w14:paraId="0B978B4B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</w:p>
    <w:p w14:paraId="4FC7611C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qPCR target information</w:t>
      </w:r>
    </w:p>
    <w:p w14:paraId="2EE55719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B3173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4DAAC" w14:textId="77777777" w:rsidR="009D5C1A" w:rsidRPr="0057311C" w:rsidRDefault="009D5C1A" w:rsidP="009D5C1A">
      <w:pPr>
        <w:spacing w:after="0"/>
        <w:jc w:val="both"/>
        <w:rPr>
          <w:color w:val="000000"/>
          <w:lang w:val="en-IN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Primer designing strategy: </w:t>
      </w:r>
      <w:r w:rsidRPr="0057311C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The primers for the selected genes were designed using the IDT </w:t>
      </w:r>
      <w:proofErr w:type="spellStart"/>
      <w:r w:rsidRPr="0057311C">
        <w:rPr>
          <w:rFonts w:ascii="Times New Roman" w:hAnsi="Times New Roman" w:cs="Times New Roman"/>
          <w:color w:val="000000"/>
          <w:sz w:val="24"/>
          <w:szCs w:val="24"/>
          <w:lang w:val="en-IN"/>
        </w:rPr>
        <w:t>PrimerQuest</w:t>
      </w:r>
      <w:proofErr w:type="spellEnd"/>
      <w:r w:rsidRPr="0057311C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tool. The design parameters were set to ensure that all primers span exon-exon junctions, meeting intron-exclusion criteria. Additionally, the primers were designed to amplify mRNA splice variants. The specificity of the designed primers was verified using the NCBI BLAST platform.</w:t>
      </w:r>
    </w:p>
    <w:p w14:paraId="1F35E6C8" w14:textId="77777777" w:rsidR="009D5C1A" w:rsidRPr="00661BB0" w:rsidRDefault="009D5C1A" w:rsidP="009D5C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E34884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1E332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5B6BA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(ii) Manufacturer of oligonucleotides: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IDT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802"/>
        <w:gridCol w:w="3563"/>
        <w:gridCol w:w="3732"/>
        <w:gridCol w:w="1253"/>
      </w:tblGrid>
      <w:tr w:rsidR="001A566C" w14:paraId="1C4A05F4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2DE" w14:textId="77777777" w:rsidR="001A566C" w:rsidRPr="001A566C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Gene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B69" w14:textId="77777777" w:rsidR="001A566C" w:rsidRPr="001A566C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Forward primer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500B" w14:textId="77777777" w:rsidR="001A566C" w:rsidRPr="001A566C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Reverse primer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61C2" w14:textId="77777777" w:rsidR="001A566C" w:rsidRPr="001A566C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5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Accession no.</w:t>
            </w:r>
          </w:p>
        </w:tc>
      </w:tr>
      <w:tr w:rsidR="001A566C" w14:paraId="756A50BD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2A2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TLR1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9C38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CTGGTATCTCAGGATGGTGTGC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0023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TTGGAGTTCTTCTAAGGGTATGTTCC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8DA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NM_003263</w:t>
            </w:r>
          </w:p>
        </w:tc>
      </w:tr>
      <w:tr w:rsidR="001A566C" w14:paraId="4C498D6A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5215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TLR2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6FF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GGCCAGCAAATTACCTGTGTG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8DC2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AGGCGGACATCCTGAACCT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0E89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NM_003264</w:t>
            </w:r>
          </w:p>
        </w:tc>
      </w:tr>
      <w:tr w:rsidR="001A566C" w14:paraId="32BDFCF1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E7DC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TLR3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049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TCCCAAGCCTTCAACGACTG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706F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TGGTGAAGGAGAGCTATCCACA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29D7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NM_003265</w:t>
            </w:r>
          </w:p>
        </w:tc>
      </w:tr>
      <w:tr w:rsidR="001A566C" w14:paraId="4304338F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693E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TLR4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3222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CTGCAATGGATCAAGGACCA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2E8D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TTATCTGAAGGTGTTGCACATTCC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5CA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XM_057452</w:t>
            </w:r>
          </w:p>
        </w:tc>
      </w:tr>
      <w:tr w:rsidR="001A566C" w14:paraId="5BB11A96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D23D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TLR5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271B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TCGAGCCCCTACAAGGGAA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272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CACTGAGACTCTGCTATACAAGCTA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EE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NM_003268</w:t>
            </w:r>
          </w:p>
        </w:tc>
      </w:tr>
      <w:tr w:rsidR="001A566C" w14:paraId="6249FB2D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3B6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TLR6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E113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CTATTGTTAAAAGCTTCCATTTTGT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8C7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ACCTGAAGCTCAGCGATGTAGTTC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8C29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NM_006068</w:t>
            </w:r>
          </w:p>
        </w:tc>
      </w:tr>
      <w:tr w:rsidR="001A566C" w14:paraId="751F8F68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7F8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TLR7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123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TTACCTGGATGGAAACCAGCTAC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912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TCAAGGCTGAGAAGCTGTAAGCTA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CD09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NM_016562</w:t>
            </w:r>
          </w:p>
        </w:tc>
      </w:tr>
      <w:tr w:rsidR="001A566C" w14:paraId="576911F6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16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TLR8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EED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GAGAGCCGAGACAAAAACGTTC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5A5C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TGTCGATGATGGCCAATCC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92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NM_016610</w:t>
            </w:r>
          </w:p>
        </w:tc>
      </w:tr>
      <w:tr w:rsidR="001A566C" w14:paraId="7AB7068B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33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TLR9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7D1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TGGTGTTGAAGGACAGTTCTCTC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95C6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CACTCGGAGGTTTCCCAGC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80EF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NM_017442</w:t>
            </w:r>
          </w:p>
        </w:tc>
      </w:tr>
      <w:tr w:rsidR="001A566C" w14:paraId="554B1339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BC3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TLR10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F0C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GAAAGGTTCCCGCAGACTTG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DF30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TGGAGTTGAAAAAGGAGGTTATAG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09C8" w14:textId="77777777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NM_030956</w:t>
            </w:r>
          </w:p>
        </w:tc>
      </w:tr>
      <w:tr w:rsidR="001A566C" w14:paraId="11AF13EA" w14:textId="77777777" w:rsidTr="00A85CE7">
        <w:trPr>
          <w:trHeight w:val="28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5C2E" w14:textId="32EC2EBB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18s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2ED2" w14:textId="1673F65D" w:rsidR="001A566C" w:rsidRPr="00A462D4" w:rsidRDefault="00A85CE7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GTAACCCGTTGAACCCCATT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D86" w14:textId="3442E1D6" w:rsidR="001A566C" w:rsidRPr="00A462D4" w:rsidRDefault="00A85CE7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CCATCCAATCGGTAGTAGCG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25A" w14:textId="79D5C298" w:rsidR="001A566C" w:rsidRPr="00A462D4" w:rsidRDefault="001A566C" w:rsidP="001A566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8E45F5" w14:textId="4ADA65B3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E83A5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qPCR protocol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D6ED3CB" w14:textId="77777777" w:rsidR="007966E4" w:rsidRPr="00661BB0" w:rsidRDefault="007966E4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D4143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AD659B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Complete reaction conditions: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SYBR green 1 chemistry was used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determine the relative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expression of the target genes.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cycling parameters are: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Initial denaturation at 95°C for 3 minutes,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followed by annealing,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amplification and detection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cycles (95°C 30’’, 60°C 20’’, 72°C 20’’) at end-point fluorescence, and </w:t>
      </w:r>
      <w:r w:rsidRPr="00661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melt-curve analysis at 60-95°C at 0.1 °C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rise per second at continuous fluorescence to detect specific amplicons.</w:t>
      </w:r>
    </w:p>
    <w:p w14:paraId="621FC2F9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7B839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(ii) Reaction volume and components: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Reaction volume of total 10</w:t>
      </w:r>
      <w:r w:rsidRPr="00333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l: Components were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mastermix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consisting of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of SYBR Green buffer. 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Mastermix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Thermo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Fisher Scientific Dynamo Flash: F415S),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l of forward + 0.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reverse primers (0.4mM),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of nuclease-free water,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l of template cDNA.</w:t>
      </w:r>
    </w:p>
    <w:p w14:paraId="2CB366E2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EAF75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(v) Manufacture of qPCR instruments: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Agilent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AriaMx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eal-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 PCR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used to carry out the qPCR experiments.</w:t>
      </w:r>
    </w:p>
    <w:p w14:paraId="0C1E2706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CBCD0B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62438" w14:textId="77777777" w:rsidR="009D5C1A" w:rsidRPr="00E23C96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3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Keywords and abbreviations</w:t>
      </w:r>
    </w:p>
    <w:p w14:paraId="392850AF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MIQE: The Minimum Information for Publication of Quantitative Real-Time PCR Experiments qPCR: Quantitative real time PCR</w:t>
      </w:r>
    </w:p>
    <w:p w14:paraId="5AAC2955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DC: Disease controls</w:t>
      </w:r>
    </w:p>
    <w:p w14:paraId="19BA80F7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2F24A77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1F7CB0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F5464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53BC0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1E9CD" w14:textId="77777777" w:rsidR="009D5C1A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D32807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3641E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PCR standardization and primer efficiency:</w:t>
      </w:r>
    </w:p>
    <w:p w14:paraId="6914A8FD" w14:textId="77777777" w:rsidR="009D5C1A" w:rsidRPr="00661BB0" w:rsidRDefault="009D5C1A" w:rsidP="009D5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18S rRNA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used 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housekeeping gene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. Primer validation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standardization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reaction conditions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were done by temperature gradient PCR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Prima-96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E4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Well Block system.</w:t>
      </w:r>
      <w:r w:rsidRPr="00661B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Reaction conditions were optimized to be same for all the genes, and chosen for qPCR as follows: 95°C 3’, 95°C 30’’, 60°C 20’’, 72°C 20’’. </w:t>
      </w:r>
    </w:p>
    <w:p w14:paraId="58A3E6CC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A07BD" w14:textId="77777777" w:rsidR="009D5C1A" w:rsidRPr="00661BB0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References:</w:t>
      </w:r>
    </w:p>
    <w:p w14:paraId="21679928" w14:textId="77777777" w:rsidR="009D5C1A" w:rsidRPr="000356F5" w:rsidRDefault="009D5C1A" w:rsidP="009D5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(In accordance with the MIQE</w:t>
      </w:r>
      <w:r w:rsidRPr="00661BB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</w:rPr>
        <w:t>1</w:t>
      </w: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guidelines):</w:t>
      </w:r>
      <w:hyperlink r:id="rId4" w:history="1">
        <w:r w:rsidRPr="00661BB0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 xml:space="preserve"> </w:t>
        </w:r>
        <w:r w:rsidRPr="00661B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http://clinchem.aaccjnls.org/content/55/4/611</w:t>
        </w:r>
      </w:hyperlink>
    </w:p>
    <w:p w14:paraId="49CDB2B6" w14:textId="77777777" w:rsidR="009D5C1A" w:rsidRDefault="009D5C1A"/>
    <w:sectPr w:rsidR="009D5C1A" w:rsidSect="009D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A"/>
    <w:rsid w:val="000F5309"/>
    <w:rsid w:val="001A566C"/>
    <w:rsid w:val="0037175C"/>
    <w:rsid w:val="007966E4"/>
    <w:rsid w:val="009D5C1A"/>
    <w:rsid w:val="00A462D4"/>
    <w:rsid w:val="00A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A6AC"/>
  <w15:chartTrackingRefBased/>
  <w15:docId w15:val="{168EBB02-526C-4EE9-8238-2C897F30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C1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C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C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C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C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C1A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1A566C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inchem.aaccjnls.org/content/55/4/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Shonali Mukherjee</dc:creator>
  <cp:keywords/>
  <dc:description/>
  <cp:lastModifiedBy>Shonali Mukherjee</cp:lastModifiedBy>
  <cp:revision>1</cp:revision>
  <dcterms:created xsi:type="dcterms:W3CDTF">2025-07-03T06:52:00Z</dcterms:created>
  <dcterms:modified xsi:type="dcterms:W3CDTF">2025-07-03T11:49:00Z</dcterms:modified>
</cp:coreProperties>
</file>