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DE233" w14:textId="77777777" w:rsidR="00EA6AAD" w:rsidRPr="00B82F36" w:rsidRDefault="00EA6AAD" w:rsidP="00EA6AAD">
      <w:pPr>
        <w:spacing w:line="264" w:lineRule="auto"/>
        <w:rPr>
          <w:rFonts w:ascii="Arial" w:hAnsi="Arial" w:cs="Arial"/>
          <w:color w:val="000000" w:themeColor="text1"/>
        </w:rPr>
      </w:pPr>
      <w:r w:rsidRPr="00B82F36">
        <w:rPr>
          <w:rFonts w:ascii="Arial" w:hAnsi="Arial" w:cs="Arial"/>
          <w:b/>
          <w:bCs/>
          <w:color w:val="000000" w:themeColor="text1"/>
        </w:rPr>
        <w:t>Supp. Table 1:</w:t>
      </w:r>
      <w:r w:rsidRPr="00B82F36">
        <w:rPr>
          <w:rFonts w:ascii="Arial" w:hAnsi="Arial" w:cs="Arial"/>
          <w:color w:val="000000" w:themeColor="text1"/>
        </w:rPr>
        <w:t xml:space="preserve"> Results of logistic regression analysis</w:t>
      </w:r>
      <w:r>
        <w:rPr>
          <w:rFonts w:ascii="Arial" w:hAnsi="Arial" w:cs="Arial"/>
          <w:color w:val="000000" w:themeColor="text1"/>
        </w:rPr>
        <w:t xml:space="preserve"> </w:t>
      </w:r>
      <w:r w:rsidRPr="00B82F36">
        <w:rPr>
          <w:rFonts w:ascii="Arial" w:hAnsi="Arial" w:cs="Arial"/>
          <w:color w:val="000000" w:themeColor="text1"/>
        </w:rPr>
        <w:t xml:space="preserve">to identify the background factors that were related to BCVA worse than 1.0 </w:t>
      </w:r>
      <w:proofErr w:type="spellStart"/>
      <w:r w:rsidRPr="00B82F36">
        <w:rPr>
          <w:rFonts w:ascii="Arial" w:hAnsi="Arial" w:cs="Arial"/>
          <w:color w:val="000000" w:themeColor="text1"/>
        </w:rPr>
        <w:t>logMAR</w:t>
      </w:r>
      <w:proofErr w:type="spellEnd"/>
      <w:r w:rsidRPr="00B82F36">
        <w:rPr>
          <w:rFonts w:ascii="Arial" w:hAnsi="Arial" w:cs="Arial"/>
          <w:color w:val="000000" w:themeColor="text1"/>
        </w:rPr>
        <w:t xml:space="preserve"> units (0.1 decimal BCVA)</w:t>
      </w:r>
      <w:r>
        <w:rPr>
          <w:rFonts w:ascii="Arial" w:hAnsi="Arial" w:cs="Arial"/>
          <w:color w:val="000000" w:themeColor="text1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1985"/>
        <w:gridCol w:w="2392"/>
      </w:tblGrid>
      <w:tr w:rsidR="00EA6AAD" w:rsidRPr="00B82F36" w14:paraId="029DE97F" w14:textId="77777777" w:rsidTr="00B35481">
        <w:trPr>
          <w:trHeight w:val="456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33B8230" w14:textId="77777777" w:rsidR="00EA6AAD" w:rsidRPr="00B82F36" w:rsidRDefault="00EA6AAD" w:rsidP="00B35481">
            <w:pPr>
              <w:spacing w:line="360" w:lineRule="auto"/>
              <w:rPr>
                <w:rFonts w:ascii="Arial" w:hAnsi="Arial" w:cs="Arial"/>
                <w:color w:val="000000" w:themeColor="text1"/>
                <w:szCs w:val="21"/>
              </w:rPr>
            </w:pPr>
            <w:r w:rsidRPr="00B82F36">
              <w:rPr>
                <w:rFonts w:ascii="Arial" w:hAnsi="Arial" w:cs="Arial" w:hint="eastAsia"/>
                <w:color w:val="000000" w:themeColor="text1"/>
                <w:szCs w:val="21"/>
              </w:rPr>
              <w:t>I</w:t>
            </w:r>
            <w:r w:rsidRPr="00B82F36">
              <w:rPr>
                <w:rFonts w:ascii="Arial" w:hAnsi="Arial" w:cs="Arial"/>
                <w:color w:val="000000" w:themeColor="text1"/>
                <w:szCs w:val="21"/>
              </w:rPr>
              <w:t>ndependent variables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CFE4619" w14:textId="77777777" w:rsidR="00EA6AAD" w:rsidRPr="00B82F36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82F36">
              <w:rPr>
                <w:rFonts w:ascii="Arial" w:eastAsia="Yu Mincho" w:hAnsi="Arial" w:cs="Arial"/>
                <w:i/>
                <w:iCs/>
                <w:color w:val="000000" w:themeColor="text1"/>
                <w:szCs w:val="21"/>
              </w:rPr>
              <w:t>β</w:t>
            </w:r>
          </w:p>
        </w:tc>
        <w:tc>
          <w:tcPr>
            <w:tcW w:w="2392" w:type="dxa"/>
            <w:tcBorders>
              <w:top w:val="single" w:sz="4" w:space="0" w:color="auto"/>
              <w:bottom w:val="single" w:sz="4" w:space="0" w:color="auto"/>
            </w:tcBorders>
          </w:tcPr>
          <w:p w14:paraId="41D4250B" w14:textId="77777777" w:rsidR="00EA6AAD" w:rsidRPr="00B82F36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82F36">
              <w:rPr>
                <w:rFonts w:ascii="Arial" w:hAnsi="Arial" w:cs="Arial"/>
                <w:i/>
                <w:iCs/>
                <w:color w:val="000000" w:themeColor="text1"/>
                <w:szCs w:val="21"/>
              </w:rPr>
              <w:t>P-</w:t>
            </w:r>
            <w:r w:rsidRPr="00B82F36">
              <w:rPr>
                <w:rFonts w:ascii="Arial" w:hAnsi="Arial" w:cs="Arial"/>
                <w:color w:val="000000" w:themeColor="text1"/>
                <w:szCs w:val="21"/>
              </w:rPr>
              <w:t>Value</w:t>
            </w:r>
          </w:p>
        </w:tc>
      </w:tr>
      <w:tr w:rsidR="00EA6AAD" w:rsidRPr="00B82F36" w14:paraId="5ECC0D8B" w14:textId="77777777" w:rsidTr="00B35481">
        <w:trPr>
          <w:trHeight w:val="419"/>
        </w:trPr>
        <w:tc>
          <w:tcPr>
            <w:tcW w:w="411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F136016" w14:textId="77777777" w:rsidR="00EA6AAD" w:rsidRPr="00B82F36" w:rsidRDefault="00EA6AAD" w:rsidP="00B35481">
            <w:pPr>
              <w:spacing w:line="360" w:lineRule="auto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ge (years)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55A199E" w14:textId="77777777" w:rsidR="00EA6AAD" w:rsidRPr="00B82F36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.243</w:t>
            </w:r>
          </w:p>
        </w:tc>
        <w:tc>
          <w:tcPr>
            <w:tcW w:w="239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C9582EA" w14:textId="77777777" w:rsidR="00EA6AAD" w:rsidRPr="0029220F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29220F">
              <w:rPr>
                <w:rFonts w:ascii="Arial" w:hAnsi="Arial" w:cs="Arial" w:hint="eastAsia"/>
                <w:szCs w:val="21"/>
              </w:rPr>
              <w:t>0</w:t>
            </w:r>
            <w:r w:rsidRPr="0029220F">
              <w:rPr>
                <w:rFonts w:ascii="Arial" w:hAnsi="Arial" w:cs="Arial"/>
                <w:szCs w:val="21"/>
              </w:rPr>
              <w:t>.016</w:t>
            </w:r>
            <w:r w:rsidRPr="0029220F">
              <w:rPr>
                <w:rFonts w:ascii="Yu Mincho" w:eastAsia="Yu Mincho" w:hAnsi="Yu Mincho" w:cs="Arial" w:hint="eastAsia"/>
                <w:szCs w:val="21"/>
              </w:rPr>
              <w:t>*</w:t>
            </w:r>
          </w:p>
        </w:tc>
      </w:tr>
      <w:tr w:rsidR="00EA6AAD" w:rsidRPr="00B82F36" w14:paraId="7A0C0F19" w14:textId="77777777" w:rsidTr="00B35481">
        <w:trPr>
          <w:trHeight w:val="419"/>
        </w:trPr>
        <w:tc>
          <w:tcPr>
            <w:tcW w:w="4111" w:type="dxa"/>
          </w:tcPr>
          <w:p w14:paraId="553072B9" w14:textId="77777777" w:rsidR="00EA6AAD" w:rsidRPr="00B82F36" w:rsidRDefault="00EA6AAD" w:rsidP="00B35481">
            <w:pPr>
              <w:spacing w:line="360" w:lineRule="auto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S</w:t>
            </w:r>
            <w:r>
              <w:rPr>
                <w:rFonts w:ascii="Arial" w:hAnsi="Arial" w:cs="Arial"/>
                <w:sz w:val="22"/>
                <w:szCs w:val="22"/>
              </w:rPr>
              <w:t>ex (men/women)</w:t>
            </w:r>
          </w:p>
        </w:tc>
        <w:tc>
          <w:tcPr>
            <w:tcW w:w="1985" w:type="dxa"/>
          </w:tcPr>
          <w:p w14:paraId="3EAE0C42" w14:textId="77777777" w:rsidR="00EA6AAD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.031</w:t>
            </w:r>
          </w:p>
        </w:tc>
        <w:tc>
          <w:tcPr>
            <w:tcW w:w="2392" w:type="dxa"/>
          </w:tcPr>
          <w:p w14:paraId="36190CC7" w14:textId="77777777" w:rsidR="00EA6AAD" w:rsidRPr="0029220F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29220F">
              <w:rPr>
                <w:rFonts w:ascii="Arial" w:hAnsi="Arial" w:cs="Arial" w:hint="eastAsia"/>
                <w:szCs w:val="21"/>
              </w:rPr>
              <w:t>0</w:t>
            </w:r>
            <w:r w:rsidRPr="0029220F">
              <w:rPr>
                <w:rFonts w:ascii="Arial" w:hAnsi="Arial" w:cs="Arial"/>
                <w:szCs w:val="21"/>
              </w:rPr>
              <w:t>.741</w:t>
            </w:r>
          </w:p>
        </w:tc>
      </w:tr>
      <w:tr w:rsidR="00EA6AAD" w:rsidRPr="00B82F36" w14:paraId="376147AA" w14:textId="77777777" w:rsidTr="00B35481">
        <w:trPr>
          <w:trHeight w:val="411"/>
        </w:trPr>
        <w:tc>
          <w:tcPr>
            <w:tcW w:w="4111" w:type="dxa"/>
            <w:shd w:val="clear" w:color="auto" w:fill="D9D9D9" w:themeFill="background1" w:themeFillShade="D9"/>
          </w:tcPr>
          <w:p w14:paraId="3BAC25FF" w14:textId="77777777" w:rsidR="00EA6AAD" w:rsidRPr="00B82F36" w:rsidRDefault="00EA6AAD" w:rsidP="00B35481">
            <w:pPr>
              <w:spacing w:line="360" w:lineRule="auto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ffected eye (right/left)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563A817A" w14:textId="77777777" w:rsidR="00EA6AAD" w:rsidRPr="00B82F36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/>
              </w:rPr>
              <w:t>-0.195</w:t>
            </w:r>
          </w:p>
        </w:tc>
        <w:tc>
          <w:tcPr>
            <w:tcW w:w="2392" w:type="dxa"/>
            <w:shd w:val="clear" w:color="auto" w:fill="D9D9D9" w:themeFill="background1" w:themeFillShade="D9"/>
          </w:tcPr>
          <w:p w14:paraId="1D85F6FF" w14:textId="77777777" w:rsidR="00EA6AAD" w:rsidRPr="0029220F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29220F">
              <w:rPr>
                <w:rFonts w:ascii="Arial" w:hAnsi="Arial" w:cs="Arial" w:hint="eastAsia"/>
                <w:szCs w:val="21"/>
              </w:rPr>
              <w:t>0</w:t>
            </w:r>
            <w:r w:rsidRPr="0029220F">
              <w:rPr>
                <w:rFonts w:ascii="Arial" w:hAnsi="Arial" w:cs="Arial"/>
                <w:szCs w:val="21"/>
              </w:rPr>
              <w:t>.038</w:t>
            </w:r>
            <w:r w:rsidRPr="0029220F">
              <w:rPr>
                <w:rFonts w:ascii="Yu Mincho" w:eastAsia="Yu Mincho" w:hAnsi="Yu Mincho" w:cs="Arial" w:hint="eastAsia"/>
                <w:szCs w:val="21"/>
              </w:rPr>
              <w:t>*</w:t>
            </w:r>
          </w:p>
        </w:tc>
      </w:tr>
      <w:tr w:rsidR="00EA6AAD" w:rsidRPr="00B82F36" w14:paraId="1D1ECD50" w14:textId="77777777" w:rsidTr="00B35481">
        <w:trPr>
          <w:trHeight w:val="411"/>
        </w:trPr>
        <w:tc>
          <w:tcPr>
            <w:tcW w:w="4111" w:type="dxa"/>
            <w:shd w:val="clear" w:color="auto" w:fill="auto"/>
          </w:tcPr>
          <w:p w14:paraId="2A0712FC" w14:textId="77777777" w:rsidR="00EA6AAD" w:rsidRPr="00E22F4B" w:rsidRDefault="00EA6AAD" w:rsidP="00B35481">
            <w:pPr>
              <w:spacing w:line="360" w:lineRule="auto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H</w:t>
            </w:r>
            <w:r>
              <w:rPr>
                <w:rFonts w:ascii="Arial" w:hAnsi="Arial" w:cs="Arial"/>
                <w:sz w:val="22"/>
                <w:szCs w:val="22"/>
              </w:rPr>
              <w:t>ypertension</w:t>
            </w:r>
          </w:p>
        </w:tc>
        <w:tc>
          <w:tcPr>
            <w:tcW w:w="1985" w:type="dxa"/>
            <w:shd w:val="clear" w:color="auto" w:fill="auto"/>
          </w:tcPr>
          <w:p w14:paraId="6C70194C" w14:textId="77777777" w:rsidR="00EA6AAD" w:rsidRPr="00E22F4B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.002</w:t>
            </w:r>
          </w:p>
        </w:tc>
        <w:tc>
          <w:tcPr>
            <w:tcW w:w="2392" w:type="dxa"/>
            <w:shd w:val="clear" w:color="auto" w:fill="auto"/>
          </w:tcPr>
          <w:p w14:paraId="23876AF4" w14:textId="77777777" w:rsidR="00EA6AAD" w:rsidRPr="0029220F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29220F">
              <w:rPr>
                <w:rFonts w:ascii="Arial" w:hAnsi="Arial" w:cs="Arial" w:hint="eastAsia"/>
                <w:szCs w:val="21"/>
              </w:rPr>
              <w:t>0</w:t>
            </w:r>
            <w:r w:rsidRPr="0029220F">
              <w:rPr>
                <w:rFonts w:ascii="Arial" w:hAnsi="Arial" w:cs="Arial"/>
                <w:szCs w:val="21"/>
              </w:rPr>
              <w:t>.</w:t>
            </w:r>
            <w:r>
              <w:rPr>
                <w:rFonts w:ascii="Arial" w:hAnsi="Arial" w:cs="Arial"/>
                <w:szCs w:val="21"/>
              </w:rPr>
              <w:t>984</w:t>
            </w:r>
          </w:p>
        </w:tc>
      </w:tr>
      <w:tr w:rsidR="00EA6AAD" w:rsidRPr="00B82F36" w14:paraId="673AE29D" w14:textId="77777777" w:rsidTr="00B35481">
        <w:trPr>
          <w:trHeight w:val="411"/>
        </w:trPr>
        <w:tc>
          <w:tcPr>
            <w:tcW w:w="4111" w:type="dxa"/>
            <w:shd w:val="clear" w:color="auto" w:fill="D9D9D9" w:themeFill="background1" w:themeFillShade="D9"/>
          </w:tcPr>
          <w:p w14:paraId="41B73228" w14:textId="77777777" w:rsidR="00EA6AAD" w:rsidRDefault="00EA6AAD" w:rsidP="00B3548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D</w:t>
            </w:r>
            <w:r>
              <w:rPr>
                <w:rFonts w:ascii="Arial" w:hAnsi="Arial" w:cs="Arial"/>
                <w:sz w:val="22"/>
                <w:szCs w:val="22"/>
              </w:rPr>
              <w:t>iabetes mellitus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2C0BF5EF" w14:textId="77777777" w:rsidR="00EA6AAD" w:rsidRPr="00B82F36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/>
              </w:rPr>
              <w:t>-0.122</w:t>
            </w:r>
          </w:p>
        </w:tc>
        <w:tc>
          <w:tcPr>
            <w:tcW w:w="2392" w:type="dxa"/>
            <w:shd w:val="clear" w:color="auto" w:fill="D9D9D9" w:themeFill="background1" w:themeFillShade="D9"/>
          </w:tcPr>
          <w:p w14:paraId="61E69DA6" w14:textId="77777777" w:rsidR="00EA6AAD" w:rsidRPr="0029220F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29220F">
              <w:rPr>
                <w:rFonts w:ascii="Arial" w:hAnsi="Arial" w:cs="Arial" w:hint="eastAsia"/>
                <w:szCs w:val="21"/>
              </w:rPr>
              <w:t>0</w:t>
            </w:r>
            <w:r w:rsidRPr="0029220F">
              <w:rPr>
                <w:rFonts w:ascii="Arial" w:hAnsi="Arial" w:cs="Arial"/>
                <w:szCs w:val="21"/>
              </w:rPr>
              <w:t>.</w:t>
            </w:r>
            <w:r>
              <w:rPr>
                <w:rFonts w:ascii="Arial" w:hAnsi="Arial" w:cs="Arial"/>
                <w:szCs w:val="21"/>
              </w:rPr>
              <w:t>213</w:t>
            </w:r>
          </w:p>
        </w:tc>
      </w:tr>
      <w:tr w:rsidR="00EA6AAD" w:rsidRPr="00B82F36" w14:paraId="57A34A94" w14:textId="77777777" w:rsidTr="00B35481">
        <w:trPr>
          <w:trHeight w:val="411"/>
        </w:trPr>
        <w:tc>
          <w:tcPr>
            <w:tcW w:w="4111" w:type="dxa"/>
            <w:tcBorders>
              <w:bottom w:val="single" w:sz="4" w:space="0" w:color="auto"/>
            </w:tcBorders>
          </w:tcPr>
          <w:p w14:paraId="59147DCC" w14:textId="77777777" w:rsidR="00EA6AAD" w:rsidRDefault="00EA6AAD" w:rsidP="00B35481">
            <w:pPr>
              <w:spacing w:line="288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 xml:space="preserve">eriod from symptom onset </w:t>
            </w:r>
          </w:p>
          <w:p w14:paraId="022AD002" w14:textId="77777777" w:rsidR="00EA6AAD" w:rsidRPr="00B82F36" w:rsidRDefault="00EA6AAD" w:rsidP="00B35481">
            <w:pPr>
              <w:spacing w:line="288" w:lineRule="auto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/>
                <w:sz w:val="22"/>
                <w:szCs w:val="22"/>
              </w:rPr>
              <w:t>to initial visit to hospital (weeks)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F7A887C" w14:textId="77777777" w:rsidR="00EA6AAD" w:rsidRDefault="00EA6AAD" w:rsidP="00B35481">
            <w:pPr>
              <w:jc w:val="center"/>
              <w:rPr>
                <w:rFonts w:ascii="Arial" w:hAnsi="Arial" w:cs="Arial"/>
              </w:rPr>
            </w:pPr>
          </w:p>
          <w:p w14:paraId="5AD2D9E2" w14:textId="77777777" w:rsidR="00EA6AAD" w:rsidRPr="00B82F36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 w:hint="eastAsia"/>
                <w:color w:val="000000" w:themeColor="text1"/>
                <w:szCs w:val="21"/>
              </w:rPr>
              <w:t>-</w:t>
            </w:r>
            <w:r>
              <w:rPr>
                <w:rFonts w:ascii="Arial" w:hAnsi="Arial" w:cs="Arial"/>
                <w:color w:val="000000" w:themeColor="text1"/>
                <w:szCs w:val="21"/>
              </w:rPr>
              <w:t>0.144</w:t>
            </w:r>
          </w:p>
        </w:tc>
        <w:tc>
          <w:tcPr>
            <w:tcW w:w="2392" w:type="dxa"/>
            <w:tcBorders>
              <w:bottom w:val="single" w:sz="4" w:space="0" w:color="auto"/>
            </w:tcBorders>
          </w:tcPr>
          <w:p w14:paraId="65FDA5F7" w14:textId="77777777" w:rsidR="00EA6AAD" w:rsidRPr="0029220F" w:rsidRDefault="00EA6AAD" w:rsidP="00B35481">
            <w:pPr>
              <w:jc w:val="center"/>
              <w:rPr>
                <w:rFonts w:ascii="Arial" w:hAnsi="Arial" w:cs="Arial"/>
                <w:szCs w:val="21"/>
              </w:rPr>
            </w:pPr>
          </w:p>
          <w:p w14:paraId="4ED4E007" w14:textId="77777777" w:rsidR="00EA6AAD" w:rsidRPr="0029220F" w:rsidRDefault="00EA6AAD" w:rsidP="00B3548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29220F">
              <w:rPr>
                <w:rFonts w:ascii="Arial" w:hAnsi="Arial" w:cs="Arial" w:hint="eastAsia"/>
                <w:szCs w:val="21"/>
              </w:rPr>
              <w:t>0</w:t>
            </w:r>
            <w:r w:rsidRPr="0029220F">
              <w:rPr>
                <w:rFonts w:ascii="Arial" w:hAnsi="Arial" w:cs="Arial"/>
                <w:szCs w:val="21"/>
              </w:rPr>
              <w:t>.</w:t>
            </w:r>
            <w:r>
              <w:rPr>
                <w:rFonts w:ascii="Arial" w:hAnsi="Arial" w:cs="Arial"/>
                <w:szCs w:val="21"/>
              </w:rPr>
              <w:t>155</w:t>
            </w:r>
          </w:p>
        </w:tc>
      </w:tr>
    </w:tbl>
    <w:p w14:paraId="2E70E808" w14:textId="77777777" w:rsidR="00EA6AAD" w:rsidRPr="00B82F36" w:rsidRDefault="00EA6AAD" w:rsidP="00EA6AAD">
      <w:pPr>
        <w:spacing w:line="264" w:lineRule="auto"/>
        <w:ind w:rightChars="-139" w:right="-334"/>
        <w:rPr>
          <w:rFonts w:ascii="Arial" w:hAnsi="Arial" w:cs="Arial"/>
          <w:color w:val="000000" w:themeColor="text1"/>
        </w:rPr>
      </w:pPr>
      <w:r w:rsidRPr="00B82F36">
        <w:rPr>
          <w:rFonts w:ascii="Arial" w:hAnsi="Arial" w:cs="Arial"/>
          <w:color w:val="000000" w:themeColor="text1"/>
        </w:rPr>
        <w:t>Standardized partial regression coefficient (</w:t>
      </w:r>
      <w:r w:rsidRPr="00B82F36">
        <w:rPr>
          <w:rFonts w:ascii="Arial" w:eastAsia="Yu Mincho" w:hAnsi="Arial" w:cs="Arial"/>
          <w:i/>
          <w:iCs/>
          <w:color w:val="000000" w:themeColor="text1"/>
          <w:sz w:val="22"/>
          <w:szCs w:val="22"/>
        </w:rPr>
        <w:t>β</w:t>
      </w:r>
      <w:r w:rsidRPr="00B82F36">
        <w:rPr>
          <w:rFonts w:ascii="Arial" w:hAnsi="Arial" w:cs="Arial"/>
          <w:color w:val="000000" w:themeColor="text1"/>
        </w:rPr>
        <w:t xml:space="preserve">), and </w:t>
      </w:r>
      <w:r w:rsidRPr="00B82F36">
        <w:rPr>
          <w:rFonts w:ascii="Arial" w:hAnsi="Arial" w:cs="Arial"/>
          <w:i/>
          <w:iCs/>
          <w:color w:val="000000" w:themeColor="text1"/>
        </w:rPr>
        <w:t>P</w:t>
      </w:r>
      <w:r w:rsidRPr="00B82F36">
        <w:rPr>
          <w:rFonts w:ascii="Arial" w:hAnsi="Arial" w:cs="Arial"/>
          <w:color w:val="000000" w:themeColor="text1"/>
        </w:rPr>
        <w:t xml:space="preserve">-values are calculated for six independent variables which were associated with visual acuities poorer than 1.0 </w:t>
      </w:r>
      <w:proofErr w:type="spellStart"/>
      <w:r w:rsidRPr="00B82F36">
        <w:rPr>
          <w:rFonts w:ascii="Arial" w:hAnsi="Arial" w:cs="Arial"/>
          <w:color w:val="000000" w:themeColor="text1"/>
        </w:rPr>
        <w:t>logMAR</w:t>
      </w:r>
      <w:proofErr w:type="spellEnd"/>
      <w:r w:rsidRPr="00B82F36">
        <w:rPr>
          <w:rFonts w:ascii="Arial" w:hAnsi="Arial" w:cs="Arial"/>
          <w:color w:val="000000" w:themeColor="text1"/>
        </w:rPr>
        <w:t xml:space="preserve"> (0.1 decimal BCVA) at the initial visit to the hospital eyes in eyes with CRVO. * </w:t>
      </w:r>
      <w:r w:rsidRPr="00B82F36">
        <w:rPr>
          <w:rFonts w:ascii="Arial" w:hAnsi="Arial" w:cs="Arial"/>
          <w:i/>
          <w:iCs/>
          <w:color w:val="000000" w:themeColor="text1"/>
        </w:rPr>
        <w:t>P</w:t>
      </w:r>
      <w:r w:rsidRPr="00B82F36">
        <w:rPr>
          <w:rFonts w:ascii="Arial" w:hAnsi="Arial" w:cs="Arial"/>
          <w:color w:val="000000" w:themeColor="text1"/>
        </w:rPr>
        <w:t xml:space="preserve"> &lt; 0.05 was considered significant. </w:t>
      </w:r>
    </w:p>
    <w:p w14:paraId="3C8253B2" w14:textId="77777777" w:rsidR="00EA6AAD" w:rsidRPr="00B82F36" w:rsidRDefault="00EA6AAD" w:rsidP="00EA6AAD"/>
    <w:p w14:paraId="6ED1B6DE" w14:textId="77777777" w:rsidR="00EA6AAD" w:rsidRDefault="00EA6AAD" w:rsidP="00EA6AA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7E614F5E" w14:textId="77777777" w:rsidR="00EA6AAD" w:rsidRDefault="00EA6AAD" w:rsidP="00EA6AAD">
      <w:pPr>
        <w:rPr>
          <w:rFonts w:ascii="Arial" w:hAnsi="Arial" w:cs="Arial"/>
          <w:sz w:val="22"/>
          <w:szCs w:val="22"/>
        </w:rPr>
      </w:pPr>
      <w:r w:rsidRPr="00B82F36">
        <w:rPr>
          <w:rFonts w:ascii="Arial" w:hAnsi="Arial" w:cs="Arial"/>
          <w:b/>
          <w:bCs/>
          <w:color w:val="000000" w:themeColor="text1"/>
        </w:rPr>
        <w:lastRenderedPageBreak/>
        <w:t xml:space="preserve">Supp. </w:t>
      </w:r>
      <w:r>
        <w:rPr>
          <w:rFonts w:ascii="Arial" w:hAnsi="Arial" w:cs="Arial"/>
          <w:b/>
          <w:bCs/>
          <w:color w:val="000000" w:themeColor="text1"/>
        </w:rPr>
        <w:t>Figure 1</w:t>
      </w:r>
    </w:p>
    <w:p w14:paraId="762EB890" w14:textId="77777777" w:rsidR="00EA6AAD" w:rsidRDefault="00EA6AAD" w:rsidP="00EA6AAD">
      <w:pPr>
        <w:rPr>
          <w:rFonts w:ascii="Arial" w:hAnsi="Arial" w:cs="Arial"/>
          <w:sz w:val="22"/>
          <w:szCs w:val="22"/>
        </w:rPr>
      </w:pPr>
    </w:p>
    <w:p w14:paraId="796B7068" w14:textId="77777777" w:rsidR="00EA6AAD" w:rsidRDefault="00EA6AAD" w:rsidP="00EA6AA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noProof/>
          <w:sz w:val="22"/>
          <w:szCs w:val="22"/>
        </w:rPr>
        <w:drawing>
          <wp:inline distT="0" distB="0" distL="0" distR="0" wp14:anchorId="16CF08DE" wp14:editId="1F93D975">
            <wp:extent cx="4062046" cy="3844983"/>
            <wp:effectExtent l="0" t="0" r="2540" b="317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3066" cy="3883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44EFA" w14:textId="77777777" w:rsidR="00EA6AAD" w:rsidRDefault="00EA6AAD" w:rsidP="00EA6AAD">
      <w:pPr>
        <w:rPr>
          <w:rFonts w:ascii="Arial" w:hAnsi="Arial" w:cs="Arial"/>
          <w:sz w:val="22"/>
          <w:szCs w:val="22"/>
        </w:rPr>
      </w:pPr>
    </w:p>
    <w:p w14:paraId="6B1696C6" w14:textId="77777777" w:rsidR="00EA6AAD" w:rsidRDefault="00EA6AAD" w:rsidP="00EA6AAD">
      <w:pPr>
        <w:spacing w:line="312" w:lineRule="auto"/>
        <w:rPr>
          <w:rFonts w:ascii="Arial" w:hAnsi="Arial" w:cs="Arial"/>
          <w:sz w:val="22"/>
          <w:szCs w:val="22"/>
        </w:rPr>
      </w:pPr>
      <w:r w:rsidRPr="00436842">
        <w:rPr>
          <w:rFonts w:ascii="Arial" w:hAnsi="Arial" w:cs="Arial"/>
          <w:b/>
          <w:bCs/>
          <w:color w:val="000000" w:themeColor="text1"/>
          <w:sz w:val="22"/>
          <w:szCs w:val="22"/>
        </w:rPr>
        <w:t>Suppl. Figure 1:</w:t>
      </w:r>
      <w:r w:rsidRPr="00436842">
        <w:rPr>
          <w:rFonts w:ascii="Arial" w:hAnsi="Arial" w:cs="Arial"/>
          <w:color w:val="000000" w:themeColor="text1"/>
          <w:sz w:val="22"/>
          <w:szCs w:val="22"/>
        </w:rPr>
        <w:t xml:space="preserve"> Plot of BCVA (in </w:t>
      </w:r>
      <w:proofErr w:type="spellStart"/>
      <w:r w:rsidRPr="00436842">
        <w:rPr>
          <w:rFonts w:ascii="Arial" w:hAnsi="Arial" w:cs="Arial"/>
          <w:color w:val="000000" w:themeColor="text1"/>
          <w:sz w:val="22"/>
          <w:szCs w:val="22"/>
        </w:rPr>
        <w:t>logMAR</w:t>
      </w:r>
      <w:proofErr w:type="spellEnd"/>
      <w:r w:rsidRPr="00436842">
        <w:rPr>
          <w:rFonts w:ascii="Arial" w:hAnsi="Arial" w:cs="Arial"/>
          <w:color w:val="000000" w:themeColor="text1"/>
          <w:sz w:val="22"/>
          <w:szCs w:val="22"/>
        </w:rPr>
        <w:t xml:space="preserve"> units) against central macular thickness (CMT) </w:t>
      </w:r>
      <w:r w:rsidRPr="00436842">
        <w:rPr>
          <w:rFonts w:ascii="Arial" w:hAnsi="Arial" w:cs="Arial"/>
          <w:sz w:val="22"/>
          <w:szCs w:val="22"/>
        </w:rPr>
        <w:t>at the initial examination. There was a significant correlation between the BCVA and CMT at the initial examination (</w:t>
      </w:r>
      <w:r w:rsidRPr="00436842">
        <w:rPr>
          <w:rFonts w:ascii="Arial" w:hAnsi="Arial" w:cs="Arial"/>
          <w:i/>
          <w:iCs/>
          <w:sz w:val="22"/>
          <w:szCs w:val="22"/>
        </w:rPr>
        <w:t xml:space="preserve">r </w:t>
      </w:r>
      <w:r w:rsidRPr="00436842">
        <w:rPr>
          <w:rFonts w:ascii="Arial" w:hAnsi="Arial" w:cs="Arial"/>
          <w:sz w:val="22"/>
          <w:szCs w:val="22"/>
        </w:rPr>
        <w:t xml:space="preserve">= 0.200, </w:t>
      </w:r>
      <w:r w:rsidRPr="00436842">
        <w:rPr>
          <w:rFonts w:ascii="Arial" w:hAnsi="Arial" w:cs="Arial"/>
          <w:i/>
          <w:iCs/>
          <w:sz w:val="22"/>
          <w:szCs w:val="22"/>
        </w:rPr>
        <w:t xml:space="preserve">P </w:t>
      </w:r>
      <w:r w:rsidRPr="00436842">
        <w:rPr>
          <w:rFonts w:ascii="Arial" w:hAnsi="Arial" w:cs="Arial"/>
          <w:sz w:val="22"/>
          <w:szCs w:val="22"/>
        </w:rPr>
        <w:t>&lt;0.001). The best-fit linear regression line is also shown by the red line.</w:t>
      </w:r>
    </w:p>
    <w:p w14:paraId="5CA30E7B" w14:textId="77777777" w:rsidR="00EA6AAD" w:rsidRPr="009D5CBB" w:rsidRDefault="00EA6AAD" w:rsidP="00EA6AAD">
      <w:pPr>
        <w:rPr>
          <w:rFonts w:ascii="Arial" w:hAnsi="Arial" w:cs="Arial"/>
          <w:sz w:val="22"/>
          <w:szCs w:val="22"/>
        </w:rPr>
      </w:pPr>
    </w:p>
    <w:p w14:paraId="766F7BE4" w14:textId="77777777" w:rsidR="00EA6AAD" w:rsidRDefault="00EA6AAD">
      <w:bookmarkStart w:id="0" w:name="_GoBack"/>
      <w:bookmarkEnd w:id="0"/>
    </w:p>
    <w:sectPr w:rsidR="00EA6AAD" w:rsidSect="00E31A7B">
      <w:footerReference w:type="even" r:id="rId5"/>
      <w:footerReference w:type="default" r:id="rId6"/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Osaka">
    <w:panose1 w:val="020B0600000000000000"/>
    <w:charset w:val="80"/>
    <w:family w:val="swiss"/>
    <w:pitch w:val="variable"/>
    <w:sig w:usb0="00000001" w:usb1="08070000" w:usb2="00000010" w:usb3="00000000" w:csb0="0002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325500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0A28D0" w14:textId="77777777" w:rsidR="007913EB" w:rsidRDefault="00EA6AAD" w:rsidP="00DC0F8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ECC55BB" w14:textId="77777777" w:rsidR="007913EB" w:rsidRDefault="00EA6A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4063713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D5048FC" w14:textId="77777777" w:rsidR="00DC0F8B" w:rsidRDefault="00EA6AAD" w:rsidP="00535B8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C0CAFF4" w14:textId="77777777" w:rsidR="007913EB" w:rsidRDefault="00EA6AA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AD"/>
    <w:rsid w:val="00C2577B"/>
    <w:rsid w:val="00EA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BADFD"/>
  <w15:chartTrackingRefBased/>
  <w15:docId w15:val="{6D69D534-B31F-4440-B651-481244EA5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6AAD"/>
    <w:rPr>
      <w:rFonts w:ascii="MS PGothic" w:eastAsia="MS PGothic" w:hAnsi="MS PGothic" w:cs="MS PGothic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A6AAD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A6AAD"/>
    <w:rPr>
      <w:rFonts w:ascii="MS PGothic" w:eastAsia="MS PGothic" w:hAnsi="MS PGothic" w:cs="MS PGothic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EA6AAD"/>
  </w:style>
  <w:style w:type="table" w:styleId="TableGrid">
    <w:name w:val="Table Grid"/>
    <w:basedOn w:val="TableNormal"/>
    <w:uiPriority w:val="39"/>
    <w:rsid w:val="00EA6AAD"/>
    <w:rPr>
      <w:rFonts w:eastAsia="Osaka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2021-08-18T19:17:00Z</dcterms:created>
  <dcterms:modified xsi:type="dcterms:W3CDTF">2021-08-18T19:17:00Z</dcterms:modified>
</cp:coreProperties>
</file>