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927" w:rsidRPr="00D22BAE" w:rsidRDefault="00FD2927" w:rsidP="00FD2927">
      <w:pPr>
        <w:pStyle w:val="Caption"/>
        <w:keepNext/>
        <w:rPr>
          <w:rFonts w:ascii="Arial" w:eastAsia="Arial" w:hAnsi="Arial" w:cs="Arial"/>
          <w:b/>
          <w:bCs/>
          <w:color w:val="000000"/>
          <w:u w:color="000000"/>
        </w:rPr>
      </w:pPr>
      <w:r w:rsidRPr="00D22BAE">
        <w:rPr>
          <w:rFonts w:ascii="Arial" w:hAnsi="Arial"/>
          <w:b/>
          <w:bCs/>
          <w:i w:val="0"/>
          <w:iCs w:val="0"/>
          <w:color w:val="000000"/>
          <w:sz w:val="24"/>
          <w:szCs w:val="24"/>
          <w:u w:color="000000"/>
        </w:rPr>
        <w:t xml:space="preserve">Table </w:t>
      </w:r>
      <w:r w:rsidR="00C732F9">
        <w:rPr>
          <w:rFonts w:ascii="Arial" w:hAnsi="Arial"/>
          <w:b/>
          <w:bCs/>
          <w:i w:val="0"/>
          <w:iCs w:val="0"/>
          <w:color w:val="000000"/>
          <w:sz w:val="24"/>
          <w:szCs w:val="24"/>
          <w:u w:color="000000"/>
        </w:rPr>
        <w:t>S</w:t>
      </w:r>
      <w:r w:rsidRPr="00D22BAE">
        <w:rPr>
          <w:rFonts w:ascii="Arial" w:hAnsi="Arial"/>
          <w:b/>
          <w:bCs/>
          <w:i w:val="0"/>
          <w:iCs w:val="0"/>
          <w:color w:val="000000"/>
          <w:sz w:val="24"/>
          <w:szCs w:val="24"/>
          <w:u w:color="000000"/>
        </w:rPr>
        <w:t xml:space="preserve">1 </w:t>
      </w:r>
      <w:r w:rsidRPr="00D22BAE">
        <w:rPr>
          <w:rFonts w:ascii="Arial" w:hAnsi="Arial"/>
          <w:i w:val="0"/>
          <w:iCs w:val="0"/>
          <w:color w:val="000000"/>
          <w:sz w:val="24"/>
          <w:szCs w:val="24"/>
          <w:u w:color="000000"/>
        </w:rPr>
        <w:t>Network parameters used in this study.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156082"/>
        <w:tblLook w:val="04A0" w:firstRow="1" w:lastRow="0" w:firstColumn="1" w:lastColumn="0" w:noHBand="0" w:noVBand="1"/>
      </w:tblPr>
      <w:tblGrid>
        <w:gridCol w:w="2032"/>
        <w:gridCol w:w="3577"/>
        <w:gridCol w:w="3751"/>
      </w:tblGrid>
      <w:tr w:rsidR="00FD2927" w:rsidRPr="00D22BAE" w:rsidTr="00262F94">
        <w:trPr>
          <w:trHeight w:val="282"/>
          <w:tblHeader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Parameter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Definition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Interpretation</w:t>
            </w:r>
          </w:p>
        </w:tc>
      </w:tr>
      <w:tr w:rsidR="00FD2927" w:rsidRPr="00D22BAE" w:rsidTr="00262F9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Number of nodes (N)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</w:rPr>
              <w:t>Total number of distinct countries included in the co-authorship network.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</w:rPr>
              <w:t>A higher number indicates broader global participation in medical education research.</w:t>
            </w:r>
          </w:p>
        </w:tc>
      </w:tr>
      <w:tr w:rsidR="00FD2927" w:rsidRPr="00D22BAE" w:rsidTr="00262F9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Number of edges (E)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</w:rPr>
              <w:t>Total number of unique co-authorship links between countries.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</w:rPr>
              <w:t>An increasing number reflects growth in international collaboration.</w:t>
            </w:r>
          </w:p>
        </w:tc>
      </w:tr>
      <w:tr w:rsidR="00FD2927" w:rsidRPr="00D22BAE" w:rsidTr="00262F9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Network density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</w:rPr>
              <w:t>Proportion of actual links relative to all possible links among countries.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</w:rPr>
              <w:t>Higher density suggests a more interconnected global research network.</w:t>
            </w:r>
          </w:p>
        </w:tc>
      </w:tr>
      <w:tr w:rsidR="00B905EA" w:rsidRPr="00D22BAE" w:rsidTr="009B4EA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05EA" w:rsidRPr="006339AF" w:rsidRDefault="00B905EA" w:rsidP="00B905EA">
            <w:pPr>
              <w:rPr>
                <w:rFonts w:ascii="Arial" w:hAnsi="Arial" w:cs="Arial"/>
                <w:b/>
                <w:bCs/>
              </w:rPr>
            </w:pPr>
            <w:r w:rsidRPr="006339AF">
              <w:rPr>
                <w:rFonts w:ascii="Arial" w:hAnsi="Arial" w:cs="Arial"/>
                <w:b/>
                <w:bCs/>
              </w:rPr>
              <w:t>Modularity (Q)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05EA" w:rsidRPr="006339AF" w:rsidRDefault="00B905EA" w:rsidP="00B905EA">
            <w:pPr>
              <w:rPr>
                <w:rFonts w:ascii="Arial" w:hAnsi="Arial" w:cs="Arial"/>
              </w:rPr>
            </w:pPr>
            <w:r w:rsidRPr="00B47A01">
              <w:rPr>
                <w:rFonts w:ascii="Arial" w:hAnsi="Arial" w:cs="Arial"/>
              </w:rPr>
              <w:t>The degree to which the network is divided into distinct clusters or communities.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05EA" w:rsidRPr="006339AF" w:rsidRDefault="00B905EA" w:rsidP="00B905EA">
            <w:pPr>
              <w:rPr>
                <w:rFonts w:ascii="Arial" w:hAnsi="Arial" w:cs="Arial"/>
              </w:rPr>
            </w:pPr>
            <w:r w:rsidRPr="00B47A01">
              <w:rPr>
                <w:rFonts w:ascii="Arial" w:hAnsi="Arial" w:cs="Arial"/>
              </w:rPr>
              <w:t>Higher modularity implies segregated clusters; lower values suggest greater integration.</w:t>
            </w:r>
          </w:p>
        </w:tc>
      </w:tr>
      <w:tr w:rsidR="00FD2927" w:rsidRPr="00D22BAE" w:rsidTr="00262F9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Small</w:t>
            </w:r>
            <w:r>
              <w:rPr>
                <w:rFonts w:ascii="Arial" w:hAnsi="Arial"/>
                <w:b/>
                <w:bCs/>
              </w:rPr>
              <w:t>–</w:t>
            </w:r>
            <w:r w:rsidRPr="00D22BAE">
              <w:rPr>
                <w:rFonts w:ascii="Arial" w:hAnsi="Arial"/>
                <w:b/>
                <w:bCs/>
              </w:rPr>
              <w:t>world coefficient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</w:rPr>
              <w:t>Measure comparing clustering and path length against a random network.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262F94">
            <w:pPr>
              <w:pStyle w:val="Body"/>
            </w:pPr>
            <w:r w:rsidRPr="00D22BAE">
              <w:rPr>
                <w:rFonts w:ascii="Arial" w:hAnsi="Arial"/>
              </w:rPr>
              <w:t>Higher values indicate a balanced structure with both local and global integration.</w:t>
            </w:r>
          </w:p>
        </w:tc>
      </w:tr>
      <w:tr w:rsidR="00FD2927" w:rsidRPr="00D22BAE" w:rsidTr="00262F9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Homophily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>Tendency of countries to collaborate with others of similar income or region.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>A positive value indicates within-group preference; declining values suggest increased inclusivity.</w:t>
            </w:r>
          </w:p>
        </w:tc>
      </w:tr>
      <w:tr w:rsidR="00FD2927" w:rsidRPr="00D22BAE" w:rsidTr="00262F9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Degree centrality (D)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 xml:space="preserve">Number of direct </w:t>
            </w:r>
            <w:proofErr w:type="gramStart"/>
            <w:r w:rsidRPr="00D22BAE">
              <w:rPr>
                <w:rFonts w:ascii="Arial" w:hAnsi="Arial"/>
              </w:rPr>
              <w:t>co-authorship</w:t>
            </w:r>
            <w:proofErr w:type="gramEnd"/>
            <w:r w:rsidRPr="00D22BAE">
              <w:rPr>
                <w:rFonts w:ascii="Arial" w:hAnsi="Arial"/>
              </w:rPr>
              <w:t xml:space="preserve"> links a country maintains.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>A higher degree suggests the country functions as a major collaboration hub.</w:t>
            </w:r>
          </w:p>
        </w:tc>
      </w:tr>
      <w:tr w:rsidR="00FD2927" w:rsidRPr="00D22BAE" w:rsidTr="00262F9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Closeness centrality (C)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>Inverse of the average shortest distance from one country to all others.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>Countries with high closeness can interact more efficiently across the network.</w:t>
            </w:r>
          </w:p>
        </w:tc>
      </w:tr>
      <w:tr w:rsidR="00FD2927" w:rsidRPr="00D22BAE" w:rsidTr="00262F9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  <w:b/>
                <w:bCs/>
              </w:rPr>
              <w:t>Betweenness centrality (B)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>Frequency with which a country appears on the shortest paths between other country pairs.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>A higher value indicates the country’s role as a key intermediary or broker.</w:t>
            </w:r>
          </w:p>
        </w:tc>
      </w:tr>
      <w:tr w:rsidR="00FD2927" w:rsidRPr="00D22BAE" w:rsidTr="00262F94">
        <w:tblPrEx>
          <w:shd w:val="clear" w:color="auto" w:fill="CAD1D7"/>
        </w:tblPrEx>
        <w:trPr>
          <w:trHeight w:val="842"/>
        </w:trPr>
        <w:tc>
          <w:tcPr>
            <w:tcW w:w="108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>
              <w:rPr>
                <w:rFonts w:ascii="Arial" w:hAnsi="Arial"/>
                <w:b/>
                <w:bCs/>
              </w:rPr>
              <w:t>Participation</w:t>
            </w:r>
            <w:r w:rsidRPr="00D22BAE">
              <w:rPr>
                <w:rFonts w:ascii="Arial" w:hAnsi="Arial"/>
                <w:b/>
                <w:bCs/>
              </w:rPr>
              <w:t xml:space="preserve"> coefficient (</w:t>
            </w:r>
            <w:r>
              <w:rPr>
                <w:rFonts w:ascii="Arial" w:hAnsi="Arial"/>
                <w:b/>
                <w:bCs/>
              </w:rPr>
              <w:t>P</w:t>
            </w:r>
            <w:r w:rsidRPr="00D22BAE">
              <w:rPr>
                <w:rFonts w:ascii="Arial" w:hAnsi="Arial"/>
                <w:b/>
                <w:bCs/>
              </w:rPr>
              <w:t>)</w:t>
            </w:r>
          </w:p>
        </w:tc>
        <w:tc>
          <w:tcPr>
            <w:tcW w:w="191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>Extent to which a country’s collaborations span across multiple network communities.</w:t>
            </w:r>
          </w:p>
        </w:tc>
        <w:tc>
          <w:tcPr>
            <w:tcW w:w="20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2927" w:rsidRPr="00D22BAE" w:rsidRDefault="00FD2927" w:rsidP="00FD2927">
            <w:pPr>
              <w:pStyle w:val="Body"/>
            </w:pPr>
            <w:r w:rsidRPr="00D22BAE">
              <w:rPr>
                <w:rFonts w:ascii="Arial" w:hAnsi="Arial"/>
              </w:rPr>
              <w:t>A high coefficient denotes integrative roles; a low value suggests insular collaboration.</w:t>
            </w:r>
          </w:p>
        </w:tc>
      </w:tr>
    </w:tbl>
    <w:p w:rsidR="00FD2927" w:rsidRPr="00D22BAE" w:rsidRDefault="00FD2927" w:rsidP="00FD2927">
      <w:pPr>
        <w:pStyle w:val="Caption"/>
        <w:keepNext/>
        <w:widowControl w:val="0"/>
        <w:rPr>
          <w:rFonts w:ascii="Arial" w:eastAsia="Arial" w:hAnsi="Arial" w:cs="Arial"/>
          <w:b/>
          <w:bCs/>
          <w:color w:val="000000"/>
          <w:u w:color="000000"/>
        </w:rPr>
      </w:pPr>
    </w:p>
    <w:p w:rsidR="00A95E6E" w:rsidRDefault="00A95E6E"/>
    <w:sectPr w:rsidR="00A95E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27"/>
    <w:rsid w:val="00043F53"/>
    <w:rsid w:val="00270215"/>
    <w:rsid w:val="00301E0E"/>
    <w:rsid w:val="0050434F"/>
    <w:rsid w:val="0079271A"/>
    <w:rsid w:val="0081685D"/>
    <w:rsid w:val="009537C9"/>
    <w:rsid w:val="00A95E6E"/>
    <w:rsid w:val="00B22EE4"/>
    <w:rsid w:val="00B905EA"/>
    <w:rsid w:val="00C732F9"/>
    <w:rsid w:val="00C75421"/>
    <w:rsid w:val="00D90D08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3CC05"/>
  <w15:chartTrackingRefBased/>
  <w15:docId w15:val="{06EE02A8-BD87-304A-AA12-8A6395C9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Ayuthaya"/>
        <w:kern w:val="2"/>
        <w:sz w:val="32"/>
        <w:szCs w:val="32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9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bdr w:val="none" w:sz="0" w:space="0" w:color="auto"/>
      <w:lang w:val="en-TH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bdr w:val="none" w:sz="0" w:space="0" w:color="auto"/>
      <w:lang w:val="en-TH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92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92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927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927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927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927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92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92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92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92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FD2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bdr w:val="none" w:sz="0" w:space="0" w:color="auto"/>
      <w:lang w:val="en-TH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29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92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bdr w:val="none" w:sz="0" w:space="0" w:color="auto"/>
      <w:lang w:val="en-TH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29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D2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="TH SarabunPSK" w:eastAsiaTheme="minorHAnsi" w:hAnsi="TH SarabunPSK" w:cs="Angsana New"/>
      <w:i/>
      <w:iCs/>
      <w:color w:val="404040" w:themeColor="text1" w:themeTint="BF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2927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FD2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H SarabunPSK" w:eastAsiaTheme="minorHAnsi" w:hAnsi="TH SarabunPSK" w:cs="Angsana New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2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92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="TH SarabunPSK" w:eastAsiaTheme="minorHAnsi" w:hAnsi="TH SarabunPSK" w:cs="Angsana New"/>
      <w:i/>
      <w:iCs/>
      <w:color w:val="0F4761" w:themeColor="accent1" w:themeShade="BF"/>
      <w:kern w:val="2"/>
      <w:sz w:val="32"/>
      <w:szCs w:val="40"/>
      <w:bdr w:val="none" w:sz="0" w:space="0" w:color="auto"/>
      <w:lang w:val="en-TH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927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FD292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D29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aption">
    <w:name w:val="caption"/>
    <w:next w:val="Body"/>
    <w:rsid w:val="00FD2927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eastAsia="TH SarabunPSK" w:cs="TH SarabunPSK"/>
      <w:i/>
      <w:iCs/>
      <w:color w:val="0E2841"/>
      <w:sz w:val="18"/>
      <w:szCs w:val="18"/>
      <w:u w:color="0E2841"/>
      <w:bdr w:val="nil"/>
      <w:lang w:val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Peerasit Sitthirat</dc:creator>
  <cp:keywords/>
  <dc:description/>
  <cp:lastModifiedBy>Peerasit Sitthirat</cp:lastModifiedBy>
  <cp:revision>3</cp:revision>
  <dcterms:created xsi:type="dcterms:W3CDTF">2025-10-02T04:10:00Z</dcterms:created>
  <dcterms:modified xsi:type="dcterms:W3CDTF">2025-10-09T01:24:00Z</dcterms:modified>
</cp:coreProperties>
</file>