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1419F" w14:textId="2EBF2EC6" w:rsidR="00C77984" w:rsidRPr="00C77984" w:rsidRDefault="00C77984" w:rsidP="00C77984">
      <w:pPr>
        <w:adjustRightInd w:val="0"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bookmarkStart w:id="0" w:name="OLE_LINK77"/>
      <w:r w:rsidRPr="00C77984">
        <w:rPr>
          <w:rFonts w:ascii="Times New Roman" w:eastAsia="宋体" w:hAnsi="Times New Roman" w:cs="Times New Roman" w:hint="eastAsia"/>
          <w:kern w:val="0"/>
          <w:sz w:val="28"/>
          <w:szCs w:val="28"/>
        </w:rPr>
        <w:t>Supplementary Information</w:t>
      </w:r>
    </w:p>
    <w:p w14:paraId="5C032E6C" w14:textId="77777777" w:rsidR="00E67DA5" w:rsidRDefault="00E67DA5" w:rsidP="00E67DA5">
      <w:pPr>
        <w:adjustRightInd w:val="0"/>
        <w:jc w:val="center"/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</w:pPr>
      <w:bookmarkStart w:id="1" w:name="_Hlk213672243"/>
      <w:bookmarkEnd w:id="0"/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Self-assembled 1D/3D heterojunction enables all-inorganic perovskite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  <w:lang w:eastAsia="ja-JP"/>
        </w:rPr>
        <w:t xml:space="preserve"> </w:t>
      </w:r>
      <w:bookmarkStart w:id="2" w:name="_Hlk205191979"/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  <w:lang w:eastAsia="ja-JP"/>
        </w:rPr>
        <w:t>-terminal</w:t>
      </w:r>
      <w:bookmarkEnd w:id="2"/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 xml:space="preserve"> tandem solar cells with 21.54% certified efficiency</w:t>
      </w:r>
    </w:p>
    <w:p w14:paraId="0118D3E8" w14:textId="77777777" w:rsidR="00E67DA5" w:rsidRDefault="00E67DA5" w:rsidP="00E67DA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Hao Zhang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bookmarkStart w:id="3" w:name="OLE_LINK81"/>
      <w:bookmarkStart w:id="4" w:name="OLE_LINK80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5" w:name="OLE_LINK56"/>
      <w:bookmarkStart w:id="6" w:name="OLE_LINK100"/>
      <w:bookmarkEnd w:id="3"/>
      <w:bookmarkEnd w:id="4"/>
      <w:r>
        <w:rPr>
          <w:rFonts w:ascii="Times New Roman" w:hAnsi="Times New Roman" w:cs="Times New Roman"/>
          <w:bCs/>
          <w:sz w:val="24"/>
          <w:szCs w:val="24"/>
        </w:rPr>
        <w:t>Mingyu Hu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 w:rsidRPr="004713E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*, Qingqing Zhang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, Yen-Hung Lin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*, Qiang Lou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Maojun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Sun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Yueyu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Xu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Yi He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Kai Zhang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Shanshan Yu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 w:rsidRPr="004713E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, Haifeng Wu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Haibiao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Chen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Linling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Li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Liting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Zeng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, Xinxin Xu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Jiazheng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Jingyi Xu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Dezhen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Kong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Jin Shang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Yuqing Su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Xiangyu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 Li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Hang Zhou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*,</w:t>
      </w:r>
      <w:bookmarkEnd w:id="5"/>
      <w:bookmarkEnd w:id="6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Shihe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,5</w:t>
      </w:r>
      <w:r>
        <w:rPr>
          <w:rFonts w:ascii="Times New Roman" w:hAnsi="Times New Roman" w:cs="Times New Roman"/>
          <w:bCs/>
          <w:sz w:val="24"/>
          <w:szCs w:val="24"/>
        </w:rPr>
        <w:t>*</w:t>
      </w:r>
    </w:p>
    <w:p w14:paraId="3086299F" w14:textId="77777777" w:rsidR="00E67DA5" w:rsidRPr="0076299D" w:rsidRDefault="00E67DA5" w:rsidP="00E67DA5">
      <w:pPr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</w:p>
    <w:p w14:paraId="25F79766" w14:textId="77777777" w:rsidR="00E67DA5" w:rsidRDefault="00E67DA5" w:rsidP="00E67DA5">
      <w:pPr>
        <w:jc w:val="center"/>
        <w:rPr>
          <w:rFonts w:ascii="Times New Roman" w:hAnsi="Times New Roman" w:cs="Times New Roman"/>
          <w:kern w:val="0"/>
          <w:sz w:val="24"/>
          <w:szCs w:val="24"/>
          <w:lang w:bidi="en-US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  <w:lang w:bidi="en-US"/>
        </w:rPr>
        <w:t>Guangdong Provincial Key Lab of Nano-Micro Materials Research, School of Advanced Materials, Shenzhen Graduate School, Peking University, Shenzhen,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 xml:space="preserve"> 518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bidi="en-US"/>
        </w:rPr>
        <w:t>055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, China</w:t>
      </w:r>
    </w:p>
    <w:p w14:paraId="2677F2D8" w14:textId="77777777" w:rsidR="00E67DA5" w:rsidRDefault="00E67DA5" w:rsidP="00E67DA5">
      <w:pPr>
        <w:jc w:val="center"/>
        <w:rPr>
          <w:rFonts w:ascii="Times New Roman" w:hAnsi="Times New Roman" w:cs="Times New Roman"/>
          <w:kern w:val="0"/>
          <w:sz w:val="24"/>
          <w:szCs w:val="24"/>
          <w:lang w:bidi="en-US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Guangdong Provincial Key Laboratory of In-Memory Computing Chips, School of Electronic and Computer Engineering, Peking University, Shenzhen 518055, China</w:t>
      </w:r>
    </w:p>
    <w:p w14:paraId="62AC0EF0" w14:textId="77777777" w:rsidR="00E67DA5" w:rsidRDefault="00E67DA5" w:rsidP="00E67DA5">
      <w:pPr>
        <w:jc w:val="center"/>
        <w:rPr>
          <w:rFonts w:ascii="Times New Roman" w:hAnsi="Times New Roman" w:cs="Times New Roman"/>
          <w:kern w:val="0"/>
          <w:sz w:val="24"/>
          <w:szCs w:val="24"/>
          <w:lang w:bidi="en-US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 xml:space="preserve">School of Physics and Photoelectronic Engineering, </w:t>
      </w:r>
      <w:proofErr w:type="spellStart"/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Ludong</w:t>
      </w:r>
      <w:proofErr w:type="spellEnd"/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 xml:space="preserve"> University, Yantai, Shandong, 264025 China</w:t>
      </w:r>
    </w:p>
    <w:p w14:paraId="7DC5F3CC" w14:textId="77777777" w:rsidR="00E67DA5" w:rsidRDefault="00E67DA5" w:rsidP="00E67DA5">
      <w:pPr>
        <w:jc w:val="center"/>
        <w:rPr>
          <w:rFonts w:ascii="Times New Roman" w:hAnsi="Times New Roman" w:cs="Times New Roman"/>
          <w:kern w:val="0"/>
          <w:sz w:val="24"/>
          <w:szCs w:val="24"/>
          <w:lang w:bidi="en-US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Department of Electronic and Computer Engineering, The Hong Kong University of Science and Technology, Kowloon, Hong Kong, 999077 China</w:t>
      </w:r>
    </w:p>
    <w:p w14:paraId="2E26E321" w14:textId="77777777" w:rsidR="00E67DA5" w:rsidRDefault="00E67DA5" w:rsidP="00E67DA5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State Key Laboratory of Displays and Opto-Electronics, The Hong Kong University of Science and Technology, Kowloon, Hong Kong, 999077 China</w:t>
      </w:r>
    </w:p>
    <w:p w14:paraId="24E432F2" w14:textId="77777777" w:rsidR="00E67DA5" w:rsidRDefault="00E67DA5" w:rsidP="00E67DA5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 w:bidi="en-US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5</w:t>
      </w:r>
      <w:r w:rsidRPr="004713EE"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Institute of Biomedical Engineering, Shenzhen Bay Laboratory, Shenzhen, Guangdong 518107, China</w:t>
      </w:r>
    </w:p>
    <w:p w14:paraId="61832C1A" w14:textId="77777777" w:rsidR="00E67DA5" w:rsidRDefault="00E67DA5" w:rsidP="00E67DA5">
      <w:pPr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Quantum Sensing and Precision Instruments Division, CIQTEK Co., Ltd., Hefei 230088, Anhui, China</w:t>
      </w:r>
    </w:p>
    <w:p w14:paraId="003FD883" w14:textId="77777777" w:rsidR="00E67DA5" w:rsidRDefault="00E67DA5" w:rsidP="00E67DA5">
      <w:pPr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7</w:t>
      </w:r>
      <w:r>
        <w:rPr>
          <w:rFonts w:ascii="Times New Roman" w:eastAsia="Times New Roman" w:hAnsi="Times New Roman" w:cs="Times New Roman" w:hint="eastAsia"/>
          <w:kern w:val="0"/>
          <w:sz w:val="24"/>
          <w:szCs w:val="24"/>
          <w:lang w:eastAsia="en-US" w:bidi="en-US"/>
        </w:rPr>
        <w:t>Institute of Critical Materials for Integrated Circuits, Shenzhen Polytechnic University, Shenzhen, Guangdong 518055, China</w:t>
      </w:r>
    </w:p>
    <w:p w14:paraId="2C61BEC1" w14:textId="77777777" w:rsidR="00E67DA5" w:rsidRDefault="00E67DA5" w:rsidP="00E67DA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*Correspondence e-mail: mingyu_hu@ldu.edu.cn; yh.lin@ust.hk;</w:t>
      </w:r>
      <w:r w:rsidRPr="00C70BF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zhouh81@pkusz.edu.cn; chsyang@pku.edu.cn</w:t>
      </w:r>
    </w:p>
    <w:bookmarkEnd w:id="1"/>
    <w:p w14:paraId="3A95CCAF" w14:textId="4284663A" w:rsidR="00BD704B" w:rsidRDefault="00BD704B">
      <w:pPr>
        <w:rPr>
          <w:rFonts w:hint="eastAsia"/>
        </w:rPr>
      </w:pPr>
      <w:r>
        <w:rPr>
          <w:rFonts w:hint="eastAsia"/>
        </w:rPr>
        <w:br w:type="page"/>
      </w:r>
    </w:p>
    <w:p w14:paraId="1CC1748A" w14:textId="5EDB597E" w:rsidR="00AF12EA" w:rsidRDefault="00AF12EA" w:rsidP="009558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2EA">
        <w:rPr>
          <w:noProof/>
        </w:rPr>
        <w:lastRenderedPageBreak/>
        <w:drawing>
          <wp:inline distT="0" distB="0" distL="0" distR="0" wp14:anchorId="7EEF7944" wp14:editId="21FACE13">
            <wp:extent cx="5397171" cy="2555631"/>
            <wp:effectExtent l="0" t="0" r="0" b="0"/>
            <wp:docPr id="159888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27" cy="25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42C5" w14:textId="4C70C1A3" w:rsidR="00EE2F06" w:rsidRPr="00EE2F06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F06">
        <w:rPr>
          <w:rFonts w:ascii="Times New Roman" w:hAnsi="Times New Roman" w:cs="Times New Roman" w:hint="eastAsia"/>
          <w:b/>
          <w:sz w:val="24"/>
          <w:szCs w:val="24"/>
        </w:rPr>
        <w:t>Supplementary Fig. 1</w:t>
      </w:r>
      <w:r w:rsidRPr="00EE2F06">
        <w:rPr>
          <w:rFonts w:ascii="Times New Roman" w:eastAsia="Times New Roman" w:hAnsi="Times New Roman" w:cs="Times New Roman" w:hint="eastAsia"/>
          <w:b/>
          <w:kern w:val="0"/>
          <w:position w:val="1"/>
          <w:sz w:val="24"/>
          <w:lang w:eastAsia="en-US" w:bidi="en-US"/>
        </w:rPr>
        <w:t xml:space="preserve"> |</w:t>
      </w:r>
      <w:r w:rsidRPr="00EE2F06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Pr="00EE2F06">
        <w:rPr>
          <w:rFonts w:ascii="Times New Roman" w:hAnsi="Times New Roman" w:cs="Times New Roman" w:hint="eastAsia"/>
          <w:b/>
          <w:sz w:val="24"/>
          <w:szCs w:val="24"/>
        </w:rPr>
        <w:t>Structural and strain characterization. a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 Comparison of XRD peak intensities and FWHM values for (110) planes.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EE2F06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 Williamson-Hall analysis of residual tensile strain in perovskite films.</w:t>
      </w:r>
    </w:p>
    <w:p w14:paraId="395A439A" w14:textId="174D74B5" w:rsidR="00EE2F06" w:rsidRPr="00EE2F06" w:rsidRDefault="00AF12EA" w:rsidP="00AF12E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drawing>
          <wp:inline distT="0" distB="0" distL="0" distR="0" wp14:anchorId="4699C330" wp14:editId="06CC9E5C">
            <wp:extent cx="3340265" cy="2055795"/>
            <wp:effectExtent l="0" t="0" r="0" b="1905"/>
            <wp:docPr id="4031044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85" cy="20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42958" w14:textId="290F7B41" w:rsidR="00EE2F06" w:rsidRDefault="00EE2F06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06">
        <w:rPr>
          <w:rFonts w:ascii="Times New Roman" w:hAnsi="Times New Roman" w:cs="Times New Roman" w:hint="eastAsia"/>
          <w:b/>
          <w:sz w:val="24"/>
          <w:szCs w:val="24"/>
        </w:rPr>
        <w:t>Supplementary Fig. 2</w:t>
      </w:r>
      <w:r w:rsidRPr="00EE2F06">
        <w:rPr>
          <w:rFonts w:ascii="Times New Roman" w:eastAsia="Times New Roman" w:hAnsi="Times New Roman" w:cs="Times New Roman" w:hint="eastAsia"/>
          <w:b/>
          <w:kern w:val="0"/>
          <w:position w:val="1"/>
          <w:sz w:val="24"/>
          <w:lang w:eastAsia="en-US" w:bidi="en-US"/>
        </w:rPr>
        <w:t xml:space="preserve"> |</w:t>
      </w:r>
      <w:r w:rsidRPr="00EE2F06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Pr="00EE2F06">
        <w:rPr>
          <w:rFonts w:ascii="Times New Roman" w:hAnsi="Times New Roman" w:cs="Times New Roman" w:hint="eastAsia"/>
          <w:b/>
          <w:sz w:val="24"/>
          <w:szCs w:val="24"/>
        </w:rPr>
        <w:t xml:space="preserve">GIWAXS </w:t>
      </w:r>
      <w:r w:rsidRPr="00EE2F06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spectra. 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>GIWAXS pattern of control film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and TTFS/TCBH/TPNP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>-treated film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2CB63236" w14:textId="434841CC" w:rsidR="00BE24AB" w:rsidRDefault="00BE24AB" w:rsidP="00BE24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AB">
        <w:rPr>
          <w:noProof/>
        </w:rPr>
        <w:drawing>
          <wp:inline distT="0" distB="0" distL="0" distR="0" wp14:anchorId="48AD7E8B" wp14:editId="24450256">
            <wp:extent cx="5138587" cy="2067560"/>
            <wp:effectExtent l="0" t="0" r="5080" b="8890"/>
            <wp:docPr id="80537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67" cy="20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BB89" w14:textId="45261B36" w:rsidR="00BE24AB" w:rsidRDefault="00BE24AB" w:rsidP="00BE24A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4AB">
        <w:rPr>
          <w:rFonts w:ascii="Times New Roman" w:hAnsi="Times New Roman" w:cs="Times New Roman"/>
          <w:b/>
          <w:sz w:val="24"/>
          <w:szCs w:val="24"/>
        </w:rPr>
        <w:t>Supplementary Fig. 3</w:t>
      </w:r>
      <w:r w:rsidRPr="00C01822">
        <w:rPr>
          <w:rFonts w:ascii="Times New Roman" w:hAnsi="Times New Roman" w:cs="Times New Roman"/>
          <w:b/>
          <w:sz w:val="24"/>
          <w:szCs w:val="24"/>
        </w:rPr>
        <w:t xml:space="preserve"> | Anion-dependent assembly orientations.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24AB">
        <w:rPr>
          <w:rFonts w:ascii="Times New Roman" w:hAnsi="Times New Roman" w:cs="Times New Roman"/>
          <w:b/>
          <w:sz w:val="24"/>
          <w:szCs w:val="24"/>
        </w:rPr>
        <w:t>a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Vertical assembly of TBA</w:t>
      </w:r>
      <w:r w:rsidRPr="00BE24AB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BE24AB">
        <w:rPr>
          <w:rFonts w:ascii="Times New Roman" w:hAnsi="Times New Roman" w:cs="Times New Roman"/>
          <w:bCs/>
          <w:sz w:val="24"/>
          <w:szCs w:val="24"/>
        </w:rPr>
        <w:t>/</w:t>
      </w:r>
      <w:r w:rsidRPr="00BE24AB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A2DF9">
        <w:rPr>
          <w:rFonts w:ascii="Times New Roman" w:eastAsia="宋体" w:hAnsi="Times New Roman" w:cs="Times New Roman"/>
          <w:bCs/>
          <w:sz w:val="24"/>
          <w:szCs w:val="24"/>
        </w:rPr>
        <w:t>CF</w:t>
      </w:r>
      <w:r w:rsidRPr="00DA2DF9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3</w:t>
      </w:r>
      <w:r w:rsidRPr="00DA2DF9">
        <w:rPr>
          <w:rFonts w:ascii="Times New Roman" w:eastAsia="宋体" w:hAnsi="Times New Roman" w:cs="Times New Roman"/>
          <w:bCs/>
          <w:sz w:val="24"/>
          <w:szCs w:val="24"/>
        </w:rPr>
        <w:t>SO</w:t>
      </w:r>
      <w:r w:rsidRPr="00DA2DF9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3</w:t>
      </w:r>
      <w:r w:rsidRPr="00DA2DF9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-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driven by unilateral charge concentration. </w:t>
      </w:r>
      <w:r w:rsidRPr="00BE24AB">
        <w:rPr>
          <w:rFonts w:ascii="Times New Roman" w:hAnsi="Times New Roman" w:cs="Times New Roman"/>
          <w:b/>
          <w:sz w:val="24"/>
          <w:szCs w:val="24"/>
        </w:rPr>
        <w:t>b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Horizontal assembly of TBA</w:t>
      </w:r>
      <w:r w:rsidRPr="00BE24AB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BE24AB">
        <w:rPr>
          <w:rFonts w:ascii="Times New Roman" w:hAnsi="Times New Roman" w:cs="Times New Roman"/>
          <w:bCs/>
          <w:sz w:val="24"/>
          <w:szCs w:val="24"/>
        </w:rPr>
        <w:t>/</w:t>
      </w:r>
      <w:r w:rsidRPr="00BE24AB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</w:rPr>
        <w:t>p-NO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2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</w:rPr>
        <w:t>-PhO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-</w:t>
      </w:r>
      <w:r w:rsidR="00F752DC" w:rsidRPr="00BE24AB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driven by bilateral charge distribution. </w:t>
      </w:r>
      <w:r w:rsidRPr="00BE24AB">
        <w:rPr>
          <w:rFonts w:ascii="Times New Roman" w:hAnsi="Times New Roman" w:cs="Times New Roman"/>
          <w:b/>
          <w:sz w:val="24"/>
          <w:szCs w:val="24"/>
        </w:rPr>
        <w:t>c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Dual-orientation assembly of TBA</w:t>
      </w:r>
      <w:r w:rsidRPr="00BE24AB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BE24AB">
        <w:rPr>
          <w:rFonts w:ascii="Times New Roman" w:hAnsi="Times New Roman" w:cs="Times New Roman"/>
          <w:bCs/>
          <w:sz w:val="24"/>
          <w:szCs w:val="24"/>
        </w:rPr>
        <w:t>/</w:t>
      </w:r>
      <w:r w:rsidRPr="00BE24AB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</w:rPr>
        <w:t>BH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3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</w:rPr>
        <w:t>CN</w:t>
      </w:r>
      <w:r w:rsidR="00F752DC" w:rsidRPr="00DA2DF9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-</w:t>
      </w:r>
      <w:r w:rsidRPr="00BE24AB">
        <w:rPr>
          <w:rFonts w:ascii="Times New Roman" w:hAnsi="Times New Roman" w:cs="Times New Roman"/>
          <w:bCs/>
          <w:sz w:val="24"/>
          <w:szCs w:val="24"/>
        </w:rPr>
        <w:t xml:space="preserve"> driven by charge delocalization</w:t>
      </w:r>
    </w:p>
    <w:p w14:paraId="1643C71B" w14:textId="4F8A07B1" w:rsidR="00252B64" w:rsidRDefault="009F14D4" w:rsidP="00252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4D4">
        <w:rPr>
          <w:noProof/>
        </w:rPr>
        <w:lastRenderedPageBreak/>
        <w:drawing>
          <wp:inline distT="0" distB="0" distL="0" distR="0" wp14:anchorId="11BFF0C8" wp14:editId="0DEEEEDE">
            <wp:extent cx="4542692" cy="3188438"/>
            <wp:effectExtent l="0" t="0" r="0" b="0"/>
            <wp:docPr id="11528518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r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60" cy="3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DD9D" w14:textId="6BF2FB3D" w:rsidR="00252B64" w:rsidRDefault="00252B64" w:rsidP="00252B6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06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EE2F06">
        <w:rPr>
          <w:rFonts w:ascii="Times New Roman" w:eastAsia="Times New Roman" w:hAnsi="Times New Roman" w:cs="Times New Roman" w:hint="eastAsia"/>
          <w:b/>
          <w:kern w:val="0"/>
          <w:position w:val="1"/>
          <w:sz w:val="24"/>
          <w:lang w:eastAsia="en-US" w:bidi="en-US"/>
        </w:rPr>
        <w:t xml:space="preserve"> |</w:t>
      </w:r>
      <w:r w:rsidRPr="00EE2F0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B489E" w:rsidRPr="00FB489E">
        <w:rPr>
          <w:rFonts w:ascii="Times New Roman" w:hAnsi="Times New Roman" w:cs="Times New Roman" w:hint="eastAsia"/>
          <w:b/>
          <w:sz w:val="24"/>
          <w:szCs w:val="24"/>
        </w:rPr>
        <w:t>Structural-induced variation in electron transport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EE2F06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7" w:name="_Hlk207836552"/>
      <w:r w:rsidRPr="00252B64">
        <w:rPr>
          <w:rFonts w:ascii="Times New Roman" w:hAnsi="Times New Roman" w:cs="Times New Roman" w:hint="eastAsia"/>
          <w:bCs/>
          <w:sz w:val="24"/>
          <w:szCs w:val="24"/>
        </w:rPr>
        <w:t>Electron</w:t>
      </w:r>
      <w:bookmarkEnd w:id="7"/>
      <w:r w:rsidRPr="00252B64">
        <w:rPr>
          <w:rFonts w:ascii="Times New Roman" w:hAnsi="Times New Roman" w:cs="Times New Roman" w:hint="eastAsia"/>
          <w:bCs/>
          <w:sz w:val="24"/>
          <w:szCs w:val="24"/>
        </w:rPr>
        <w:t xml:space="preserve"> density difference schematic diagram (electron density </w:t>
      </w:r>
      <w:proofErr w:type="spellStart"/>
      <w:r w:rsidRPr="00252B64">
        <w:rPr>
          <w:rFonts w:ascii="Times New Roman" w:hAnsi="Times New Roman" w:cs="Times New Roman" w:hint="eastAsia"/>
          <w:bCs/>
          <w:sz w:val="24"/>
          <w:szCs w:val="24"/>
        </w:rPr>
        <w:t>isosurface</w:t>
      </w:r>
      <w:proofErr w:type="spellEnd"/>
      <w:r w:rsidRPr="00252B64">
        <w:rPr>
          <w:rFonts w:ascii="Times New Roman" w:hAnsi="Times New Roman" w:cs="Times New Roman" w:hint="eastAsia"/>
          <w:bCs/>
          <w:sz w:val="24"/>
          <w:szCs w:val="24"/>
        </w:rPr>
        <w:t xml:space="preserve"> value is 0.0001)</w:t>
      </w:r>
    </w:p>
    <w:p w14:paraId="301DEC62" w14:textId="230D4C67" w:rsidR="00EE2F06" w:rsidRPr="00EE2F06" w:rsidRDefault="00AF12EA" w:rsidP="00252B6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drawing>
          <wp:inline distT="0" distB="0" distL="0" distR="0" wp14:anchorId="1E547BFA" wp14:editId="5F1A039E">
            <wp:extent cx="3823335" cy="1945871"/>
            <wp:effectExtent l="0" t="0" r="0" b="0"/>
            <wp:docPr id="2012094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9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C5F08" w14:textId="63E74C70" w:rsidR="00EE2F06" w:rsidRPr="00EE2F06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F06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EE2F06">
        <w:rPr>
          <w:rFonts w:ascii="Times New Roman" w:eastAsia="Times New Roman" w:hAnsi="Times New Roman" w:cs="Times New Roman" w:hint="eastAsia"/>
          <w:b/>
          <w:kern w:val="0"/>
          <w:position w:val="1"/>
          <w:sz w:val="24"/>
          <w:lang w:eastAsia="en-US" w:bidi="en-US"/>
        </w:rPr>
        <w:t xml:space="preserve"> |</w:t>
      </w:r>
      <w:r w:rsidRPr="00EE2F06">
        <w:rPr>
          <w:rFonts w:ascii="Times New Roman" w:hAnsi="Times New Roman" w:cs="Times New Roman" w:hint="eastAsia"/>
          <w:b/>
          <w:sz w:val="24"/>
          <w:szCs w:val="24"/>
        </w:rPr>
        <w:t xml:space="preserve"> Molecular distribution depth profiling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EE2F06">
        <w:rPr>
          <w:rFonts w:ascii="Times New Roman" w:hAnsi="Times New Roman" w:cs="Times New Roman"/>
          <w:bCs/>
          <w:sz w:val="24"/>
          <w:szCs w:val="24"/>
        </w:rPr>
        <w:t xml:space="preserve"> TOF-SIMS depth profile of TBA⁺ cation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and </w:t>
      </w:r>
      <w:r w:rsidRPr="00EE2F06">
        <w:rPr>
          <w:rFonts w:ascii="Times New Roman" w:hAnsi="Times New Roman" w:cs="Times New Roman"/>
          <w:bCs/>
          <w:sz w:val="24"/>
          <w:szCs w:val="24"/>
        </w:rPr>
        <w:t>CF₃SO₃⁻ anion distribution.</w:t>
      </w:r>
    </w:p>
    <w:p w14:paraId="7F0921BA" w14:textId="1C52695C" w:rsidR="00EE2F06" w:rsidRPr="00EE2F06" w:rsidRDefault="00AF12EA" w:rsidP="00AF12E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drawing>
          <wp:inline distT="0" distB="0" distL="0" distR="0" wp14:anchorId="0ECC5166" wp14:editId="136A4D9E">
            <wp:extent cx="2568745" cy="1800000"/>
            <wp:effectExtent l="0" t="0" r="0" b="0"/>
            <wp:docPr id="15745076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8726" w14:textId="451D1664" w:rsidR="00EE2F06" w:rsidRPr="00683A89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89"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683A89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683A89">
        <w:rPr>
          <w:rFonts w:ascii="Times New Roman" w:hAnsi="Times New Roman" w:cs="Times New Roman"/>
          <w:b/>
          <w:sz w:val="24"/>
          <w:szCs w:val="24"/>
        </w:rPr>
        <w:t xml:space="preserve"> Thermal annealing control experiments. </w:t>
      </w:r>
      <w:r w:rsidRPr="00683A89">
        <w:rPr>
          <w:rFonts w:ascii="Times New Roman" w:hAnsi="Times New Roman" w:cs="Times New Roman"/>
          <w:bCs/>
          <w:sz w:val="24"/>
          <w:szCs w:val="24"/>
        </w:rPr>
        <w:t>XRD patterns of control films after 5 min annealing at 70°C.</w:t>
      </w:r>
    </w:p>
    <w:p w14:paraId="250F14E2" w14:textId="6C294FEC" w:rsidR="00EE2F06" w:rsidRPr="00EE2F06" w:rsidRDefault="00AF12EA" w:rsidP="007C3F0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lastRenderedPageBreak/>
        <w:drawing>
          <wp:inline distT="0" distB="0" distL="0" distR="0" wp14:anchorId="0AE93464" wp14:editId="32C3E04D">
            <wp:extent cx="5304692" cy="2515673"/>
            <wp:effectExtent l="0" t="0" r="0" b="0"/>
            <wp:docPr id="18962840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82" cy="25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B155" w14:textId="3FB188A5" w:rsidR="00683A89" w:rsidRDefault="00EE2F06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3A89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683A89" w:rsidRPr="00683A8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683A89" w:rsidRPr="00683A89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="00683A89" w:rsidRPr="00683A89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683A89" w:rsidRPr="00683A89">
        <w:rPr>
          <w:rFonts w:ascii="Times New Roman" w:hAnsi="Times New Roman" w:cs="Times New Roman" w:hint="eastAsia"/>
          <w:b/>
          <w:sz w:val="24"/>
          <w:szCs w:val="24"/>
        </w:rPr>
        <w:t xml:space="preserve">In situ strain evolution. </w:t>
      </w:r>
      <w:r w:rsidR="00683A89">
        <w:rPr>
          <w:rFonts w:ascii="Times New Roman" w:hAnsi="Times New Roman" w:cs="Times New Roman" w:hint="eastAsia"/>
          <w:b/>
          <w:sz w:val="24"/>
          <w:szCs w:val="24"/>
        </w:rPr>
        <w:t xml:space="preserve">a </w:t>
      </w:r>
      <w:r w:rsidR="00683A89"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Comparison of XRD peak intensities and FWHM </w:t>
      </w:r>
      <w:r w:rsidR="00683A89" w:rsidRPr="00683A89">
        <w:rPr>
          <w:rFonts w:ascii="Times New Roman" w:hAnsi="Times New Roman" w:cs="Times New Roman"/>
          <w:bCs/>
          <w:sz w:val="24"/>
          <w:szCs w:val="24"/>
        </w:rPr>
        <w:t xml:space="preserve">values for (110) planes during annealing. </w:t>
      </w:r>
      <w:r w:rsidR="00683A89" w:rsidRPr="00683A89">
        <w:rPr>
          <w:rFonts w:ascii="Times New Roman" w:hAnsi="Times New Roman" w:cs="Times New Roman"/>
          <w:b/>
          <w:sz w:val="24"/>
          <w:szCs w:val="24"/>
        </w:rPr>
        <w:t>b</w:t>
      </w:r>
      <w:r w:rsidR="00683A89" w:rsidRPr="00683A89">
        <w:rPr>
          <w:rFonts w:ascii="Times New Roman" w:hAnsi="Times New Roman" w:cs="Times New Roman"/>
          <w:bCs/>
          <w:sz w:val="24"/>
          <w:szCs w:val="24"/>
        </w:rPr>
        <w:t xml:space="preserve"> Comparison of XRD peak intensities for 1D, δ and PbI</w:t>
      </w:r>
      <w:r w:rsidR="00683A89" w:rsidRPr="00683A89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83A89" w:rsidRPr="00683A89">
        <w:rPr>
          <w:rFonts w:ascii="Times New Roman" w:hAnsi="Times New Roman" w:cs="Times New Roman"/>
          <w:bCs/>
          <w:sz w:val="24"/>
          <w:szCs w:val="24"/>
        </w:rPr>
        <w:t xml:space="preserve"> phase dur</w:t>
      </w:r>
      <w:r w:rsidR="00683A89">
        <w:rPr>
          <w:rFonts w:ascii="Times New Roman" w:hAnsi="Times New Roman" w:cs="Times New Roman" w:hint="eastAsia"/>
          <w:bCs/>
          <w:sz w:val="24"/>
          <w:szCs w:val="24"/>
        </w:rPr>
        <w:t xml:space="preserve">ing </w:t>
      </w:r>
      <w:r w:rsidR="00683A89" w:rsidRPr="00683A89">
        <w:rPr>
          <w:rFonts w:ascii="Times New Roman" w:hAnsi="Times New Roman" w:cs="Times New Roman"/>
          <w:bCs/>
          <w:sz w:val="24"/>
          <w:szCs w:val="24"/>
        </w:rPr>
        <w:t>annealing</w:t>
      </w:r>
      <w:r w:rsidR="00683A89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683A89" w:rsidRPr="00683A89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683A8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83A89" w:rsidRPr="00EE2F06">
        <w:rPr>
          <w:rFonts w:ascii="Times New Roman" w:hAnsi="Times New Roman" w:cs="Times New Roman" w:hint="eastAsia"/>
          <w:bCs/>
          <w:sz w:val="24"/>
          <w:szCs w:val="24"/>
        </w:rPr>
        <w:t>Williamson-Hall analysis of residual strain during progressive annealing stages (0s, 30s, 5min).</w:t>
      </w:r>
    </w:p>
    <w:p w14:paraId="4EB0758A" w14:textId="0FE61B3E" w:rsidR="00E94776" w:rsidRDefault="00812D5D" w:rsidP="006C51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12D5D">
        <w:drawing>
          <wp:inline distT="0" distB="0" distL="0" distR="0" wp14:anchorId="1C23B919" wp14:editId="3943D177">
            <wp:extent cx="3486487" cy="1822939"/>
            <wp:effectExtent l="0" t="0" r="0" b="0"/>
            <wp:docPr id="1755133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48" b="-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98" cy="18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4240" w14:textId="14BA3880" w:rsidR="006C5149" w:rsidRPr="006C5149" w:rsidRDefault="006C5149" w:rsidP="006C51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89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683A8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683A89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683A89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Pr="006C5149">
        <w:rPr>
          <w:rFonts w:ascii="Times New Roman" w:hAnsi="Times New Roman" w:cs="Times New Roman" w:hint="eastAsia"/>
          <w:b/>
          <w:sz w:val="24"/>
          <w:szCs w:val="24"/>
        </w:rPr>
        <w:t>Spatial distribution of functional groups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6C514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6C5149">
        <w:rPr>
          <w:rFonts w:ascii="Times New Roman" w:hAnsi="Times New Roman" w:cs="Times New Roman" w:hint="eastAsia"/>
          <w:bCs/>
          <w:sz w:val="24"/>
          <w:szCs w:val="24"/>
        </w:rPr>
        <w:t>tereogram of micro-region FTIR spectra.</w:t>
      </w:r>
    </w:p>
    <w:p w14:paraId="58AA7C35" w14:textId="129CFA78" w:rsidR="00EE2F06" w:rsidRPr="00EE2F06" w:rsidRDefault="00AF12EA" w:rsidP="00AF12E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drawing>
          <wp:inline distT="0" distB="0" distL="0" distR="0" wp14:anchorId="60867E02" wp14:editId="7495BE08">
            <wp:extent cx="2835275" cy="1541584"/>
            <wp:effectExtent l="0" t="0" r="0" b="0"/>
            <wp:docPr id="2410429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27" b="-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3" cy="1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15AF8" w14:textId="3A05E5A4" w:rsidR="00DC0767" w:rsidRPr="00DC0767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89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683A89" w:rsidRPr="00683A8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="00683A89" w:rsidRPr="00683A89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="00683A89" w:rsidRPr="00683A89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683A89" w:rsidRPr="00683A89">
        <w:rPr>
          <w:rFonts w:ascii="Times New Roman" w:hAnsi="Times New Roman" w:cs="Times New Roman" w:hint="eastAsia"/>
          <w:b/>
          <w:sz w:val="24"/>
          <w:szCs w:val="24"/>
        </w:rPr>
        <w:t>Surface potential modification.</w:t>
      </w:r>
      <w:r w:rsidR="00DC076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Contact potential difference (CPD) mappings </w:t>
      </w:r>
      <w:r w:rsidR="00DC0767" w:rsidRPr="00EE2F06">
        <w:rPr>
          <w:rFonts w:ascii="Times New Roman" w:hAnsi="Times New Roman" w:cs="Times New Roman" w:hint="eastAsia"/>
          <w:bCs/>
          <w:sz w:val="24"/>
          <w:szCs w:val="24"/>
        </w:rPr>
        <w:t>images of control and TTFS-treated surfaces.</w:t>
      </w:r>
    </w:p>
    <w:p w14:paraId="003359F1" w14:textId="7ED27E79" w:rsidR="00EE2F06" w:rsidRPr="00DC0767" w:rsidRDefault="00AF12EA" w:rsidP="00EE2F06">
      <w:pPr>
        <w:rPr>
          <w:rFonts w:ascii="Times New Roman" w:hAnsi="Times New Roman" w:cs="Times New Roman"/>
          <w:bCs/>
          <w:sz w:val="24"/>
          <w:szCs w:val="24"/>
        </w:rPr>
      </w:pPr>
      <w:r w:rsidRPr="00AF12EA">
        <w:rPr>
          <w:noProof/>
        </w:rPr>
        <w:lastRenderedPageBreak/>
        <w:drawing>
          <wp:inline distT="0" distB="0" distL="0" distR="0" wp14:anchorId="6938EB5B" wp14:editId="326BDC08">
            <wp:extent cx="5274310" cy="2418080"/>
            <wp:effectExtent l="0" t="0" r="0" b="1270"/>
            <wp:docPr id="11565177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73F7" w14:textId="2578398E" w:rsidR="00DC0767" w:rsidRPr="00DC0767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89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683A89" w:rsidRPr="00683A89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="00683A89" w:rsidRPr="00683A89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="00683A89" w:rsidRPr="00683A89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Pr="00683A89">
        <w:rPr>
          <w:rFonts w:ascii="Times New Roman" w:hAnsi="Times New Roman" w:cs="Times New Roman" w:hint="eastAsia"/>
          <w:b/>
          <w:sz w:val="24"/>
          <w:szCs w:val="24"/>
        </w:rPr>
        <w:t>Comprehensive XPS analysis</w:t>
      </w:r>
      <w:r w:rsidR="00DC0767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>XPS data of the CsPbI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3-x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>Br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x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perovskite films with and without </w:t>
      </w:r>
      <w:r w:rsidR="00DC0767">
        <w:rPr>
          <w:rFonts w:ascii="Times New Roman" w:hAnsi="Times New Roman" w:cs="Times New Roman" w:hint="eastAsia"/>
          <w:bCs/>
          <w:sz w:val="24"/>
          <w:szCs w:val="24"/>
        </w:rPr>
        <w:t>TTFS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treatment: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Cs 3d,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I 3d,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Br 3d,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C0767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C0767">
        <w:rPr>
          <w:rFonts w:ascii="Times New Roman" w:hAnsi="Times New Roman" w:cs="Times New Roman" w:hint="eastAsia"/>
          <w:bCs/>
          <w:sz w:val="24"/>
          <w:szCs w:val="24"/>
        </w:rPr>
        <w:t>2p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C0767">
        <w:rPr>
          <w:rFonts w:ascii="Times New Roman" w:hAnsi="Times New Roman" w:cs="Times New Roman" w:hint="eastAsia"/>
          <w:bCs/>
          <w:sz w:val="24"/>
          <w:szCs w:val="24"/>
        </w:rPr>
        <w:t>O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1s,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DC0767">
        <w:rPr>
          <w:rFonts w:ascii="Times New Roman" w:hAnsi="Times New Roman" w:cs="Times New Roman" w:hint="eastAsia"/>
          <w:bCs/>
          <w:sz w:val="24"/>
          <w:szCs w:val="24"/>
        </w:rPr>
        <w:t>F</w:t>
      </w:r>
      <w:proofErr w:type="spellEnd"/>
      <w:r w:rsidR="00DC0767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 xml:space="preserve">1s and </w:t>
      </w:r>
      <w:r w:rsidR="00DC0767" w:rsidRPr="00DC0767">
        <w:rPr>
          <w:rFonts w:ascii="Times New Roman" w:hAnsi="Times New Roman" w:cs="Times New Roman" w:hint="eastAsia"/>
          <w:b/>
          <w:sz w:val="24"/>
          <w:szCs w:val="24"/>
        </w:rPr>
        <w:t>g</w:t>
      </w:r>
      <w:r w:rsidR="00DC076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C0767" w:rsidRPr="00DC0767">
        <w:rPr>
          <w:rFonts w:ascii="Times New Roman" w:hAnsi="Times New Roman" w:cs="Times New Roman" w:hint="eastAsia"/>
          <w:bCs/>
          <w:sz w:val="24"/>
          <w:szCs w:val="24"/>
        </w:rPr>
        <w:t>N 1s.</w:t>
      </w:r>
    </w:p>
    <w:p w14:paraId="1113327D" w14:textId="04594C0C" w:rsidR="00DC0767" w:rsidRDefault="00A06EFA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EFA">
        <w:rPr>
          <w:noProof/>
        </w:rPr>
        <w:drawing>
          <wp:inline distT="0" distB="0" distL="0" distR="0" wp14:anchorId="6ED943D4" wp14:editId="0B46371D">
            <wp:extent cx="2790093" cy="2404865"/>
            <wp:effectExtent l="0" t="0" r="0" b="0"/>
            <wp:docPr id="6060872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27" cy="24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BE52" w14:textId="04EC9AF0" w:rsidR="00057652" w:rsidRDefault="00DC0767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0767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DC0767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6C5149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FB489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DC0767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DC076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E2F06" w:rsidRPr="00DC0767">
        <w:rPr>
          <w:rFonts w:ascii="Times New Roman" w:hAnsi="Times New Roman" w:cs="Times New Roman" w:hint="eastAsia"/>
          <w:b/>
          <w:sz w:val="24"/>
          <w:szCs w:val="24"/>
        </w:rPr>
        <w:t>Ultraviolet photoelectron spectroscopy</w:t>
      </w:r>
      <w:r w:rsidRPr="00DC0767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91D25" w:rsidRPr="00C91D25">
        <w:rPr>
          <w:rFonts w:ascii="Times New Roman" w:hAnsi="Times New Roman" w:cs="Times New Roman" w:hint="eastAsia"/>
          <w:bCs/>
          <w:sz w:val="24"/>
          <w:szCs w:val="24"/>
        </w:rPr>
        <w:t xml:space="preserve">UPS spectra (secondary electron cutoff region and Fermi edge region) for work function calculation of </w:t>
      </w:r>
      <w:r w:rsidR="00C91D25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C91D25" w:rsidRPr="00C91D25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C91D25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C91D2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91D25" w:rsidRPr="00C91D25">
        <w:rPr>
          <w:rFonts w:ascii="Times New Roman" w:hAnsi="Times New Roman" w:cs="Times New Roman" w:hint="eastAsia"/>
          <w:bCs/>
          <w:sz w:val="24"/>
          <w:szCs w:val="24"/>
        </w:rPr>
        <w:t xml:space="preserve">control and </w:t>
      </w:r>
      <w:r w:rsidR="00C91D25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C91D25" w:rsidRPr="00C91D25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C91D25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C91D2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91D25" w:rsidRPr="00C91D25">
        <w:rPr>
          <w:rFonts w:ascii="Times New Roman" w:hAnsi="Times New Roman" w:cs="Times New Roman" w:hint="eastAsia"/>
          <w:bCs/>
          <w:sz w:val="24"/>
          <w:szCs w:val="24"/>
        </w:rPr>
        <w:t>TTFS-treated films.</w:t>
      </w:r>
    </w:p>
    <w:p w14:paraId="47EE4A6A" w14:textId="0DF19906" w:rsidR="00057652" w:rsidRDefault="00057652" w:rsidP="0005765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7652">
        <w:rPr>
          <w:rFonts w:hint="eastAsia"/>
          <w:noProof/>
        </w:rPr>
        <w:drawing>
          <wp:inline distT="0" distB="0" distL="0" distR="0" wp14:anchorId="79743A6D" wp14:editId="09BC3580">
            <wp:extent cx="2584938" cy="1975281"/>
            <wp:effectExtent l="0" t="0" r="0" b="0"/>
            <wp:docPr id="858976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4" cy="20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457FA" w14:textId="4FF200C1" w:rsidR="00461338" w:rsidRPr="00461338" w:rsidRDefault="00461338" w:rsidP="0005765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1338">
        <w:rPr>
          <w:rFonts w:ascii="Times New Roman" w:hAnsi="Times New Roman" w:cs="Times New Roman" w:hint="eastAsia"/>
          <w:b/>
          <w:sz w:val="24"/>
          <w:szCs w:val="24"/>
        </w:rPr>
        <w:t xml:space="preserve">Supplementary Fig. 12 | Device performance validation. </w:t>
      </w:r>
      <w:r w:rsidRPr="00461338">
        <w:rPr>
          <w:rFonts w:ascii="Times New Roman" w:hAnsi="Times New Roman" w:cs="Times New Roman" w:hint="eastAsia"/>
          <w:bCs/>
          <w:sz w:val="24"/>
          <w:szCs w:val="24"/>
        </w:rPr>
        <w:t>Photovoltaic parameters of devices fabricated from perovskite films at four distinct processing stages.</w:t>
      </w:r>
    </w:p>
    <w:p w14:paraId="2E13E4FB" w14:textId="77E93659" w:rsidR="00EE2F06" w:rsidRPr="00EE2F06" w:rsidRDefault="00056AEB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6AEB">
        <w:rPr>
          <w:noProof/>
        </w:rPr>
        <w:lastRenderedPageBreak/>
        <w:drawing>
          <wp:inline distT="0" distB="0" distL="0" distR="0" wp14:anchorId="1B3A550C" wp14:editId="07829684">
            <wp:extent cx="2358500" cy="1800000"/>
            <wp:effectExtent l="0" t="0" r="0" b="0"/>
            <wp:docPr id="1035536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708D" w14:textId="3E878F35" w:rsidR="00EE2F06" w:rsidRPr="00C91D25" w:rsidRDefault="00EE2F06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C91D25"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BE24AB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C91D25"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="00C91D25"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Non-radiative recombination analysis</w:t>
      </w:r>
      <w:r w:rsidR="00C91D25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EE2F06">
        <w:rPr>
          <w:rFonts w:ascii="Times New Roman" w:hAnsi="Times New Roman" w:cs="Times New Roman" w:hint="eastAsia"/>
          <w:bCs/>
          <w:sz w:val="24"/>
          <w:szCs w:val="24"/>
        </w:rPr>
        <w:t>Open-circuit voltage dependence on light intensity.</w:t>
      </w:r>
    </w:p>
    <w:p w14:paraId="3507BBA7" w14:textId="7A8AC302" w:rsidR="00C91D25" w:rsidRPr="00EE2F06" w:rsidRDefault="00A06EFA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EFA">
        <w:rPr>
          <w:noProof/>
        </w:rPr>
        <w:drawing>
          <wp:inline distT="0" distB="0" distL="0" distR="0" wp14:anchorId="1F965176" wp14:editId="37EA003F">
            <wp:extent cx="2350685" cy="1800000"/>
            <wp:effectExtent l="0" t="0" r="0" b="0"/>
            <wp:docPr id="2947417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2DED" w14:textId="65387699" w:rsidR="00EE2F06" w:rsidRPr="00EE2F06" w:rsidRDefault="00C91D25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91D25">
        <w:rPr>
          <w:rFonts w:ascii="Times New Roman" w:hAnsi="Times New Roman" w:cs="Times New Roman" w:hint="eastAsia"/>
          <w:b/>
          <w:sz w:val="24"/>
          <w:szCs w:val="24"/>
        </w:rPr>
        <w:t>Mott-Schottky characterization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Capacitance-voltage measurements for built-in potential extraction.</w:t>
      </w:r>
    </w:p>
    <w:p w14:paraId="41DBDCBF" w14:textId="0FA452F4" w:rsidR="00C91D25" w:rsidRPr="00EE2F06" w:rsidRDefault="00A06EFA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EFA">
        <w:rPr>
          <w:noProof/>
        </w:rPr>
        <w:drawing>
          <wp:inline distT="0" distB="0" distL="0" distR="0" wp14:anchorId="3650E0BA" wp14:editId="6E321F0E">
            <wp:extent cx="2359322" cy="1800000"/>
            <wp:effectExtent l="0" t="0" r="0" b="0"/>
            <wp:docPr id="220966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DD5E" w14:textId="79F36813" w:rsidR="00EE2F06" w:rsidRDefault="00C91D25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91D25">
        <w:rPr>
          <w:rFonts w:ascii="Times New Roman" w:hAnsi="Times New Roman" w:cs="Times New Roman" w:hint="eastAsia"/>
          <w:b/>
          <w:sz w:val="24"/>
          <w:szCs w:val="24"/>
        </w:rPr>
        <w:t>Dark current transport properties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C91D25">
        <w:rPr>
          <w:rFonts w:ascii="Times New Roman" w:hAnsi="Times New Roman" w:cs="Times New Roman" w:hint="eastAsia"/>
          <w:bCs/>
          <w:sz w:val="24"/>
          <w:szCs w:val="24"/>
        </w:rPr>
        <w:t>Dark J-V curves of treated and untreated devices.</w:t>
      </w:r>
    </w:p>
    <w:p w14:paraId="375225A9" w14:textId="75140749" w:rsidR="00C91D25" w:rsidRPr="00EE2F06" w:rsidRDefault="00A06EFA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06EFA">
        <w:rPr>
          <w:noProof/>
        </w:rPr>
        <w:lastRenderedPageBreak/>
        <w:drawing>
          <wp:inline distT="0" distB="0" distL="0" distR="0" wp14:anchorId="1B392830" wp14:editId="7C9561B2">
            <wp:extent cx="2353802" cy="1800000"/>
            <wp:effectExtent l="0" t="0" r="0" b="0"/>
            <wp:docPr id="3455489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3788" w14:textId="54EAA632" w:rsidR="00EE2F06" w:rsidRPr="00EE2F06" w:rsidRDefault="00C91D25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91D25">
        <w:rPr>
          <w:rFonts w:ascii="Times New Roman" w:hAnsi="Times New Roman" w:cs="Times New Roman" w:hint="eastAsia"/>
          <w:b/>
          <w:sz w:val="24"/>
          <w:szCs w:val="24"/>
        </w:rPr>
        <w:t>Transient photovoltage dynamics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Normalized TPV decay curves with biexponential fitting parameters.</w:t>
      </w:r>
    </w:p>
    <w:p w14:paraId="2869495B" w14:textId="50380920" w:rsidR="00EE2F06" w:rsidRPr="00EE2F06" w:rsidRDefault="004C688D" w:rsidP="00A06E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C688D">
        <w:rPr>
          <w:noProof/>
        </w:rPr>
        <w:drawing>
          <wp:inline distT="0" distB="0" distL="0" distR="0" wp14:anchorId="17A63501" wp14:editId="01E5EFA5">
            <wp:extent cx="2356189" cy="1800000"/>
            <wp:effectExtent l="0" t="0" r="0" b="0"/>
            <wp:docPr id="1660235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3A52" w14:textId="385CB0C5" w:rsidR="00EE2F06" w:rsidRPr="00C91D25" w:rsidRDefault="00C91D25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91D25">
        <w:rPr>
          <w:rFonts w:ascii="Times New Roman" w:hAnsi="Times New Roman" w:cs="Times New Roman" w:hint="eastAsia"/>
          <w:b/>
          <w:sz w:val="24"/>
          <w:szCs w:val="24"/>
        </w:rPr>
        <w:t>Optical transmission performance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Transmittance spectra of ITO/Ag electrode stacks versus wavelength (300-1</w:t>
      </w:r>
      <w:r>
        <w:rPr>
          <w:rFonts w:ascii="Times New Roman" w:hAnsi="Times New Roman" w:cs="Times New Roman" w:hint="eastAsia"/>
          <w:bCs/>
          <w:sz w:val="24"/>
          <w:szCs w:val="24"/>
        </w:rPr>
        <w:t>0</w:t>
      </w:r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00 nm).</w:t>
      </w:r>
    </w:p>
    <w:p w14:paraId="633C18A1" w14:textId="3679B6A7" w:rsidR="00EE2F06" w:rsidRPr="00CF6023" w:rsidRDefault="00CF6023" w:rsidP="00F56F5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F6023">
        <w:rPr>
          <w:noProof/>
        </w:rPr>
        <w:lastRenderedPageBreak/>
        <w:drawing>
          <wp:inline distT="0" distB="0" distL="0" distR="0" wp14:anchorId="55BE2AB7" wp14:editId="51C93CE0">
            <wp:extent cx="5203930" cy="4911969"/>
            <wp:effectExtent l="0" t="0" r="0" b="3175"/>
            <wp:docPr id="1097228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95" cy="49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4A56" w14:textId="41C440CA" w:rsidR="00EE2F06" w:rsidRPr="00C91D25" w:rsidRDefault="00C91D25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023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F6023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F602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 w:rsidRPr="00CF6023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CF6023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F6023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F6023">
        <w:rPr>
          <w:rFonts w:ascii="Times New Roman" w:hAnsi="Times New Roman" w:cs="Times New Roman" w:hint="eastAsia"/>
          <w:b/>
          <w:sz w:val="24"/>
          <w:szCs w:val="24"/>
        </w:rPr>
        <w:t>Certified efficiency validation</w:t>
      </w:r>
      <w:r w:rsidRPr="00CF6023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bookmarkStart w:id="8" w:name="_Hlk205026636"/>
      <w:r w:rsidRPr="00CF6023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EE2F06" w:rsidRPr="00CF6023">
        <w:rPr>
          <w:rFonts w:ascii="Times New Roman" w:hAnsi="Times New Roman" w:cs="Times New Roman" w:hint="eastAsia"/>
          <w:bCs/>
          <w:sz w:val="24"/>
          <w:szCs w:val="24"/>
        </w:rPr>
        <w:t>ertified J-V curve for 4-T tandem device.</w:t>
      </w:r>
    </w:p>
    <w:bookmarkEnd w:id="8"/>
    <w:p w14:paraId="5552B243" w14:textId="72D712C1" w:rsidR="00EE2F06" w:rsidRPr="00EE2F06" w:rsidRDefault="00147B79" w:rsidP="00147B7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B79">
        <w:rPr>
          <w:noProof/>
        </w:rPr>
        <w:drawing>
          <wp:inline distT="0" distB="0" distL="0" distR="0" wp14:anchorId="4D9152FB" wp14:editId="464C05A0">
            <wp:extent cx="2359677" cy="1800000"/>
            <wp:effectExtent l="0" t="0" r="0" b="0"/>
            <wp:docPr id="2124160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5CCF" w14:textId="2822AEB3" w:rsidR="00EE2F06" w:rsidRPr="00EE2F06" w:rsidRDefault="00C91D25" w:rsidP="00E55C3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1D25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Pr="00C91D2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057652">
        <w:rPr>
          <w:rFonts w:ascii="Times New Roman" w:hAnsi="Times New Roman" w:cs="Times New Roman" w:hint="eastAsia"/>
          <w:b/>
          <w:sz w:val="24"/>
          <w:szCs w:val="24"/>
        </w:rPr>
        <w:t>9</w:t>
      </w:r>
      <w:r w:rsidRPr="00C91D25">
        <w:rPr>
          <w:rFonts w:ascii="Times New Roman" w:eastAsia="Times New Roman" w:hAnsi="Times New Roman" w:cs="Times New Roman"/>
          <w:b/>
          <w:kern w:val="0"/>
          <w:position w:val="1"/>
          <w:sz w:val="24"/>
          <w:lang w:eastAsia="en-US" w:bidi="en-US"/>
        </w:rPr>
        <w:t xml:space="preserve"> |</w:t>
      </w:r>
      <w:r w:rsidRPr="00C91D25">
        <w:rPr>
          <w:rFonts w:ascii="Times New Roman" w:hAnsi="Times New Roman" w:cs="Times New Roman" w:hint="eastAsia"/>
          <w:b/>
          <w:kern w:val="0"/>
          <w:position w:val="1"/>
          <w:sz w:val="24"/>
          <w:lang w:bidi="en-US"/>
        </w:rPr>
        <w:t xml:space="preserve"> </w:t>
      </w:r>
      <w:r w:rsidR="00EE2F06" w:rsidRPr="00C91D25">
        <w:rPr>
          <w:rFonts w:ascii="Times New Roman" w:hAnsi="Times New Roman" w:cs="Times New Roman" w:hint="eastAsia"/>
          <w:b/>
          <w:sz w:val="24"/>
          <w:szCs w:val="24"/>
        </w:rPr>
        <w:t>Spectral response analysis</w:t>
      </w:r>
      <w:r w:rsidRPr="00C91D2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C91D2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EQE spectra of individual </w:t>
      </w:r>
      <w:bookmarkStart w:id="9" w:name="_Hlk205026670"/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 xml:space="preserve">wide/narrow-bandgap </w:t>
      </w:r>
      <w:proofErr w:type="spellStart"/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subcells</w:t>
      </w:r>
      <w:bookmarkEnd w:id="9"/>
      <w:proofErr w:type="spellEnd"/>
      <w:r w:rsidR="00EE2F06" w:rsidRPr="00EE2F06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68E6684F" w14:textId="2FA83BBB" w:rsidR="00BD704B" w:rsidRDefault="00CF6023" w:rsidP="00812D5D">
      <w:pPr>
        <w:rPr>
          <w:rFonts w:hint="eastAsia"/>
        </w:rPr>
      </w:pPr>
      <w:r>
        <w:rPr>
          <w:rFonts w:hint="eastAsia"/>
        </w:rPr>
        <w:br w:type="page"/>
      </w:r>
    </w:p>
    <w:p w14:paraId="0556FFBB" w14:textId="759D604D" w:rsidR="008221B1" w:rsidRPr="008221B1" w:rsidRDefault="00270BB5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1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1 | </w:t>
      </w:r>
      <w:r w:rsidR="008221B1" w:rsidRPr="008221B1">
        <w:rPr>
          <w:rFonts w:ascii="Times New Roman" w:hAnsi="Times New Roman" w:cs="Times New Roman"/>
          <w:b/>
          <w:sz w:val="24"/>
          <w:szCs w:val="24"/>
        </w:rPr>
        <w:t xml:space="preserve">The J–V parameters of the champion devices with and without TTFS/TCBH/TPNP treatment.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61"/>
        <w:gridCol w:w="1379"/>
        <w:gridCol w:w="2116"/>
        <w:gridCol w:w="1297"/>
        <w:gridCol w:w="1553"/>
      </w:tblGrid>
      <w:tr w:rsidR="008221B1" w:rsidRPr="008221B1" w14:paraId="214B2AEE" w14:textId="77777777" w:rsidTr="008221B1">
        <w:tc>
          <w:tcPr>
            <w:tcW w:w="1180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405FD7ED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830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37EB83D7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1274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612D9E14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SC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 xml:space="preserve"> (mA/cm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1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E165057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FF (%)</w:t>
            </w:r>
          </w:p>
        </w:tc>
        <w:tc>
          <w:tcPr>
            <w:tcW w:w="93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914E2BD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PCE (%)</w:t>
            </w:r>
          </w:p>
        </w:tc>
      </w:tr>
      <w:tr w:rsidR="008221B1" w:rsidRPr="008221B1" w14:paraId="4820B1E8" w14:textId="77777777" w:rsidTr="008221B1">
        <w:trPr>
          <w:trHeight w:val="515"/>
        </w:trPr>
        <w:tc>
          <w:tcPr>
            <w:tcW w:w="1180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5BBA9DC3" w14:textId="5E6588B8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W/O</w:t>
            </w:r>
          </w:p>
        </w:tc>
        <w:tc>
          <w:tcPr>
            <w:tcW w:w="830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1432F9D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1.063</w:t>
            </w:r>
          </w:p>
        </w:tc>
        <w:tc>
          <w:tcPr>
            <w:tcW w:w="1274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986517C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20.36</w:t>
            </w:r>
          </w:p>
        </w:tc>
        <w:tc>
          <w:tcPr>
            <w:tcW w:w="781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0F0C569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81.01</w:t>
            </w:r>
          </w:p>
        </w:tc>
        <w:tc>
          <w:tcPr>
            <w:tcW w:w="935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4FD20BEF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17.53</w:t>
            </w:r>
          </w:p>
        </w:tc>
      </w:tr>
      <w:tr w:rsidR="00056AEB" w:rsidRPr="008221B1" w14:paraId="411D2AC9" w14:textId="77777777" w:rsidTr="008221B1">
        <w:trPr>
          <w:trHeight w:val="515"/>
        </w:trPr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955E235" w14:textId="77777777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With TTFS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tcMar>
              <w:top w:w="59" w:type="dxa"/>
              <w:left w:w="119" w:type="dxa"/>
              <w:bottom w:w="59" w:type="dxa"/>
              <w:right w:w="119" w:type="dxa"/>
            </w:tcMar>
            <w:vAlign w:val="center"/>
            <w:hideMark/>
          </w:tcPr>
          <w:p w14:paraId="5ED3C552" w14:textId="45D2610E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79</w:t>
            </w:r>
          </w:p>
        </w:tc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tcMar>
              <w:top w:w="59" w:type="dxa"/>
              <w:left w:w="119" w:type="dxa"/>
              <w:bottom w:w="59" w:type="dxa"/>
              <w:right w:w="119" w:type="dxa"/>
            </w:tcMar>
            <w:vAlign w:val="center"/>
            <w:hideMark/>
          </w:tcPr>
          <w:p w14:paraId="7D45D239" w14:textId="2C40F2A8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tcMar>
              <w:top w:w="59" w:type="dxa"/>
              <w:left w:w="119" w:type="dxa"/>
              <w:bottom w:w="59" w:type="dxa"/>
              <w:right w:w="119" w:type="dxa"/>
            </w:tcMar>
            <w:vAlign w:val="center"/>
            <w:hideMark/>
          </w:tcPr>
          <w:p w14:paraId="7A9EC313" w14:textId="5A59E5E7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3.85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tcMar>
              <w:top w:w="59" w:type="dxa"/>
              <w:left w:w="119" w:type="dxa"/>
              <w:bottom w:w="59" w:type="dxa"/>
              <w:right w:w="119" w:type="dxa"/>
            </w:tcMar>
            <w:vAlign w:val="center"/>
            <w:hideMark/>
          </w:tcPr>
          <w:p w14:paraId="37AE9F2C" w14:textId="3059106B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51</w:t>
            </w:r>
          </w:p>
        </w:tc>
      </w:tr>
      <w:tr w:rsidR="008221B1" w:rsidRPr="008221B1" w14:paraId="6B5B0C27" w14:textId="77777777" w:rsidTr="008221B1">
        <w:trPr>
          <w:trHeight w:val="515"/>
        </w:trPr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16FF25A8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With TCBH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55546031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1.115</w:t>
            </w:r>
          </w:p>
        </w:tc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0FB208E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20.63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5D1C9883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84.15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2D13CAE2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19.36</w:t>
            </w:r>
          </w:p>
        </w:tc>
      </w:tr>
      <w:tr w:rsidR="008221B1" w:rsidRPr="008221B1" w14:paraId="4958F319" w14:textId="77777777" w:rsidTr="008221B1">
        <w:trPr>
          <w:trHeight w:val="515"/>
        </w:trPr>
        <w:tc>
          <w:tcPr>
            <w:tcW w:w="1180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2" w:type="dxa"/>
              <w:left w:w="124" w:type="dxa"/>
              <w:bottom w:w="62" w:type="dxa"/>
              <w:right w:w="124" w:type="dxa"/>
            </w:tcMar>
            <w:vAlign w:val="center"/>
            <w:hideMark/>
          </w:tcPr>
          <w:p w14:paraId="1EEE1C05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With TPNP</w:t>
            </w: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FB5BC5E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1.107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6A081FBD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20.66</w:t>
            </w:r>
          </w:p>
        </w:tc>
        <w:tc>
          <w:tcPr>
            <w:tcW w:w="781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54B67B56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81.82</w:t>
            </w:r>
          </w:p>
        </w:tc>
        <w:tc>
          <w:tcPr>
            <w:tcW w:w="935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77A67EBC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18.71</w:t>
            </w:r>
          </w:p>
        </w:tc>
      </w:tr>
    </w:tbl>
    <w:p w14:paraId="59D7D187" w14:textId="517EACF3" w:rsidR="00270BB5" w:rsidRDefault="00270BB5" w:rsidP="00E55C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BB5">
        <w:rPr>
          <w:rFonts w:ascii="Times New Roman" w:hAnsi="Times New Roman" w:cs="Times New Roman" w:hint="eastAsia"/>
          <w:b/>
          <w:sz w:val="24"/>
          <w:szCs w:val="24"/>
        </w:rPr>
        <w:t xml:space="preserve">Supplementary Table 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270BB5">
        <w:rPr>
          <w:rFonts w:ascii="Times New Roman" w:hAnsi="Times New Roman" w:cs="Times New Roman" w:hint="eastAsia"/>
          <w:b/>
          <w:sz w:val="24"/>
          <w:szCs w:val="24"/>
        </w:rPr>
        <w:t xml:space="preserve"> |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221B1" w:rsidRPr="008221B1">
        <w:rPr>
          <w:rFonts w:ascii="Times New Roman" w:hAnsi="Times New Roman" w:cs="Times New Roman" w:hint="eastAsia"/>
          <w:b/>
          <w:sz w:val="24"/>
          <w:szCs w:val="24"/>
        </w:rPr>
        <w:t>Hysteresis behavior of PSCs with and without T</w:t>
      </w:r>
      <w:r w:rsidR="008221B1">
        <w:rPr>
          <w:rFonts w:ascii="Times New Roman" w:hAnsi="Times New Roman" w:cs="Times New Roman" w:hint="eastAsia"/>
          <w:b/>
          <w:sz w:val="24"/>
          <w:szCs w:val="24"/>
        </w:rPr>
        <w:t>TFS</w:t>
      </w:r>
      <w:r w:rsidR="008221B1" w:rsidRPr="008221B1">
        <w:rPr>
          <w:rFonts w:ascii="Times New Roman" w:hAnsi="Times New Roman" w:cs="Times New Roman" w:hint="eastAsia"/>
          <w:b/>
          <w:sz w:val="24"/>
          <w:szCs w:val="24"/>
        </w:rPr>
        <w:t xml:space="preserve"> treatment.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7"/>
        <w:gridCol w:w="874"/>
        <w:gridCol w:w="261"/>
        <w:gridCol w:w="1307"/>
        <w:gridCol w:w="819"/>
        <w:gridCol w:w="1135"/>
        <w:gridCol w:w="1643"/>
      </w:tblGrid>
      <w:tr w:rsidR="008221B1" w:rsidRPr="008221B1" w14:paraId="7F111EC6" w14:textId="77777777" w:rsidTr="008221B1">
        <w:trPr>
          <w:trHeight w:val="585"/>
        </w:trPr>
        <w:tc>
          <w:tcPr>
            <w:tcW w:w="136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DB3C446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683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3CDD590A" w14:textId="77777777" w:rsid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7D7C83" w14:textId="62F71B40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78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D1E6138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SC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 xml:space="preserve"> (mA/cm</w:t>
            </w:r>
            <w:r w:rsidRPr="00822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01845A98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FF (%)</w:t>
            </w:r>
          </w:p>
        </w:tc>
        <w:tc>
          <w:tcPr>
            <w:tcW w:w="68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D9D9786" w14:textId="77777777" w:rsid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 xml:space="preserve">PCE </w:t>
            </w:r>
          </w:p>
          <w:p w14:paraId="4D942401" w14:textId="12ADB8F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89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B57085A" w14:textId="77777777" w:rsid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H factor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47360957" w14:textId="11CAC793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8221B1" w:rsidRPr="008221B1" w14:paraId="0253CC96" w14:textId="77777777" w:rsidTr="008221B1">
        <w:trPr>
          <w:trHeight w:val="573"/>
        </w:trPr>
        <w:tc>
          <w:tcPr>
            <w:tcW w:w="1365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4ED69FC5" w14:textId="5266D332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W/O TTFS-reverse</w:t>
            </w:r>
          </w:p>
        </w:tc>
        <w:tc>
          <w:tcPr>
            <w:tcW w:w="526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ABC1C90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1.120</w:t>
            </w:r>
          </w:p>
        </w:tc>
        <w:tc>
          <w:tcPr>
            <w:tcW w:w="944" w:type="pct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3DA08B8A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20.17</w:t>
            </w:r>
          </w:p>
        </w:tc>
        <w:tc>
          <w:tcPr>
            <w:tcW w:w="493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5316150F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76.76</w:t>
            </w:r>
          </w:p>
        </w:tc>
        <w:tc>
          <w:tcPr>
            <w:tcW w:w="683" w:type="pc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132B7D2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17.34</w:t>
            </w:r>
          </w:p>
        </w:tc>
        <w:tc>
          <w:tcPr>
            <w:tcW w:w="989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61C29ED2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12.34</w:t>
            </w:r>
          </w:p>
        </w:tc>
      </w:tr>
      <w:tr w:rsidR="008221B1" w:rsidRPr="008221B1" w14:paraId="38BFE538" w14:textId="77777777" w:rsidTr="008221B1">
        <w:trPr>
          <w:trHeight w:val="573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63DC585A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W/O TTFS-forward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73667F1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1.057</w:t>
            </w:r>
          </w:p>
        </w:tc>
        <w:tc>
          <w:tcPr>
            <w:tcW w:w="944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D3E3A9B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20.17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775B0CAB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71.29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7B01FD72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989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664EC09" w14:textId="77777777" w:rsidR="008221B1" w:rsidRPr="008221B1" w:rsidRDefault="008221B1" w:rsidP="0082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AEB" w:rsidRPr="008221B1" w14:paraId="126344DB" w14:textId="77777777" w:rsidTr="001F50F6">
        <w:trPr>
          <w:trHeight w:val="573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34C967EA" w14:textId="4DC10286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With TTFS-reverse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DA45C4B" w14:textId="45F7121F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79</w:t>
            </w:r>
          </w:p>
        </w:tc>
        <w:tc>
          <w:tcPr>
            <w:tcW w:w="944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5756C63" w14:textId="50D761BC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54CBBBD9" w14:textId="6B02A278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3.85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26F26247" w14:textId="62CFCB10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B7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51</w:t>
            </w:r>
          </w:p>
        </w:tc>
        <w:tc>
          <w:tcPr>
            <w:tcW w:w="989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3BB10D98" w14:textId="43AE0477" w:rsidR="00056AEB" w:rsidRPr="008221B1" w:rsidRDefault="00056AEB" w:rsidP="00056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3.51</w:t>
            </w:r>
          </w:p>
        </w:tc>
      </w:tr>
      <w:tr w:rsidR="001F50F6" w:rsidRPr="008221B1" w14:paraId="790FE844" w14:textId="77777777" w:rsidTr="001F50F6">
        <w:trPr>
          <w:trHeight w:val="573"/>
        </w:trPr>
        <w:tc>
          <w:tcPr>
            <w:tcW w:w="1365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055547B9" w14:textId="77777777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1B1">
              <w:rPr>
                <w:rFonts w:ascii="Times New Roman" w:hAnsi="Times New Roman" w:cs="Times New Roman"/>
                <w:sz w:val="24"/>
                <w:szCs w:val="24"/>
              </w:rPr>
              <w:t>With TTFS-forward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33AD4698" w14:textId="5EF2FEB9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F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056AEB">
              <w:rPr>
                <w:rFonts w:ascii="Times New Roman" w:hAnsi="Times New Roman" w:cs="Times New Roman" w:hint="eastAsia"/>
                <w:sz w:val="24"/>
                <w:szCs w:val="24"/>
              </w:rPr>
              <w:t>72</w:t>
            </w:r>
          </w:p>
        </w:tc>
        <w:tc>
          <w:tcPr>
            <w:tcW w:w="944" w:type="pct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197A0C83" w14:textId="5B856843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F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056AEB">
              <w:rPr>
                <w:rFonts w:ascii="Times New Roman" w:hAnsi="Times New Roman" w:cs="Times New Roman" w:hint="eastAsia"/>
                <w:sz w:val="24"/>
                <w:szCs w:val="24"/>
              </w:rPr>
              <w:t>74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7A3EC884" w14:textId="0944627A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F6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  <w:r w:rsidR="00056AEB">
              <w:rPr>
                <w:rFonts w:ascii="Times New Roman" w:hAnsi="Times New Roman" w:cs="Times New Roman" w:hint="eastAsia"/>
                <w:sz w:val="24"/>
                <w:szCs w:val="24"/>
              </w:rPr>
              <w:t>41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69" w:type="dxa"/>
              <w:left w:w="137" w:type="dxa"/>
              <w:bottom w:w="69" w:type="dxa"/>
              <w:right w:w="137" w:type="dxa"/>
            </w:tcMar>
            <w:vAlign w:val="center"/>
            <w:hideMark/>
          </w:tcPr>
          <w:p w14:paraId="559F625E" w14:textId="634DC0AC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0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AEB">
              <w:rPr>
                <w:rFonts w:ascii="Times New Roman" w:hAnsi="Times New Roman" w:cs="Times New Roman" w:hint="eastAsia"/>
                <w:sz w:val="24"/>
                <w:szCs w:val="24"/>
              </w:rPr>
              <w:t>9.79</w:t>
            </w:r>
          </w:p>
        </w:tc>
        <w:tc>
          <w:tcPr>
            <w:tcW w:w="989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E8D9813" w14:textId="77777777" w:rsidR="001F50F6" w:rsidRPr="008221B1" w:rsidRDefault="001F50F6" w:rsidP="001F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E394E5" w14:textId="77777777" w:rsidR="001F50F6" w:rsidRPr="00270BB5" w:rsidRDefault="001F50F6" w:rsidP="00EE2F06">
      <w:pPr>
        <w:rPr>
          <w:rFonts w:ascii="Times New Roman" w:hAnsi="Times New Roman" w:cs="Times New Roman"/>
          <w:b/>
          <w:sz w:val="24"/>
          <w:szCs w:val="24"/>
        </w:rPr>
      </w:pPr>
    </w:p>
    <w:sectPr w:rsidR="001F50F6" w:rsidRPr="00270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2A878" w14:textId="77777777" w:rsidR="00AC6EDA" w:rsidRDefault="00AC6EDA" w:rsidP="00C77984">
      <w:pPr>
        <w:rPr>
          <w:rFonts w:hint="eastAsia"/>
        </w:rPr>
      </w:pPr>
      <w:r>
        <w:separator/>
      </w:r>
    </w:p>
  </w:endnote>
  <w:endnote w:type="continuationSeparator" w:id="0">
    <w:p w14:paraId="3553C684" w14:textId="77777777" w:rsidR="00AC6EDA" w:rsidRDefault="00AC6EDA" w:rsidP="00C779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1E7DC" w14:textId="77777777" w:rsidR="00AC6EDA" w:rsidRDefault="00AC6EDA" w:rsidP="00C77984">
      <w:pPr>
        <w:rPr>
          <w:rFonts w:hint="eastAsia"/>
        </w:rPr>
      </w:pPr>
      <w:r>
        <w:separator/>
      </w:r>
    </w:p>
  </w:footnote>
  <w:footnote w:type="continuationSeparator" w:id="0">
    <w:p w14:paraId="704F8541" w14:textId="77777777" w:rsidR="00AC6EDA" w:rsidRDefault="00AC6EDA" w:rsidP="00C7798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FEC"/>
    <w:rsid w:val="00056AEB"/>
    <w:rsid w:val="00057652"/>
    <w:rsid w:val="00070B05"/>
    <w:rsid w:val="00080E20"/>
    <w:rsid w:val="000A0A1C"/>
    <w:rsid w:val="000F57AC"/>
    <w:rsid w:val="00117E97"/>
    <w:rsid w:val="00147B79"/>
    <w:rsid w:val="00153F6E"/>
    <w:rsid w:val="00163038"/>
    <w:rsid w:val="001A7875"/>
    <w:rsid w:val="001B33A4"/>
    <w:rsid w:val="001C4ACA"/>
    <w:rsid w:val="001D7A9A"/>
    <w:rsid w:val="001F50F6"/>
    <w:rsid w:val="00252B64"/>
    <w:rsid w:val="00253364"/>
    <w:rsid w:val="00257469"/>
    <w:rsid w:val="00270BB5"/>
    <w:rsid w:val="0029455A"/>
    <w:rsid w:val="002A7198"/>
    <w:rsid w:val="00316369"/>
    <w:rsid w:val="003200BA"/>
    <w:rsid w:val="003321DB"/>
    <w:rsid w:val="00345588"/>
    <w:rsid w:val="0036367B"/>
    <w:rsid w:val="003A4D24"/>
    <w:rsid w:val="00461338"/>
    <w:rsid w:val="0047640C"/>
    <w:rsid w:val="004B4128"/>
    <w:rsid w:val="004C688D"/>
    <w:rsid w:val="00534301"/>
    <w:rsid w:val="00554596"/>
    <w:rsid w:val="00567928"/>
    <w:rsid w:val="006068C5"/>
    <w:rsid w:val="00620A43"/>
    <w:rsid w:val="00630981"/>
    <w:rsid w:val="006359F6"/>
    <w:rsid w:val="00672ED0"/>
    <w:rsid w:val="006741F1"/>
    <w:rsid w:val="00683A89"/>
    <w:rsid w:val="006A3457"/>
    <w:rsid w:val="006B5C04"/>
    <w:rsid w:val="006B5C3F"/>
    <w:rsid w:val="006C5149"/>
    <w:rsid w:val="00716486"/>
    <w:rsid w:val="00774B0B"/>
    <w:rsid w:val="007A78D1"/>
    <w:rsid w:val="007B1542"/>
    <w:rsid w:val="007C3F00"/>
    <w:rsid w:val="007D15CB"/>
    <w:rsid w:val="00801814"/>
    <w:rsid w:val="00812D5D"/>
    <w:rsid w:val="008135AE"/>
    <w:rsid w:val="008221B1"/>
    <w:rsid w:val="00842659"/>
    <w:rsid w:val="00846555"/>
    <w:rsid w:val="00853890"/>
    <w:rsid w:val="00863622"/>
    <w:rsid w:val="008B4788"/>
    <w:rsid w:val="008B78D2"/>
    <w:rsid w:val="00911A82"/>
    <w:rsid w:val="00916095"/>
    <w:rsid w:val="0095586C"/>
    <w:rsid w:val="009C4A8D"/>
    <w:rsid w:val="009D3426"/>
    <w:rsid w:val="009D3A75"/>
    <w:rsid w:val="009D65FB"/>
    <w:rsid w:val="009F14D4"/>
    <w:rsid w:val="00A06EFA"/>
    <w:rsid w:val="00A60FA1"/>
    <w:rsid w:val="00AB7C5D"/>
    <w:rsid w:val="00AC6EDA"/>
    <w:rsid w:val="00AF12EA"/>
    <w:rsid w:val="00B57D8A"/>
    <w:rsid w:val="00B60357"/>
    <w:rsid w:val="00B9445E"/>
    <w:rsid w:val="00BD704B"/>
    <w:rsid w:val="00BE24AB"/>
    <w:rsid w:val="00C01822"/>
    <w:rsid w:val="00C47CF8"/>
    <w:rsid w:val="00C71309"/>
    <w:rsid w:val="00C77984"/>
    <w:rsid w:val="00C91D25"/>
    <w:rsid w:val="00CA2E13"/>
    <w:rsid w:val="00CE5A3F"/>
    <w:rsid w:val="00CF6023"/>
    <w:rsid w:val="00D1072B"/>
    <w:rsid w:val="00D60A35"/>
    <w:rsid w:val="00D7611B"/>
    <w:rsid w:val="00D90FEC"/>
    <w:rsid w:val="00DC0767"/>
    <w:rsid w:val="00DD027A"/>
    <w:rsid w:val="00DD7FA6"/>
    <w:rsid w:val="00E55C35"/>
    <w:rsid w:val="00E64FFA"/>
    <w:rsid w:val="00E67DA5"/>
    <w:rsid w:val="00E77F7E"/>
    <w:rsid w:val="00E94776"/>
    <w:rsid w:val="00EA3626"/>
    <w:rsid w:val="00EE2F06"/>
    <w:rsid w:val="00F02523"/>
    <w:rsid w:val="00F06C8B"/>
    <w:rsid w:val="00F203F3"/>
    <w:rsid w:val="00F45727"/>
    <w:rsid w:val="00F56145"/>
    <w:rsid w:val="00F56F5F"/>
    <w:rsid w:val="00F57495"/>
    <w:rsid w:val="00F72253"/>
    <w:rsid w:val="00F752DC"/>
    <w:rsid w:val="00FB00FD"/>
    <w:rsid w:val="00FB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BED8C"/>
  <w15:chartTrackingRefBased/>
  <w15:docId w15:val="{8C3DA5A8-50D6-45C0-BE20-FC6A3471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984"/>
  </w:style>
  <w:style w:type="paragraph" w:styleId="1">
    <w:name w:val="heading 1"/>
    <w:basedOn w:val="a"/>
    <w:next w:val="a"/>
    <w:link w:val="10"/>
    <w:uiPriority w:val="9"/>
    <w:qFormat/>
    <w:rsid w:val="00D90FE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0F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FE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FE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FE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FE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FE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FE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FE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0FE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90F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90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90FE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90FE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90FE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90FE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90FE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90FE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90FE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90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FE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90FE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0F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90F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0F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90F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90F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90F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90FE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779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7798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7798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77984"/>
    <w:rPr>
      <w:sz w:val="18"/>
      <w:szCs w:val="18"/>
    </w:rPr>
  </w:style>
  <w:style w:type="character" w:styleId="af2">
    <w:name w:val="Hyperlink"/>
    <w:basedOn w:val="a0"/>
    <w:uiPriority w:val="99"/>
    <w:unhideWhenUsed/>
    <w:rsid w:val="00C779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714</Words>
  <Characters>4511</Characters>
  <Application>Microsoft Office Word</Application>
  <DocSecurity>0</DocSecurity>
  <Lines>161</Lines>
  <Paragraphs>104</Paragraphs>
  <ScaleCrop>false</ScaleCrop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 张</dc:creator>
  <cp:keywords/>
  <dc:description/>
  <cp:lastModifiedBy>浩 张</cp:lastModifiedBy>
  <cp:revision>45</cp:revision>
  <dcterms:created xsi:type="dcterms:W3CDTF">2025-08-02T01:51:00Z</dcterms:created>
  <dcterms:modified xsi:type="dcterms:W3CDTF">2025-11-19T04:43:00Z</dcterms:modified>
</cp:coreProperties>
</file>