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41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Supplementary Fig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1</w:t>
      </w:r>
      <w:r>
        <w:rPr>
          <w:rFonts w:hint="default" w:ascii="Times New Roman" w:hAnsi="Times New Roman" w:cs="Times New Roman"/>
          <w:sz w:val="22"/>
          <w:szCs w:val="22"/>
        </w:rPr>
        <w:t xml:space="preserve">.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(a) </w:t>
      </w:r>
      <w:r>
        <w:rPr>
          <w:rFonts w:hint="default" w:ascii="Times New Roman" w:hAnsi="Times New Roman" w:cs="Times New Roman"/>
          <w:sz w:val="22"/>
          <w:szCs w:val="22"/>
        </w:rPr>
        <w:t xml:space="preserve">The AUC values of seven tumour types, including BLCA, CESC, CHOL, KICH, LUAD, PCPG, and UCEC. </w:t>
      </w:r>
    </w:p>
    <w:p w14:paraId="03342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</w:rPr>
        <w:t>Supplementary Fig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 xml:space="preserve">.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(a</w:t>
      </w:r>
      <w:bookmarkStart w:id="1" w:name="_GoBack"/>
      <w:bookmarkEnd w:id="1"/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) </w:t>
      </w:r>
      <w:r>
        <w:rPr>
          <w:rFonts w:hint="default" w:ascii="Times New Roman" w:hAnsi="Times New Roman" w:cs="Times New Roman"/>
          <w:sz w:val="22"/>
          <w:szCs w:val="22"/>
        </w:rPr>
        <w:t>The AUC values of e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l</w:t>
      </w:r>
      <w:r>
        <w:rPr>
          <w:rFonts w:hint="default" w:ascii="Times New Roman" w:hAnsi="Times New Roman" w:cs="Times New Roman"/>
          <w:sz w:val="22"/>
          <w:szCs w:val="22"/>
        </w:rPr>
        <w:t>ven tumour types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.</w:t>
      </w:r>
    </w:p>
    <w:p w14:paraId="1A942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cs="Times New Roman" w:eastAsiaTheme="minorEastAsia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</w:rPr>
        <w:t>Supplementary Fig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3</w:t>
      </w:r>
      <w:r>
        <w:rPr>
          <w:rFonts w:hint="default" w:ascii="Times New Roman" w:hAnsi="Times New Roman" w:cs="Times New Roman"/>
          <w:sz w:val="22"/>
          <w:szCs w:val="22"/>
        </w:rPr>
        <w:t>.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(a) </w:t>
      </w:r>
      <w:r>
        <w:rPr>
          <w:rFonts w:hint="default" w:ascii="Times New Roman" w:hAnsi="Times New Roman" w:cs="Times New Roman"/>
          <w:sz w:val="22"/>
          <w:szCs w:val="22"/>
        </w:rPr>
        <w:t>Age-stratified differential expression analysis of the GATA6 gene in CHOL, ESCA, LUAD, KIRP, ACC, and BLCA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.</w:t>
      </w:r>
    </w:p>
    <w:p w14:paraId="53BA6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cs="Times New Roman" w:eastAsiaTheme="minorEastAsia"/>
          <w:sz w:val="22"/>
          <w:szCs w:val="22"/>
          <w:lang w:val="en-US" w:eastAsia="zh-CN"/>
        </w:rPr>
      </w:pPr>
      <w:bookmarkStart w:id="0" w:name="OLE_LINK20"/>
      <w:r>
        <w:rPr>
          <w:rFonts w:hint="default" w:ascii="Times New Roman" w:hAnsi="Times New Roman" w:cs="Times New Roman"/>
          <w:sz w:val="22"/>
          <w:szCs w:val="22"/>
        </w:rPr>
        <w:t>Supplementary</w:t>
      </w:r>
      <w:bookmarkEnd w:id="0"/>
      <w:r>
        <w:rPr>
          <w:rFonts w:hint="default" w:ascii="Times New Roman" w:hAnsi="Times New Roman" w:cs="Times New Roman"/>
          <w:sz w:val="22"/>
          <w:szCs w:val="22"/>
        </w:rPr>
        <w:t xml:space="preserve"> Fig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4</w:t>
      </w:r>
      <w:r>
        <w:rPr>
          <w:rFonts w:hint="default" w:ascii="Times New Roman" w:hAnsi="Times New Roman" w:cs="Times New Roman"/>
          <w:sz w:val="22"/>
          <w:szCs w:val="22"/>
        </w:rPr>
        <w:t>.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(a)</w:t>
      </w:r>
      <w:r>
        <w:rPr>
          <w:rFonts w:hint="default" w:ascii="Times New Roman" w:hAnsi="Times New Roman" w:cs="Times New Roman"/>
          <w:sz w:val="22"/>
          <w:szCs w:val="22"/>
        </w:rPr>
        <w:t xml:space="preserve"> Age-stratified differential expression analysis of the GATA6 gene in BLCA, CESC, COAD, KIRC, LUAD, PAAD, THCA, and UCS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.</w:t>
      </w:r>
    </w:p>
    <w:p w14:paraId="7A100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Supplementary Fig5.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(a) </w:t>
      </w:r>
      <w:r>
        <w:rPr>
          <w:rFonts w:hint="default" w:ascii="Times New Roman" w:hAnsi="Times New Roman" w:cs="Times New Roman"/>
          <w:sz w:val="22"/>
          <w:szCs w:val="22"/>
        </w:rPr>
        <w:t>Cox regression of GATA6 CNV vs. OS across cancers.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(b)</w:t>
      </w:r>
      <w:r>
        <w:rPr>
          <w:rFonts w:hint="default" w:ascii="Times New Roman" w:hAnsi="Times New Roman" w:cs="Times New Roman"/>
          <w:sz w:val="22"/>
          <w:szCs w:val="22"/>
        </w:rPr>
        <w:t>Association between GATA6 gene-set copy number variation (CNV) and survival differences across diverse cancer types.</w:t>
      </w:r>
    </w:p>
    <w:p w14:paraId="42449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</w:rPr>
        <w:t>Supplementary Fig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6.(a) </w:t>
      </w:r>
      <w:r>
        <w:rPr>
          <w:rFonts w:hint="default" w:ascii="Times New Roman" w:hAnsi="Times New Roman" w:cs="Times New Roman"/>
          <w:sz w:val="22"/>
          <w:szCs w:val="22"/>
        </w:rPr>
        <w:t>Relationship between GATA6 DNA methylation level and patient survival.</w:t>
      </w:r>
    </w:p>
    <w:p w14:paraId="7A8F6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</w:rPr>
        <w:t>Supplementary Figure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7</w:t>
      </w:r>
      <w:r>
        <w:rPr>
          <w:rFonts w:hint="default" w:ascii="Times New Roman" w:hAnsi="Times New Roman" w:cs="Times New Roman"/>
          <w:sz w:val="22"/>
          <w:szCs w:val="22"/>
        </w:rPr>
        <w:t>.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(a) </w:t>
      </w:r>
      <w:r>
        <w:rPr>
          <w:rFonts w:hint="default" w:ascii="Times New Roman" w:hAnsi="Times New Roman" w:cs="Times New Roman"/>
          <w:sz w:val="22"/>
          <w:szCs w:val="22"/>
        </w:rPr>
        <w:t xml:space="preserve">ZFPM2, ZFPM1, and HEY2 showed the strongest correlation with GATA6. </w:t>
      </w:r>
    </w:p>
    <w:p w14:paraId="1C365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Supplementary Fig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8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.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(a)</w:t>
      </w:r>
      <w:r>
        <w:rPr>
          <w:rFonts w:hint="default" w:ascii="Times New Roman" w:hAnsi="Times New Roman" w:cs="Times New Roman"/>
          <w:sz w:val="22"/>
          <w:szCs w:val="22"/>
        </w:rPr>
        <w:t xml:space="preserve"> GO analysis indicated GATA6's involvement in external and extracellular matrix organization and humoral immune response, significantly correlating with its expression. (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b</w:t>
      </w:r>
      <w:r>
        <w:rPr>
          <w:rFonts w:hint="default" w:ascii="Times New Roman" w:hAnsi="Times New Roman" w:cs="Times New Roman"/>
          <w:sz w:val="22"/>
          <w:szCs w:val="22"/>
        </w:rPr>
        <w:t>)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KEGG pathway analysis highlighted GATA6's Involvement in Autoimmune Thyroid Disease, S. aureus Infections, Hematopoietic Lineages, and ECM Interactions .</w:t>
      </w:r>
    </w:p>
    <w:p w14:paraId="3F93A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Supplementary Fig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9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.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(ab) T</w:t>
      </w:r>
      <w:r>
        <w:rPr>
          <w:rFonts w:hint="default" w:ascii="Times New Roman" w:hAnsi="Times New Roman" w:cs="Times New Roman"/>
          <w:sz w:val="22"/>
          <w:szCs w:val="22"/>
        </w:rPr>
        <w:t xml:space="preserve">he impact of GATA6 mRNA expression on drug response. </w:t>
      </w:r>
    </w:p>
    <w:p w14:paraId="5DDD2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cs="Times New Roman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441C1"/>
    <w:rsid w:val="35F4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2025-10-14T01:40:00Z</dcterms:created>
  <dc:creator>WPS_1759502489</dc:creator>
  <cp:lastModifiedBy>WPS_1759502489</cp:lastModifiedBy>
  <dcterms:modified xsi:type="dcterms:W3CDTF">2025-10-14T05:18:22Z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A3D5363467D34E6891471FA2433E0393_11</vt:lpwstr>
  </property>
  <property fmtid="{D5CDD505-2E9C-101B-9397-08002B2CF9AE}" pid="4" name="KSOTemplateDocerSaveRecord">
    <vt:lpwstr>eyJoZGlkIjoiZTViZTUyZDg5YmJmZWJjMTZmMTIyODg1MjM1M2Q1MWIiLCJ1c2VySWQiOiIxNzUxMTQxNTMzIn0=</vt:lpwstr>
  </property>
</Properties>
</file>