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6D66" w14:textId="77777777" w:rsidR="00571B19" w:rsidRDefault="00571B19" w:rsidP="00571B19">
      <w:pPr>
        <w:pStyle w:val="Heading1"/>
        <w:widowControl w:val="0"/>
        <w:spacing w:line="480" w:lineRule="auto"/>
        <w:jc w:val="center"/>
        <w:rPr>
          <w:b/>
          <w:bCs/>
          <w:sz w:val="30"/>
          <w:szCs w:val="30"/>
        </w:rPr>
      </w:pPr>
      <w:r w:rsidRPr="166C8EE4">
        <w:rPr>
          <w:b/>
          <w:bCs/>
          <w:sz w:val="30"/>
          <w:szCs w:val="30"/>
        </w:rPr>
        <w:t>Supplementary Information</w:t>
      </w:r>
    </w:p>
    <w:p w14:paraId="7A28CA80" w14:textId="77777777" w:rsidR="00571B19" w:rsidRDefault="00571B19" w:rsidP="00571B19">
      <w:pPr>
        <w:pStyle w:val="Title"/>
        <w:spacing w:line="480" w:lineRule="auto"/>
        <w:rPr>
          <w:b/>
          <w:bCs/>
          <w:sz w:val="30"/>
          <w:szCs w:val="30"/>
        </w:rPr>
      </w:pPr>
      <w:bookmarkStart w:id="0" w:name="_zhsfd4e4vzqp"/>
      <w:bookmarkEnd w:id="0"/>
      <w:r w:rsidRPr="166C8EE4">
        <w:rPr>
          <w:b/>
          <w:bCs/>
          <w:sz w:val="30"/>
          <w:szCs w:val="30"/>
        </w:rPr>
        <w:t xml:space="preserve">Metagenomic Cell-free DNA Sequencing for Treatment Monitoring in Sepsis </w:t>
      </w:r>
    </w:p>
    <w:p w14:paraId="09ED98A6" w14:textId="77777777" w:rsidR="00571B19" w:rsidRDefault="00571B19" w:rsidP="00571B19">
      <w:pPr>
        <w:spacing w:line="480" w:lineRule="auto"/>
        <w:rPr>
          <w:color w:val="222222"/>
          <w:vertAlign w:val="superscript"/>
          <w:lang w:val="en-US"/>
        </w:rPr>
      </w:pPr>
      <w:r w:rsidRPr="166C8EE4">
        <w:rPr>
          <w:b/>
          <w:bCs/>
          <w:lang w:val="en-US"/>
        </w:rPr>
        <w:t xml:space="preserve">AUTHORS: </w:t>
      </w:r>
      <w:r w:rsidRPr="166C8EE4">
        <w:rPr>
          <w:lang w:val="en-US"/>
        </w:rPr>
        <w:t>Omary Mzava</w:t>
      </w:r>
      <w:r w:rsidRPr="166C8EE4">
        <w:rPr>
          <w:vertAlign w:val="superscript"/>
          <w:lang w:val="en-US"/>
        </w:rPr>
        <w:t>1,#</w:t>
      </w:r>
      <w:r w:rsidRPr="166C8EE4">
        <w:rPr>
          <w:lang w:val="en-US"/>
        </w:rPr>
        <w:t>, Liz-Audrey Djomnang Kounatse</w:t>
      </w:r>
      <w:r w:rsidRPr="166C8EE4">
        <w:rPr>
          <w:vertAlign w:val="superscript"/>
          <w:lang w:val="en-US"/>
        </w:rPr>
        <w:t>1,#</w:t>
      </w:r>
      <w:r w:rsidRPr="166C8EE4">
        <w:rPr>
          <w:lang w:val="en-US"/>
        </w:rPr>
        <w:t>, Alexandre Pellan Cheng, Luis G. Gomez-Escobar</w:t>
      </w:r>
      <w:r w:rsidRPr="166C8EE4">
        <w:rPr>
          <w:vertAlign w:val="superscript"/>
          <w:lang w:val="en-US"/>
        </w:rPr>
        <w:t>2</w:t>
      </w:r>
      <w:r w:rsidRPr="166C8EE4">
        <w:rPr>
          <w:lang w:val="en-US"/>
        </w:rPr>
        <w:t>, Joan Lenz</w:t>
      </w:r>
      <w:r w:rsidRPr="166C8EE4">
        <w:rPr>
          <w:vertAlign w:val="superscript"/>
          <w:lang w:val="en-US"/>
        </w:rPr>
        <w:t>1</w:t>
      </w:r>
      <w:r w:rsidRPr="166C8EE4">
        <w:rPr>
          <w:lang w:val="en-US"/>
        </w:rPr>
        <w:t>, Emma Belcher</w:t>
      </w:r>
      <w:r w:rsidRPr="166C8EE4">
        <w:rPr>
          <w:vertAlign w:val="superscript"/>
          <w:lang w:val="en-US"/>
        </w:rPr>
        <w:t>1</w:t>
      </w:r>
      <w:r w:rsidRPr="166C8EE4">
        <w:rPr>
          <w:lang w:val="en-US"/>
        </w:rPr>
        <w:t>, Edward J. Schenck</w:t>
      </w:r>
      <w:r w:rsidRPr="166C8EE4">
        <w:rPr>
          <w:vertAlign w:val="superscript"/>
          <w:lang w:val="en-US"/>
        </w:rPr>
        <w:t>2</w:t>
      </w:r>
      <w:r w:rsidRPr="166C8EE4">
        <w:rPr>
          <w:lang w:val="en-US"/>
        </w:rPr>
        <w:t>, Iwijn De Vlaminck</w:t>
      </w:r>
      <w:r w:rsidRPr="166C8EE4">
        <w:rPr>
          <w:vertAlign w:val="superscript"/>
          <w:lang w:val="en-US"/>
        </w:rPr>
        <w:t>1,*</w:t>
      </w:r>
    </w:p>
    <w:p w14:paraId="7B05CD6D" w14:textId="77777777" w:rsidR="00571B19" w:rsidRDefault="00571B19" w:rsidP="00571B19">
      <w:pPr>
        <w:shd w:val="clear" w:color="auto" w:fill="FFFFFF" w:themeFill="background1"/>
        <w:spacing w:line="480" w:lineRule="auto"/>
        <w:jc w:val="both"/>
      </w:pPr>
    </w:p>
    <w:p w14:paraId="28A6C67C" w14:textId="77777777" w:rsidR="00571B19" w:rsidRDefault="00571B19" w:rsidP="00571B19">
      <w:pPr>
        <w:shd w:val="clear" w:color="auto" w:fill="FFFFFF" w:themeFill="background1"/>
        <w:spacing w:line="480" w:lineRule="auto"/>
        <w:jc w:val="both"/>
        <w:rPr>
          <w:b/>
          <w:bCs/>
        </w:rPr>
      </w:pPr>
      <w:r w:rsidRPr="166C8EE4">
        <w:rPr>
          <w:b/>
          <w:bCs/>
        </w:rPr>
        <w:t xml:space="preserve">AFFILIATIONS: </w:t>
      </w:r>
    </w:p>
    <w:p w14:paraId="21194E80" w14:textId="77777777" w:rsidR="00571B19" w:rsidRDefault="00571B19" w:rsidP="00571B19">
      <w:pPr>
        <w:shd w:val="clear" w:color="auto" w:fill="FFFFFF" w:themeFill="background1"/>
        <w:spacing w:line="480" w:lineRule="auto"/>
        <w:jc w:val="both"/>
        <w:rPr>
          <w:sz w:val="20"/>
          <w:szCs w:val="20"/>
        </w:rPr>
      </w:pPr>
      <w:r w:rsidRPr="166C8EE4">
        <w:rPr>
          <w:sz w:val="20"/>
          <w:szCs w:val="20"/>
          <w:vertAlign w:val="superscript"/>
        </w:rPr>
        <w:t>1</w:t>
      </w:r>
      <w:r w:rsidRPr="166C8EE4">
        <w:rPr>
          <w:sz w:val="20"/>
          <w:szCs w:val="20"/>
        </w:rPr>
        <w:t>Meinig School of Biomedical Engineering, Cornell University; Ithaca, NY, USA</w:t>
      </w:r>
    </w:p>
    <w:p w14:paraId="62E55AF7" w14:textId="77777777" w:rsidR="00571B19" w:rsidRDefault="00571B19" w:rsidP="00571B19">
      <w:pPr>
        <w:shd w:val="clear" w:color="auto" w:fill="FFFFFF" w:themeFill="background1"/>
        <w:spacing w:line="480" w:lineRule="auto"/>
        <w:jc w:val="both"/>
        <w:rPr>
          <w:sz w:val="20"/>
          <w:szCs w:val="20"/>
        </w:rPr>
      </w:pPr>
      <w:r w:rsidRPr="166C8EE4">
        <w:rPr>
          <w:sz w:val="20"/>
          <w:szCs w:val="20"/>
          <w:vertAlign w:val="superscript"/>
        </w:rPr>
        <w:t>2</w:t>
      </w:r>
      <w:r w:rsidRPr="166C8EE4">
        <w:rPr>
          <w:sz w:val="20"/>
          <w:szCs w:val="20"/>
        </w:rPr>
        <w:t xml:space="preserve">Division of Pulmonary and Critical Care Medicine, Department of Medicine, Weill Cornell Medicine, New York </w:t>
      </w:r>
    </w:p>
    <w:p w14:paraId="13DFA71A" w14:textId="77777777" w:rsidR="00571B19" w:rsidRDefault="00571B19" w:rsidP="00571B19">
      <w:pPr>
        <w:shd w:val="clear" w:color="auto" w:fill="FFFFFF" w:themeFill="background1"/>
        <w:spacing w:line="480" w:lineRule="auto"/>
        <w:jc w:val="both"/>
        <w:rPr>
          <w:sz w:val="20"/>
          <w:szCs w:val="20"/>
        </w:rPr>
      </w:pPr>
    </w:p>
    <w:p w14:paraId="061A3D1B" w14:textId="77777777" w:rsidR="00571B19" w:rsidRDefault="00571B19" w:rsidP="00571B19">
      <w:pPr>
        <w:shd w:val="clear" w:color="auto" w:fill="FFFFFF" w:themeFill="background1"/>
        <w:spacing w:line="480" w:lineRule="auto"/>
        <w:jc w:val="both"/>
      </w:pPr>
      <w:r w:rsidRPr="166C8EE4">
        <w:rPr>
          <w:vertAlign w:val="superscript"/>
        </w:rPr>
        <w:t xml:space="preserve"># </w:t>
      </w:r>
      <w:r>
        <w:t>These authors contributed equally</w:t>
      </w:r>
    </w:p>
    <w:p w14:paraId="37A6F22D" w14:textId="77777777" w:rsidR="00571B19" w:rsidRDefault="00571B19" w:rsidP="00571B19">
      <w:pPr>
        <w:shd w:val="clear" w:color="auto" w:fill="FFFFFF" w:themeFill="background1"/>
        <w:spacing w:line="480" w:lineRule="auto"/>
        <w:jc w:val="both"/>
        <w:rPr>
          <w:color w:val="0000FF"/>
          <w:highlight w:val="white"/>
        </w:rPr>
      </w:pPr>
      <w:r w:rsidRPr="166C8EE4">
        <w:rPr>
          <w:sz w:val="20"/>
          <w:szCs w:val="20"/>
          <w:vertAlign w:val="superscript"/>
        </w:rPr>
        <w:t xml:space="preserve">* </w:t>
      </w:r>
      <w:r w:rsidRPr="166C8EE4">
        <w:rPr>
          <w:highlight w:val="white"/>
        </w:rPr>
        <w:t xml:space="preserve">To whom correspondence should be addressed: </w:t>
      </w:r>
      <w:hyperlink r:id="rId5">
        <w:r w:rsidRPr="166C8EE4">
          <w:rPr>
            <w:color w:val="1155CC"/>
            <w:highlight w:val="white"/>
            <w:u w:val="single"/>
          </w:rPr>
          <w:t>vlaminck@cornell.edu</w:t>
        </w:r>
      </w:hyperlink>
    </w:p>
    <w:p w14:paraId="1AA5791F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246CC2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216C0CBD" wp14:editId="068B209E">
            <wp:extent cx="5943600" cy="5827514"/>
            <wp:effectExtent l="0" t="0" r="0" b="0"/>
            <wp:docPr id="1" name="image2.png" descr="A collage of diagram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 descr="A collage of diagrams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27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6D27CA" w14:textId="77777777" w:rsidR="00571B19" w:rsidRDefault="00571B19" w:rsidP="00571B19">
      <w:pPr>
        <w:spacing w:line="480" w:lineRule="auto"/>
        <w:jc w:val="both"/>
        <w:rPr>
          <w:sz w:val="20"/>
          <w:szCs w:val="20"/>
          <w:highlight w:val="white"/>
          <w:lang w:val="en-US"/>
        </w:rPr>
      </w:pPr>
      <w:r w:rsidRPr="166C8EE4">
        <w:rPr>
          <w:b/>
          <w:bCs/>
          <w:sz w:val="20"/>
          <w:szCs w:val="20"/>
          <w:lang w:val="en-US"/>
        </w:rPr>
        <w:t>Supplemental Figure S1:  Ongoing antibiotic treatment does not significantly affect the microbial load in plasma samples; cfDNA overwhelmingly comes from immune cells post-infection.</w:t>
      </w:r>
      <w:r w:rsidRPr="166C8EE4">
        <w:rPr>
          <w:sz w:val="20"/>
          <w:szCs w:val="20"/>
          <w:lang w:val="en-US"/>
        </w:rPr>
        <w:t xml:space="preserve"> </w:t>
      </w:r>
      <w:r w:rsidRPr="166C8EE4">
        <w:rPr>
          <w:b/>
          <w:bCs/>
          <w:sz w:val="20"/>
          <w:szCs w:val="20"/>
          <w:lang w:val="en-US"/>
        </w:rPr>
        <w:t>A)</w:t>
      </w:r>
      <w:r w:rsidRPr="166C8EE4">
        <w:rPr>
          <w:sz w:val="20"/>
          <w:szCs w:val="20"/>
          <w:lang w:val="en-US"/>
        </w:rPr>
        <w:t xml:space="preserve"> Boxplot of the total microbial abundance in samples collected pre- and post-antibiotic initiation. </w:t>
      </w:r>
      <w:r w:rsidRPr="166C8EE4">
        <w:rPr>
          <w:b/>
          <w:bCs/>
          <w:sz w:val="20"/>
          <w:szCs w:val="20"/>
          <w:lang w:val="en-US"/>
        </w:rPr>
        <w:t>B)</w:t>
      </w:r>
      <w:r w:rsidRPr="166C8EE4">
        <w:rPr>
          <w:sz w:val="20"/>
          <w:szCs w:val="20"/>
          <w:lang w:val="en-US"/>
        </w:rPr>
        <w:t xml:space="preserve">  Boxplot of Microbial load in different sample groups by collection time relative to antibiotic initiation. </w:t>
      </w:r>
      <w:r w:rsidRPr="166C8EE4">
        <w:rPr>
          <w:b/>
          <w:bCs/>
          <w:sz w:val="20"/>
          <w:szCs w:val="20"/>
          <w:lang w:val="en-US"/>
        </w:rPr>
        <w:t>C)</w:t>
      </w:r>
      <w:r w:rsidRPr="166C8EE4">
        <w:rPr>
          <w:sz w:val="20"/>
          <w:szCs w:val="20"/>
          <w:lang w:val="en-US"/>
        </w:rPr>
        <w:t xml:space="preserve">  Comparison of microbial load in samples collected pre- and post-antibiotic initiation. </w:t>
      </w:r>
      <w:r w:rsidRPr="166C8EE4">
        <w:rPr>
          <w:b/>
          <w:bCs/>
          <w:sz w:val="20"/>
          <w:szCs w:val="20"/>
          <w:lang w:val="en-US"/>
        </w:rPr>
        <w:t>D)</w:t>
      </w:r>
      <w:r w:rsidRPr="166C8EE4">
        <w:rPr>
          <w:sz w:val="20"/>
          <w:szCs w:val="20"/>
          <w:lang w:val="en-US"/>
        </w:rPr>
        <w:t xml:space="preserve"> Evaluation of SIFT seq specificity by ratio of cultured pathogen abundance to negative culture equivalent. *Species where the SNR was 0 were omitted</w:t>
      </w:r>
      <w:r w:rsidRPr="166C8EE4">
        <w:rPr>
          <w:b/>
          <w:bCs/>
          <w:sz w:val="20"/>
          <w:szCs w:val="20"/>
          <w:lang w:val="en-US"/>
        </w:rPr>
        <w:t xml:space="preserve"> E)</w:t>
      </w:r>
      <w:r w:rsidRPr="166C8EE4">
        <w:rPr>
          <w:sz w:val="20"/>
          <w:szCs w:val="20"/>
          <w:lang w:val="en-US"/>
        </w:rPr>
        <w:t xml:space="preserve"> Hepatocyte abundance in different study groups. </w:t>
      </w:r>
      <w:r w:rsidRPr="166C8EE4">
        <w:rPr>
          <w:b/>
          <w:bCs/>
          <w:sz w:val="20"/>
          <w:szCs w:val="20"/>
          <w:lang w:val="en-US"/>
        </w:rPr>
        <w:t>F)</w:t>
      </w:r>
      <w:r w:rsidRPr="166C8EE4">
        <w:rPr>
          <w:sz w:val="20"/>
          <w:szCs w:val="20"/>
          <w:lang w:val="en-US"/>
        </w:rPr>
        <w:t xml:space="preserve"> Heatmap of cell types of origin of </w:t>
      </w:r>
      <w:r w:rsidRPr="166C8EE4">
        <w:rPr>
          <w:sz w:val="20"/>
          <w:szCs w:val="20"/>
          <w:lang w:val="en-US"/>
        </w:rPr>
        <w:lastRenderedPageBreak/>
        <w:t xml:space="preserve">cfDNA in plasma. </w:t>
      </w:r>
      <w:r w:rsidRPr="166C8EE4">
        <w:rPr>
          <w:rFonts w:ascii="Arial Unicode MS" w:eastAsia="Arial Unicode MS" w:hAnsi="Arial Unicode MS" w:cs="Arial Unicode MS"/>
          <w:sz w:val="20"/>
          <w:szCs w:val="20"/>
          <w:highlight w:val="white"/>
          <w:lang w:val="en-US"/>
        </w:rPr>
        <w:t>Boxes in the boxplots indicate 25th and 75th percentiles, the band in the box indicates the median, and whiskers extend to 1.5 x Interquartile Range (IQR) of the hinge. Outliers (beyond 1.5 × IQR) are plotted individually. *** p-value &lt; 0.001, ** p-value &lt; 0.01, * p-value &lt; 0.05, NS. (Not significant) p-value ≥ 0.05.</w:t>
      </w:r>
    </w:p>
    <w:p w14:paraId="279C5E01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CF1C3D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7B1BC4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E4EC3E" w14:textId="77777777" w:rsidR="00571B19" w:rsidRDefault="00571B19" w:rsidP="00571B19">
      <w:pPr>
        <w:spacing w:line="480" w:lineRule="auto"/>
      </w:pPr>
      <w:r w:rsidRPr="166C8EE4">
        <w:rPr>
          <w:b/>
          <w:bCs/>
          <w:sz w:val="24"/>
          <w:szCs w:val="24"/>
        </w:rPr>
        <w:t xml:space="preserve">Table 1: </w:t>
      </w:r>
      <w:r>
        <w:t>Sample Summary; Demographic and clinical summary</w:t>
      </w:r>
    </w:p>
    <w:p w14:paraId="6A47EFA5" w14:textId="77777777" w:rsidR="00571B19" w:rsidRDefault="00571B19" w:rsidP="00571B19">
      <w:pPr>
        <w:spacing w:line="480" w:lineRule="auto"/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571B19" w14:paraId="689A98AB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18726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bCs/>
                <w:sz w:val="24"/>
                <w:szCs w:val="24"/>
              </w:rPr>
            </w:pPr>
            <w:r w:rsidRPr="166C8EE4">
              <w:rPr>
                <w:b/>
                <w:bCs/>
                <w:sz w:val="24"/>
                <w:szCs w:val="24"/>
              </w:rPr>
              <w:t>Modality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AA075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bCs/>
                <w:sz w:val="24"/>
                <w:szCs w:val="24"/>
              </w:rPr>
            </w:pPr>
            <w:r w:rsidRPr="166C8EE4">
              <w:rPr>
                <w:b/>
                <w:bCs/>
                <w:sz w:val="24"/>
                <w:szCs w:val="24"/>
              </w:rPr>
              <w:t>Population</w:t>
            </w:r>
          </w:p>
        </w:tc>
      </w:tr>
      <w:tr w:rsidR="00571B19" w14:paraId="6AAA4DA2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FD52E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median Age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1FF41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64</w:t>
            </w:r>
          </w:p>
        </w:tc>
      </w:tr>
      <w:tr w:rsidR="00571B19" w14:paraId="531733C6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124B5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Female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9F9F6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40.3</w:t>
            </w:r>
          </w:p>
        </w:tc>
      </w:tr>
      <w:tr w:rsidR="00571B19" w14:paraId="48F5251D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A11DD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Male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C2A72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59.7</w:t>
            </w:r>
          </w:p>
        </w:tc>
      </w:tr>
      <w:tr w:rsidR="00571B19" w14:paraId="5FBA3918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DB13B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Sepsis cases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5339F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81.4</w:t>
            </w:r>
          </w:p>
        </w:tc>
      </w:tr>
      <w:tr w:rsidR="00571B19" w14:paraId="06B95EC7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D41DD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Non-sepsis cases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45D3B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18.6</w:t>
            </w:r>
          </w:p>
        </w:tc>
      </w:tr>
      <w:tr w:rsidR="00571B19" w14:paraId="349E548E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5B091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Vasopressor on ED floor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36DF7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32.6</w:t>
            </w:r>
          </w:p>
        </w:tc>
      </w:tr>
      <w:tr w:rsidR="00571B19" w14:paraId="62E76065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E8B6D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Average SOFA score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7A525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7.2 ± 3.8</w:t>
            </w:r>
          </w:p>
        </w:tc>
      </w:tr>
      <w:tr w:rsidR="00571B19" w14:paraId="3AB07661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9E85E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cancer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44AA5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30.2</w:t>
            </w:r>
          </w:p>
        </w:tc>
      </w:tr>
      <w:tr w:rsidR="00571B19" w14:paraId="65DE4A20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A4A4C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lastRenderedPageBreak/>
              <w:t>Death within 28 days 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0FE07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16.3</w:t>
            </w:r>
          </w:p>
        </w:tc>
      </w:tr>
      <w:tr w:rsidR="00571B19" w14:paraId="304F0A04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EA9EF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  <w:lang w:val="en-US"/>
              </w:rPr>
            </w:pPr>
            <w:r w:rsidRPr="166C8EE4">
              <w:rPr>
                <w:sz w:val="24"/>
                <w:szCs w:val="24"/>
                <w:lang w:val="en-US"/>
              </w:rPr>
              <w:t>Death within 60 days(%)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9F669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3.9</w:t>
            </w:r>
          </w:p>
        </w:tc>
      </w:tr>
      <w:tr w:rsidR="00571B19" w14:paraId="28ACFB23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FF632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Samples collected during antibiotic usage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4C597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108</w:t>
            </w:r>
          </w:p>
        </w:tc>
      </w:tr>
      <w:tr w:rsidR="00571B19" w14:paraId="75864943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B39EC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Bacteremia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9BBCC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64</w:t>
            </w:r>
          </w:p>
        </w:tc>
      </w:tr>
      <w:tr w:rsidR="00571B19" w14:paraId="68CFAA3C" w14:textId="77777777" w:rsidTr="0042724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58C78" w14:textId="77777777" w:rsidR="00571B19" w:rsidRDefault="00571B19" w:rsidP="00427246">
            <w:pPr>
              <w:widowControl w:val="0"/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Other Infection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ABE9F" w14:textId="77777777" w:rsidR="00571B19" w:rsidRDefault="00571B19" w:rsidP="004272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21</w:t>
            </w:r>
          </w:p>
        </w:tc>
      </w:tr>
    </w:tbl>
    <w:p w14:paraId="01C29CC9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58E75" w14:textId="77777777" w:rsidR="00571B19" w:rsidRDefault="00571B19" w:rsidP="00571B19">
      <w:pPr>
        <w:spacing w:line="480" w:lineRule="auto"/>
        <w:rPr>
          <w:b/>
          <w:bCs/>
          <w:sz w:val="24"/>
          <w:szCs w:val="24"/>
        </w:rPr>
      </w:pPr>
    </w:p>
    <w:p w14:paraId="4A36E444" w14:textId="77777777" w:rsidR="00571B19" w:rsidRDefault="00571B19" w:rsidP="00571B19">
      <w:pPr>
        <w:spacing w:line="480" w:lineRule="auto"/>
        <w:rPr>
          <w:sz w:val="24"/>
          <w:szCs w:val="24"/>
          <w:lang w:val="en-US"/>
        </w:rPr>
      </w:pPr>
      <w:r w:rsidRPr="166C8EE4">
        <w:rPr>
          <w:b/>
          <w:bCs/>
          <w:sz w:val="24"/>
          <w:szCs w:val="24"/>
          <w:lang w:val="en-US"/>
        </w:rPr>
        <w:t>Table 2:</w:t>
      </w:r>
      <w:r w:rsidRPr="166C8EE4">
        <w:rPr>
          <w:sz w:val="24"/>
          <w:szCs w:val="24"/>
          <w:lang w:val="en-US"/>
        </w:rPr>
        <w:t xml:space="preserve"> Specimen collection timing relative to antibiotic initiation</w:t>
      </w:r>
    </w:p>
    <w:p w14:paraId="36DFD34E" w14:textId="77777777" w:rsidR="00571B19" w:rsidRDefault="00571B19" w:rsidP="00571B19">
      <w:pPr>
        <w:spacing w:line="480" w:lineRule="auto"/>
        <w:rPr>
          <w:sz w:val="24"/>
          <w:szCs w:val="24"/>
        </w:rPr>
      </w:pPr>
    </w:p>
    <w:tbl>
      <w:tblPr>
        <w:tblW w:w="92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2055"/>
        <w:gridCol w:w="2340"/>
        <w:gridCol w:w="2790"/>
      </w:tblGrid>
      <w:tr w:rsidR="00571B19" w14:paraId="3399DBB9" w14:textId="77777777" w:rsidTr="00427246">
        <w:tc>
          <w:tcPr>
            <w:tcW w:w="20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3BA1F91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166C8EE4">
              <w:rPr>
                <w:b/>
                <w:bCs/>
                <w:sz w:val="24"/>
                <w:szCs w:val="24"/>
              </w:rPr>
              <w:t>Patient Characteristics</w:t>
            </w:r>
          </w:p>
        </w:tc>
        <w:tc>
          <w:tcPr>
            <w:tcW w:w="2055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659DB69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166C8EE4">
              <w:rPr>
                <w:b/>
                <w:bCs/>
                <w:sz w:val="24"/>
                <w:szCs w:val="24"/>
              </w:rPr>
              <w:t>Range (Hours)</w:t>
            </w:r>
          </w:p>
        </w:tc>
        <w:tc>
          <w:tcPr>
            <w:tcW w:w="23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0432DE6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166C8EE4">
              <w:rPr>
                <w:b/>
                <w:bCs/>
                <w:sz w:val="24"/>
                <w:szCs w:val="24"/>
              </w:rPr>
              <w:t>Median (Hours)</w:t>
            </w:r>
          </w:p>
        </w:tc>
        <w:tc>
          <w:tcPr>
            <w:tcW w:w="27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C44B9D4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166C8EE4">
              <w:rPr>
                <w:b/>
                <w:bCs/>
                <w:sz w:val="24"/>
                <w:szCs w:val="24"/>
              </w:rPr>
              <w:t>mean (Hours)</w:t>
            </w:r>
          </w:p>
        </w:tc>
      </w:tr>
      <w:tr w:rsidR="00571B19" w14:paraId="66283BCC" w14:textId="77777777" w:rsidTr="00427246">
        <w:tc>
          <w:tcPr>
            <w:tcW w:w="20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08F1CA7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Bacteremia</w:t>
            </w:r>
          </w:p>
        </w:tc>
        <w:tc>
          <w:tcPr>
            <w:tcW w:w="2055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D4B0157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17-152</w:t>
            </w:r>
          </w:p>
        </w:tc>
        <w:tc>
          <w:tcPr>
            <w:tcW w:w="23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17F5C2B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40.5</w:t>
            </w:r>
          </w:p>
        </w:tc>
        <w:tc>
          <w:tcPr>
            <w:tcW w:w="27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DFFB74F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43.3</w:t>
            </w:r>
          </w:p>
        </w:tc>
      </w:tr>
      <w:tr w:rsidR="00571B19" w14:paraId="71005275" w14:textId="77777777" w:rsidTr="00427246">
        <w:tc>
          <w:tcPr>
            <w:tcW w:w="20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08AE2BE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Other infections</w:t>
            </w:r>
          </w:p>
        </w:tc>
        <w:tc>
          <w:tcPr>
            <w:tcW w:w="2055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B29607F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12-572</w:t>
            </w:r>
          </w:p>
        </w:tc>
        <w:tc>
          <w:tcPr>
            <w:tcW w:w="23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D67E14B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47</w:t>
            </w:r>
          </w:p>
        </w:tc>
        <w:tc>
          <w:tcPr>
            <w:tcW w:w="27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53AEF6E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103.75</w:t>
            </w:r>
          </w:p>
        </w:tc>
      </w:tr>
      <w:tr w:rsidR="00571B19" w14:paraId="28D4BE59" w14:textId="77777777" w:rsidTr="00427246">
        <w:tc>
          <w:tcPr>
            <w:tcW w:w="20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4684A51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No Culture</w:t>
            </w:r>
          </w:p>
        </w:tc>
        <w:tc>
          <w:tcPr>
            <w:tcW w:w="2055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FF7C9FD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NA</w:t>
            </w:r>
          </w:p>
        </w:tc>
        <w:tc>
          <w:tcPr>
            <w:tcW w:w="234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00CAA1C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NA</w:t>
            </w:r>
          </w:p>
        </w:tc>
        <w:tc>
          <w:tcPr>
            <w:tcW w:w="27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0E69452" w14:textId="77777777" w:rsidR="00571B19" w:rsidRDefault="00571B19" w:rsidP="00427246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NA</w:t>
            </w:r>
          </w:p>
        </w:tc>
      </w:tr>
    </w:tbl>
    <w:p w14:paraId="04971214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9D327A" w14:textId="77777777" w:rsidR="00571B19" w:rsidRDefault="00571B19" w:rsidP="00571B19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line="480" w:lineRule="auto"/>
        <w:jc w:val="both"/>
      </w:pPr>
      <w:r w:rsidRPr="166C8EE4">
        <w:rPr>
          <w:b/>
          <w:bCs/>
        </w:rPr>
        <w:t>Table 3:</w:t>
      </w:r>
      <w:r>
        <w:t xml:space="preserve"> Area Under the Curve (AUC) and 95% Confidence Intervals for Individual cfDNA Metrics, Total Day 1 SOFA Score, and the Combined Model in Distinguishing Sepsis from ICU Controls. 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15"/>
        <w:gridCol w:w="3195"/>
        <w:gridCol w:w="2850"/>
      </w:tblGrid>
      <w:tr w:rsidR="00571B19" w14:paraId="70D01643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64869" w14:textId="77777777" w:rsidR="00571B19" w:rsidRDefault="00571B19" w:rsidP="00427246">
            <w:pPr>
              <w:widowControl w:val="0"/>
              <w:spacing w:line="480" w:lineRule="auto"/>
              <w:rPr>
                <w:b/>
                <w:bCs/>
              </w:rPr>
            </w:pPr>
            <w:r w:rsidRPr="166C8EE4">
              <w:rPr>
                <w:b/>
                <w:bCs/>
              </w:rPr>
              <w:t>Parameter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4D909" w14:textId="77777777" w:rsidR="00571B19" w:rsidRDefault="00571B19" w:rsidP="00427246">
            <w:pPr>
              <w:widowControl w:val="0"/>
              <w:spacing w:line="480" w:lineRule="auto"/>
              <w:rPr>
                <w:b/>
                <w:bCs/>
                <w:lang w:val="en-US"/>
              </w:rPr>
            </w:pPr>
            <w:r w:rsidRPr="166C8EE4">
              <w:rPr>
                <w:b/>
                <w:bCs/>
                <w:lang w:val="en-US"/>
              </w:rPr>
              <w:t xml:space="preserve">Area Under the Curve  (AUC)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6EF88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b/>
                <w:bCs/>
              </w:rPr>
            </w:pPr>
            <w:r w:rsidRPr="166C8EE4">
              <w:rPr>
                <w:rFonts w:ascii="Helvetica Neue" w:eastAsia="Helvetica Neue" w:hAnsi="Helvetica Neue" w:cs="Helvetica Neue"/>
                <w:b/>
                <w:bCs/>
                <w:sz w:val="21"/>
                <w:szCs w:val="21"/>
              </w:rPr>
              <w:t>95% Confidence Interval (CI)</w:t>
            </w:r>
          </w:p>
        </w:tc>
      </w:tr>
      <w:tr w:rsidR="00571B19" w14:paraId="72CE9773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2EAB8" w14:textId="77777777" w:rsidR="00571B19" w:rsidRDefault="00571B19" w:rsidP="00427246">
            <w:pPr>
              <w:widowControl w:val="0"/>
              <w:spacing w:line="480" w:lineRule="auto"/>
            </w:pPr>
            <w:r>
              <w:lastRenderedPageBreak/>
              <w:t>Microbial cfDNA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381B6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0.703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42079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0.589 - 0.816 </w:t>
            </w:r>
          </w:p>
        </w:tc>
      </w:tr>
      <w:tr w:rsidR="00571B19" w14:paraId="7AC2A8B6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4FA47" w14:textId="77777777" w:rsidR="00571B19" w:rsidRDefault="00571B19" w:rsidP="00427246">
            <w:pPr>
              <w:widowControl w:val="0"/>
              <w:spacing w:line="480" w:lineRule="auto"/>
            </w:pPr>
            <w:r>
              <w:t>Simpson Index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27E63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0.75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77AE6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0.675 - 0.855 </w:t>
            </w:r>
          </w:p>
        </w:tc>
      </w:tr>
      <w:tr w:rsidR="00571B19" w14:paraId="04FB7C40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F422F" w14:textId="77777777" w:rsidR="00571B19" w:rsidRDefault="00571B19" w:rsidP="00427246">
            <w:pPr>
              <w:widowControl w:val="0"/>
              <w:spacing w:line="480" w:lineRule="auto"/>
            </w:pPr>
            <w:r>
              <w:t>Solid Organs Derived cfDNA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AC67C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0.712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D72D8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0.576 - 0.847 </w:t>
            </w:r>
          </w:p>
        </w:tc>
      </w:tr>
      <w:tr w:rsidR="00571B19" w14:paraId="22463ABF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A4412" w14:textId="77777777" w:rsidR="00571B19" w:rsidRDefault="00571B19" w:rsidP="00427246">
            <w:pPr>
              <w:widowControl w:val="0"/>
              <w:spacing w:line="480" w:lineRule="auto"/>
            </w:pPr>
            <w:r>
              <w:t>Immune Cells Derived cfDNA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22F71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0.71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2F823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0.582 - 0.837 </w:t>
            </w:r>
          </w:p>
        </w:tc>
      </w:tr>
      <w:tr w:rsidR="00571B19" w14:paraId="0AAF8EC2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877BE" w14:textId="77777777" w:rsidR="00571B19" w:rsidRDefault="00571B19" w:rsidP="00427246">
            <w:pPr>
              <w:widowControl w:val="0"/>
              <w:spacing w:line="480" w:lineRule="auto"/>
            </w:pPr>
            <w:r>
              <w:t>Total Day 1 SOFA Score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6A35E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0.787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623FE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0.673 - 0.901 </w:t>
            </w:r>
          </w:p>
        </w:tc>
      </w:tr>
      <w:tr w:rsidR="00571B19" w14:paraId="15BB64F9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466E5" w14:textId="77777777" w:rsidR="00571B19" w:rsidRDefault="00571B19" w:rsidP="00427246">
            <w:pPr>
              <w:widowControl w:val="0"/>
              <w:spacing w:line="480" w:lineRule="auto"/>
            </w:pPr>
            <w:r>
              <w:t>Total CfDNA Concentration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C1E6F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0.727 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8477D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 xml:space="preserve">0.595 - 0.859 </w:t>
            </w:r>
          </w:p>
        </w:tc>
      </w:tr>
      <w:tr w:rsidR="00571B19" w14:paraId="0B9CA346" w14:textId="77777777" w:rsidTr="00427246">
        <w:tc>
          <w:tcPr>
            <w:tcW w:w="33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D60C6" w14:textId="77777777" w:rsidR="00571B19" w:rsidRDefault="00571B19" w:rsidP="00427246">
            <w:pPr>
              <w:widowControl w:val="0"/>
              <w:spacing w:line="480" w:lineRule="auto"/>
            </w:pPr>
            <w:r>
              <w:t>Combined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66E3C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0.874</w:t>
            </w:r>
          </w:p>
        </w:tc>
        <w:tc>
          <w:tcPr>
            <w:tcW w:w="2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FD9A0" w14:textId="77777777" w:rsidR="00571B19" w:rsidRDefault="00571B19" w:rsidP="00427246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  <w:spacing w:line="480" w:lineRule="auto"/>
              <w:jc w:val="both"/>
              <w:rPr>
                <w:sz w:val="24"/>
                <w:szCs w:val="24"/>
              </w:rPr>
            </w:pPr>
            <w:r w:rsidRPr="166C8EE4">
              <w:rPr>
                <w:sz w:val="24"/>
                <w:szCs w:val="24"/>
              </w:rPr>
              <w:t>0.803 - 0.945</w:t>
            </w:r>
          </w:p>
        </w:tc>
      </w:tr>
    </w:tbl>
    <w:p w14:paraId="1330673C" w14:textId="77777777" w:rsidR="00571B19" w:rsidRDefault="00571B19" w:rsidP="00571B19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F5221E" w14:textId="77777777" w:rsidR="00571B19" w:rsidRDefault="00571B19" w:rsidP="00571B19">
      <w:pPr>
        <w:spacing w:line="480" w:lineRule="auto"/>
        <w:jc w:val="both"/>
        <w:rPr>
          <w:b/>
          <w:bCs/>
        </w:rPr>
      </w:pPr>
      <w:r w:rsidRPr="166C8EE4">
        <w:rPr>
          <w:b/>
          <w:bCs/>
        </w:rPr>
        <w:t>Step-by-step SIFT-seq wet lab protocol.</w:t>
      </w:r>
    </w:p>
    <w:p w14:paraId="512AB103" w14:textId="77777777" w:rsidR="00571B19" w:rsidRDefault="00571B19" w:rsidP="00571B19">
      <w:pPr>
        <w:spacing w:line="480" w:lineRule="auto"/>
        <w:jc w:val="both"/>
      </w:pPr>
    </w:p>
    <w:p w14:paraId="6DD5B14E" w14:textId="77777777" w:rsidR="00571B19" w:rsidRDefault="00571B19" w:rsidP="00571B19">
      <w:pPr>
        <w:spacing w:line="480" w:lineRule="auto"/>
        <w:jc w:val="both"/>
        <w:rPr>
          <w:b/>
          <w:bCs/>
        </w:rPr>
      </w:pPr>
      <w:r w:rsidRPr="166C8EE4">
        <w:rPr>
          <w:b/>
          <w:bCs/>
        </w:rPr>
        <w:t>Reagents</w:t>
      </w:r>
    </w:p>
    <w:p w14:paraId="39FFE8C9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CT conversion reagent (Zymo Cat# D5003-1)</w:t>
      </w:r>
    </w:p>
    <w:p w14:paraId="29922CC8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M-Solubilization Buffer (Zymo Cat# D5021-7)</w:t>
      </w:r>
    </w:p>
    <w:p w14:paraId="67CCAC40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M-Dilution Buffer (Zymo Cat# D5002-2)</w:t>
      </w:r>
    </w:p>
    <w:p w14:paraId="31F90AE9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M-Reaction Buffer (Zymo Cat# D5021-8)</w:t>
      </w:r>
    </w:p>
    <w:p w14:paraId="3A24698E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M-Binding buffer (Zymo Cat# D5001-3)</w:t>
      </w:r>
    </w:p>
    <w:p w14:paraId="21F24F6B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M-Desulphonation Buffer (Zymo Cat# D5001-5)</w:t>
      </w:r>
    </w:p>
    <w:p w14:paraId="67DD85C0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M-Elution Buffer (Zymo Cat# D5001-6)</w:t>
      </w:r>
    </w:p>
    <w:p w14:paraId="3860F456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M-Wash Buffer (Zymo Cat# D5001-4)</w:t>
      </w:r>
    </w:p>
    <w:p w14:paraId="7A8A5C0F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Zymo spin IC columns (Zymo Cat# C1004-50)</w:t>
      </w:r>
    </w:p>
    <w:p w14:paraId="28FA9CF8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QIAamp Circulating Nucleic Acid Kit (QIAGEN, Cat# 55114)</w:t>
      </w:r>
    </w:p>
    <w:p w14:paraId="316490C4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>
        <w:t>UDI Primer Set-24 (SRSLY Cat# CBS-UD-24)</w:t>
      </w:r>
    </w:p>
    <w:p w14:paraId="7A126B4B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lastRenderedPageBreak/>
        <w:t>PicoPlus DNA NGS Library Preparation Base Kit (SRSLY Cat# CBS-K250B-24)</w:t>
      </w:r>
    </w:p>
    <w:p w14:paraId="2FAB1003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AmpureXP Beads (Beckman Coulter Cat# A63880)</w:t>
      </w:r>
    </w:p>
    <w:p w14:paraId="50920EFE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 w:rsidRPr="166C8EE4">
        <w:rPr>
          <w:lang w:val="en-US"/>
        </w:rPr>
        <w:t>KAPA HiFi HotStart Uracil+ ReadyMix (2X) (Roche Cat# 7959052001)</w:t>
      </w:r>
    </w:p>
    <w:p w14:paraId="0E560031" w14:textId="77777777" w:rsidR="00571B19" w:rsidRDefault="00571B19" w:rsidP="00571B19">
      <w:pPr>
        <w:numPr>
          <w:ilvl w:val="0"/>
          <w:numId w:val="4"/>
        </w:numPr>
        <w:spacing w:line="480" w:lineRule="auto"/>
        <w:jc w:val="both"/>
      </w:pPr>
      <w:r>
        <w:t>Qubit ssDNA Assay Kit (Invitrogen Cat# Q10212)</w:t>
      </w:r>
    </w:p>
    <w:p w14:paraId="14520A15" w14:textId="77777777" w:rsidR="00571B19" w:rsidRDefault="00571B19" w:rsidP="00571B19">
      <w:pPr>
        <w:spacing w:line="480" w:lineRule="auto"/>
        <w:jc w:val="both"/>
      </w:pPr>
    </w:p>
    <w:p w14:paraId="2A597689" w14:textId="77777777" w:rsidR="00571B19" w:rsidRDefault="00571B19" w:rsidP="00571B19">
      <w:pPr>
        <w:spacing w:line="480" w:lineRule="auto"/>
        <w:jc w:val="both"/>
        <w:rPr>
          <w:b/>
          <w:bCs/>
        </w:rPr>
      </w:pPr>
      <w:r w:rsidRPr="166C8EE4">
        <w:rPr>
          <w:b/>
          <w:bCs/>
        </w:rPr>
        <w:t>Equipment</w:t>
      </w:r>
    </w:p>
    <w:p w14:paraId="4525345F" w14:textId="77777777" w:rsidR="00571B19" w:rsidRDefault="00571B19" w:rsidP="00571B19">
      <w:pPr>
        <w:numPr>
          <w:ilvl w:val="0"/>
          <w:numId w:val="3"/>
        </w:numPr>
        <w:spacing w:line="480" w:lineRule="auto"/>
        <w:jc w:val="both"/>
      </w:pPr>
      <w:r>
        <w:t>Thermocycler</w:t>
      </w:r>
    </w:p>
    <w:p w14:paraId="3F56E8BE" w14:textId="77777777" w:rsidR="00571B19" w:rsidRDefault="00571B19" w:rsidP="00571B19">
      <w:pPr>
        <w:numPr>
          <w:ilvl w:val="0"/>
          <w:numId w:val="3"/>
        </w:numPr>
        <w:spacing w:line="480" w:lineRule="auto"/>
        <w:jc w:val="both"/>
      </w:pPr>
      <w:r>
        <w:t>Water bath</w:t>
      </w:r>
    </w:p>
    <w:p w14:paraId="042B9EC3" w14:textId="77777777" w:rsidR="00571B19" w:rsidRDefault="00571B19" w:rsidP="00571B19">
      <w:pPr>
        <w:numPr>
          <w:ilvl w:val="0"/>
          <w:numId w:val="3"/>
        </w:numPr>
        <w:spacing w:line="480" w:lineRule="auto"/>
        <w:jc w:val="both"/>
      </w:pPr>
      <w:r>
        <w:t>Centrifuge</w:t>
      </w:r>
    </w:p>
    <w:p w14:paraId="18765B3C" w14:textId="77777777" w:rsidR="00571B19" w:rsidRDefault="00571B19" w:rsidP="00571B19">
      <w:pPr>
        <w:spacing w:line="480" w:lineRule="auto"/>
        <w:jc w:val="both"/>
      </w:pPr>
    </w:p>
    <w:p w14:paraId="0F96CFB6" w14:textId="77777777" w:rsidR="00571B19" w:rsidRDefault="00571B19" w:rsidP="00571B19">
      <w:pPr>
        <w:spacing w:line="480" w:lineRule="auto"/>
        <w:jc w:val="both"/>
        <w:rPr>
          <w:b/>
          <w:bCs/>
          <w:i/>
          <w:iCs/>
        </w:rPr>
      </w:pPr>
      <w:r w:rsidRPr="166C8EE4">
        <w:rPr>
          <w:b/>
          <w:bCs/>
          <w:i/>
          <w:iCs/>
        </w:rPr>
        <w:t>Step 1: Bisulfite Conversion</w:t>
      </w:r>
    </w:p>
    <w:p w14:paraId="27AB3476" w14:textId="77777777" w:rsidR="00571B19" w:rsidRDefault="00571B19" w:rsidP="00571B19">
      <w:pPr>
        <w:numPr>
          <w:ilvl w:val="0"/>
          <w:numId w:val="1"/>
        </w:numPr>
        <w:spacing w:line="480" w:lineRule="auto"/>
      </w:pPr>
      <w:r>
        <w:t>Preheat thermal cycler. Program 98°C for 10 min and 64°C for 3.5 hours.</w:t>
      </w:r>
    </w:p>
    <w:p w14:paraId="6E08674F" w14:textId="77777777" w:rsidR="00571B19" w:rsidRDefault="00571B19" w:rsidP="00571B19">
      <w:pPr>
        <w:numPr>
          <w:ilvl w:val="0"/>
          <w:numId w:val="1"/>
        </w:numPr>
        <w:spacing w:line="480" w:lineRule="auto"/>
      </w:pPr>
      <w:r>
        <w:t>Set the water bath to 60°C.</w:t>
      </w:r>
    </w:p>
    <w:p w14:paraId="537036BD" w14:textId="77777777" w:rsidR="00571B19" w:rsidRDefault="00571B19" w:rsidP="00571B19">
      <w:pPr>
        <w:numPr>
          <w:ilvl w:val="0"/>
          <w:numId w:val="1"/>
        </w:numPr>
        <w:spacing w:line="480" w:lineRule="auto"/>
      </w:pPr>
      <w:r>
        <w:t>Thaw plasma aliquots and spin down for 10 min at 14,000 RPM and 10°C.</w:t>
      </w:r>
    </w:p>
    <w:p w14:paraId="12F0C003" w14:textId="77777777" w:rsidR="00571B19" w:rsidRDefault="00571B19" w:rsidP="00571B19">
      <w:pPr>
        <w:numPr>
          <w:ilvl w:val="0"/>
          <w:numId w:val="1"/>
        </w:numPr>
        <w:spacing w:line="480" w:lineRule="auto"/>
      </w:pPr>
      <w:r>
        <w:t>Transfer 100 µL of the supernatant to a 1.5 ml tube.</w:t>
      </w:r>
    </w:p>
    <w:p w14:paraId="3902F447" w14:textId="77777777" w:rsidR="00571B19" w:rsidRDefault="00571B19" w:rsidP="00571B19">
      <w:pPr>
        <w:numPr>
          <w:ilvl w:val="0"/>
          <w:numId w:val="1"/>
        </w:numPr>
        <w:spacing w:line="480" w:lineRule="auto"/>
      </w:pPr>
      <w:r>
        <w:t xml:space="preserve">Add </w:t>
      </w:r>
      <w:r w:rsidRPr="166C8EE4">
        <w:rPr>
          <w:b/>
          <w:bCs/>
          <w:u w:val="single"/>
        </w:rPr>
        <w:t>CT Conversion</w:t>
      </w:r>
      <w:r w:rsidRPr="166C8EE4">
        <w:rPr>
          <w:u w:val="single"/>
        </w:rPr>
        <w:t xml:space="preserve"> </w:t>
      </w:r>
      <w:r>
        <w:t>reagent to plasma at a 6.5:1 ratio of reagent: supernatant. (650 µL reagent:100 µL plasma). Vortex and spin down.</w:t>
      </w:r>
    </w:p>
    <w:p w14:paraId="416222AE" w14:textId="77777777" w:rsidR="00571B19" w:rsidRDefault="00571B19" w:rsidP="00571B19">
      <w:pPr>
        <w:numPr>
          <w:ilvl w:val="0"/>
          <w:numId w:val="1"/>
        </w:numPr>
        <w:spacing w:line="480" w:lineRule="auto"/>
      </w:pPr>
      <w:r>
        <w:t>Split the above mixture in equal volumes into a PCR tube strip (8 PCR tubes)</w:t>
      </w:r>
    </w:p>
    <w:p w14:paraId="6CD953B6" w14:textId="77777777" w:rsidR="00571B19" w:rsidRDefault="00571B19" w:rsidP="00571B19">
      <w:pPr>
        <w:numPr>
          <w:ilvl w:val="0"/>
          <w:numId w:val="1"/>
        </w:numPr>
        <w:spacing w:line="480" w:lineRule="auto"/>
      </w:pPr>
      <w:r w:rsidRPr="166C8EE4">
        <w:rPr>
          <w:lang w:val="en-US"/>
        </w:rPr>
        <w:t xml:space="preserve">Incubate in the </w:t>
      </w:r>
      <w:r w:rsidRPr="166C8EE4">
        <w:rPr>
          <w:b/>
          <w:bCs/>
          <w:u w:val="single"/>
          <w:lang w:val="en-US"/>
        </w:rPr>
        <w:t>98°C thermoshaker for 10 minutes</w:t>
      </w:r>
      <w:r w:rsidRPr="166C8EE4">
        <w:rPr>
          <w:lang w:val="en-US"/>
        </w:rPr>
        <w:t>.</w:t>
      </w:r>
    </w:p>
    <w:p w14:paraId="686D5989" w14:textId="77777777" w:rsidR="00571B19" w:rsidRDefault="00571B19" w:rsidP="00571B19">
      <w:pPr>
        <w:numPr>
          <w:ilvl w:val="0"/>
          <w:numId w:val="1"/>
        </w:numPr>
        <w:spacing w:line="480" w:lineRule="auto"/>
      </w:pPr>
      <w:r w:rsidRPr="166C8EE4">
        <w:rPr>
          <w:lang w:val="en-US"/>
        </w:rPr>
        <w:t xml:space="preserve">Incubate in the </w:t>
      </w:r>
      <w:r w:rsidRPr="166C8EE4">
        <w:rPr>
          <w:b/>
          <w:bCs/>
          <w:u w:val="single"/>
          <w:lang w:val="en-US"/>
        </w:rPr>
        <w:t xml:space="preserve">64°C thermoshaker for 3.5 hours </w:t>
      </w:r>
    </w:p>
    <w:p w14:paraId="4610D6AE" w14:textId="77777777" w:rsidR="00571B19" w:rsidRDefault="00571B19" w:rsidP="00571B19">
      <w:pPr>
        <w:numPr>
          <w:ilvl w:val="0"/>
          <w:numId w:val="1"/>
        </w:numPr>
        <w:spacing w:after="240" w:line="480" w:lineRule="auto"/>
      </w:pPr>
      <w:r w:rsidRPr="166C8EE4">
        <w:rPr>
          <w:lang w:val="en-US"/>
        </w:rPr>
        <w:t>Immediately proceed to the next step(or store in 4°C for up to 20 hours)</w:t>
      </w:r>
    </w:p>
    <w:p w14:paraId="0F0898FF" w14:textId="77777777" w:rsidR="00571B19" w:rsidRDefault="00571B19" w:rsidP="00571B19">
      <w:pPr>
        <w:pStyle w:val="Heading2"/>
        <w:keepNext w:val="0"/>
        <w:keepLines w:val="0"/>
        <w:spacing w:before="0" w:after="0" w:line="480" w:lineRule="auto"/>
        <w:rPr>
          <w:b/>
          <w:bCs/>
          <w:i/>
          <w:iCs/>
          <w:sz w:val="22"/>
          <w:szCs w:val="22"/>
          <w:lang w:val="en-US"/>
        </w:rPr>
      </w:pPr>
      <w:bookmarkStart w:id="1" w:name="_ka2mi0ajai1n"/>
      <w:bookmarkEnd w:id="1"/>
      <w:r w:rsidRPr="166C8EE4">
        <w:rPr>
          <w:b/>
          <w:bCs/>
          <w:i/>
          <w:iCs/>
          <w:sz w:val="22"/>
          <w:szCs w:val="22"/>
          <w:lang w:val="en-US"/>
        </w:rPr>
        <w:t>Step 2: cfDNA Extraction and Desulphonation</w:t>
      </w:r>
    </w:p>
    <w:p w14:paraId="57E22290" w14:textId="77777777" w:rsidR="00571B19" w:rsidRDefault="00571B19" w:rsidP="00571B19">
      <w:pPr>
        <w:numPr>
          <w:ilvl w:val="0"/>
          <w:numId w:val="2"/>
        </w:numPr>
        <w:spacing w:line="480" w:lineRule="auto"/>
      </w:pPr>
      <w:r w:rsidRPr="166C8EE4">
        <w:rPr>
          <w:lang w:val="en-US"/>
        </w:rPr>
        <w:t>Add an appropriate amount of carrier RNA to Buffer ACL. (7.9 ml of ACL and 50.6 µL of carrier RNA for 8 x 1 ml protocol)</w:t>
      </w:r>
    </w:p>
    <w:p w14:paraId="1954C36F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100 µL of Proteinase K into a 50 ml centrifuge tube</w:t>
      </w:r>
    </w:p>
    <w:p w14:paraId="63DA39FC" w14:textId="77777777" w:rsidR="00571B19" w:rsidRDefault="00571B19" w:rsidP="00571B19">
      <w:pPr>
        <w:numPr>
          <w:ilvl w:val="0"/>
          <w:numId w:val="2"/>
        </w:numPr>
        <w:spacing w:line="480" w:lineRule="auto"/>
      </w:pPr>
      <w:r w:rsidRPr="166C8EE4">
        <w:rPr>
          <w:lang w:val="en-US"/>
        </w:rPr>
        <w:lastRenderedPageBreak/>
        <w:t>Complete the volume of plasma sample to 1 ml with 1X PBS and add to the 50 ml tube containing Proteinase K (add 250 µL 1X PBS for 750 µL plasma+CT)</w:t>
      </w:r>
    </w:p>
    <w:p w14:paraId="45EF6F62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0.8 ml Buffer ACL (with carrier RNA). Pulse vortex 30 seconds</w:t>
      </w:r>
    </w:p>
    <w:p w14:paraId="0D90DF97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Incubate at 60°C for 30 minutes</w:t>
      </w:r>
    </w:p>
    <w:p w14:paraId="09DE674B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Place the tube back on the lab bench and unscrew the cap</w:t>
      </w:r>
    </w:p>
    <w:p w14:paraId="342D6E01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1.8 ml Buffer ACB to the lysate. Pulse vortex 15-30 seconds</w:t>
      </w:r>
    </w:p>
    <w:p w14:paraId="4DE1FA53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Incubate on ice for 5 minutes</w:t>
      </w:r>
    </w:p>
    <w:p w14:paraId="714D1372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Prepare the manifold</w:t>
      </w:r>
    </w:p>
    <w:p w14:paraId="34EFFFB0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the lysate-buffer ACB mixture to the tube extender and turn on the vacuum. Drain the column.</w:t>
      </w:r>
    </w:p>
    <w:p w14:paraId="7630E5C4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Apply 600 µL ACW1. Drain the column.</w:t>
      </w:r>
    </w:p>
    <w:p w14:paraId="4CEB8072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Apply 750 µL ACW2. Drain the column.</w:t>
      </w:r>
    </w:p>
    <w:p w14:paraId="01AB7327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Apply 750 µL 96-100% ethanol. Drain the column and repeat for a total of two washes.</w:t>
      </w:r>
    </w:p>
    <w:p w14:paraId="296D5B90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Transfer the column to a collection tube and centrifuge at 14,000 RPM for 3 minutes.</w:t>
      </w:r>
    </w:p>
    <w:p w14:paraId="635E6639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 xml:space="preserve">Transfer to an elution tube. </w:t>
      </w:r>
    </w:p>
    <w:p w14:paraId="3784916B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155 µL of Buffer AVE to the center of the column. Close the lid and incubate for 3 minutes at room temperature.</w:t>
      </w:r>
    </w:p>
    <w:p w14:paraId="73CB813F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Centrifuge at 14,000 RPM for 1 minute</w:t>
      </w:r>
    </w:p>
    <w:p w14:paraId="612A43BF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600 µL of M-Binding Buffer to a Zymo-Spin IC Column assembled in a collection tube.</w:t>
      </w:r>
    </w:p>
    <w:p w14:paraId="2D75EBF3" w14:textId="77777777" w:rsidR="00571B19" w:rsidRDefault="00571B19" w:rsidP="00571B19">
      <w:pPr>
        <w:numPr>
          <w:ilvl w:val="0"/>
          <w:numId w:val="2"/>
        </w:numPr>
        <w:spacing w:line="480" w:lineRule="auto"/>
      </w:pPr>
      <w:r w:rsidRPr="166C8EE4">
        <w:rPr>
          <w:lang w:val="en-US"/>
        </w:rPr>
        <w:t xml:space="preserve">Load the sample (150 µL from step 17) into the Zymo-Spin IC Column containing the M-Binding Buffer. Close the cap and mix by inverting the column several times. </w:t>
      </w:r>
    </w:p>
    <w:p w14:paraId="1FE9A2E5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Centrifuge at full speed (14,000 x g) for 30 seconds. Discard the flow-through</w:t>
      </w:r>
    </w:p>
    <w:p w14:paraId="611AE7F5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Add 100 µL of M-Wash Buffer to the column. Centrifuge at full speed for 30 seconds</w:t>
      </w:r>
    </w:p>
    <w:p w14:paraId="604187C1" w14:textId="77777777" w:rsidR="00571B19" w:rsidRDefault="00571B19" w:rsidP="00571B19">
      <w:pPr>
        <w:numPr>
          <w:ilvl w:val="0"/>
          <w:numId w:val="2"/>
        </w:numPr>
        <w:spacing w:line="480" w:lineRule="auto"/>
      </w:pPr>
      <w:r w:rsidRPr="166C8EE4">
        <w:rPr>
          <w:lang w:val="en-US"/>
        </w:rPr>
        <w:t xml:space="preserve">Add 200 µL of M-Desulphonation Buffer to the column and let stand at room temperature (20-30°C) for 20 minutes. </w:t>
      </w:r>
    </w:p>
    <w:p w14:paraId="4D01EA94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lastRenderedPageBreak/>
        <w:t xml:space="preserve">After the incubation, centrifuge at full speed for 30 seconds. </w:t>
      </w:r>
    </w:p>
    <w:p w14:paraId="5D910615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 xml:space="preserve">Add 200 µL of M-Wash Buffer to the column. Centrifuge at full speed for 30 seconds. </w:t>
      </w:r>
    </w:p>
    <w:p w14:paraId="1FA33710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Repeat this wash step.</w:t>
      </w:r>
    </w:p>
    <w:p w14:paraId="538415B6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Place the column into a 1.5 ml microcentrifuge tube and add 32 µL of M-Elution Buffer directly to the column matrix. Centrifuge at 30 seconds at full speed to elute the DNA</w:t>
      </w:r>
    </w:p>
    <w:p w14:paraId="0D41CA1A" w14:textId="77777777" w:rsidR="00571B19" w:rsidRDefault="00571B19" w:rsidP="00571B19">
      <w:pPr>
        <w:numPr>
          <w:ilvl w:val="0"/>
          <w:numId w:val="2"/>
        </w:numPr>
        <w:spacing w:line="480" w:lineRule="auto"/>
      </w:pPr>
      <w:r>
        <w:t>Measure ssDNA abundance.</w:t>
      </w:r>
    </w:p>
    <w:p w14:paraId="2FF2F8E6" w14:textId="77777777" w:rsidR="00571B19" w:rsidRDefault="00571B19" w:rsidP="00571B19">
      <w:pPr>
        <w:numPr>
          <w:ilvl w:val="0"/>
          <w:numId w:val="2"/>
        </w:numPr>
        <w:spacing w:after="240" w:line="480" w:lineRule="auto"/>
      </w:pPr>
      <w:r>
        <w:t>Samples can be stored at -20°C until library preparation.</w:t>
      </w:r>
    </w:p>
    <w:p w14:paraId="174364E7" w14:textId="77777777" w:rsidR="00571B19" w:rsidRDefault="00571B19" w:rsidP="00571B19">
      <w:pPr>
        <w:spacing w:after="240" w:line="480" w:lineRule="auto"/>
      </w:pPr>
      <w:r>
        <w:t>Step 3: SRSLY library preparation: implemented according to vendor recommendations.</w:t>
      </w:r>
    </w:p>
    <w:p w14:paraId="0F82A120" w14:textId="77777777" w:rsidR="00571B19" w:rsidRDefault="00571B19" w:rsidP="00571B1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466F4BCA" w14:textId="77777777" w:rsidR="00DE6AE2" w:rsidRDefault="00DE6AE2"/>
    <w:sectPr w:rsidR="00DE6AE2" w:rsidSect="00571B19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71B19" w14:paraId="4642958B" w14:textId="77777777" w:rsidTr="352EF162">
      <w:trPr>
        <w:trHeight w:val="300"/>
      </w:trPr>
      <w:tc>
        <w:tcPr>
          <w:tcW w:w="3120" w:type="dxa"/>
        </w:tcPr>
        <w:p w14:paraId="7B4387E4" w14:textId="77777777" w:rsidR="00571B19" w:rsidRDefault="00571B19" w:rsidP="352EF162">
          <w:pPr>
            <w:pStyle w:val="Header"/>
            <w:ind w:left="-115"/>
          </w:pPr>
        </w:p>
      </w:tc>
      <w:tc>
        <w:tcPr>
          <w:tcW w:w="3120" w:type="dxa"/>
        </w:tcPr>
        <w:p w14:paraId="68C12EE9" w14:textId="77777777" w:rsidR="00571B19" w:rsidRDefault="00571B19" w:rsidP="352EF162">
          <w:pPr>
            <w:pStyle w:val="Header"/>
            <w:jc w:val="center"/>
          </w:pPr>
        </w:p>
      </w:tc>
      <w:tc>
        <w:tcPr>
          <w:tcW w:w="3120" w:type="dxa"/>
        </w:tcPr>
        <w:p w14:paraId="56318EDD" w14:textId="77777777" w:rsidR="00571B19" w:rsidRDefault="00571B19" w:rsidP="352EF162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</w:p>
      </w:tc>
    </w:tr>
  </w:tbl>
  <w:p w14:paraId="036FC67F" w14:textId="77777777" w:rsidR="00571B19" w:rsidRDefault="00571B19" w:rsidP="352EF1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71B19" w14:paraId="015A60D3" w14:textId="77777777" w:rsidTr="352EF162">
      <w:trPr>
        <w:trHeight w:val="300"/>
      </w:trPr>
      <w:tc>
        <w:tcPr>
          <w:tcW w:w="3120" w:type="dxa"/>
        </w:tcPr>
        <w:p w14:paraId="7E3C6870" w14:textId="77777777" w:rsidR="00571B19" w:rsidRDefault="00571B19" w:rsidP="352EF162">
          <w:pPr>
            <w:pStyle w:val="Header"/>
            <w:ind w:left="-115"/>
          </w:pPr>
        </w:p>
      </w:tc>
      <w:tc>
        <w:tcPr>
          <w:tcW w:w="3120" w:type="dxa"/>
        </w:tcPr>
        <w:p w14:paraId="6E7F880C" w14:textId="77777777" w:rsidR="00571B19" w:rsidRDefault="00571B19" w:rsidP="352EF162">
          <w:pPr>
            <w:pStyle w:val="Header"/>
            <w:jc w:val="center"/>
          </w:pPr>
        </w:p>
      </w:tc>
      <w:tc>
        <w:tcPr>
          <w:tcW w:w="3120" w:type="dxa"/>
        </w:tcPr>
        <w:p w14:paraId="2D932760" w14:textId="77777777" w:rsidR="00571B19" w:rsidRDefault="00571B19" w:rsidP="352EF162">
          <w:pPr>
            <w:pStyle w:val="Header"/>
            <w:ind w:right="-115"/>
            <w:jc w:val="right"/>
          </w:pPr>
        </w:p>
      </w:tc>
    </w:tr>
  </w:tbl>
  <w:p w14:paraId="0341350E" w14:textId="77777777" w:rsidR="00571B19" w:rsidRDefault="00571B19" w:rsidP="352EF16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71B19" w14:paraId="57D1764E" w14:textId="77777777" w:rsidTr="352EF162">
      <w:trPr>
        <w:trHeight w:val="300"/>
      </w:trPr>
      <w:tc>
        <w:tcPr>
          <w:tcW w:w="3120" w:type="dxa"/>
        </w:tcPr>
        <w:p w14:paraId="07328305" w14:textId="77777777" w:rsidR="00571B19" w:rsidRDefault="00571B19" w:rsidP="352EF162">
          <w:pPr>
            <w:pStyle w:val="Header"/>
            <w:ind w:left="-115"/>
          </w:pPr>
        </w:p>
      </w:tc>
      <w:tc>
        <w:tcPr>
          <w:tcW w:w="3120" w:type="dxa"/>
        </w:tcPr>
        <w:p w14:paraId="37D9051F" w14:textId="77777777" w:rsidR="00571B19" w:rsidRDefault="00571B19" w:rsidP="352EF162">
          <w:pPr>
            <w:pStyle w:val="Header"/>
            <w:jc w:val="center"/>
          </w:pPr>
        </w:p>
      </w:tc>
      <w:tc>
        <w:tcPr>
          <w:tcW w:w="3120" w:type="dxa"/>
        </w:tcPr>
        <w:p w14:paraId="1BA659D8" w14:textId="77777777" w:rsidR="00571B19" w:rsidRDefault="00571B19" w:rsidP="352EF162">
          <w:pPr>
            <w:pStyle w:val="Header"/>
            <w:ind w:right="-115"/>
            <w:jc w:val="right"/>
          </w:pPr>
        </w:p>
      </w:tc>
    </w:tr>
  </w:tbl>
  <w:p w14:paraId="19B46914" w14:textId="77777777" w:rsidR="00571B19" w:rsidRDefault="00571B19" w:rsidP="352EF1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71B19" w14:paraId="79B9A28D" w14:textId="77777777" w:rsidTr="352EF162">
      <w:trPr>
        <w:trHeight w:val="300"/>
      </w:trPr>
      <w:tc>
        <w:tcPr>
          <w:tcW w:w="3120" w:type="dxa"/>
        </w:tcPr>
        <w:p w14:paraId="1F66064D" w14:textId="77777777" w:rsidR="00571B19" w:rsidRDefault="00571B19" w:rsidP="352EF162">
          <w:pPr>
            <w:pStyle w:val="Header"/>
            <w:ind w:left="-115"/>
          </w:pPr>
        </w:p>
      </w:tc>
      <w:tc>
        <w:tcPr>
          <w:tcW w:w="3120" w:type="dxa"/>
        </w:tcPr>
        <w:p w14:paraId="280C806E" w14:textId="77777777" w:rsidR="00571B19" w:rsidRDefault="00571B19" w:rsidP="352EF162">
          <w:pPr>
            <w:pStyle w:val="Header"/>
            <w:jc w:val="center"/>
          </w:pPr>
        </w:p>
      </w:tc>
      <w:tc>
        <w:tcPr>
          <w:tcW w:w="3120" w:type="dxa"/>
        </w:tcPr>
        <w:p w14:paraId="02A7C83E" w14:textId="77777777" w:rsidR="00571B19" w:rsidRDefault="00571B19" w:rsidP="352EF162">
          <w:pPr>
            <w:pStyle w:val="Header"/>
            <w:ind w:right="-115"/>
            <w:jc w:val="right"/>
          </w:pPr>
        </w:p>
      </w:tc>
    </w:tr>
  </w:tbl>
  <w:p w14:paraId="619DE59F" w14:textId="77777777" w:rsidR="00571B19" w:rsidRDefault="00571B19" w:rsidP="352EF1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E50"/>
    <w:multiLevelType w:val="multilevel"/>
    <w:tmpl w:val="8B4E9B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38E165F"/>
    <w:multiLevelType w:val="multilevel"/>
    <w:tmpl w:val="9B30225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40140B7"/>
    <w:multiLevelType w:val="multilevel"/>
    <w:tmpl w:val="D898E6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AB66CD6"/>
    <w:multiLevelType w:val="multilevel"/>
    <w:tmpl w:val="51DE46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85923811">
    <w:abstractNumId w:val="1"/>
  </w:num>
  <w:num w:numId="2" w16cid:durableId="18632181">
    <w:abstractNumId w:val="0"/>
  </w:num>
  <w:num w:numId="3" w16cid:durableId="75707666">
    <w:abstractNumId w:val="2"/>
  </w:num>
  <w:num w:numId="4" w16cid:durableId="13762014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B19"/>
    <w:rsid w:val="00195413"/>
    <w:rsid w:val="00211ED3"/>
    <w:rsid w:val="003D0186"/>
    <w:rsid w:val="00571B19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FA886"/>
  <w15:chartTrackingRefBased/>
  <w15:docId w15:val="{FF77ACD3-798A-4111-99B6-27FE32A7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B1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1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1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B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B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B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B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B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B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B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B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B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B19"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rsid w:val="00571B19"/>
  </w:style>
  <w:style w:type="paragraph" w:styleId="Header">
    <w:name w:val="header"/>
    <w:basedOn w:val="Normal"/>
    <w:link w:val="HeaderChar"/>
    <w:uiPriority w:val="99"/>
    <w:unhideWhenUsed/>
    <w:rsid w:val="00571B19"/>
    <w:pPr>
      <w:tabs>
        <w:tab w:val="center" w:pos="4680"/>
        <w:tab w:val="right" w:pos="9360"/>
      </w:tabs>
      <w:spacing w:line="240" w:lineRule="auto"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571B19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571B19"/>
  </w:style>
  <w:style w:type="paragraph" w:styleId="Footer">
    <w:name w:val="footer"/>
    <w:basedOn w:val="Normal"/>
    <w:link w:val="FooterChar"/>
    <w:uiPriority w:val="99"/>
    <w:unhideWhenUsed/>
    <w:rsid w:val="00571B19"/>
    <w:pPr>
      <w:tabs>
        <w:tab w:val="center" w:pos="4680"/>
        <w:tab w:val="right" w:pos="9360"/>
      </w:tabs>
      <w:spacing w:line="240" w:lineRule="auto"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571B19"/>
    <w:rPr>
      <w:rFonts w:ascii="Arial" w:eastAsia="Arial" w:hAnsi="Arial" w:cs="Arial"/>
      <w:kern w:val="0"/>
      <w:sz w:val="22"/>
      <w:szCs w:val="22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vlaminck@cornell.edu" TargetMode="Externa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967</Words>
  <Characters>5527</Characters>
  <Application>Microsoft Office Word</Application>
  <DocSecurity>0</DocSecurity>
  <Lines>106</Lines>
  <Paragraphs>44</Paragraphs>
  <ScaleCrop>false</ScaleCrop>
  <Company>Springer Nature</Company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2025-12-22T15:29:00Z</dcterms:created>
  <dcterms:modified xsi:type="dcterms:W3CDTF">2025-12-22T15:30:00Z</dcterms:modified>
</cp:coreProperties>
</file>