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A05DD3" w14:textId="77777777" w:rsidR="00126E78" w:rsidRPr="007051AA" w:rsidRDefault="00617E5D" w:rsidP="00617E5D">
      <w:pPr>
        <w:pStyle w:val="Heading2"/>
        <w:rPr>
          <w:rFonts w:ascii="Times New Roman" w:hAnsi="Times New Roman" w:cs="Times New Roman"/>
        </w:rPr>
      </w:pPr>
      <w:r w:rsidRPr="007051AA">
        <w:rPr>
          <w:rFonts w:ascii="Times New Roman" w:hAnsi="Times New Roman" w:cs="Times New Roman"/>
        </w:rPr>
        <w:t>Tables</w:t>
      </w:r>
    </w:p>
    <w:p w14:paraId="37C02DEE" w14:textId="7B3326DD" w:rsidR="005D6BD3" w:rsidRPr="007051AA" w:rsidRDefault="005D6BD3" w:rsidP="005D6BD3"/>
    <w:p w14:paraId="5E1503C9" w14:textId="77777777" w:rsidR="005D6BD3" w:rsidRPr="007051AA" w:rsidRDefault="005D6BD3" w:rsidP="005D6BD3">
      <w:pPr>
        <w:pStyle w:val="Caption"/>
        <w:keepNext/>
        <w:spacing w:after="0"/>
        <w:rPr>
          <w:b/>
          <w:bCs/>
          <w:i w:val="0"/>
          <w:iCs w:val="0"/>
          <w:color w:val="000000" w:themeColor="text1"/>
          <w:sz w:val="20"/>
          <w:szCs w:val="20"/>
        </w:rPr>
        <w:sectPr w:rsidR="005D6BD3" w:rsidRPr="007051AA">
          <w:footerReference w:type="default" r:id="rId11"/>
          <w:pgSz w:w="11906" w:h="16838"/>
          <w:pgMar w:top="1440" w:right="1440" w:bottom="1440" w:left="1440" w:header="708" w:footer="708" w:gutter="0"/>
          <w:cols w:space="708"/>
          <w:docGrid w:linePitch="360"/>
        </w:sectPr>
      </w:pPr>
      <w:bookmarkStart w:id="0" w:name="_Ref181275746"/>
    </w:p>
    <w:p w14:paraId="526B5C0F" w14:textId="77777777" w:rsidR="005D6BD3" w:rsidRPr="007051AA" w:rsidRDefault="005D6BD3" w:rsidP="005D6BD3">
      <w:pPr>
        <w:pStyle w:val="Caption"/>
        <w:keepNext/>
        <w:spacing w:after="0"/>
        <w:rPr>
          <w:b/>
          <w:bCs/>
          <w:i w:val="0"/>
          <w:iCs w:val="0"/>
          <w:color w:val="auto"/>
          <w:sz w:val="20"/>
          <w:szCs w:val="20"/>
        </w:rPr>
      </w:pPr>
      <w:bookmarkStart w:id="1" w:name="_Ref205974796"/>
      <w:r w:rsidRPr="007051AA">
        <w:rPr>
          <w:b/>
          <w:bCs/>
          <w:i w:val="0"/>
          <w:iCs w:val="0"/>
          <w:color w:val="000000" w:themeColor="text1"/>
          <w:sz w:val="20"/>
          <w:szCs w:val="20"/>
        </w:rPr>
        <w:lastRenderedPageBreak/>
        <w:t xml:space="preserve">Table </w:t>
      </w:r>
      <w:r w:rsidRPr="007051AA">
        <w:rPr>
          <w:b/>
          <w:bCs/>
          <w:i w:val="0"/>
          <w:iCs w:val="0"/>
          <w:color w:val="000000" w:themeColor="text1"/>
          <w:sz w:val="20"/>
          <w:szCs w:val="20"/>
        </w:rPr>
        <w:fldChar w:fldCharType="begin"/>
      </w:r>
      <w:r w:rsidRPr="007051AA">
        <w:rPr>
          <w:b/>
          <w:bCs/>
          <w:i w:val="0"/>
          <w:iCs w:val="0"/>
          <w:color w:val="000000" w:themeColor="text1"/>
          <w:sz w:val="20"/>
          <w:szCs w:val="20"/>
        </w:rPr>
        <w:instrText xml:space="preserve"> SEQ Table \* ARABIC </w:instrText>
      </w:r>
      <w:r w:rsidRPr="007051AA">
        <w:rPr>
          <w:b/>
          <w:bCs/>
          <w:i w:val="0"/>
          <w:iCs w:val="0"/>
          <w:color w:val="000000" w:themeColor="text1"/>
          <w:sz w:val="20"/>
          <w:szCs w:val="20"/>
        </w:rPr>
        <w:fldChar w:fldCharType="separate"/>
      </w:r>
      <w:r w:rsidRPr="007051AA">
        <w:rPr>
          <w:b/>
          <w:bCs/>
          <w:i w:val="0"/>
          <w:iCs w:val="0"/>
          <w:noProof/>
          <w:color w:val="000000" w:themeColor="text1"/>
          <w:sz w:val="20"/>
          <w:szCs w:val="20"/>
        </w:rPr>
        <w:t>1</w:t>
      </w:r>
      <w:r w:rsidRPr="007051AA">
        <w:rPr>
          <w:b/>
          <w:bCs/>
          <w:i w:val="0"/>
          <w:iCs w:val="0"/>
          <w:color w:val="000000" w:themeColor="text1"/>
          <w:sz w:val="20"/>
          <w:szCs w:val="20"/>
        </w:rPr>
        <w:fldChar w:fldCharType="end"/>
      </w:r>
      <w:bookmarkEnd w:id="0"/>
      <w:bookmarkEnd w:id="1"/>
      <w:r w:rsidRPr="007051AA">
        <w:rPr>
          <w:b/>
          <w:bCs/>
          <w:i w:val="0"/>
          <w:iCs w:val="0"/>
          <w:color w:val="000000" w:themeColor="text1"/>
          <w:sz w:val="20"/>
          <w:szCs w:val="20"/>
        </w:rPr>
        <w:t xml:space="preserve">. PRO Data Analytics </w:t>
      </w:r>
      <w:r w:rsidRPr="007051AA">
        <w:rPr>
          <w:b/>
          <w:bCs/>
          <w:i w:val="0"/>
          <w:iCs w:val="0"/>
          <w:color w:val="auto"/>
          <w:sz w:val="20"/>
          <w:szCs w:val="20"/>
        </w:rPr>
        <w:t>for HTA in England, Germany and France</w:t>
      </w:r>
    </w:p>
    <w:tbl>
      <w:tblPr>
        <w:tblW w:w="45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20" w:firstRow="1" w:lastRow="0" w:firstColumn="0" w:lastColumn="0" w:noHBand="0" w:noVBand="1"/>
      </w:tblPr>
      <w:tblGrid>
        <w:gridCol w:w="704"/>
        <w:gridCol w:w="570"/>
        <w:gridCol w:w="1983"/>
        <w:gridCol w:w="1416"/>
        <w:gridCol w:w="1152"/>
        <w:gridCol w:w="974"/>
        <w:gridCol w:w="1135"/>
        <w:gridCol w:w="1132"/>
        <w:gridCol w:w="1135"/>
        <w:gridCol w:w="1147"/>
        <w:gridCol w:w="1428"/>
      </w:tblGrid>
      <w:tr w:rsidR="00F722A0" w:rsidRPr="007051AA" w14:paraId="7C6530DD" w14:textId="77777777" w:rsidTr="009B0993">
        <w:trPr>
          <w:trHeight w:val="759"/>
        </w:trPr>
        <w:tc>
          <w:tcPr>
            <w:tcW w:w="499" w:type="pct"/>
            <w:gridSpan w:val="2"/>
            <w:tcMar>
              <w:top w:w="72" w:type="dxa"/>
              <w:left w:w="216" w:type="dxa"/>
              <w:bottom w:w="144" w:type="dxa"/>
              <w:right w:w="144" w:type="dxa"/>
            </w:tcMar>
            <w:vAlign w:val="bottom"/>
            <w:hideMark/>
          </w:tcPr>
          <w:p w14:paraId="7BB79279" w14:textId="77777777" w:rsidR="005D6BD3" w:rsidRPr="007051AA" w:rsidRDefault="005D6BD3" w:rsidP="00E75FFA">
            <w:pPr>
              <w:widowControl w:val="0"/>
              <w:spacing w:before="60" w:after="60" w:line="240" w:lineRule="auto"/>
              <w:rPr>
                <w:rFonts w:cstheme="minorHAnsi"/>
                <w:sz w:val="20"/>
                <w:szCs w:val="20"/>
              </w:rPr>
            </w:pPr>
          </w:p>
        </w:tc>
        <w:tc>
          <w:tcPr>
            <w:tcW w:w="776" w:type="pct"/>
            <w:tcMar>
              <w:top w:w="72" w:type="dxa"/>
              <w:left w:w="144" w:type="dxa"/>
              <w:bottom w:w="144" w:type="dxa"/>
              <w:right w:w="144" w:type="dxa"/>
            </w:tcMar>
            <w:hideMark/>
          </w:tcPr>
          <w:p w14:paraId="4C7B22CB" w14:textId="77777777" w:rsidR="005D6BD3" w:rsidRPr="007051AA" w:rsidRDefault="005D6BD3" w:rsidP="00E75FFA">
            <w:pPr>
              <w:pStyle w:val="tabletext"/>
              <w:widowControl w:val="0"/>
              <w:jc w:val="center"/>
              <w:rPr>
                <w:b/>
                <w:bCs/>
              </w:rPr>
            </w:pPr>
            <w:r w:rsidRPr="007051AA">
              <w:rPr>
                <w:b/>
                <w:bCs/>
              </w:rPr>
              <w:t>Commonly cited uses</w:t>
            </w:r>
          </w:p>
        </w:tc>
        <w:tc>
          <w:tcPr>
            <w:tcW w:w="554" w:type="pct"/>
            <w:tcMar>
              <w:top w:w="72" w:type="dxa"/>
              <w:left w:w="144" w:type="dxa"/>
              <w:bottom w:w="144" w:type="dxa"/>
              <w:right w:w="144" w:type="dxa"/>
            </w:tcMar>
            <w:hideMark/>
          </w:tcPr>
          <w:p w14:paraId="2AF2A2E2" w14:textId="77777777" w:rsidR="005D6BD3" w:rsidRPr="007051AA" w:rsidRDefault="005D6BD3" w:rsidP="00E75FFA">
            <w:pPr>
              <w:pStyle w:val="tabletext"/>
              <w:widowControl w:val="0"/>
              <w:jc w:val="center"/>
              <w:rPr>
                <w:b/>
                <w:bCs/>
              </w:rPr>
            </w:pPr>
            <w:r w:rsidRPr="007051AA">
              <w:rPr>
                <w:b/>
                <w:bCs/>
              </w:rPr>
              <w:t>Preferred instruments</w:t>
            </w:r>
          </w:p>
        </w:tc>
        <w:tc>
          <w:tcPr>
            <w:tcW w:w="451" w:type="pct"/>
          </w:tcPr>
          <w:p w14:paraId="395F8979" w14:textId="194C8C2A" w:rsidR="005D6BD3" w:rsidRPr="007051AA" w:rsidRDefault="005D6BD3" w:rsidP="00E75FFA">
            <w:pPr>
              <w:pStyle w:val="tabletext"/>
              <w:widowControl w:val="0"/>
              <w:jc w:val="center"/>
              <w:rPr>
                <w:b/>
                <w:bCs/>
              </w:rPr>
            </w:pPr>
            <w:r w:rsidRPr="007051AA">
              <w:rPr>
                <w:b/>
                <w:bCs/>
              </w:rPr>
              <w:t>Use of PRO data for safety</w:t>
            </w:r>
          </w:p>
        </w:tc>
        <w:tc>
          <w:tcPr>
            <w:tcW w:w="381" w:type="pct"/>
          </w:tcPr>
          <w:p w14:paraId="2129CAD7" w14:textId="77777777" w:rsidR="005D6BD3" w:rsidRPr="007051AA" w:rsidRDefault="005D6BD3" w:rsidP="00E75FFA">
            <w:pPr>
              <w:pStyle w:val="tabletext"/>
              <w:widowControl w:val="0"/>
              <w:jc w:val="center"/>
              <w:rPr>
                <w:b/>
                <w:bCs/>
              </w:rPr>
            </w:pPr>
            <w:r w:rsidRPr="007051AA">
              <w:rPr>
                <w:b/>
                <w:bCs/>
              </w:rPr>
              <w:t>Missing data threshold</w:t>
            </w:r>
          </w:p>
        </w:tc>
        <w:tc>
          <w:tcPr>
            <w:tcW w:w="444" w:type="pct"/>
            <w:tcMar>
              <w:top w:w="72" w:type="dxa"/>
              <w:left w:w="144" w:type="dxa"/>
              <w:bottom w:w="144" w:type="dxa"/>
              <w:right w:w="144" w:type="dxa"/>
            </w:tcMar>
            <w:hideMark/>
          </w:tcPr>
          <w:p w14:paraId="5B575273" w14:textId="77777777" w:rsidR="005D6BD3" w:rsidRPr="007051AA" w:rsidRDefault="005D6BD3" w:rsidP="00E75FFA">
            <w:pPr>
              <w:pStyle w:val="tabletext"/>
              <w:widowControl w:val="0"/>
              <w:jc w:val="center"/>
              <w:rPr>
                <w:b/>
                <w:bCs/>
              </w:rPr>
            </w:pPr>
            <w:r w:rsidRPr="007051AA">
              <w:rPr>
                <w:b/>
                <w:bCs/>
              </w:rPr>
              <w:t>PPD collection</w:t>
            </w:r>
          </w:p>
        </w:tc>
        <w:tc>
          <w:tcPr>
            <w:tcW w:w="443" w:type="pct"/>
            <w:tcMar>
              <w:top w:w="72" w:type="dxa"/>
              <w:left w:w="144" w:type="dxa"/>
              <w:bottom w:w="144" w:type="dxa"/>
              <w:right w:w="144" w:type="dxa"/>
            </w:tcMar>
            <w:hideMark/>
          </w:tcPr>
          <w:p w14:paraId="4002F665" w14:textId="77777777" w:rsidR="005D6BD3" w:rsidRPr="007051AA" w:rsidRDefault="005D6BD3" w:rsidP="00E75FFA">
            <w:pPr>
              <w:pStyle w:val="tabletext"/>
              <w:widowControl w:val="0"/>
              <w:jc w:val="center"/>
              <w:rPr>
                <w:b/>
                <w:bCs/>
              </w:rPr>
            </w:pPr>
            <w:r w:rsidRPr="007051AA">
              <w:rPr>
                <w:b/>
                <w:bCs/>
              </w:rPr>
              <w:t>MCID threshold</w:t>
            </w:r>
          </w:p>
        </w:tc>
        <w:tc>
          <w:tcPr>
            <w:tcW w:w="444" w:type="pct"/>
            <w:tcMar>
              <w:top w:w="72" w:type="dxa"/>
              <w:left w:w="144" w:type="dxa"/>
              <w:bottom w:w="144" w:type="dxa"/>
              <w:right w:w="72" w:type="dxa"/>
            </w:tcMar>
            <w:hideMark/>
          </w:tcPr>
          <w:p w14:paraId="4CB35AC1" w14:textId="77777777" w:rsidR="005D6BD3" w:rsidRPr="007051AA" w:rsidRDefault="005D6BD3" w:rsidP="00E75FFA">
            <w:pPr>
              <w:pStyle w:val="tabletext"/>
              <w:widowControl w:val="0"/>
              <w:jc w:val="center"/>
              <w:rPr>
                <w:b/>
                <w:bCs/>
              </w:rPr>
            </w:pPr>
            <w:r w:rsidRPr="007051AA">
              <w:rPr>
                <w:b/>
                <w:bCs/>
              </w:rPr>
              <w:t>TTE endpoint definitions</w:t>
            </w:r>
          </w:p>
        </w:tc>
        <w:tc>
          <w:tcPr>
            <w:tcW w:w="449" w:type="pct"/>
            <w:tcMar>
              <w:top w:w="72" w:type="dxa"/>
              <w:left w:w="144" w:type="dxa"/>
              <w:bottom w:w="144" w:type="dxa"/>
              <w:right w:w="144" w:type="dxa"/>
            </w:tcMar>
            <w:hideMark/>
          </w:tcPr>
          <w:p w14:paraId="17AD84B1" w14:textId="77777777" w:rsidR="005D6BD3" w:rsidRPr="007051AA" w:rsidRDefault="005D6BD3" w:rsidP="00E75FFA">
            <w:pPr>
              <w:pStyle w:val="tabletext"/>
              <w:widowControl w:val="0"/>
              <w:jc w:val="center"/>
              <w:rPr>
                <w:b/>
                <w:bCs/>
              </w:rPr>
            </w:pPr>
            <w:r w:rsidRPr="007051AA">
              <w:rPr>
                <w:b/>
                <w:bCs/>
              </w:rPr>
              <w:t>Missing data sensitivity analysis</w:t>
            </w:r>
          </w:p>
        </w:tc>
        <w:tc>
          <w:tcPr>
            <w:tcW w:w="559" w:type="pct"/>
            <w:tcMar>
              <w:top w:w="72" w:type="dxa"/>
              <w:left w:w="144" w:type="dxa"/>
              <w:bottom w:w="144" w:type="dxa"/>
              <w:right w:w="144" w:type="dxa"/>
            </w:tcMar>
            <w:hideMark/>
          </w:tcPr>
          <w:p w14:paraId="76C84753" w14:textId="77777777" w:rsidR="005D6BD3" w:rsidRPr="007051AA" w:rsidRDefault="005D6BD3" w:rsidP="00E75FFA">
            <w:pPr>
              <w:pStyle w:val="tabletext"/>
              <w:widowControl w:val="0"/>
              <w:jc w:val="center"/>
              <w:rPr>
                <w:b/>
                <w:bCs/>
              </w:rPr>
            </w:pPr>
            <w:r w:rsidRPr="007051AA">
              <w:rPr>
                <w:b/>
                <w:bCs/>
              </w:rPr>
              <w:t>Multiplicity adjustment</w:t>
            </w:r>
          </w:p>
        </w:tc>
      </w:tr>
      <w:tr w:rsidR="009D65DE" w:rsidRPr="007051AA" w14:paraId="39D83C08" w14:textId="77777777" w:rsidTr="009B0993">
        <w:trPr>
          <w:cantSplit/>
          <w:trHeight w:val="2459"/>
        </w:trPr>
        <w:tc>
          <w:tcPr>
            <w:tcW w:w="276" w:type="pct"/>
            <w:vMerge w:val="restart"/>
            <w:tcMar>
              <w:top w:w="288" w:type="dxa"/>
              <w:left w:w="288" w:type="dxa"/>
              <w:bottom w:w="288" w:type="dxa"/>
              <w:right w:w="288" w:type="dxa"/>
            </w:tcMar>
            <w:textDirection w:val="btLr"/>
            <w:hideMark/>
          </w:tcPr>
          <w:p w14:paraId="511075E9" w14:textId="77777777" w:rsidR="005D6BD3" w:rsidRPr="007051AA" w:rsidRDefault="005D6BD3" w:rsidP="00A05513">
            <w:pPr>
              <w:pStyle w:val="tabletext"/>
              <w:widowControl w:val="0"/>
              <w:spacing w:before="0"/>
              <w:jc w:val="center"/>
            </w:pPr>
            <w:r w:rsidRPr="007051AA">
              <w:rPr>
                <w:b/>
                <w:bCs/>
              </w:rPr>
              <w:t>National Standard</w:t>
            </w:r>
          </w:p>
        </w:tc>
        <w:tc>
          <w:tcPr>
            <w:tcW w:w="223" w:type="pct"/>
            <w:tcMar>
              <w:top w:w="72" w:type="dxa"/>
              <w:left w:w="216" w:type="dxa"/>
              <w:bottom w:w="72" w:type="dxa"/>
              <w:right w:w="144" w:type="dxa"/>
            </w:tcMar>
            <w:textDirection w:val="btLr"/>
            <w:vAlign w:val="center"/>
            <w:hideMark/>
          </w:tcPr>
          <w:p w14:paraId="7F884D92" w14:textId="77777777" w:rsidR="005D6BD3" w:rsidRPr="007051AA" w:rsidRDefault="005D6BD3" w:rsidP="00E75FFA">
            <w:pPr>
              <w:pStyle w:val="tabletext"/>
              <w:widowControl w:val="0"/>
              <w:ind w:left="113" w:right="113"/>
              <w:jc w:val="center"/>
              <w:rPr>
                <w:b/>
                <w:bCs/>
              </w:rPr>
            </w:pPr>
            <w:r w:rsidRPr="007051AA">
              <w:rPr>
                <w:b/>
                <w:bCs/>
              </w:rPr>
              <w:t>England</w:t>
            </w:r>
          </w:p>
        </w:tc>
        <w:tc>
          <w:tcPr>
            <w:tcW w:w="776" w:type="pct"/>
            <w:tcMar>
              <w:top w:w="15" w:type="dxa"/>
              <w:left w:w="144" w:type="dxa"/>
              <w:bottom w:w="0" w:type="dxa"/>
              <w:right w:w="15" w:type="dxa"/>
            </w:tcMar>
            <w:hideMark/>
          </w:tcPr>
          <w:p w14:paraId="2B14E9C1" w14:textId="77777777" w:rsidR="005D6BD3" w:rsidRPr="007051AA" w:rsidRDefault="005D6BD3" w:rsidP="00E75FFA">
            <w:pPr>
              <w:pStyle w:val="tablebullet"/>
              <w:widowControl w:val="0"/>
              <w:spacing w:before="60" w:after="60"/>
            </w:pPr>
            <w:r w:rsidRPr="007051AA">
              <w:t>HSU/ economic model</w:t>
            </w:r>
          </w:p>
          <w:p w14:paraId="5C585393" w14:textId="77777777" w:rsidR="005D6BD3" w:rsidRPr="007051AA" w:rsidRDefault="005D6BD3" w:rsidP="00E75FFA">
            <w:pPr>
              <w:pStyle w:val="tablebullet"/>
              <w:widowControl w:val="0"/>
              <w:spacing w:before="60" w:after="60"/>
            </w:pPr>
            <w:proofErr w:type="spellStart"/>
            <w:r w:rsidRPr="007051AA">
              <w:t>HRQoL</w:t>
            </w:r>
            <w:proofErr w:type="spellEnd"/>
            <w:r w:rsidRPr="007051AA">
              <w:t>, symptoms, function impact</w:t>
            </w:r>
          </w:p>
          <w:p w14:paraId="438B0CAA" w14:textId="77777777" w:rsidR="005D6BD3" w:rsidRPr="007051AA" w:rsidRDefault="005D6BD3" w:rsidP="00E75FFA">
            <w:pPr>
              <w:pStyle w:val="tablebullet"/>
              <w:widowControl w:val="0"/>
              <w:spacing w:before="60" w:after="60"/>
            </w:pPr>
            <w:r w:rsidRPr="007051AA">
              <w:t>Safety/toxicity/</w:t>
            </w:r>
            <w:r w:rsidRPr="007051AA">
              <w:br/>
              <w:t>tolerability</w:t>
            </w:r>
          </w:p>
          <w:p w14:paraId="48719C91" w14:textId="77777777" w:rsidR="005D6BD3" w:rsidRPr="007051AA" w:rsidRDefault="005D6BD3" w:rsidP="00E75FFA">
            <w:pPr>
              <w:pStyle w:val="tablebullet"/>
              <w:widowControl w:val="0"/>
              <w:spacing w:before="60" w:after="60"/>
            </w:pPr>
            <w:r w:rsidRPr="007051AA">
              <w:t>Patient preference/</w:t>
            </w:r>
            <w:r w:rsidRPr="007051AA">
              <w:br/>
              <w:t>satisfaction</w:t>
            </w:r>
          </w:p>
          <w:p w14:paraId="4990331A" w14:textId="77777777" w:rsidR="005D6BD3" w:rsidRPr="007051AA" w:rsidRDefault="005D6BD3" w:rsidP="00E75FFA">
            <w:pPr>
              <w:pStyle w:val="tablebullet"/>
              <w:widowControl w:val="0"/>
              <w:spacing w:before="60" w:after="60"/>
            </w:pPr>
            <w:r w:rsidRPr="007051AA">
              <w:t>Natural disease history</w:t>
            </w:r>
          </w:p>
        </w:tc>
        <w:tc>
          <w:tcPr>
            <w:tcW w:w="554" w:type="pct"/>
            <w:tcMar>
              <w:top w:w="15" w:type="dxa"/>
              <w:left w:w="15" w:type="dxa"/>
              <w:bottom w:w="0" w:type="dxa"/>
              <w:right w:w="15" w:type="dxa"/>
            </w:tcMar>
            <w:hideMark/>
          </w:tcPr>
          <w:p w14:paraId="3C0550C6" w14:textId="17289CDD" w:rsidR="005D6BD3" w:rsidRPr="007051AA" w:rsidRDefault="005D6BD3" w:rsidP="00E75FFA">
            <w:pPr>
              <w:pStyle w:val="tabletext"/>
              <w:widowControl w:val="0"/>
              <w:jc w:val="center"/>
            </w:pPr>
            <w:r w:rsidRPr="007051AA">
              <w:t>Yes</w:t>
            </w:r>
            <w:r w:rsidR="00DB648E" w:rsidRPr="007051AA">
              <w:br/>
            </w:r>
            <w:r w:rsidRPr="007051AA">
              <w:t>(EQ-5D-3L for HSU elicitation)</w:t>
            </w:r>
          </w:p>
        </w:tc>
        <w:tc>
          <w:tcPr>
            <w:tcW w:w="451" w:type="pct"/>
          </w:tcPr>
          <w:p w14:paraId="32F89E16" w14:textId="1217DAAF" w:rsidR="005D6BD3" w:rsidRPr="007051AA" w:rsidRDefault="005D6BD3" w:rsidP="00E75FFA">
            <w:pPr>
              <w:pStyle w:val="tabletext"/>
              <w:widowControl w:val="0"/>
              <w:jc w:val="center"/>
            </w:pPr>
            <w:r w:rsidRPr="007051AA">
              <w:t>Yes (mapped to the EQ-5D-3</w:t>
            </w:r>
            <w:proofErr w:type="gramStart"/>
            <w:r w:rsidRPr="007051AA">
              <w:t>L)</w:t>
            </w:r>
            <w:r w:rsidRPr="007051AA">
              <w:rPr>
                <w:rFonts w:cs="Times New Roman"/>
                <w:vertAlign w:val="superscript"/>
              </w:rPr>
              <w:t>†</w:t>
            </w:r>
            <w:proofErr w:type="gramEnd"/>
          </w:p>
        </w:tc>
        <w:tc>
          <w:tcPr>
            <w:tcW w:w="381" w:type="pct"/>
          </w:tcPr>
          <w:p w14:paraId="06D589E3" w14:textId="77777777" w:rsidR="005D6BD3" w:rsidRPr="007051AA" w:rsidRDefault="005D6BD3" w:rsidP="00E75FFA">
            <w:pPr>
              <w:pStyle w:val="tabletext"/>
              <w:widowControl w:val="0"/>
              <w:jc w:val="center"/>
            </w:pPr>
            <w:r w:rsidRPr="007051AA">
              <w:t>Not defined</w:t>
            </w:r>
          </w:p>
        </w:tc>
        <w:tc>
          <w:tcPr>
            <w:tcW w:w="444" w:type="pct"/>
            <w:tcMar>
              <w:top w:w="15" w:type="dxa"/>
              <w:left w:w="15" w:type="dxa"/>
              <w:bottom w:w="0" w:type="dxa"/>
              <w:right w:w="15" w:type="dxa"/>
            </w:tcMar>
            <w:hideMark/>
          </w:tcPr>
          <w:p w14:paraId="49177F6A" w14:textId="77777777" w:rsidR="005D6BD3" w:rsidRPr="007051AA" w:rsidRDefault="005D6BD3" w:rsidP="00E75FFA">
            <w:pPr>
              <w:pStyle w:val="tabletext"/>
              <w:widowControl w:val="0"/>
              <w:jc w:val="center"/>
            </w:pPr>
            <w:r w:rsidRPr="007051AA">
              <w:t>No</w:t>
            </w:r>
          </w:p>
        </w:tc>
        <w:tc>
          <w:tcPr>
            <w:tcW w:w="443" w:type="pct"/>
            <w:tcMar>
              <w:top w:w="15" w:type="dxa"/>
              <w:left w:w="15" w:type="dxa"/>
              <w:bottom w:w="0" w:type="dxa"/>
              <w:right w:w="15" w:type="dxa"/>
            </w:tcMar>
            <w:hideMark/>
          </w:tcPr>
          <w:p w14:paraId="257FD6F5" w14:textId="77777777" w:rsidR="005D6BD3" w:rsidRPr="007051AA" w:rsidRDefault="005D6BD3" w:rsidP="00E75FFA">
            <w:pPr>
              <w:pStyle w:val="tabletext"/>
              <w:widowControl w:val="0"/>
              <w:jc w:val="center"/>
            </w:pPr>
            <w:r w:rsidRPr="007051AA">
              <w:t>No</w:t>
            </w:r>
          </w:p>
        </w:tc>
        <w:tc>
          <w:tcPr>
            <w:tcW w:w="444" w:type="pct"/>
            <w:tcMar>
              <w:top w:w="15" w:type="dxa"/>
              <w:left w:w="15" w:type="dxa"/>
              <w:bottom w:w="0" w:type="dxa"/>
              <w:right w:w="15" w:type="dxa"/>
            </w:tcMar>
            <w:hideMark/>
          </w:tcPr>
          <w:p w14:paraId="3466397D" w14:textId="77777777" w:rsidR="005D6BD3" w:rsidRPr="007051AA" w:rsidRDefault="005D6BD3" w:rsidP="00E75FFA">
            <w:pPr>
              <w:pStyle w:val="tabletext"/>
              <w:widowControl w:val="0"/>
              <w:jc w:val="center"/>
            </w:pPr>
            <w:r w:rsidRPr="007051AA">
              <w:t>No</w:t>
            </w:r>
          </w:p>
        </w:tc>
        <w:tc>
          <w:tcPr>
            <w:tcW w:w="449" w:type="pct"/>
            <w:tcMar>
              <w:top w:w="15" w:type="dxa"/>
              <w:left w:w="15" w:type="dxa"/>
              <w:bottom w:w="0" w:type="dxa"/>
              <w:right w:w="15" w:type="dxa"/>
            </w:tcMar>
            <w:hideMark/>
          </w:tcPr>
          <w:p w14:paraId="50B84AFF" w14:textId="77777777" w:rsidR="005D6BD3" w:rsidRPr="007051AA" w:rsidRDefault="005D6BD3" w:rsidP="00E75FFA">
            <w:pPr>
              <w:pStyle w:val="tabletext"/>
              <w:widowControl w:val="0"/>
              <w:jc w:val="center"/>
            </w:pPr>
            <w:r w:rsidRPr="007051AA">
              <w:t>No</w:t>
            </w:r>
          </w:p>
        </w:tc>
        <w:tc>
          <w:tcPr>
            <w:tcW w:w="559" w:type="pct"/>
            <w:tcMar>
              <w:top w:w="15" w:type="dxa"/>
              <w:left w:w="15" w:type="dxa"/>
              <w:bottom w:w="0" w:type="dxa"/>
              <w:right w:w="15" w:type="dxa"/>
            </w:tcMar>
            <w:hideMark/>
          </w:tcPr>
          <w:p w14:paraId="492209A1" w14:textId="77777777" w:rsidR="005D6BD3" w:rsidRPr="007051AA" w:rsidRDefault="005D6BD3" w:rsidP="00E75FFA">
            <w:pPr>
              <w:pStyle w:val="tabletext"/>
              <w:widowControl w:val="0"/>
              <w:jc w:val="center"/>
            </w:pPr>
            <w:r w:rsidRPr="007051AA">
              <w:t>No</w:t>
            </w:r>
          </w:p>
        </w:tc>
      </w:tr>
      <w:tr w:rsidR="009B0993" w:rsidRPr="007051AA" w14:paraId="0A348952" w14:textId="77777777" w:rsidTr="009B0993">
        <w:trPr>
          <w:cantSplit/>
          <w:trHeight w:val="1790"/>
        </w:trPr>
        <w:tc>
          <w:tcPr>
            <w:tcW w:w="276" w:type="pct"/>
            <w:vMerge/>
            <w:vAlign w:val="center"/>
            <w:hideMark/>
          </w:tcPr>
          <w:p w14:paraId="3783D0E1" w14:textId="77777777" w:rsidR="005D6BD3" w:rsidRPr="007051AA" w:rsidRDefault="005D6BD3" w:rsidP="00E75FFA">
            <w:pPr>
              <w:widowControl w:val="0"/>
              <w:spacing w:before="60" w:after="60" w:line="240" w:lineRule="auto"/>
              <w:rPr>
                <w:rFonts w:cstheme="minorHAnsi"/>
                <w:sz w:val="20"/>
                <w:szCs w:val="20"/>
              </w:rPr>
            </w:pPr>
          </w:p>
        </w:tc>
        <w:tc>
          <w:tcPr>
            <w:tcW w:w="223" w:type="pct"/>
            <w:tcMar>
              <w:top w:w="72" w:type="dxa"/>
              <w:left w:w="216" w:type="dxa"/>
              <w:bottom w:w="72" w:type="dxa"/>
              <w:right w:w="144" w:type="dxa"/>
            </w:tcMar>
            <w:textDirection w:val="btLr"/>
            <w:hideMark/>
          </w:tcPr>
          <w:p w14:paraId="56F116A3" w14:textId="77777777" w:rsidR="005D6BD3" w:rsidRPr="007051AA" w:rsidRDefault="005D6BD3" w:rsidP="00E75FFA">
            <w:pPr>
              <w:pStyle w:val="tabletext"/>
              <w:widowControl w:val="0"/>
              <w:ind w:left="113" w:right="113"/>
              <w:jc w:val="center"/>
              <w:rPr>
                <w:b/>
                <w:bCs/>
              </w:rPr>
            </w:pPr>
            <w:r w:rsidRPr="007051AA">
              <w:rPr>
                <w:b/>
                <w:bCs/>
              </w:rPr>
              <w:t>Germany</w:t>
            </w:r>
          </w:p>
        </w:tc>
        <w:tc>
          <w:tcPr>
            <w:tcW w:w="776" w:type="pct"/>
            <w:tcMar>
              <w:top w:w="15" w:type="dxa"/>
              <w:left w:w="15" w:type="dxa"/>
              <w:bottom w:w="0" w:type="dxa"/>
              <w:right w:w="15" w:type="dxa"/>
            </w:tcMar>
            <w:vAlign w:val="center"/>
            <w:hideMark/>
          </w:tcPr>
          <w:p w14:paraId="79FE4F51" w14:textId="77777777" w:rsidR="005D6BD3" w:rsidRPr="007051AA" w:rsidRDefault="005D6BD3" w:rsidP="00E75FFA">
            <w:pPr>
              <w:pStyle w:val="tablebullet"/>
              <w:widowControl w:val="0"/>
              <w:spacing w:before="60" w:after="60"/>
            </w:pPr>
            <w:proofErr w:type="spellStart"/>
            <w:r w:rsidRPr="007051AA">
              <w:t>HRQoL</w:t>
            </w:r>
            <w:proofErr w:type="spellEnd"/>
            <w:r w:rsidRPr="007051AA">
              <w:t>, symptoms, function impact</w:t>
            </w:r>
          </w:p>
          <w:p w14:paraId="2C35CA0B" w14:textId="77777777" w:rsidR="005D6BD3" w:rsidRPr="007051AA" w:rsidRDefault="005D6BD3" w:rsidP="00E75FFA">
            <w:pPr>
              <w:pStyle w:val="tablebullet"/>
              <w:widowControl w:val="0"/>
              <w:spacing w:before="60" w:after="60"/>
            </w:pPr>
            <w:r w:rsidRPr="007051AA">
              <w:t>Safety/toxicity/</w:t>
            </w:r>
            <w:r w:rsidRPr="007051AA">
              <w:br/>
              <w:t>tolerability</w:t>
            </w:r>
          </w:p>
          <w:p w14:paraId="2694C5F7" w14:textId="77777777" w:rsidR="005D6BD3" w:rsidRPr="007051AA" w:rsidRDefault="005D6BD3" w:rsidP="00E75FFA">
            <w:pPr>
              <w:pStyle w:val="tablebullet"/>
              <w:widowControl w:val="0"/>
              <w:spacing w:before="60" w:after="60"/>
            </w:pPr>
            <w:r w:rsidRPr="007051AA">
              <w:t>Patient preference/</w:t>
            </w:r>
            <w:r w:rsidRPr="007051AA">
              <w:br/>
              <w:t>satisfaction</w:t>
            </w:r>
          </w:p>
        </w:tc>
        <w:tc>
          <w:tcPr>
            <w:tcW w:w="554" w:type="pct"/>
            <w:tcMar>
              <w:top w:w="15" w:type="dxa"/>
              <w:left w:w="15" w:type="dxa"/>
              <w:bottom w:w="0" w:type="dxa"/>
              <w:right w:w="15" w:type="dxa"/>
            </w:tcMar>
            <w:hideMark/>
          </w:tcPr>
          <w:p w14:paraId="347B5086" w14:textId="77777777" w:rsidR="005D6BD3" w:rsidRPr="007051AA" w:rsidRDefault="005D6BD3" w:rsidP="00E75FFA">
            <w:pPr>
              <w:pStyle w:val="tabletext"/>
              <w:widowControl w:val="0"/>
              <w:jc w:val="center"/>
            </w:pPr>
            <w:r w:rsidRPr="007051AA">
              <w:t>Not defined</w:t>
            </w:r>
          </w:p>
        </w:tc>
        <w:tc>
          <w:tcPr>
            <w:tcW w:w="451" w:type="pct"/>
          </w:tcPr>
          <w:p w14:paraId="79CCFC91" w14:textId="77777777" w:rsidR="005D6BD3" w:rsidRPr="007051AA" w:rsidRDefault="005D6BD3" w:rsidP="00E75FFA">
            <w:pPr>
              <w:pStyle w:val="tabletext"/>
              <w:widowControl w:val="0"/>
              <w:jc w:val="center"/>
            </w:pPr>
            <w:r w:rsidRPr="007051AA">
              <w:t>Yes (captured by a validated instrument, such as PRO-CTCAE)</w:t>
            </w:r>
          </w:p>
        </w:tc>
        <w:tc>
          <w:tcPr>
            <w:tcW w:w="381" w:type="pct"/>
          </w:tcPr>
          <w:p w14:paraId="4802495A" w14:textId="77777777" w:rsidR="005D6BD3" w:rsidRPr="007051AA" w:rsidRDefault="005D6BD3" w:rsidP="00E75FFA">
            <w:pPr>
              <w:pStyle w:val="tabletext"/>
              <w:widowControl w:val="0"/>
              <w:jc w:val="center"/>
            </w:pPr>
            <w:r w:rsidRPr="007051AA">
              <w:t>Yes (</w:t>
            </w:r>
            <w:r w:rsidRPr="007051AA">
              <w:rPr>
                <w:rFonts w:cs="Times New Roman"/>
              </w:rPr>
              <w:t>≤</w:t>
            </w:r>
            <w:r w:rsidRPr="007051AA">
              <w:t>30%)</w:t>
            </w:r>
          </w:p>
        </w:tc>
        <w:tc>
          <w:tcPr>
            <w:tcW w:w="444" w:type="pct"/>
            <w:tcMar>
              <w:top w:w="15" w:type="dxa"/>
              <w:left w:w="15" w:type="dxa"/>
              <w:bottom w:w="0" w:type="dxa"/>
              <w:right w:w="15" w:type="dxa"/>
            </w:tcMar>
            <w:hideMark/>
          </w:tcPr>
          <w:p w14:paraId="1AC4D325" w14:textId="77777777" w:rsidR="005D6BD3" w:rsidRPr="007051AA" w:rsidRDefault="005D6BD3" w:rsidP="00E75FFA">
            <w:pPr>
              <w:pStyle w:val="tabletext"/>
              <w:widowControl w:val="0"/>
              <w:jc w:val="center"/>
            </w:pPr>
            <w:r w:rsidRPr="007051AA">
              <w:t>Yes (until death or dropout)</w:t>
            </w:r>
          </w:p>
        </w:tc>
        <w:tc>
          <w:tcPr>
            <w:tcW w:w="443" w:type="pct"/>
            <w:tcMar>
              <w:top w:w="15" w:type="dxa"/>
              <w:left w:w="15" w:type="dxa"/>
              <w:bottom w:w="0" w:type="dxa"/>
              <w:right w:w="15" w:type="dxa"/>
            </w:tcMar>
            <w:hideMark/>
          </w:tcPr>
          <w:p w14:paraId="0BE4F6EE" w14:textId="77777777" w:rsidR="005D6BD3" w:rsidRPr="007051AA" w:rsidRDefault="005D6BD3" w:rsidP="00E75FFA">
            <w:pPr>
              <w:pStyle w:val="tabletext"/>
              <w:widowControl w:val="0"/>
              <w:jc w:val="center"/>
            </w:pPr>
            <w:r w:rsidRPr="007051AA">
              <w:t>Yes (≥15% of the scale range)</w:t>
            </w:r>
          </w:p>
        </w:tc>
        <w:tc>
          <w:tcPr>
            <w:tcW w:w="444" w:type="pct"/>
            <w:tcMar>
              <w:top w:w="15" w:type="dxa"/>
              <w:left w:w="15" w:type="dxa"/>
              <w:bottom w:w="0" w:type="dxa"/>
              <w:right w:w="15" w:type="dxa"/>
            </w:tcMar>
            <w:hideMark/>
          </w:tcPr>
          <w:p w14:paraId="69E1BCAF" w14:textId="77777777" w:rsidR="005D6BD3" w:rsidRPr="007051AA" w:rsidRDefault="005D6BD3" w:rsidP="00E75FFA">
            <w:pPr>
              <w:pStyle w:val="tabletext"/>
              <w:widowControl w:val="0"/>
              <w:jc w:val="center"/>
            </w:pPr>
            <w:r w:rsidRPr="007051AA">
              <w:t>No</w:t>
            </w:r>
          </w:p>
        </w:tc>
        <w:tc>
          <w:tcPr>
            <w:tcW w:w="449" w:type="pct"/>
            <w:tcMar>
              <w:top w:w="15" w:type="dxa"/>
              <w:left w:w="15" w:type="dxa"/>
              <w:bottom w:w="0" w:type="dxa"/>
              <w:right w:w="15" w:type="dxa"/>
            </w:tcMar>
            <w:hideMark/>
          </w:tcPr>
          <w:p w14:paraId="14107692" w14:textId="77777777" w:rsidR="005D6BD3" w:rsidRPr="007051AA" w:rsidRDefault="005D6BD3" w:rsidP="00E75FFA">
            <w:pPr>
              <w:pStyle w:val="tabletext"/>
              <w:widowControl w:val="0"/>
              <w:jc w:val="center"/>
            </w:pPr>
            <w:r w:rsidRPr="007051AA">
              <w:t>No</w:t>
            </w:r>
          </w:p>
        </w:tc>
        <w:tc>
          <w:tcPr>
            <w:tcW w:w="559" w:type="pct"/>
            <w:tcMar>
              <w:top w:w="15" w:type="dxa"/>
              <w:left w:w="15" w:type="dxa"/>
              <w:bottom w:w="0" w:type="dxa"/>
              <w:right w:w="15" w:type="dxa"/>
            </w:tcMar>
            <w:hideMark/>
          </w:tcPr>
          <w:p w14:paraId="56A16F38" w14:textId="77777777" w:rsidR="005D6BD3" w:rsidRPr="007051AA" w:rsidRDefault="005D6BD3" w:rsidP="00E75FFA">
            <w:pPr>
              <w:pStyle w:val="tabletext"/>
              <w:widowControl w:val="0"/>
              <w:jc w:val="center"/>
            </w:pPr>
            <w:r w:rsidRPr="007051AA">
              <w:t>No</w:t>
            </w:r>
          </w:p>
        </w:tc>
      </w:tr>
      <w:tr w:rsidR="009B0993" w:rsidRPr="007051AA" w14:paraId="50AAB742" w14:textId="77777777" w:rsidTr="009B0993">
        <w:trPr>
          <w:cantSplit/>
          <w:trHeight w:val="1134"/>
        </w:trPr>
        <w:tc>
          <w:tcPr>
            <w:tcW w:w="276" w:type="pct"/>
            <w:vMerge/>
            <w:vAlign w:val="center"/>
            <w:hideMark/>
          </w:tcPr>
          <w:p w14:paraId="1C84B754" w14:textId="77777777" w:rsidR="005D6BD3" w:rsidRPr="007051AA" w:rsidRDefault="005D6BD3" w:rsidP="00E75FFA">
            <w:pPr>
              <w:widowControl w:val="0"/>
              <w:spacing w:before="60" w:after="60" w:line="240" w:lineRule="auto"/>
              <w:rPr>
                <w:rFonts w:cstheme="minorHAnsi"/>
                <w:sz w:val="20"/>
                <w:szCs w:val="20"/>
              </w:rPr>
            </w:pPr>
          </w:p>
        </w:tc>
        <w:tc>
          <w:tcPr>
            <w:tcW w:w="223" w:type="pct"/>
            <w:tcMar>
              <w:top w:w="72" w:type="dxa"/>
              <w:left w:w="216" w:type="dxa"/>
              <w:bottom w:w="72" w:type="dxa"/>
              <w:right w:w="144" w:type="dxa"/>
            </w:tcMar>
            <w:textDirection w:val="btLr"/>
            <w:hideMark/>
          </w:tcPr>
          <w:p w14:paraId="2A79CF42" w14:textId="77777777" w:rsidR="005D6BD3" w:rsidRPr="007051AA" w:rsidRDefault="005D6BD3" w:rsidP="00E75FFA">
            <w:pPr>
              <w:pStyle w:val="tabletext"/>
              <w:widowControl w:val="0"/>
              <w:ind w:left="113" w:right="113"/>
              <w:jc w:val="center"/>
              <w:rPr>
                <w:b/>
                <w:bCs/>
              </w:rPr>
            </w:pPr>
            <w:r w:rsidRPr="007051AA">
              <w:rPr>
                <w:b/>
                <w:bCs/>
              </w:rPr>
              <w:t>France</w:t>
            </w:r>
          </w:p>
        </w:tc>
        <w:tc>
          <w:tcPr>
            <w:tcW w:w="776" w:type="pct"/>
            <w:tcMar>
              <w:top w:w="15" w:type="dxa"/>
              <w:left w:w="144" w:type="dxa"/>
              <w:bottom w:w="0" w:type="dxa"/>
              <w:right w:w="15" w:type="dxa"/>
            </w:tcMar>
            <w:vAlign w:val="center"/>
            <w:hideMark/>
          </w:tcPr>
          <w:p w14:paraId="1E10E43B" w14:textId="77777777" w:rsidR="005D6BD3" w:rsidRPr="007051AA" w:rsidRDefault="005D6BD3" w:rsidP="00E75FFA">
            <w:pPr>
              <w:pStyle w:val="tablebullet"/>
              <w:widowControl w:val="0"/>
              <w:spacing w:before="60" w:after="60"/>
            </w:pPr>
            <w:proofErr w:type="spellStart"/>
            <w:r w:rsidRPr="007051AA">
              <w:t>HRQoL</w:t>
            </w:r>
            <w:proofErr w:type="spellEnd"/>
            <w:r w:rsidRPr="007051AA">
              <w:t>, symptoms, function impact</w:t>
            </w:r>
          </w:p>
          <w:p w14:paraId="09106954" w14:textId="77777777" w:rsidR="005D6BD3" w:rsidRPr="007051AA" w:rsidRDefault="005D6BD3" w:rsidP="00E75FFA">
            <w:pPr>
              <w:pStyle w:val="tablebullet"/>
              <w:widowControl w:val="0"/>
              <w:spacing w:before="60" w:after="60"/>
            </w:pPr>
            <w:r w:rsidRPr="007051AA">
              <w:t>Safety/toxicity/ tolerability</w:t>
            </w:r>
          </w:p>
          <w:p w14:paraId="55A57057" w14:textId="77777777" w:rsidR="005D6BD3" w:rsidRPr="007051AA" w:rsidRDefault="005D6BD3" w:rsidP="00E75FFA">
            <w:pPr>
              <w:pStyle w:val="tablebullet"/>
              <w:widowControl w:val="0"/>
              <w:spacing w:before="60" w:after="60"/>
            </w:pPr>
            <w:r w:rsidRPr="007051AA">
              <w:t>Natural disease history</w:t>
            </w:r>
          </w:p>
        </w:tc>
        <w:tc>
          <w:tcPr>
            <w:tcW w:w="554" w:type="pct"/>
            <w:tcMar>
              <w:top w:w="15" w:type="dxa"/>
              <w:left w:w="15" w:type="dxa"/>
              <w:bottom w:w="0" w:type="dxa"/>
              <w:right w:w="15" w:type="dxa"/>
            </w:tcMar>
            <w:hideMark/>
          </w:tcPr>
          <w:p w14:paraId="46D3959E" w14:textId="291ADE39" w:rsidR="005D6BD3" w:rsidRPr="007051AA" w:rsidRDefault="005D6BD3" w:rsidP="00E75FFA">
            <w:pPr>
              <w:pStyle w:val="tabletext"/>
              <w:widowControl w:val="0"/>
              <w:jc w:val="center"/>
            </w:pPr>
            <w:r w:rsidRPr="007051AA">
              <w:t xml:space="preserve">Yes </w:t>
            </w:r>
            <w:r w:rsidR="00C90D17" w:rsidRPr="007051AA">
              <w:br/>
            </w:r>
            <w:r w:rsidRPr="007051AA">
              <w:t>(EQ-5D-5L for HSU elicitation)</w:t>
            </w:r>
          </w:p>
        </w:tc>
        <w:tc>
          <w:tcPr>
            <w:tcW w:w="451" w:type="pct"/>
          </w:tcPr>
          <w:p w14:paraId="3E1FAA56" w14:textId="77777777" w:rsidR="005D6BD3" w:rsidRPr="007051AA" w:rsidRDefault="005D6BD3" w:rsidP="00E75FFA">
            <w:pPr>
              <w:pStyle w:val="tabletext"/>
              <w:widowControl w:val="0"/>
              <w:jc w:val="center"/>
            </w:pPr>
            <w:r w:rsidRPr="007051AA">
              <w:t>No</w:t>
            </w:r>
            <w:r w:rsidRPr="007051AA">
              <w:rPr>
                <w:rFonts w:cs="Times New Roman"/>
                <w:vertAlign w:val="superscript"/>
              </w:rPr>
              <w:t>‡</w:t>
            </w:r>
          </w:p>
        </w:tc>
        <w:tc>
          <w:tcPr>
            <w:tcW w:w="381" w:type="pct"/>
          </w:tcPr>
          <w:p w14:paraId="5FD67A36" w14:textId="77777777" w:rsidR="005D6BD3" w:rsidRPr="007051AA" w:rsidRDefault="005D6BD3" w:rsidP="00E75FFA">
            <w:pPr>
              <w:pStyle w:val="tabletext"/>
              <w:widowControl w:val="0"/>
              <w:jc w:val="center"/>
            </w:pPr>
            <w:r w:rsidRPr="007051AA">
              <w:t>Not defined</w:t>
            </w:r>
          </w:p>
        </w:tc>
        <w:tc>
          <w:tcPr>
            <w:tcW w:w="444" w:type="pct"/>
            <w:tcMar>
              <w:top w:w="15" w:type="dxa"/>
              <w:left w:w="15" w:type="dxa"/>
              <w:bottom w:w="0" w:type="dxa"/>
              <w:right w:w="15" w:type="dxa"/>
            </w:tcMar>
            <w:hideMark/>
          </w:tcPr>
          <w:p w14:paraId="421B42B5" w14:textId="77777777" w:rsidR="005D6BD3" w:rsidRPr="007051AA" w:rsidRDefault="005D6BD3" w:rsidP="00E75FFA">
            <w:pPr>
              <w:pStyle w:val="tabletext"/>
              <w:widowControl w:val="0"/>
              <w:jc w:val="center"/>
            </w:pPr>
            <w:r w:rsidRPr="007051AA">
              <w:t>No</w:t>
            </w:r>
          </w:p>
        </w:tc>
        <w:tc>
          <w:tcPr>
            <w:tcW w:w="443" w:type="pct"/>
            <w:tcMar>
              <w:top w:w="15" w:type="dxa"/>
              <w:left w:w="15" w:type="dxa"/>
              <w:bottom w:w="0" w:type="dxa"/>
              <w:right w:w="15" w:type="dxa"/>
            </w:tcMar>
            <w:hideMark/>
          </w:tcPr>
          <w:p w14:paraId="2ADAF278" w14:textId="77777777" w:rsidR="005D6BD3" w:rsidRPr="007051AA" w:rsidRDefault="005D6BD3" w:rsidP="00E75FFA">
            <w:pPr>
              <w:pStyle w:val="tabletext"/>
              <w:widowControl w:val="0"/>
              <w:jc w:val="center"/>
            </w:pPr>
            <w:r w:rsidRPr="007051AA">
              <w:t>No</w:t>
            </w:r>
          </w:p>
        </w:tc>
        <w:tc>
          <w:tcPr>
            <w:tcW w:w="444" w:type="pct"/>
            <w:tcMar>
              <w:top w:w="15" w:type="dxa"/>
              <w:left w:w="15" w:type="dxa"/>
              <w:bottom w:w="0" w:type="dxa"/>
              <w:right w:w="15" w:type="dxa"/>
            </w:tcMar>
            <w:hideMark/>
          </w:tcPr>
          <w:p w14:paraId="2C94C1D5" w14:textId="77777777" w:rsidR="005D6BD3" w:rsidRPr="007051AA" w:rsidRDefault="005D6BD3" w:rsidP="00E75FFA">
            <w:pPr>
              <w:pStyle w:val="tabletext"/>
              <w:widowControl w:val="0"/>
              <w:jc w:val="center"/>
            </w:pPr>
            <w:r w:rsidRPr="007051AA">
              <w:t>No</w:t>
            </w:r>
          </w:p>
        </w:tc>
        <w:tc>
          <w:tcPr>
            <w:tcW w:w="449" w:type="pct"/>
            <w:tcMar>
              <w:top w:w="15" w:type="dxa"/>
              <w:left w:w="15" w:type="dxa"/>
              <w:bottom w:w="0" w:type="dxa"/>
              <w:right w:w="15" w:type="dxa"/>
            </w:tcMar>
            <w:hideMark/>
          </w:tcPr>
          <w:p w14:paraId="61DCD2DB" w14:textId="77777777" w:rsidR="005D6BD3" w:rsidRPr="007051AA" w:rsidRDefault="005D6BD3" w:rsidP="00E75FFA">
            <w:pPr>
              <w:pStyle w:val="tabletext"/>
              <w:widowControl w:val="0"/>
              <w:jc w:val="center"/>
            </w:pPr>
            <w:r w:rsidRPr="007051AA">
              <w:t>No</w:t>
            </w:r>
          </w:p>
        </w:tc>
        <w:tc>
          <w:tcPr>
            <w:tcW w:w="559" w:type="pct"/>
            <w:tcMar>
              <w:top w:w="15" w:type="dxa"/>
              <w:left w:w="15" w:type="dxa"/>
              <w:bottom w:w="0" w:type="dxa"/>
              <w:right w:w="15" w:type="dxa"/>
            </w:tcMar>
            <w:hideMark/>
          </w:tcPr>
          <w:p w14:paraId="6F920A86" w14:textId="77777777" w:rsidR="005D6BD3" w:rsidRPr="007051AA" w:rsidRDefault="005D6BD3" w:rsidP="00E75FFA">
            <w:pPr>
              <w:pStyle w:val="tabletext"/>
              <w:widowControl w:val="0"/>
              <w:jc w:val="center"/>
            </w:pPr>
            <w:r w:rsidRPr="007051AA">
              <w:t>Yes</w:t>
            </w:r>
          </w:p>
        </w:tc>
      </w:tr>
      <w:tr w:rsidR="009B0993" w:rsidRPr="007051AA" w14:paraId="66AC0B33" w14:textId="77777777" w:rsidTr="009B0993">
        <w:trPr>
          <w:trHeight w:val="2963"/>
        </w:trPr>
        <w:tc>
          <w:tcPr>
            <w:tcW w:w="276" w:type="pct"/>
            <w:vMerge w:val="restart"/>
            <w:tcMar>
              <w:top w:w="288" w:type="dxa"/>
              <w:left w:w="288" w:type="dxa"/>
              <w:bottom w:w="288" w:type="dxa"/>
              <w:right w:w="288" w:type="dxa"/>
            </w:tcMar>
            <w:textDirection w:val="btLr"/>
            <w:vAlign w:val="center"/>
            <w:hideMark/>
          </w:tcPr>
          <w:p w14:paraId="40452D21" w14:textId="77777777" w:rsidR="005D6BD3" w:rsidRPr="007051AA" w:rsidRDefault="005D6BD3" w:rsidP="00E75FFA">
            <w:pPr>
              <w:widowControl w:val="0"/>
              <w:spacing w:before="60" w:after="60" w:line="240" w:lineRule="auto"/>
              <w:jc w:val="center"/>
              <w:rPr>
                <w:rFonts w:cstheme="minorHAnsi"/>
                <w:sz w:val="20"/>
                <w:szCs w:val="20"/>
              </w:rPr>
            </w:pPr>
            <w:r w:rsidRPr="007051AA">
              <w:rPr>
                <w:rFonts w:cstheme="minorHAnsi"/>
                <w:b/>
                <w:bCs/>
                <w:sz w:val="20"/>
                <w:szCs w:val="20"/>
              </w:rPr>
              <w:lastRenderedPageBreak/>
              <w:t>Cross-market</w:t>
            </w:r>
          </w:p>
        </w:tc>
        <w:tc>
          <w:tcPr>
            <w:tcW w:w="223" w:type="pct"/>
            <w:tcMar>
              <w:top w:w="15" w:type="dxa"/>
              <w:left w:w="15" w:type="dxa"/>
              <w:bottom w:w="0" w:type="dxa"/>
              <w:right w:w="15" w:type="dxa"/>
            </w:tcMar>
            <w:textDirection w:val="btLr"/>
            <w:vAlign w:val="center"/>
            <w:hideMark/>
          </w:tcPr>
          <w:p w14:paraId="38E10FC6" w14:textId="77777777" w:rsidR="005D6BD3" w:rsidRPr="007051AA" w:rsidRDefault="005D6BD3" w:rsidP="00E75FFA">
            <w:pPr>
              <w:widowControl w:val="0"/>
              <w:spacing w:before="60" w:after="60" w:line="240" w:lineRule="auto"/>
              <w:jc w:val="center"/>
              <w:rPr>
                <w:rFonts w:cstheme="minorHAnsi"/>
                <w:sz w:val="20"/>
                <w:szCs w:val="20"/>
              </w:rPr>
            </w:pPr>
            <w:r w:rsidRPr="007051AA">
              <w:rPr>
                <w:rFonts w:cstheme="minorHAnsi"/>
                <w:b/>
                <w:bCs/>
                <w:sz w:val="20"/>
                <w:szCs w:val="20"/>
              </w:rPr>
              <w:t>Alignment</w:t>
            </w:r>
          </w:p>
        </w:tc>
        <w:tc>
          <w:tcPr>
            <w:tcW w:w="776" w:type="pct"/>
            <w:tcMar>
              <w:top w:w="72" w:type="dxa"/>
              <w:left w:w="43" w:type="dxa"/>
              <w:bottom w:w="72" w:type="dxa"/>
              <w:right w:w="43" w:type="dxa"/>
            </w:tcMar>
            <w:hideMark/>
          </w:tcPr>
          <w:p w14:paraId="2D26EF08" w14:textId="77777777" w:rsidR="005D6BD3" w:rsidRPr="007051AA" w:rsidRDefault="005D6BD3" w:rsidP="00E75FFA">
            <w:pPr>
              <w:pStyle w:val="tablebullet"/>
              <w:widowControl w:val="0"/>
              <w:spacing w:before="60" w:after="60"/>
            </w:pPr>
            <w:r w:rsidRPr="007051AA">
              <w:t xml:space="preserve">Accepted: disease- and treatment-related </w:t>
            </w:r>
            <w:proofErr w:type="spellStart"/>
            <w:r w:rsidRPr="007051AA">
              <w:t>HRQoL</w:t>
            </w:r>
            <w:proofErr w:type="spellEnd"/>
            <w:r w:rsidRPr="007051AA">
              <w:t xml:space="preserve"> impact, symptom/function benefits and treatment satisfaction, patient-reported AE/tolerability</w:t>
            </w:r>
          </w:p>
        </w:tc>
        <w:tc>
          <w:tcPr>
            <w:tcW w:w="554" w:type="pct"/>
            <w:tcMar>
              <w:top w:w="72" w:type="dxa"/>
              <w:left w:w="43" w:type="dxa"/>
              <w:bottom w:w="72" w:type="dxa"/>
              <w:right w:w="43" w:type="dxa"/>
            </w:tcMar>
            <w:hideMark/>
          </w:tcPr>
          <w:p w14:paraId="49ACC00D" w14:textId="77777777" w:rsidR="005D6BD3" w:rsidRPr="007051AA" w:rsidRDefault="005D6BD3" w:rsidP="00E75FFA">
            <w:pPr>
              <w:pStyle w:val="tablebullet"/>
              <w:widowControl w:val="0"/>
              <w:spacing w:before="60" w:after="60"/>
            </w:pPr>
            <w:r w:rsidRPr="007051AA">
              <w:t>Validated instruments</w:t>
            </w:r>
          </w:p>
          <w:p w14:paraId="03508AC4" w14:textId="77777777" w:rsidR="005D6BD3" w:rsidRPr="007051AA" w:rsidRDefault="005D6BD3" w:rsidP="00E75FFA">
            <w:pPr>
              <w:pStyle w:val="tablebullet"/>
              <w:widowControl w:val="0"/>
              <w:spacing w:before="60" w:after="60"/>
            </w:pPr>
            <w:r w:rsidRPr="007051AA">
              <w:t>Direct measurement in trial(s) preferred</w:t>
            </w:r>
          </w:p>
        </w:tc>
        <w:tc>
          <w:tcPr>
            <w:tcW w:w="451" w:type="pct"/>
          </w:tcPr>
          <w:p w14:paraId="43E84517" w14:textId="1F2202E7" w:rsidR="005D6BD3" w:rsidRPr="007051AA" w:rsidRDefault="005D6BD3" w:rsidP="00E75FFA">
            <w:pPr>
              <w:pStyle w:val="tablebullet"/>
              <w:widowControl w:val="0"/>
              <w:spacing w:before="60" w:after="60"/>
            </w:pPr>
            <w:r w:rsidRPr="007051AA">
              <w:t>Captured by validated t</w:t>
            </w:r>
            <w:r w:rsidR="006F70F8" w:rsidRPr="007051AA">
              <w:t>ool</w:t>
            </w:r>
            <w:r w:rsidRPr="007051AA">
              <w:t>s in England and Germany</w:t>
            </w:r>
          </w:p>
        </w:tc>
        <w:tc>
          <w:tcPr>
            <w:tcW w:w="381" w:type="pct"/>
          </w:tcPr>
          <w:p w14:paraId="40AF4C90" w14:textId="797084AE" w:rsidR="005D6BD3" w:rsidRPr="007051AA" w:rsidRDefault="005D6BD3" w:rsidP="00E75FFA">
            <w:pPr>
              <w:pStyle w:val="tablebullet"/>
              <w:widowControl w:val="0"/>
              <w:spacing w:before="60" w:after="60"/>
            </w:pPr>
            <w:r w:rsidRPr="007051AA">
              <w:t xml:space="preserve">Missing data negatively </w:t>
            </w:r>
            <w:proofErr w:type="gramStart"/>
            <w:r w:rsidRPr="007051AA">
              <w:t>impact</w:t>
            </w:r>
            <w:proofErr w:type="gramEnd"/>
            <w:r w:rsidRPr="007051AA">
              <w:t xml:space="preserve"> HTA outcomes</w:t>
            </w:r>
          </w:p>
        </w:tc>
        <w:tc>
          <w:tcPr>
            <w:tcW w:w="444" w:type="pct"/>
            <w:tcMar>
              <w:top w:w="72" w:type="dxa"/>
              <w:left w:w="43" w:type="dxa"/>
              <w:bottom w:w="72" w:type="dxa"/>
              <w:right w:w="43" w:type="dxa"/>
            </w:tcMar>
            <w:hideMark/>
          </w:tcPr>
          <w:p w14:paraId="20190C8D" w14:textId="3EC51405" w:rsidR="005D6BD3" w:rsidRPr="007051AA" w:rsidRDefault="00777312" w:rsidP="00E75FFA">
            <w:pPr>
              <w:pStyle w:val="tablebullet"/>
              <w:widowControl w:val="0"/>
              <w:spacing w:before="60" w:after="60"/>
            </w:pPr>
            <w:r w:rsidRPr="007051AA">
              <w:t>KOL</w:t>
            </w:r>
            <w:r w:rsidR="005D6BD3" w:rsidRPr="007051AA">
              <w:t xml:space="preserve">s suggest increasing use of the </w:t>
            </w:r>
            <w:proofErr w:type="gramStart"/>
            <w:r w:rsidR="005D6BD3" w:rsidRPr="007051AA">
              <w:t xml:space="preserve">rule </w:t>
            </w:r>
            <w:r w:rsidR="00E040F0" w:rsidRPr="007051AA">
              <w:t>‘</w:t>
            </w:r>
            <w:proofErr w:type="gramEnd"/>
            <w:r w:rsidR="005D6BD3" w:rsidRPr="007051AA">
              <w:t>the more data, the bette</w:t>
            </w:r>
            <w:r w:rsidR="00E040F0" w:rsidRPr="007051AA">
              <w:t>r’</w:t>
            </w:r>
            <w:r w:rsidR="005D6BD3" w:rsidRPr="007051AA">
              <w:t xml:space="preserve"> (i.e. minimized data gaps)</w:t>
            </w:r>
          </w:p>
          <w:p w14:paraId="7C0347B3" w14:textId="5834710C" w:rsidR="005D6BD3" w:rsidRPr="007051AA" w:rsidRDefault="005D6BD3" w:rsidP="00E75FFA">
            <w:pPr>
              <w:pStyle w:val="tablebullet"/>
              <w:widowControl w:val="0"/>
              <w:spacing w:before="60" w:after="60"/>
            </w:pPr>
            <w:r w:rsidRPr="007051AA">
              <w:t>Direct measure</w:t>
            </w:r>
            <w:r w:rsidR="004412C7" w:rsidRPr="007051AA">
              <w:t>s</w:t>
            </w:r>
            <w:r w:rsidRPr="007051AA">
              <w:t xml:space="preserve"> preferred</w:t>
            </w:r>
          </w:p>
        </w:tc>
        <w:tc>
          <w:tcPr>
            <w:tcW w:w="443" w:type="pct"/>
            <w:tcMar>
              <w:top w:w="72" w:type="dxa"/>
              <w:left w:w="43" w:type="dxa"/>
              <w:bottom w:w="72" w:type="dxa"/>
              <w:right w:w="43" w:type="dxa"/>
            </w:tcMar>
            <w:hideMark/>
          </w:tcPr>
          <w:p w14:paraId="24E28D00" w14:textId="77777777" w:rsidR="005D6BD3" w:rsidRPr="007051AA" w:rsidRDefault="005D6BD3" w:rsidP="00E75FFA">
            <w:pPr>
              <w:widowControl w:val="0"/>
              <w:spacing w:before="60" w:after="60" w:line="240" w:lineRule="auto"/>
              <w:jc w:val="center"/>
              <w:rPr>
                <w:rFonts w:cstheme="minorHAnsi"/>
                <w:sz w:val="20"/>
                <w:szCs w:val="20"/>
              </w:rPr>
            </w:pPr>
            <w:r w:rsidRPr="007051AA">
              <w:rPr>
                <w:rFonts w:cstheme="minorHAnsi"/>
                <w:sz w:val="20"/>
                <w:szCs w:val="20"/>
              </w:rPr>
              <w:t>-</w:t>
            </w:r>
          </w:p>
        </w:tc>
        <w:tc>
          <w:tcPr>
            <w:tcW w:w="444" w:type="pct"/>
            <w:tcMar>
              <w:top w:w="72" w:type="dxa"/>
              <w:left w:w="43" w:type="dxa"/>
              <w:bottom w:w="72" w:type="dxa"/>
              <w:right w:w="43" w:type="dxa"/>
            </w:tcMar>
            <w:hideMark/>
          </w:tcPr>
          <w:p w14:paraId="2247ECED" w14:textId="655E95E7" w:rsidR="005D6BD3" w:rsidRPr="007051AA" w:rsidRDefault="00327AC7" w:rsidP="00E75FFA">
            <w:pPr>
              <w:pStyle w:val="tablebullet"/>
              <w:widowControl w:val="0"/>
              <w:spacing w:before="60" w:after="60"/>
            </w:pPr>
            <w:r w:rsidRPr="007051AA">
              <w:t>N</w:t>
            </w:r>
            <w:r w:rsidR="005D6BD3" w:rsidRPr="007051AA">
              <w:t>o national HTA preference for TTE endpoint definitions</w:t>
            </w:r>
            <w:r w:rsidR="007168C4" w:rsidRPr="007051AA">
              <w:t xml:space="preserve">; </w:t>
            </w:r>
            <w:r w:rsidR="005D6BD3" w:rsidRPr="007051AA">
              <w:t xml:space="preserve">similarities in relevant indications, </w:t>
            </w:r>
            <w:r w:rsidR="007168C4" w:rsidRPr="007051AA">
              <w:t>(</w:t>
            </w:r>
            <w:r w:rsidR="005D6BD3" w:rsidRPr="007051AA">
              <w:t>oncology, migraine)</w:t>
            </w:r>
          </w:p>
        </w:tc>
        <w:tc>
          <w:tcPr>
            <w:tcW w:w="449" w:type="pct"/>
            <w:tcMar>
              <w:top w:w="72" w:type="dxa"/>
              <w:left w:w="43" w:type="dxa"/>
              <w:bottom w:w="72" w:type="dxa"/>
              <w:right w:w="43" w:type="dxa"/>
            </w:tcMar>
            <w:hideMark/>
          </w:tcPr>
          <w:p w14:paraId="3C591537" w14:textId="77777777" w:rsidR="005D6BD3" w:rsidRPr="007051AA" w:rsidRDefault="005D6BD3" w:rsidP="00E75FFA">
            <w:pPr>
              <w:pStyle w:val="tablebullet"/>
              <w:widowControl w:val="0"/>
              <w:spacing w:before="60" w:after="60"/>
            </w:pPr>
            <w:r w:rsidRPr="007051AA">
              <w:t xml:space="preserve">Acceptable methods </w:t>
            </w:r>
            <w:r w:rsidRPr="007051AA">
              <w:br/>
              <w:t xml:space="preserve">(e.g. MMRM) are determined on a </w:t>
            </w:r>
            <w:r w:rsidRPr="007051AA">
              <w:br/>
              <w:t>case-by-case basis (but LOCF is generally not preferred)</w:t>
            </w:r>
          </w:p>
        </w:tc>
        <w:tc>
          <w:tcPr>
            <w:tcW w:w="559" w:type="pct"/>
            <w:tcMar>
              <w:top w:w="72" w:type="dxa"/>
              <w:left w:w="43" w:type="dxa"/>
              <w:bottom w:w="72" w:type="dxa"/>
              <w:right w:w="43" w:type="dxa"/>
            </w:tcMar>
            <w:hideMark/>
          </w:tcPr>
          <w:p w14:paraId="408FC602" w14:textId="77777777" w:rsidR="005D6BD3" w:rsidRPr="007051AA" w:rsidRDefault="005D6BD3" w:rsidP="00E75FFA">
            <w:pPr>
              <w:widowControl w:val="0"/>
              <w:spacing w:before="60" w:after="60" w:line="240" w:lineRule="auto"/>
              <w:jc w:val="center"/>
              <w:rPr>
                <w:rFonts w:cstheme="minorHAnsi"/>
                <w:sz w:val="20"/>
                <w:szCs w:val="20"/>
              </w:rPr>
            </w:pPr>
            <w:r w:rsidRPr="007051AA">
              <w:rPr>
                <w:rFonts w:cstheme="minorHAnsi"/>
                <w:sz w:val="20"/>
                <w:szCs w:val="20"/>
              </w:rPr>
              <w:t>-</w:t>
            </w:r>
          </w:p>
        </w:tc>
      </w:tr>
      <w:tr w:rsidR="009B0993" w:rsidRPr="007051AA" w14:paraId="6B449B90" w14:textId="77777777" w:rsidTr="009B0993">
        <w:trPr>
          <w:trHeight w:val="1825"/>
        </w:trPr>
        <w:tc>
          <w:tcPr>
            <w:tcW w:w="276" w:type="pct"/>
            <w:vMerge/>
            <w:shd w:val="clear" w:color="auto" w:fill="BFBFBF" w:themeFill="background1" w:themeFillShade="BF"/>
            <w:vAlign w:val="center"/>
            <w:hideMark/>
          </w:tcPr>
          <w:p w14:paraId="71368083" w14:textId="77777777" w:rsidR="005D6BD3" w:rsidRPr="007051AA" w:rsidRDefault="005D6BD3" w:rsidP="00E75FFA">
            <w:pPr>
              <w:widowControl w:val="0"/>
              <w:spacing w:before="60" w:after="60" w:line="240" w:lineRule="auto"/>
              <w:rPr>
                <w:rFonts w:cstheme="minorHAnsi"/>
                <w:sz w:val="20"/>
                <w:szCs w:val="20"/>
              </w:rPr>
            </w:pPr>
          </w:p>
        </w:tc>
        <w:tc>
          <w:tcPr>
            <w:tcW w:w="223" w:type="pct"/>
            <w:tcMar>
              <w:top w:w="15" w:type="dxa"/>
              <w:left w:w="15" w:type="dxa"/>
              <w:bottom w:w="0" w:type="dxa"/>
              <w:right w:w="15" w:type="dxa"/>
            </w:tcMar>
            <w:textDirection w:val="btLr"/>
            <w:vAlign w:val="center"/>
            <w:hideMark/>
          </w:tcPr>
          <w:p w14:paraId="52ED0B63" w14:textId="77777777" w:rsidR="005D6BD3" w:rsidRPr="007051AA" w:rsidRDefault="005D6BD3" w:rsidP="00E75FFA">
            <w:pPr>
              <w:widowControl w:val="0"/>
              <w:spacing w:before="60" w:after="60" w:line="240" w:lineRule="auto"/>
              <w:jc w:val="center"/>
              <w:rPr>
                <w:rFonts w:cstheme="minorHAnsi"/>
                <w:sz w:val="20"/>
                <w:szCs w:val="20"/>
              </w:rPr>
            </w:pPr>
            <w:r w:rsidRPr="007051AA">
              <w:rPr>
                <w:rFonts w:cstheme="minorHAnsi"/>
                <w:b/>
                <w:bCs/>
                <w:sz w:val="20"/>
                <w:szCs w:val="20"/>
              </w:rPr>
              <w:t>Variation</w:t>
            </w:r>
          </w:p>
        </w:tc>
        <w:tc>
          <w:tcPr>
            <w:tcW w:w="776" w:type="pct"/>
            <w:tcMar>
              <w:top w:w="72" w:type="dxa"/>
              <w:left w:w="43" w:type="dxa"/>
              <w:bottom w:w="72" w:type="dxa"/>
              <w:right w:w="43" w:type="dxa"/>
            </w:tcMar>
            <w:hideMark/>
          </w:tcPr>
          <w:p w14:paraId="6ADAC116" w14:textId="77777777" w:rsidR="005D6BD3" w:rsidRPr="007051AA" w:rsidRDefault="005D6BD3" w:rsidP="00E75FFA">
            <w:pPr>
              <w:pStyle w:val="tablebullet"/>
              <w:widowControl w:val="0"/>
              <w:spacing w:before="60" w:after="60"/>
            </w:pPr>
            <w:r w:rsidRPr="007051AA">
              <w:t>Economic applications of PRO analyses (HSU elicitation) are not within G-BA methods</w:t>
            </w:r>
          </w:p>
        </w:tc>
        <w:tc>
          <w:tcPr>
            <w:tcW w:w="554" w:type="pct"/>
            <w:tcMar>
              <w:top w:w="72" w:type="dxa"/>
              <w:left w:w="43" w:type="dxa"/>
              <w:bottom w:w="72" w:type="dxa"/>
              <w:right w:w="43" w:type="dxa"/>
            </w:tcMar>
            <w:hideMark/>
          </w:tcPr>
          <w:p w14:paraId="652E46F3" w14:textId="63E1C65D" w:rsidR="005D6BD3" w:rsidRPr="007051AA" w:rsidRDefault="005D6BD3" w:rsidP="00E75FFA">
            <w:pPr>
              <w:pStyle w:val="tablebullet"/>
              <w:widowControl w:val="0"/>
              <w:spacing w:before="60" w:after="60"/>
            </w:pPr>
            <w:r w:rsidRPr="007051AA">
              <w:t xml:space="preserve">Accepted: </w:t>
            </w:r>
            <w:proofErr w:type="spellStart"/>
            <w:r w:rsidRPr="007051AA">
              <w:t>HRQoL</w:t>
            </w:r>
            <w:proofErr w:type="spellEnd"/>
            <w:r w:rsidRPr="007051AA">
              <w:t xml:space="preserve"> data from trials, literature and </w:t>
            </w:r>
            <w:r w:rsidR="00404CA3" w:rsidRPr="007051AA">
              <w:t>KOL</w:t>
            </w:r>
            <w:r w:rsidRPr="007051AA">
              <w:t>s (England). Data from literature rejected in Germany</w:t>
            </w:r>
          </w:p>
          <w:p w14:paraId="3B64D017" w14:textId="21DBA89F" w:rsidR="005D6BD3" w:rsidRPr="007051AA" w:rsidRDefault="005D6BD3" w:rsidP="00E75FFA">
            <w:pPr>
              <w:pStyle w:val="tablebullet"/>
              <w:widowControl w:val="0"/>
              <w:spacing w:before="60" w:after="60"/>
            </w:pPr>
            <w:r w:rsidRPr="007051AA">
              <w:t>Increasing importance of patient involvement in France</w:t>
            </w:r>
          </w:p>
        </w:tc>
        <w:tc>
          <w:tcPr>
            <w:tcW w:w="451" w:type="pct"/>
          </w:tcPr>
          <w:p w14:paraId="258FC6D8" w14:textId="77777777" w:rsidR="005D6BD3" w:rsidRPr="007051AA" w:rsidRDefault="005D6BD3" w:rsidP="00E75FFA">
            <w:pPr>
              <w:pStyle w:val="tablebullet"/>
              <w:widowControl w:val="0"/>
              <w:spacing w:before="60" w:after="60"/>
            </w:pPr>
            <w:proofErr w:type="gramStart"/>
            <w:r w:rsidRPr="007051AA">
              <w:t>Generally</w:t>
            </w:r>
            <w:proofErr w:type="gramEnd"/>
            <w:r w:rsidRPr="007051AA">
              <w:t xml:space="preserve"> not used in France</w:t>
            </w:r>
          </w:p>
        </w:tc>
        <w:tc>
          <w:tcPr>
            <w:tcW w:w="381" w:type="pct"/>
          </w:tcPr>
          <w:p w14:paraId="17CC00B2" w14:textId="69442F5B" w:rsidR="005D6BD3" w:rsidRPr="007051AA" w:rsidRDefault="005D6BD3" w:rsidP="00E75FFA">
            <w:pPr>
              <w:pStyle w:val="tablebullet"/>
              <w:widowControl w:val="0"/>
              <w:spacing w:before="60" w:after="60"/>
            </w:pPr>
            <w:r w:rsidRPr="007051AA">
              <w:t>Informal threshold (≤20% in France</w:t>
            </w:r>
            <w:r w:rsidR="00F21729" w:rsidRPr="007051AA">
              <w:t xml:space="preserve">, not </w:t>
            </w:r>
            <w:r w:rsidRPr="007051AA">
              <w:t>quantified in England)</w:t>
            </w:r>
          </w:p>
        </w:tc>
        <w:tc>
          <w:tcPr>
            <w:tcW w:w="444" w:type="pct"/>
            <w:tcMar>
              <w:top w:w="72" w:type="dxa"/>
              <w:left w:w="43" w:type="dxa"/>
              <w:bottom w:w="72" w:type="dxa"/>
              <w:right w:w="43" w:type="dxa"/>
            </w:tcMar>
            <w:hideMark/>
          </w:tcPr>
          <w:p w14:paraId="0843774C" w14:textId="77777777" w:rsidR="005D6BD3" w:rsidRPr="007051AA" w:rsidRDefault="005D6BD3" w:rsidP="00E75FFA">
            <w:pPr>
              <w:pStyle w:val="tablebullet"/>
              <w:widowControl w:val="0"/>
              <w:spacing w:before="60" w:after="60"/>
            </w:pPr>
            <w:r w:rsidRPr="007051AA">
              <w:t>PPD data analysis expected for oncology indications in Germany and England, but not in France</w:t>
            </w:r>
          </w:p>
        </w:tc>
        <w:tc>
          <w:tcPr>
            <w:tcW w:w="443" w:type="pct"/>
            <w:tcMar>
              <w:top w:w="72" w:type="dxa"/>
              <w:left w:w="43" w:type="dxa"/>
              <w:bottom w:w="72" w:type="dxa"/>
              <w:right w:w="43" w:type="dxa"/>
            </w:tcMar>
            <w:hideMark/>
          </w:tcPr>
          <w:p w14:paraId="1F444ECA" w14:textId="77777777" w:rsidR="005D6BD3" w:rsidRPr="007051AA" w:rsidRDefault="005D6BD3" w:rsidP="00E75FFA">
            <w:pPr>
              <w:pStyle w:val="tablebullet"/>
              <w:widowControl w:val="0"/>
              <w:spacing w:before="60" w:after="60"/>
            </w:pPr>
            <w:r w:rsidRPr="007051AA">
              <w:t>Non-standardized MCIDs reflecting disease-specific expectations in England and France, but not in Germany</w:t>
            </w:r>
          </w:p>
        </w:tc>
        <w:tc>
          <w:tcPr>
            <w:tcW w:w="444" w:type="pct"/>
            <w:tcMar>
              <w:top w:w="72" w:type="dxa"/>
              <w:left w:w="43" w:type="dxa"/>
              <w:bottom w:w="72" w:type="dxa"/>
              <w:right w:w="43" w:type="dxa"/>
            </w:tcMar>
            <w:hideMark/>
          </w:tcPr>
          <w:p w14:paraId="1A8F6D5B" w14:textId="62F939A3" w:rsidR="005D6BD3" w:rsidRPr="007051AA" w:rsidRDefault="007002B9" w:rsidP="00E75FFA">
            <w:pPr>
              <w:pStyle w:val="tablebullet"/>
              <w:widowControl w:val="0"/>
              <w:spacing w:before="60" w:after="60"/>
            </w:pPr>
            <w:r w:rsidRPr="007051AA">
              <w:t>No</w:t>
            </w:r>
            <w:r w:rsidR="005D6BD3" w:rsidRPr="007051AA">
              <w:t xml:space="preserve"> defined standard</w:t>
            </w:r>
            <w:r w:rsidRPr="007051AA">
              <w:t>.</w:t>
            </w:r>
            <w:r w:rsidR="005D6BD3" w:rsidRPr="007051AA">
              <w:t xml:space="preserve"> </w:t>
            </w:r>
            <w:r w:rsidR="00154ACB" w:rsidRPr="007051AA">
              <w:t>KOL</w:t>
            </w:r>
            <w:r w:rsidR="005D6BD3" w:rsidRPr="007051AA">
              <w:t>s note “time-to-deterioration” is favored for progressive diseases</w:t>
            </w:r>
          </w:p>
        </w:tc>
        <w:tc>
          <w:tcPr>
            <w:tcW w:w="449" w:type="pct"/>
            <w:tcMar>
              <w:top w:w="72" w:type="dxa"/>
              <w:left w:w="43" w:type="dxa"/>
              <w:bottom w:w="72" w:type="dxa"/>
              <w:right w:w="43" w:type="dxa"/>
            </w:tcMar>
            <w:hideMark/>
          </w:tcPr>
          <w:p w14:paraId="0B630AF6" w14:textId="77777777" w:rsidR="005D6BD3" w:rsidRPr="007051AA" w:rsidRDefault="005D6BD3" w:rsidP="00E75FFA">
            <w:pPr>
              <w:pStyle w:val="tablebullet"/>
              <w:widowControl w:val="0"/>
              <w:spacing w:before="60" w:after="60"/>
            </w:pPr>
            <w:r w:rsidRPr="007051AA">
              <w:t>Variable willingness (but higher in England and France) to use literature-derived data to address gaps</w:t>
            </w:r>
          </w:p>
        </w:tc>
        <w:tc>
          <w:tcPr>
            <w:tcW w:w="559" w:type="pct"/>
            <w:tcMar>
              <w:top w:w="72" w:type="dxa"/>
              <w:left w:w="43" w:type="dxa"/>
              <w:bottom w:w="72" w:type="dxa"/>
              <w:right w:w="43" w:type="dxa"/>
            </w:tcMar>
            <w:hideMark/>
          </w:tcPr>
          <w:p w14:paraId="71A83D1B" w14:textId="77777777" w:rsidR="005D6BD3" w:rsidRPr="007051AA" w:rsidRDefault="005D6BD3" w:rsidP="00E75FFA">
            <w:pPr>
              <w:pStyle w:val="tablebullet"/>
              <w:widowControl w:val="0"/>
              <w:spacing w:before="60" w:after="60"/>
            </w:pPr>
            <w:proofErr w:type="gramStart"/>
            <w:r w:rsidRPr="007051AA">
              <w:rPr>
                <w:lang w:val="en-GB"/>
              </w:rPr>
              <w:t>Generally</w:t>
            </w:r>
            <w:proofErr w:type="gramEnd"/>
            <w:r w:rsidRPr="007051AA">
              <w:rPr>
                <w:lang w:val="en-GB"/>
              </w:rPr>
              <w:t xml:space="preserve"> not considered in </w:t>
            </w:r>
            <w:r w:rsidRPr="007051AA">
              <w:t>England</w:t>
            </w:r>
            <w:r w:rsidRPr="007051AA">
              <w:rPr>
                <w:lang w:val="en-GB"/>
              </w:rPr>
              <w:t xml:space="preserve"> and Germany</w:t>
            </w:r>
          </w:p>
          <w:p w14:paraId="5E3D286C" w14:textId="77777777" w:rsidR="005D6BD3" w:rsidRPr="007051AA" w:rsidRDefault="005D6BD3" w:rsidP="00E75FFA">
            <w:pPr>
              <w:pStyle w:val="tablebullet"/>
              <w:widowControl w:val="0"/>
              <w:spacing w:before="60" w:after="60"/>
              <w:rPr>
                <w:lang w:val="en-GB"/>
              </w:rPr>
            </w:pPr>
            <w:r w:rsidRPr="007051AA">
              <w:rPr>
                <w:lang w:val="en-GB"/>
              </w:rPr>
              <w:t xml:space="preserve">In France, multiplicity adjustment is mandatory, requiring </w:t>
            </w:r>
            <w:proofErr w:type="spellStart"/>
            <w:r w:rsidRPr="007051AA">
              <w:rPr>
                <w:lang w:val="en-GB"/>
              </w:rPr>
              <w:t>HRQoL</w:t>
            </w:r>
            <w:proofErr w:type="spellEnd"/>
            <w:r w:rsidRPr="007051AA">
              <w:rPr>
                <w:lang w:val="en-GB"/>
              </w:rPr>
              <w:t xml:space="preserve"> endpoints to be included in the hierarchical testing and pre-specified statistical analysis plan</w:t>
            </w:r>
          </w:p>
        </w:tc>
      </w:tr>
    </w:tbl>
    <w:p w14:paraId="673F1C72" w14:textId="6773CA28" w:rsidR="005D6BD3" w:rsidRPr="007051AA" w:rsidRDefault="003D0AF4" w:rsidP="005F266E">
      <w:pPr>
        <w:pStyle w:val="footnotes"/>
        <w:spacing w:line="240" w:lineRule="auto"/>
        <w:sectPr w:rsidR="005D6BD3" w:rsidRPr="007051AA" w:rsidSect="005D6BD3">
          <w:pgSz w:w="16838" w:h="11906" w:orient="landscape"/>
          <w:pgMar w:top="1440" w:right="1440" w:bottom="1440" w:left="1440" w:header="709" w:footer="709" w:gutter="0"/>
          <w:cols w:space="708"/>
          <w:docGrid w:linePitch="360"/>
        </w:sectPr>
      </w:pPr>
      <w:r w:rsidRPr="007051AA">
        <w:t xml:space="preserve">Abbreviations: AE, adverse event; CTCAE, Common Terminology Criteria for Adverse Events; EQ-3D, EUROQOL-three dimensions; EQ-5D, </w:t>
      </w:r>
      <w:proofErr w:type="spellStart"/>
      <w:r w:rsidRPr="007051AA">
        <w:t>EuroQoL</w:t>
      </w:r>
      <w:proofErr w:type="spellEnd"/>
      <w:r w:rsidRPr="007051AA">
        <w:t xml:space="preserve">-five dimensions; HSU, health state utilities; </w:t>
      </w:r>
      <w:proofErr w:type="spellStart"/>
      <w:r w:rsidRPr="007051AA">
        <w:t>HRQoL</w:t>
      </w:r>
      <w:proofErr w:type="spellEnd"/>
      <w:r w:rsidRPr="007051AA">
        <w:t xml:space="preserve">, health-related quality of life; HTA, Health Technology Assessment; ICER, incremental cost-effectiveness ratio; </w:t>
      </w:r>
      <w:r w:rsidR="00777312" w:rsidRPr="007051AA">
        <w:t xml:space="preserve">KOL, key opinion leader; </w:t>
      </w:r>
      <w:r w:rsidRPr="007051AA">
        <w:t>LOCF, last observation carried forward; MCID, minimal clinical important difference; MMRM, mixed model for repeated measures; PPD, post-progression data; PRO, patient-reported outcome; TTE, time</w:t>
      </w:r>
      <w:r w:rsidR="00551C71" w:rsidRPr="007051AA">
        <w:t>-</w:t>
      </w:r>
      <w:r w:rsidRPr="007051AA">
        <w:t>to</w:t>
      </w:r>
      <w:r w:rsidR="00551C71" w:rsidRPr="007051AA">
        <w:t>-</w:t>
      </w:r>
      <w:r w:rsidRPr="007051AA">
        <w:t>event.</w:t>
      </w:r>
      <w:r w:rsidRPr="007051AA">
        <w:br/>
      </w:r>
      <w:r w:rsidRPr="007051AA">
        <w:rPr>
          <w:rFonts w:cs="Times New Roman"/>
        </w:rPr>
        <w:lastRenderedPageBreak/>
        <w:t xml:space="preserve">† </w:t>
      </w:r>
      <w:r w:rsidR="00F30A1E" w:rsidRPr="007051AA">
        <w:rPr>
          <w:rFonts w:cs="Times New Roman"/>
        </w:rPr>
        <w:t>KOL</w:t>
      </w:r>
      <w:r w:rsidRPr="007051AA">
        <w:rPr>
          <w:rFonts w:cs="Times New Roman"/>
        </w:rPr>
        <w:t xml:space="preserve">s noted that AEs generally do not substantially influence the ICER and therefore HTA outcomes, unless they significantly impact </w:t>
      </w:r>
      <w:proofErr w:type="spellStart"/>
      <w:r w:rsidRPr="007051AA">
        <w:rPr>
          <w:rFonts w:cs="Times New Roman"/>
        </w:rPr>
        <w:t>HRQoL</w:t>
      </w:r>
      <w:proofErr w:type="spellEnd"/>
      <w:r w:rsidRPr="007051AA">
        <w:rPr>
          <w:rFonts w:cs="Times New Roman"/>
        </w:rPr>
        <w:t xml:space="preserve"> or pose high cost to the healthcare system. </w:t>
      </w:r>
      <w:r w:rsidRPr="007051AA">
        <w:rPr>
          <w:rFonts w:cs="Times New Roman"/>
        </w:rPr>
        <w:br/>
        <w:t xml:space="preserve">‡ </w:t>
      </w:r>
      <w:r w:rsidRPr="007051AA">
        <w:t xml:space="preserve">Assessment of AEs through clinical trials is the preferred method for subjectively quantifying safety data. PROs can supplement AE data and treatment-related impact on </w:t>
      </w:r>
      <w:proofErr w:type="spellStart"/>
      <w:r w:rsidRPr="007051AA">
        <w:t>HRQoL</w:t>
      </w:r>
      <w:proofErr w:type="spellEnd"/>
      <w:r w:rsidRPr="007051AA">
        <w:t>.</w:t>
      </w:r>
    </w:p>
    <w:p w14:paraId="495F4D39" w14:textId="77777777" w:rsidR="005F266E" w:rsidRPr="007051AA" w:rsidRDefault="005F266E" w:rsidP="005F266E">
      <w:pPr>
        <w:pStyle w:val="Caption"/>
        <w:keepNext/>
        <w:spacing w:after="0"/>
        <w:rPr>
          <w:b/>
          <w:bCs/>
          <w:i w:val="0"/>
          <w:iCs w:val="0"/>
          <w:color w:val="auto"/>
          <w:sz w:val="20"/>
          <w:szCs w:val="20"/>
        </w:rPr>
      </w:pPr>
      <w:bookmarkStart w:id="2" w:name="_Ref183503539"/>
      <w:r w:rsidRPr="007051AA">
        <w:rPr>
          <w:b/>
          <w:bCs/>
          <w:i w:val="0"/>
          <w:iCs w:val="0"/>
          <w:color w:val="auto"/>
          <w:sz w:val="20"/>
          <w:szCs w:val="20"/>
        </w:rPr>
        <w:lastRenderedPageBreak/>
        <w:t xml:space="preserve">Table </w:t>
      </w:r>
      <w:r w:rsidRPr="007051AA">
        <w:rPr>
          <w:b/>
          <w:bCs/>
          <w:i w:val="0"/>
          <w:iCs w:val="0"/>
          <w:color w:val="auto"/>
          <w:sz w:val="20"/>
          <w:szCs w:val="20"/>
        </w:rPr>
        <w:fldChar w:fldCharType="begin"/>
      </w:r>
      <w:r w:rsidRPr="007051AA">
        <w:rPr>
          <w:b/>
          <w:bCs/>
          <w:i w:val="0"/>
          <w:iCs w:val="0"/>
          <w:color w:val="auto"/>
          <w:sz w:val="20"/>
          <w:szCs w:val="20"/>
        </w:rPr>
        <w:instrText xml:space="preserve"> SEQ Table \* ARABIC </w:instrText>
      </w:r>
      <w:r w:rsidRPr="007051AA">
        <w:rPr>
          <w:b/>
          <w:bCs/>
          <w:i w:val="0"/>
          <w:iCs w:val="0"/>
          <w:color w:val="auto"/>
          <w:sz w:val="20"/>
          <w:szCs w:val="20"/>
        </w:rPr>
        <w:fldChar w:fldCharType="separate"/>
      </w:r>
      <w:r w:rsidRPr="007051AA">
        <w:rPr>
          <w:b/>
          <w:bCs/>
          <w:i w:val="0"/>
          <w:iCs w:val="0"/>
          <w:noProof/>
          <w:color w:val="auto"/>
          <w:sz w:val="20"/>
          <w:szCs w:val="20"/>
        </w:rPr>
        <w:t>2</w:t>
      </w:r>
      <w:r w:rsidRPr="007051AA">
        <w:rPr>
          <w:b/>
          <w:bCs/>
          <w:i w:val="0"/>
          <w:iCs w:val="0"/>
          <w:color w:val="auto"/>
          <w:sz w:val="20"/>
          <w:szCs w:val="20"/>
        </w:rPr>
        <w:fldChar w:fldCharType="end"/>
      </w:r>
      <w:bookmarkEnd w:id="2"/>
      <w:r w:rsidRPr="007051AA">
        <w:rPr>
          <w:b/>
          <w:bCs/>
          <w:i w:val="0"/>
          <w:iCs w:val="0"/>
          <w:color w:val="auto"/>
          <w:sz w:val="20"/>
          <w:szCs w:val="20"/>
        </w:rPr>
        <w:t>. The Impact of PROs on HTA Decision Making and Price Setting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2043"/>
        <w:gridCol w:w="3024"/>
        <w:gridCol w:w="3949"/>
      </w:tblGrid>
      <w:tr w:rsidR="005F266E" w:rsidRPr="007051AA" w14:paraId="20642F86" w14:textId="77777777" w:rsidTr="00064EE3">
        <w:trPr>
          <w:trHeight w:val="500"/>
        </w:trPr>
        <w:tc>
          <w:tcPr>
            <w:tcW w:w="1133" w:type="pct"/>
            <w:vMerge w:val="restart"/>
            <w:tcMar>
              <w:top w:w="72" w:type="dxa"/>
              <w:left w:w="144" w:type="dxa"/>
              <w:bottom w:w="72" w:type="dxa"/>
              <w:right w:w="144" w:type="dxa"/>
            </w:tcMar>
            <w:vAlign w:val="center"/>
            <w:hideMark/>
          </w:tcPr>
          <w:p w14:paraId="68226E2E" w14:textId="77777777" w:rsidR="005F266E" w:rsidRPr="007051AA" w:rsidRDefault="005F266E" w:rsidP="00E75FFA">
            <w:pPr>
              <w:pStyle w:val="tabletext"/>
              <w:rPr>
                <w:b/>
                <w:bCs/>
                <w:lang w:eastAsia="en-GB"/>
              </w:rPr>
            </w:pPr>
            <w:r w:rsidRPr="007051AA">
              <w:rPr>
                <w:b/>
                <w:bCs/>
                <w:lang w:eastAsia="en-GB"/>
              </w:rPr>
              <w:t>Interviewees</w:t>
            </w:r>
          </w:p>
        </w:tc>
        <w:tc>
          <w:tcPr>
            <w:tcW w:w="3867" w:type="pct"/>
            <w:gridSpan w:val="2"/>
            <w:tcBorders>
              <w:bottom w:val="single" w:sz="4" w:space="0" w:color="auto"/>
            </w:tcBorders>
            <w:tcMar>
              <w:top w:w="72" w:type="dxa"/>
              <w:left w:w="144" w:type="dxa"/>
              <w:bottom w:w="72" w:type="dxa"/>
              <w:right w:w="144" w:type="dxa"/>
            </w:tcMar>
            <w:vAlign w:val="center"/>
            <w:hideMark/>
          </w:tcPr>
          <w:p w14:paraId="0BE9B8D3" w14:textId="77777777" w:rsidR="005F266E" w:rsidRPr="007051AA" w:rsidRDefault="005F266E" w:rsidP="00E75FFA">
            <w:pPr>
              <w:pStyle w:val="tabletext"/>
              <w:jc w:val="center"/>
              <w:rPr>
                <w:rFonts w:eastAsia="Times New Roman"/>
                <w:b/>
                <w:bCs/>
                <w:lang w:eastAsia="en-GB"/>
              </w:rPr>
            </w:pPr>
            <w:r w:rsidRPr="007051AA">
              <w:rPr>
                <w:b/>
                <w:bCs/>
                <w:lang w:eastAsia="en-GB"/>
              </w:rPr>
              <w:t xml:space="preserve">Perceived Overall Impact of PRO </w:t>
            </w:r>
            <w:proofErr w:type="gramStart"/>
            <w:r w:rsidRPr="007051AA">
              <w:rPr>
                <w:b/>
                <w:bCs/>
                <w:lang w:eastAsia="en-GB"/>
              </w:rPr>
              <w:t>on:</w:t>
            </w:r>
            <w:r w:rsidRPr="007051AA">
              <w:rPr>
                <w:rFonts w:cs="Times New Roman"/>
                <w:b/>
                <w:bCs/>
                <w:vertAlign w:val="superscript"/>
                <w:lang w:eastAsia="en-GB"/>
              </w:rPr>
              <w:t>†</w:t>
            </w:r>
            <w:proofErr w:type="gramEnd"/>
          </w:p>
        </w:tc>
      </w:tr>
      <w:tr w:rsidR="005F266E" w:rsidRPr="007051AA" w14:paraId="28EA8D35" w14:textId="77777777" w:rsidTr="00E72053">
        <w:trPr>
          <w:trHeight w:val="701"/>
        </w:trPr>
        <w:tc>
          <w:tcPr>
            <w:tcW w:w="1133" w:type="pct"/>
            <w:vMerge/>
            <w:tcBorders>
              <w:bottom w:val="single" w:sz="4" w:space="0" w:color="auto"/>
            </w:tcBorders>
            <w:vAlign w:val="center"/>
            <w:hideMark/>
          </w:tcPr>
          <w:p w14:paraId="3E7FFC59" w14:textId="77777777" w:rsidR="005F266E" w:rsidRPr="007051AA" w:rsidRDefault="005F266E" w:rsidP="00E75FFA">
            <w:pPr>
              <w:pStyle w:val="tabletext"/>
              <w:rPr>
                <w:b/>
                <w:bCs/>
                <w:lang w:eastAsia="en-GB"/>
              </w:rPr>
            </w:pPr>
          </w:p>
        </w:tc>
        <w:tc>
          <w:tcPr>
            <w:tcW w:w="1677" w:type="pct"/>
            <w:tcBorders>
              <w:bottom w:val="single" w:sz="4" w:space="0" w:color="auto"/>
            </w:tcBorders>
            <w:tcMar>
              <w:top w:w="72" w:type="dxa"/>
              <w:left w:w="144" w:type="dxa"/>
              <w:bottom w:w="72" w:type="dxa"/>
              <w:right w:w="144" w:type="dxa"/>
            </w:tcMar>
            <w:vAlign w:val="center"/>
            <w:hideMark/>
          </w:tcPr>
          <w:p w14:paraId="4F00C5E9" w14:textId="77777777" w:rsidR="005F266E" w:rsidRPr="007051AA" w:rsidRDefault="005F266E" w:rsidP="00E75FFA">
            <w:pPr>
              <w:pStyle w:val="tabletext"/>
              <w:jc w:val="center"/>
              <w:rPr>
                <w:rFonts w:eastAsia="Times New Roman"/>
                <w:b/>
                <w:bCs/>
                <w:lang w:eastAsia="en-GB"/>
              </w:rPr>
            </w:pPr>
            <w:r w:rsidRPr="007051AA">
              <w:rPr>
                <w:b/>
                <w:bCs/>
                <w:lang w:eastAsia="en-GB"/>
              </w:rPr>
              <w:t>HTA Decision Making</w:t>
            </w:r>
          </w:p>
        </w:tc>
        <w:tc>
          <w:tcPr>
            <w:tcW w:w="2190" w:type="pct"/>
            <w:tcBorders>
              <w:bottom w:val="single" w:sz="4" w:space="0" w:color="auto"/>
            </w:tcBorders>
            <w:tcMar>
              <w:top w:w="72" w:type="dxa"/>
              <w:left w:w="144" w:type="dxa"/>
              <w:bottom w:w="72" w:type="dxa"/>
              <w:right w:w="144" w:type="dxa"/>
            </w:tcMar>
            <w:vAlign w:val="center"/>
            <w:hideMark/>
          </w:tcPr>
          <w:p w14:paraId="6BB564D7" w14:textId="77777777" w:rsidR="005F266E" w:rsidRPr="007051AA" w:rsidRDefault="005F266E" w:rsidP="00E75FFA">
            <w:pPr>
              <w:pStyle w:val="tabletext"/>
              <w:jc w:val="center"/>
              <w:rPr>
                <w:rFonts w:eastAsia="Times New Roman"/>
                <w:b/>
                <w:bCs/>
                <w:lang w:eastAsia="en-GB"/>
              </w:rPr>
            </w:pPr>
            <w:r w:rsidRPr="007051AA">
              <w:rPr>
                <w:b/>
                <w:bCs/>
                <w:lang w:eastAsia="en-GB"/>
              </w:rPr>
              <w:t>Price Setting</w:t>
            </w:r>
          </w:p>
        </w:tc>
      </w:tr>
      <w:tr w:rsidR="005F266E" w:rsidRPr="007051AA" w14:paraId="527B0CD3" w14:textId="77777777" w:rsidTr="00E72053">
        <w:trPr>
          <w:trHeight w:val="504"/>
        </w:trPr>
        <w:tc>
          <w:tcPr>
            <w:tcW w:w="1133" w:type="pct"/>
            <w:tcBorders>
              <w:bottom w:val="nil"/>
            </w:tcBorders>
            <w:tcMar>
              <w:top w:w="72" w:type="dxa"/>
              <w:left w:w="72" w:type="dxa"/>
              <w:bottom w:w="72" w:type="dxa"/>
              <w:right w:w="72" w:type="dxa"/>
            </w:tcMar>
            <w:vAlign w:val="center"/>
            <w:hideMark/>
          </w:tcPr>
          <w:p w14:paraId="493802E5" w14:textId="0BDD2EDA" w:rsidR="005F266E" w:rsidRPr="007051AA" w:rsidRDefault="00E07463" w:rsidP="00E75FFA">
            <w:pPr>
              <w:pStyle w:val="tabletext"/>
              <w:rPr>
                <w:b/>
                <w:bCs/>
                <w:lang w:eastAsia="en-GB"/>
              </w:rPr>
            </w:pPr>
            <w:r w:rsidRPr="007051AA">
              <w:rPr>
                <w:rFonts w:eastAsiaTheme="minorEastAsia"/>
                <w:b/>
                <w:bCs/>
                <w:color w:val="000000" w:themeColor="text1"/>
                <w:kern w:val="24"/>
                <w:lang w:eastAsia="en-GB"/>
              </w:rPr>
              <w:t>England</w:t>
            </w:r>
            <w:r w:rsidR="005F266E" w:rsidRPr="007051AA">
              <w:rPr>
                <w:rFonts w:eastAsiaTheme="minorEastAsia"/>
                <w:b/>
                <w:bCs/>
                <w:color w:val="000000" w:themeColor="text1"/>
                <w:kern w:val="24"/>
                <w:lang w:eastAsia="en-GB"/>
              </w:rPr>
              <w:t>01</w:t>
            </w:r>
          </w:p>
        </w:tc>
        <w:tc>
          <w:tcPr>
            <w:tcW w:w="1677" w:type="pct"/>
            <w:tcBorders>
              <w:top w:val="single" w:sz="4" w:space="0" w:color="auto"/>
              <w:bottom w:val="nil"/>
            </w:tcBorders>
            <w:tcMar>
              <w:top w:w="72" w:type="dxa"/>
              <w:left w:w="72" w:type="dxa"/>
              <w:bottom w:w="72" w:type="dxa"/>
              <w:right w:w="72" w:type="dxa"/>
            </w:tcMar>
            <w:vAlign w:val="center"/>
            <w:hideMark/>
          </w:tcPr>
          <w:p w14:paraId="04D3E077"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BBDADC"/>
                <w:kern w:val="24"/>
                <w:sz w:val="20"/>
                <w:szCs w:val="20"/>
                <w:lang w:eastAsia="en-GB"/>
              </w:rPr>
              <w:t>⬤</w:t>
            </w:r>
          </w:p>
        </w:tc>
        <w:tc>
          <w:tcPr>
            <w:tcW w:w="2190" w:type="pct"/>
            <w:tcBorders>
              <w:bottom w:val="nil"/>
            </w:tcBorders>
            <w:tcMar>
              <w:top w:w="72" w:type="dxa"/>
              <w:left w:w="72" w:type="dxa"/>
              <w:bottom w:w="72" w:type="dxa"/>
              <w:right w:w="72" w:type="dxa"/>
            </w:tcMar>
            <w:vAlign w:val="center"/>
            <w:hideMark/>
          </w:tcPr>
          <w:p w14:paraId="4F56DD77"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92D050"/>
                <w:kern w:val="24"/>
                <w:sz w:val="20"/>
                <w:szCs w:val="20"/>
                <w:lang w:eastAsia="en-GB"/>
              </w:rPr>
              <w:t>⬤</w:t>
            </w:r>
          </w:p>
        </w:tc>
      </w:tr>
      <w:tr w:rsidR="005F266E" w:rsidRPr="007051AA" w14:paraId="57D11C9B" w14:textId="77777777" w:rsidTr="00E72053">
        <w:trPr>
          <w:trHeight w:val="504"/>
        </w:trPr>
        <w:tc>
          <w:tcPr>
            <w:tcW w:w="1133" w:type="pct"/>
            <w:tcBorders>
              <w:top w:val="nil"/>
              <w:bottom w:val="nil"/>
            </w:tcBorders>
            <w:tcMar>
              <w:top w:w="72" w:type="dxa"/>
              <w:left w:w="72" w:type="dxa"/>
              <w:bottom w:w="72" w:type="dxa"/>
              <w:right w:w="72" w:type="dxa"/>
            </w:tcMar>
            <w:vAlign w:val="center"/>
            <w:hideMark/>
          </w:tcPr>
          <w:p w14:paraId="55A7D863" w14:textId="5A968037" w:rsidR="005F266E" w:rsidRPr="007051AA" w:rsidRDefault="00CB440A" w:rsidP="00E75FFA">
            <w:pPr>
              <w:pStyle w:val="tabletext"/>
              <w:rPr>
                <w:b/>
                <w:bCs/>
                <w:lang w:eastAsia="en-GB"/>
              </w:rPr>
            </w:pPr>
            <w:r w:rsidRPr="007051AA">
              <w:rPr>
                <w:rFonts w:eastAsiaTheme="minorEastAsia"/>
                <w:b/>
                <w:bCs/>
                <w:color w:val="000000" w:themeColor="text1"/>
                <w:kern w:val="24"/>
                <w:lang w:eastAsia="en-GB"/>
              </w:rPr>
              <w:t>England</w:t>
            </w:r>
            <w:r w:rsidR="005F266E" w:rsidRPr="007051AA">
              <w:rPr>
                <w:rFonts w:eastAsiaTheme="minorEastAsia"/>
                <w:b/>
                <w:bCs/>
                <w:color w:val="000000" w:themeColor="text1"/>
                <w:kern w:val="24"/>
                <w:lang w:eastAsia="en-GB"/>
              </w:rPr>
              <w:t>02</w:t>
            </w:r>
          </w:p>
        </w:tc>
        <w:tc>
          <w:tcPr>
            <w:tcW w:w="1677" w:type="pct"/>
            <w:tcBorders>
              <w:top w:val="nil"/>
              <w:bottom w:val="nil"/>
            </w:tcBorders>
            <w:tcMar>
              <w:top w:w="72" w:type="dxa"/>
              <w:left w:w="72" w:type="dxa"/>
              <w:bottom w:w="72" w:type="dxa"/>
              <w:right w:w="72" w:type="dxa"/>
            </w:tcMar>
            <w:vAlign w:val="center"/>
            <w:hideMark/>
          </w:tcPr>
          <w:p w14:paraId="232530B9" w14:textId="77777777" w:rsidR="005F266E" w:rsidRPr="007051AA" w:rsidRDefault="005F266E" w:rsidP="00E75FFA">
            <w:pPr>
              <w:pStyle w:val="tabletext"/>
              <w:jc w:val="center"/>
              <w:rPr>
                <w:rFonts w:eastAsia="Times New Roman" w:cstheme="minorHAnsi"/>
                <w:lang w:eastAsia="en-GB"/>
              </w:rPr>
            </w:pPr>
            <w:r w:rsidRPr="007051AA">
              <w:rPr>
                <w:lang w:eastAsia="en-GB"/>
              </w:rPr>
              <w:t>Variable by disease</w:t>
            </w:r>
          </w:p>
        </w:tc>
        <w:tc>
          <w:tcPr>
            <w:tcW w:w="2190" w:type="pct"/>
            <w:tcBorders>
              <w:top w:val="nil"/>
              <w:bottom w:val="nil"/>
            </w:tcBorders>
            <w:tcMar>
              <w:top w:w="72" w:type="dxa"/>
              <w:left w:w="72" w:type="dxa"/>
              <w:bottom w:w="72" w:type="dxa"/>
              <w:right w:w="72" w:type="dxa"/>
            </w:tcMar>
            <w:vAlign w:val="center"/>
            <w:hideMark/>
          </w:tcPr>
          <w:p w14:paraId="64CAEC1E"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92D050"/>
                <w:kern w:val="24"/>
                <w:sz w:val="20"/>
                <w:szCs w:val="20"/>
                <w:lang w:eastAsia="en-GB"/>
              </w:rPr>
              <w:t>⬤</w:t>
            </w:r>
          </w:p>
        </w:tc>
      </w:tr>
      <w:tr w:rsidR="005F266E" w:rsidRPr="007051AA" w14:paraId="57769DBE" w14:textId="77777777" w:rsidTr="00E72053">
        <w:trPr>
          <w:trHeight w:val="504"/>
        </w:trPr>
        <w:tc>
          <w:tcPr>
            <w:tcW w:w="1133" w:type="pct"/>
            <w:tcBorders>
              <w:top w:val="nil"/>
              <w:bottom w:val="nil"/>
            </w:tcBorders>
            <w:tcMar>
              <w:top w:w="72" w:type="dxa"/>
              <w:left w:w="72" w:type="dxa"/>
              <w:bottom w:w="72" w:type="dxa"/>
              <w:right w:w="72" w:type="dxa"/>
            </w:tcMar>
            <w:vAlign w:val="center"/>
            <w:hideMark/>
          </w:tcPr>
          <w:p w14:paraId="0C433AC2" w14:textId="20F9CCD7" w:rsidR="005F266E" w:rsidRPr="007051AA" w:rsidRDefault="00CB440A" w:rsidP="00E75FFA">
            <w:pPr>
              <w:pStyle w:val="tabletext"/>
              <w:rPr>
                <w:b/>
                <w:bCs/>
                <w:lang w:eastAsia="en-GB"/>
              </w:rPr>
            </w:pPr>
            <w:r w:rsidRPr="007051AA">
              <w:rPr>
                <w:rFonts w:eastAsiaTheme="minorEastAsia"/>
                <w:b/>
                <w:bCs/>
                <w:color w:val="000000" w:themeColor="text1"/>
                <w:kern w:val="24"/>
                <w:lang w:eastAsia="en-GB"/>
              </w:rPr>
              <w:t>England</w:t>
            </w:r>
            <w:r w:rsidR="005F266E" w:rsidRPr="007051AA">
              <w:rPr>
                <w:rFonts w:eastAsiaTheme="minorEastAsia"/>
                <w:b/>
                <w:bCs/>
                <w:color w:val="000000" w:themeColor="text1"/>
                <w:kern w:val="24"/>
                <w:lang w:eastAsia="en-GB"/>
              </w:rPr>
              <w:t>03</w:t>
            </w:r>
          </w:p>
        </w:tc>
        <w:tc>
          <w:tcPr>
            <w:tcW w:w="1677" w:type="pct"/>
            <w:tcBorders>
              <w:top w:val="nil"/>
              <w:bottom w:val="nil"/>
            </w:tcBorders>
            <w:tcMar>
              <w:top w:w="72" w:type="dxa"/>
              <w:left w:w="72" w:type="dxa"/>
              <w:bottom w:w="72" w:type="dxa"/>
              <w:right w:w="72" w:type="dxa"/>
            </w:tcMar>
            <w:vAlign w:val="center"/>
            <w:hideMark/>
          </w:tcPr>
          <w:p w14:paraId="0A31CCCB"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BBDADC"/>
                <w:kern w:val="24"/>
                <w:sz w:val="20"/>
                <w:szCs w:val="20"/>
                <w:lang w:eastAsia="en-GB"/>
              </w:rPr>
              <w:t>⬤</w:t>
            </w:r>
            <w:r w:rsidRPr="007051AA">
              <w:rPr>
                <w:rFonts w:eastAsiaTheme="minorEastAsia" w:cstheme="minorHAnsi"/>
                <w:color w:val="000000" w:themeColor="text1"/>
                <w:kern w:val="24"/>
                <w:sz w:val="20"/>
                <w:szCs w:val="20"/>
                <w:lang w:eastAsia="en-GB"/>
              </w:rPr>
              <w:t>/</w:t>
            </w:r>
            <w:r w:rsidRPr="007051AA">
              <w:rPr>
                <w:rFonts w:ascii="Segoe UI Symbol" w:eastAsiaTheme="minorEastAsia" w:hAnsi="Segoe UI Symbol" w:cs="Segoe UI Symbol"/>
                <w:color w:val="92D050"/>
                <w:kern w:val="24"/>
                <w:sz w:val="20"/>
                <w:szCs w:val="20"/>
                <w:lang w:eastAsia="en-GB"/>
              </w:rPr>
              <w:t>⬤</w:t>
            </w:r>
          </w:p>
        </w:tc>
        <w:tc>
          <w:tcPr>
            <w:tcW w:w="2190" w:type="pct"/>
            <w:tcBorders>
              <w:top w:val="nil"/>
              <w:bottom w:val="nil"/>
            </w:tcBorders>
            <w:tcMar>
              <w:top w:w="72" w:type="dxa"/>
              <w:left w:w="72" w:type="dxa"/>
              <w:bottom w:w="72" w:type="dxa"/>
              <w:right w:w="72" w:type="dxa"/>
            </w:tcMar>
            <w:vAlign w:val="center"/>
            <w:hideMark/>
          </w:tcPr>
          <w:p w14:paraId="338A3095"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BBDADC"/>
                <w:kern w:val="24"/>
                <w:sz w:val="20"/>
                <w:szCs w:val="20"/>
                <w:lang w:eastAsia="en-GB"/>
              </w:rPr>
              <w:t>⬤</w:t>
            </w:r>
          </w:p>
        </w:tc>
      </w:tr>
      <w:tr w:rsidR="005F266E" w:rsidRPr="007051AA" w14:paraId="28DD47E1" w14:textId="77777777" w:rsidTr="00E72053">
        <w:trPr>
          <w:trHeight w:val="267"/>
        </w:trPr>
        <w:tc>
          <w:tcPr>
            <w:tcW w:w="1133" w:type="pct"/>
            <w:tcBorders>
              <w:top w:val="nil"/>
              <w:bottom w:val="nil"/>
            </w:tcBorders>
            <w:tcMar>
              <w:top w:w="72" w:type="dxa"/>
              <w:left w:w="72" w:type="dxa"/>
              <w:bottom w:w="72" w:type="dxa"/>
              <w:right w:w="72" w:type="dxa"/>
            </w:tcMar>
            <w:vAlign w:val="center"/>
            <w:hideMark/>
          </w:tcPr>
          <w:p w14:paraId="7C8E6526" w14:textId="6002DCC5" w:rsidR="005F266E" w:rsidRPr="007051AA" w:rsidRDefault="00CB440A" w:rsidP="00E75FFA">
            <w:pPr>
              <w:pStyle w:val="tabletext"/>
              <w:rPr>
                <w:b/>
                <w:bCs/>
                <w:lang w:eastAsia="en-GB"/>
              </w:rPr>
            </w:pPr>
            <w:r w:rsidRPr="007051AA">
              <w:rPr>
                <w:rFonts w:eastAsiaTheme="minorEastAsia"/>
                <w:b/>
                <w:bCs/>
                <w:color w:val="000000" w:themeColor="text1"/>
                <w:kern w:val="24"/>
                <w:lang w:eastAsia="en-GB"/>
              </w:rPr>
              <w:t>England</w:t>
            </w:r>
            <w:r w:rsidR="005F266E" w:rsidRPr="007051AA">
              <w:rPr>
                <w:rFonts w:eastAsiaTheme="minorEastAsia"/>
                <w:b/>
                <w:bCs/>
                <w:color w:val="000000" w:themeColor="text1"/>
                <w:kern w:val="24"/>
                <w:lang w:eastAsia="en-GB"/>
              </w:rPr>
              <w:t>04</w:t>
            </w:r>
          </w:p>
        </w:tc>
        <w:tc>
          <w:tcPr>
            <w:tcW w:w="1677" w:type="pct"/>
            <w:tcBorders>
              <w:top w:val="nil"/>
              <w:bottom w:val="nil"/>
            </w:tcBorders>
            <w:tcMar>
              <w:top w:w="72" w:type="dxa"/>
              <w:left w:w="72" w:type="dxa"/>
              <w:bottom w:w="144" w:type="dxa"/>
              <w:right w:w="72" w:type="dxa"/>
            </w:tcMar>
            <w:vAlign w:val="center"/>
            <w:hideMark/>
          </w:tcPr>
          <w:p w14:paraId="7DCB6EEB"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00B050"/>
                <w:kern w:val="24"/>
                <w:sz w:val="20"/>
                <w:szCs w:val="20"/>
                <w:lang w:eastAsia="en-GB"/>
              </w:rPr>
              <w:t>⬤</w:t>
            </w:r>
          </w:p>
        </w:tc>
        <w:tc>
          <w:tcPr>
            <w:tcW w:w="2190" w:type="pct"/>
            <w:tcBorders>
              <w:top w:val="nil"/>
              <w:bottom w:val="nil"/>
            </w:tcBorders>
            <w:tcMar>
              <w:top w:w="72" w:type="dxa"/>
              <w:left w:w="15" w:type="dxa"/>
              <w:bottom w:w="144" w:type="dxa"/>
              <w:right w:w="15" w:type="dxa"/>
            </w:tcMar>
            <w:vAlign w:val="center"/>
            <w:hideMark/>
          </w:tcPr>
          <w:p w14:paraId="006B20FD" w14:textId="77777777" w:rsidR="005F266E" w:rsidRPr="007051AA" w:rsidRDefault="005F266E" w:rsidP="00E75FFA">
            <w:pPr>
              <w:pStyle w:val="tabletext"/>
              <w:jc w:val="center"/>
              <w:rPr>
                <w:rFonts w:eastAsia="Times New Roman"/>
                <w:lang w:eastAsia="en-GB"/>
              </w:rPr>
            </w:pPr>
            <w:r w:rsidRPr="007051AA">
              <w:rPr>
                <w:rFonts w:ascii="Segoe UI Symbol" w:eastAsiaTheme="minorEastAsia" w:hAnsi="Segoe UI Symbol" w:cs="Segoe UI Symbol"/>
                <w:color w:val="00B050"/>
                <w:kern w:val="24"/>
                <w:lang w:eastAsia="en-GB"/>
              </w:rPr>
              <w:t>⬤</w:t>
            </w:r>
            <w:r w:rsidRPr="007051AA">
              <w:rPr>
                <w:rFonts w:ascii="Segoe UI Symbol" w:eastAsiaTheme="minorEastAsia" w:hAnsi="Segoe UI Symbol" w:cs="Segoe UI Symbol"/>
                <w:color w:val="00B050"/>
                <w:kern w:val="24"/>
                <w:lang w:eastAsia="en-GB"/>
              </w:rPr>
              <w:br/>
            </w:r>
            <w:r w:rsidRPr="007051AA">
              <w:rPr>
                <w:lang w:eastAsia="en-GB"/>
              </w:rPr>
              <w:t>Potential high impact (CE-dependent)</w:t>
            </w:r>
          </w:p>
        </w:tc>
      </w:tr>
      <w:tr w:rsidR="005F266E" w:rsidRPr="007051AA" w14:paraId="65B5F755" w14:textId="77777777" w:rsidTr="00E72053">
        <w:trPr>
          <w:trHeight w:val="561"/>
        </w:trPr>
        <w:tc>
          <w:tcPr>
            <w:tcW w:w="1133" w:type="pct"/>
            <w:tcBorders>
              <w:top w:val="nil"/>
              <w:bottom w:val="nil"/>
            </w:tcBorders>
            <w:tcMar>
              <w:top w:w="72" w:type="dxa"/>
              <w:left w:w="72" w:type="dxa"/>
              <w:bottom w:w="72" w:type="dxa"/>
              <w:right w:w="72" w:type="dxa"/>
            </w:tcMar>
            <w:vAlign w:val="center"/>
            <w:hideMark/>
          </w:tcPr>
          <w:p w14:paraId="4C1B3E88" w14:textId="79D6D6DE" w:rsidR="005F266E" w:rsidRPr="007051AA" w:rsidRDefault="00CB440A" w:rsidP="00E75FFA">
            <w:pPr>
              <w:pStyle w:val="tabletext"/>
              <w:rPr>
                <w:b/>
                <w:bCs/>
                <w:lang w:eastAsia="en-GB"/>
              </w:rPr>
            </w:pPr>
            <w:r w:rsidRPr="007051AA">
              <w:rPr>
                <w:rFonts w:eastAsiaTheme="minorEastAsia"/>
                <w:b/>
                <w:bCs/>
                <w:color w:val="000000" w:themeColor="text1"/>
                <w:kern w:val="24"/>
                <w:lang w:eastAsia="en-GB"/>
              </w:rPr>
              <w:t>Germany</w:t>
            </w:r>
            <w:r w:rsidR="005F266E" w:rsidRPr="007051AA">
              <w:rPr>
                <w:rFonts w:eastAsiaTheme="minorEastAsia"/>
                <w:b/>
                <w:bCs/>
                <w:color w:val="000000" w:themeColor="text1"/>
                <w:kern w:val="24"/>
                <w:lang w:eastAsia="en-GB"/>
              </w:rPr>
              <w:t>01</w:t>
            </w:r>
          </w:p>
        </w:tc>
        <w:tc>
          <w:tcPr>
            <w:tcW w:w="1677" w:type="pct"/>
            <w:tcBorders>
              <w:top w:val="nil"/>
              <w:bottom w:val="nil"/>
            </w:tcBorders>
            <w:tcMar>
              <w:top w:w="72" w:type="dxa"/>
              <w:left w:w="72" w:type="dxa"/>
              <w:bottom w:w="72" w:type="dxa"/>
              <w:right w:w="72" w:type="dxa"/>
            </w:tcMar>
            <w:vAlign w:val="center"/>
            <w:hideMark/>
          </w:tcPr>
          <w:p w14:paraId="4C3ACACC"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00B050"/>
                <w:kern w:val="24"/>
                <w:sz w:val="20"/>
                <w:szCs w:val="20"/>
                <w:lang w:eastAsia="en-GB"/>
              </w:rPr>
              <w:t>⬤</w:t>
            </w:r>
          </w:p>
        </w:tc>
        <w:tc>
          <w:tcPr>
            <w:tcW w:w="2190" w:type="pct"/>
            <w:tcBorders>
              <w:top w:val="nil"/>
              <w:bottom w:val="nil"/>
            </w:tcBorders>
            <w:tcMar>
              <w:top w:w="72" w:type="dxa"/>
              <w:left w:w="72" w:type="dxa"/>
              <w:bottom w:w="72" w:type="dxa"/>
              <w:right w:w="72" w:type="dxa"/>
            </w:tcMar>
            <w:vAlign w:val="center"/>
            <w:hideMark/>
          </w:tcPr>
          <w:p w14:paraId="0682DF1C"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A6A6A6" w:themeColor="background1" w:themeShade="A6"/>
                <w:kern w:val="24"/>
                <w:sz w:val="20"/>
                <w:szCs w:val="20"/>
                <w:lang w:eastAsia="en-GB"/>
              </w:rPr>
              <w:t>⬤</w:t>
            </w:r>
          </w:p>
        </w:tc>
      </w:tr>
      <w:tr w:rsidR="005F266E" w:rsidRPr="007051AA" w14:paraId="6556EC8B" w14:textId="77777777" w:rsidTr="00E72053">
        <w:trPr>
          <w:trHeight w:val="561"/>
        </w:trPr>
        <w:tc>
          <w:tcPr>
            <w:tcW w:w="1133" w:type="pct"/>
            <w:tcBorders>
              <w:top w:val="nil"/>
              <w:bottom w:val="nil"/>
            </w:tcBorders>
            <w:tcMar>
              <w:top w:w="72" w:type="dxa"/>
              <w:left w:w="72" w:type="dxa"/>
              <w:bottom w:w="72" w:type="dxa"/>
              <w:right w:w="72" w:type="dxa"/>
            </w:tcMar>
            <w:vAlign w:val="center"/>
            <w:hideMark/>
          </w:tcPr>
          <w:p w14:paraId="10DE60A2" w14:textId="31308244" w:rsidR="005F266E" w:rsidRPr="007051AA" w:rsidRDefault="00CB440A" w:rsidP="00E75FFA">
            <w:pPr>
              <w:pStyle w:val="tabletext"/>
              <w:rPr>
                <w:b/>
                <w:bCs/>
                <w:lang w:eastAsia="en-GB"/>
              </w:rPr>
            </w:pPr>
            <w:r w:rsidRPr="007051AA">
              <w:rPr>
                <w:rFonts w:eastAsiaTheme="minorEastAsia"/>
                <w:b/>
                <w:bCs/>
                <w:color w:val="000000" w:themeColor="text1"/>
                <w:kern w:val="24"/>
                <w:lang w:eastAsia="en-GB"/>
              </w:rPr>
              <w:t>Germany</w:t>
            </w:r>
            <w:r w:rsidR="005F266E" w:rsidRPr="007051AA">
              <w:rPr>
                <w:rFonts w:eastAsiaTheme="minorEastAsia"/>
                <w:b/>
                <w:bCs/>
                <w:color w:val="000000" w:themeColor="text1"/>
                <w:kern w:val="24"/>
                <w:lang w:eastAsia="en-GB"/>
              </w:rPr>
              <w:t>02</w:t>
            </w:r>
          </w:p>
        </w:tc>
        <w:tc>
          <w:tcPr>
            <w:tcW w:w="1677" w:type="pct"/>
            <w:tcBorders>
              <w:top w:val="nil"/>
              <w:bottom w:val="nil"/>
            </w:tcBorders>
            <w:tcMar>
              <w:top w:w="72" w:type="dxa"/>
              <w:left w:w="72" w:type="dxa"/>
              <w:bottom w:w="72" w:type="dxa"/>
              <w:right w:w="72" w:type="dxa"/>
            </w:tcMar>
            <w:vAlign w:val="center"/>
            <w:hideMark/>
          </w:tcPr>
          <w:p w14:paraId="3E2DD7C8"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00B050"/>
                <w:kern w:val="24"/>
                <w:sz w:val="20"/>
                <w:szCs w:val="20"/>
                <w:lang w:eastAsia="en-GB"/>
              </w:rPr>
              <w:t>⬤</w:t>
            </w:r>
          </w:p>
        </w:tc>
        <w:tc>
          <w:tcPr>
            <w:tcW w:w="2190" w:type="pct"/>
            <w:tcBorders>
              <w:top w:val="nil"/>
              <w:bottom w:val="nil"/>
            </w:tcBorders>
            <w:tcMar>
              <w:top w:w="72" w:type="dxa"/>
              <w:left w:w="72" w:type="dxa"/>
              <w:bottom w:w="72" w:type="dxa"/>
              <w:right w:w="72" w:type="dxa"/>
            </w:tcMar>
            <w:vAlign w:val="center"/>
            <w:hideMark/>
          </w:tcPr>
          <w:p w14:paraId="7FBBDE95"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A6A6A6" w:themeColor="background1" w:themeShade="A6"/>
                <w:kern w:val="24"/>
                <w:sz w:val="20"/>
                <w:szCs w:val="20"/>
                <w:lang w:eastAsia="en-GB"/>
              </w:rPr>
              <w:t>⬤</w:t>
            </w:r>
          </w:p>
        </w:tc>
      </w:tr>
      <w:tr w:rsidR="005F266E" w:rsidRPr="007051AA" w14:paraId="07E06567" w14:textId="77777777" w:rsidTr="00064EE3">
        <w:trPr>
          <w:trHeight w:val="561"/>
        </w:trPr>
        <w:tc>
          <w:tcPr>
            <w:tcW w:w="1133" w:type="pct"/>
            <w:tcBorders>
              <w:top w:val="nil"/>
              <w:bottom w:val="nil"/>
            </w:tcBorders>
            <w:tcMar>
              <w:top w:w="72" w:type="dxa"/>
              <w:left w:w="72" w:type="dxa"/>
              <w:bottom w:w="72" w:type="dxa"/>
              <w:right w:w="72" w:type="dxa"/>
            </w:tcMar>
            <w:vAlign w:val="center"/>
            <w:hideMark/>
          </w:tcPr>
          <w:p w14:paraId="52BD786C" w14:textId="243FCB10" w:rsidR="005F266E" w:rsidRPr="007051AA" w:rsidRDefault="00CB440A" w:rsidP="00E75FFA">
            <w:pPr>
              <w:pStyle w:val="tabletext"/>
              <w:rPr>
                <w:b/>
                <w:bCs/>
                <w:lang w:eastAsia="en-GB"/>
              </w:rPr>
            </w:pPr>
            <w:r w:rsidRPr="007051AA">
              <w:rPr>
                <w:rFonts w:eastAsiaTheme="minorEastAsia"/>
                <w:b/>
                <w:bCs/>
                <w:color w:val="000000" w:themeColor="text1"/>
                <w:kern w:val="24"/>
                <w:lang w:eastAsia="en-GB"/>
              </w:rPr>
              <w:t>Germany</w:t>
            </w:r>
            <w:r w:rsidR="005F266E" w:rsidRPr="007051AA">
              <w:rPr>
                <w:rFonts w:eastAsiaTheme="minorEastAsia"/>
                <w:b/>
                <w:bCs/>
                <w:color w:val="000000" w:themeColor="text1"/>
                <w:kern w:val="24"/>
                <w:lang w:eastAsia="en-GB"/>
              </w:rPr>
              <w:t>03</w:t>
            </w:r>
          </w:p>
        </w:tc>
        <w:tc>
          <w:tcPr>
            <w:tcW w:w="1677" w:type="pct"/>
            <w:tcBorders>
              <w:top w:val="nil"/>
              <w:bottom w:val="nil"/>
            </w:tcBorders>
            <w:tcMar>
              <w:top w:w="72" w:type="dxa"/>
              <w:left w:w="72" w:type="dxa"/>
              <w:bottom w:w="72" w:type="dxa"/>
              <w:right w:w="72" w:type="dxa"/>
            </w:tcMar>
            <w:vAlign w:val="center"/>
            <w:hideMark/>
          </w:tcPr>
          <w:p w14:paraId="49C19E9A"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00B050"/>
                <w:kern w:val="24"/>
                <w:sz w:val="20"/>
                <w:szCs w:val="20"/>
                <w:lang w:eastAsia="en-GB"/>
              </w:rPr>
              <w:t>⬤</w:t>
            </w:r>
          </w:p>
        </w:tc>
        <w:tc>
          <w:tcPr>
            <w:tcW w:w="2190" w:type="pct"/>
            <w:tcBorders>
              <w:top w:val="nil"/>
              <w:bottom w:val="nil"/>
            </w:tcBorders>
            <w:tcMar>
              <w:top w:w="72" w:type="dxa"/>
              <w:left w:w="72" w:type="dxa"/>
              <w:bottom w:w="72" w:type="dxa"/>
              <w:right w:w="72" w:type="dxa"/>
            </w:tcMar>
            <w:vAlign w:val="center"/>
            <w:hideMark/>
          </w:tcPr>
          <w:p w14:paraId="23EE4BD8"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00B050"/>
                <w:kern w:val="24"/>
                <w:sz w:val="20"/>
                <w:szCs w:val="20"/>
                <w:lang w:eastAsia="en-GB"/>
              </w:rPr>
              <w:t>⬤</w:t>
            </w:r>
          </w:p>
        </w:tc>
      </w:tr>
      <w:tr w:rsidR="005F266E" w:rsidRPr="007051AA" w14:paraId="27CD6E01" w14:textId="77777777" w:rsidTr="00E72053">
        <w:trPr>
          <w:trHeight w:val="561"/>
        </w:trPr>
        <w:tc>
          <w:tcPr>
            <w:tcW w:w="1133" w:type="pct"/>
            <w:tcBorders>
              <w:top w:val="nil"/>
              <w:bottom w:val="nil"/>
            </w:tcBorders>
            <w:tcMar>
              <w:top w:w="72" w:type="dxa"/>
              <w:left w:w="72" w:type="dxa"/>
              <w:bottom w:w="72" w:type="dxa"/>
              <w:right w:w="72" w:type="dxa"/>
            </w:tcMar>
            <w:vAlign w:val="center"/>
            <w:hideMark/>
          </w:tcPr>
          <w:p w14:paraId="469EE248" w14:textId="59B2F0B2" w:rsidR="005F266E" w:rsidRPr="007051AA" w:rsidRDefault="00CB440A" w:rsidP="00E75FFA">
            <w:pPr>
              <w:pStyle w:val="tabletext"/>
              <w:rPr>
                <w:b/>
                <w:bCs/>
                <w:lang w:eastAsia="en-GB"/>
              </w:rPr>
            </w:pPr>
            <w:r w:rsidRPr="007051AA">
              <w:rPr>
                <w:rFonts w:eastAsiaTheme="minorEastAsia"/>
                <w:b/>
                <w:bCs/>
                <w:color w:val="000000" w:themeColor="text1"/>
                <w:kern w:val="24"/>
                <w:lang w:eastAsia="en-GB"/>
              </w:rPr>
              <w:t>Germany</w:t>
            </w:r>
            <w:r w:rsidR="005F266E" w:rsidRPr="007051AA">
              <w:rPr>
                <w:rFonts w:eastAsiaTheme="minorEastAsia"/>
                <w:b/>
                <w:bCs/>
                <w:color w:val="000000" w:themeColor="text1"/>
                <w:kern w:val="24"/>
                <w:lang w:eastAsia="en-GB"/>
              </w:rPr>
              <w:t>04</w:t>
            </w:r>
          </w:p>
        </w:tc>
        <w:tc>
          <w:tcPr>
            <w:tcW w:w="1677" w:type="pct"/>
            <w:tcBorders>
              <w:top w:val="nil"/>
              <w:bottom w:val="nil"/>
            </w:tcBorders>
            <w:tcMar>
              <w:top w:w="72" w:type="dxa"/>
              <w:left w:w="72" w:type="dxa"/>
              <w:bottom w:w="72" w:type="dxa"/>
              <w:right w:w="72" w:type="dxa"/>
            </w:tcMar>
            <w:vAlign w:val="center"/>
            <w:hideMark/>
          </w:tcPr>
          <w:p w14:paraId="585BB108"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00B050"/>
                <w:kern w:val="24"/>
                <w:sz w:val="20"/>
                <w:szCs w:val="20"/>
                <w:lang w:eastAsia="en-GB"/>
              </w:rPr>
              <w:t>⬤</w:t>
            </w:r>
          </w:p>
        </w:tc>
        <w:tc>
          <w:tcPr>
            <w:tcW w:w="2190" w:type="pct"/>
            <w:tcBorders>
              <w:top w:val="nil"/>
              <w:bottom w:val="nil"/>
            </w:tcBorders>
            <w:tcMar>
              <w:top w:w="72" w:type="dxa"/>
              <w:left w:w="72" w:type="dxa"/>
              <w:bottom w:w="72" w:type="dxa"/>
              <w:right w:w="72" w:type="dxa"/>
            </w:tcMar>
            <w:vAlign w:val="center"/>
            <w:hideMark/>
          </w:tcPr>
          <w:p w14:paraId="50A367AE"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92D050"/>
                <w:kern w:val="24"/>
                <w:sz w:val="20"/>
                <w:szCs w:val="20"/>
                <w:lang w:eastAsia="en-GB"/>
              </w:rPr>
              <w:t>⬤</w:t>
            </w:r>
          </w:p>
        </w:tc>
      </w:tr>
      <w:tr w:rsidR="005F266E" w:rsidRPr="007051AA" w14:paraId="139CEB6E" w14:textId="77777777" w:rsidTr="00E72053">
        <w:trPr>
          <w:trHeight w:val="681"/>
        </w:trPr>
        <w:tc>
          <w:tcPr>
            <w:tcW w:w="1133" w:type="pct"/>
            <w:tcBorders>
              <w:top w:val="nil"/>
              <w:bottom w:val="nil"/>
            </w:tcBorders>
            <w:tcMar>
              <w:top w:w="72" w:type="dxa"/>
              <w:left w:w="72" w:type="dxa"/>
              <w:bottom w:w="72" w:type="dxa"/>
              <w:right w:w="72" w:type="dxa"/>
            </w:tcMar>
            <w:vAlign w:val="center"/>
            <w:hideMark/>
          </w:tcPr>
          <w:p w14:paraId="0F01F681" w14:textId="4B7EA774" w:rsidR="005F266E" w:rsidRPr="007051AA" w:rsidRDefault="00CB440A" w:rsidP="00E75FFA">
            <w:pPr>
              <w:pStyle w:val="tabletext"/>
              <w:rPr>
                <w:b/>
                <w:bCs/>
                <w:lang w:eastAsia="en-GB"/>
              </w:rPr>
            </w:pPr>
            <w:r w:rsidRPr="007051AA">
              <w:rPr>
                <w:rFonts w:eastAsiaTheme="minorEastAsia"/>
                <w:b/>
                <w:bCs/>
                <w:color w:val="000000" w:themeColor="text1"/>
                <w:kern w:val="24"/>
                <w:lang w:eastAsia="en-GB"/>
              </w:rPr>
              <w:t>Germany</w:t>
            </w:r>
            <w:r w:rsidR="005F266E" w:rsidRPr="007051AA">
              <w:rPr>
                <w:rFonts w:eastAsiaTheme="minorEastAsia"/>
                <w:b/>
                <w:bCs/>
                <w:color w:val="000000" w:themeColor="text1"/>
                <w:kern w:val="24"/>
                <w:lang w:eastAsia="en-GB"/>
              </w:rPr>
              <w:t>05</w:t>
            </w:r>
          </w:p>
        </w:tc>
        <w:tc>
          <w:tcPr>
            <w:tcW w:w="1677" w:type="pct"/>
            <w:tcBorders>
              <w:top w:val="nil"/>
              <w:bottom w:val="nil"/>
            </w:tcBorders>
            <w:tcMar>
              <w:top w:w="72" w:type="dxa"/>
              <w:left w:w="72" w:type="dxa"/>
              <w:bottom w:w="72" w:type="dxa"/>
              <w:right w:w="72" w:type="dxa"/>
            </w:tcMar>
            <w:vAlign w:val="center"/>
            <w:hideMark/>
          </w:tcPr>
          <w:p w14:paraId="595A7A0B"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00B050"/>
                <w:kern w:val="24"/>
                <w:sz w:val="20"/>
                <w:szCs w:val="20"/>
                <w:lang w:eastAsia="en-GB"/>
              </w:rPr>
              <w:t>⬤</w:t>
            </w:r>
          </w:p>
        </w:tc>
        <w:tc>
          <w:tcPr>
            <w:tcW w:w="2190" w:type="pct"/>
            <w:tcBorders>
              <w:top w:val="nil"/>
              <w:bottom w:val="nil"/>
            </w:tcBorders>
            <w:tcMar>
              <w:top w:w="72" w:type="dxa"/>
              <w:left w:w="72" w:type="dxa"/>
              <w:bottom w:w="72" w:type="dxa"/>
              <w:right w:w="72" w:type="dxa"/>
            </w:tcMar>
            <w:vAlign w:val="center"/>
            <w:hideMark/>
          </w:tcPr>
          <w:p w14:paraId="7F08E743"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00B050"/>
                <w:kern w:val="24"/>
                <w:sz w:val="20"/>
                <w:szCs w:val="20"/>
                <w:lang w:eastAsia="en-GB"/>
              </w:rPr>
              <w:t>⬤</w:t>
            </w:r>
          </w:p>
        </w:tc>
      </w:tr>
      <w:tr w:rsidR="005F266E" w:rsidRPr="007051AA" w14:paraId="4A521F5D" w14:textId="77777777" w:rsidTr="00E72053">
        <w:trPr>
          <w:trHeight w:val="450"/>
        </w:trPr>
        <w:tc>
          <w:tcPr>
            <w:tcW w:w="1133" w:type="pct"/>
            <w:tcBorders>
              <w:top w:val="nil"/>
              <w:bottom w:val="nil"/>
            </w:tcBorders>
            <w:tcMar>
              <w:top w:w="72" w:type="dxa"/>
              <w:left w:w="72" w:type="dxa"/>
              <w:bottom w:w="72" w:type="dxa"/>
              <w:right w:w="72" w:type="dxa"/>
            </w:tcMar>
            <w:vAlign w:val="center"/>
            <w:hideMark/>
          </w:tcPr>
          <w:p w14:paraId="060098A1" w14:textId="6299B246" w:rsidR="005F266E" w:rsidRPr="007051AA" w:rsidRDefault="00CB440A" w:rsidP="00E75FFA">
            <w:pPr>
              <w:pStyle w:val="tabletext"/>
              <w:rPr>
                <w:b/>
                <w:bCs/>
                <w:lang w:eastAsia="en-GB"/>
              </w:rPr>
            </w:pPr>
            <w:r w:rsidRPr="007051AA">
              <w:rPr>
                <w:rFonts w:eastAsiaTheme="minorEastAsia"/>
                <w:b/>
                <w:bCs/>
                <w:color w:val="000000" w:themeColor="text1"/>
                <w:kern w:val="24"/>
                <w:lang w:eastAsia="en-GB"/>
              </w:rPr>
              <w:t>France</w:t>
            </w:r>
            <w:r w:rsidR="005F266E" w:rsidRPr="007051AA">
              <w:rPr>
                <w:rFonts w:eastAsiaTheme="minorEastAsia"/>
                <w:b/>
                <w:bCs/>
                <w:color w:val="000000" w:themeColor="text1"/>
                <w:kern w:val="24"/>
                <w:lang w:eastAsia="en-GB"/>
              </w:rPr>
              <w:t>01</w:t>
            </w:r>
          </w:p>
        </w:tc>
        <w:tc>
          <w:tcPr>
            <w:tcW w:w="1677" w:type="pct"/>
            <w:tcBorders>
              <w:top w:val="nil"/>
              <w:bottom w:val="nil"/>
            </w:tcBorders>
            <w:tcMar>
              <w:top w:w="72" w:type="dxa"/>
              <w:left w:w="72" w:type="dxa"/>
              <w:bottom w:w="72" w:type="dxa"/>
              <w:right w:w="72" w:type="dxa"/>
            </w:tcMar>
            <w:vAlign w:val="center"/>
            <w:hideMark/>
          </w:tcPr>
          <w:p w14:paraId="5FEC1EC5"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92D050"/>
                <w:kern w:val="24"/>
                <w:sz w:val="20"/>
                <w:szCs w:val="20"/>
                <w:lang w:eastAsia="en-GB"/>
              </w:rPr>
              <w:t>⬤</w:t>
            </w:r>
          </w:p>
        </w:tc>
        <w:tc>
          <w:tcPr>
            <w:tcW w:w="2190" w:type="pct"/>
            <w:tcBorders>
              <w:top w:val="nil"/>
              <w:bottom w:val="nil"/>
            </w:tcBorders>
            <w:tcMar>
              <w:top w:w="72" w:type="dxa"/>
              <w:left w:w="72" w:type="dxa"/>
              <w:bottom w:w="72" w:type="dxa"/>
              <w:right w:w="72" w:type="dxa"/>
            </w:tcMar>
            <w:vAlign w:val="center"/>
            <w:hideMark/>
          </w:tcPr>
          <w:p w14:paraId="006553F2"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BBDADC"/>
                <w:kern w:val="24"/>
                <w:sz w:val="20"/>
                <w:szCs w:val="20"/>
                <w:lang w:eastAsia="en-GB"/>
              </w:rPr>
              <w:t>⬤</w:t>
            </w:r>
          </w:p>
        </w:tc>
      </w:tr>
      <w:tr w:rsidR="005F266E" w:rsidRPr="007051AA" w14:paraId="4113B525" w14:textId="77777777" w:rsidTr="00E72053">
        <w:trPr>
          <w:trHeight w:val="450"/>
        </w:trPr>
        <w:tc>
          <w:tcPr>
            <w:tcW w:w="1133" w:type="pct"/>
            <w:tcBorders>
              <w:top w:val="nil"/>
              <w:bottom w:val="nil"/>
            </w:tcBorders>
            <w:tcMar>
              <w:top w:w="72" w:type="dxa"/>
              <w:left w:w="72" w:type="dxa"/>
              <w:bottom w:w="72" w:type="dxa"/>
              <w:right w:w="72" w:type="dxa"/>
            </w:tcMar>
            <w:vAlign w:val="center"/>
            <w:hideMark/>
          </w:tcPr>
          <w:p w14:paraId="4B8A1252" w14:textId="46DABAC4" w:rsidR="005F266E" w:rsidRPr="007051AA" w:rsidRDefault="00CB440A" w:rsidP="00E75FFA">
            <w:pPr>
              <w:pStyle w:val="tabletext"/>
              <w:rPr>
                <w:b/>
                <w:bCs/>
                <w:lang w:eastAsia="en-GB"/>
              </w:rPr>
            </w:pPr>
            <w:r w:rsidRPr="007051AA">
              <w:rPr>
                <w:rFonts w:eastAsiaTheme="minorEastAsia"/>
                <w:b/>
                <w:bCs/>
                <w:color w:val="000000" w:themeColor="text1"/>
                <w:kern w:val="24"/>
                <w:lang w:eastAsia="en-GB"/>
              </w:rPr>
              <w:t>France</w:t>
            </w:r>
            <w:r w:rsidR="005F266E" w:rsidRPr="007051AA">
              <w:rPr>
                <w:rFonts w:eastAsiaTheme="minorEastAsia"/>
                <w:b/>
                <w:bCs/>
                <w:color w:val="000000" w:themeColor="text1"/>
                <w:kern w:val="24"/>
                <w:lang w:eastAsia="en-GB"/>
              </w:rPr>
              <w:t>02</w:t>
            </w:r>
          </w:p>
        </w:tc>
        <w:tc>
          <w:tcPr>
            <w:tcW w:w="1677" w:type="pct"/>
            <w:tcBorders>
              <w:top w:val="nil"/>
              <w:bottom w:val="nil"/>
            </w:tcBorders>
            <w:tcMar>
              <w:top w:w="72" w:type="dxa"/>
              <w:left w:w="72" w:type="dxa"/>
              <w:bottom w:w="72" w:type="dxa"/>
              <w:right w:w="72" w:type="dxa"/>
            </w:tcMar>
            <w:vAlign w:val="center"/>
            <w:hideMark/>
          </w:tcPr>
          <w:p w14:paraId="0AEDAC5C"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BBDADC"/>
                <w:kern w:val="24"/>
                <w:sz w:val="20"/>
                <w:szCs w:val="20"/>
                <w:lang w:eastAsia="en-GB"/>
              </w:rPr>
              <w:t>⬤</w:t>
            </w:r>
          </w:p>
        </w:tc>
        <w:tc>
          <w:tcPr>
            <w:tcW w:w="2190" w:type="pct"/>
            <w:tcBorders>
              <w:top w:val="nil"/>
              <w:bottom w:val="nil"/>
            </w:tcBorders>
            <w:tcMar>
              <w:top w:w="72" w:type="dxa"/>
              <w:left w:w="72" w:type="dxa"/>
              <w:bottom w:w="72" w:type="dxa"/>
              <w:right w:w="72" w:type="dxa"/>
            </w:tcMar>
            <w:vAlign w:val="center"/>
            <w:hideMark/>
          </w:tcPr>
          <w:p w14:paraId="5AF9ED5B"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BBDADC"/>
                <w:kern w:val="24"/>
                <w:sz w:val="20"/>
                <w:szCs w:val="20"/>
                <w:lang w:eastAsia="en-GB"/>
              </w:rPr>
              <w:t>⬤</w:t>
            </w:r>
          </w:p>
        </w:tc>
      </w:tr>
      <w:tr w:rsidR="005F266E" w:rsidRPr="007051AA" w14:paraId="2E600A58" w14:textId="77777777" w:rsidTr="00E72053">
        <w:trPr>
          <w:trHeight w:val="450"/>
        </w:trPr>
        <w:tc>
          <w:tcPr>
            <w:tcW w:w="1133" w:type="pct"/>
            <w:tcBorders>
              <w:top w:val="nil"/>
            </w:tcBorders>
            <w:tcMar>
              <w:top w:w="72" w:type="dxa"/>
              <w:left w:w="72" w:type="dxa"/>
              <w:bottom w:w="72" w:type="dxa"/>
              <w:right w:w="72" w:type="dxa"/>
            </w:tcMar>
            <w:vAlign w:val="center"/>
            <w:hideMark/>
          </w:tcPr>
          <w:p w14:paraId="2C19144D" w14:textId="568AE067" w:rsidR="005F266E" w:rsidRPr="007051AA" w:rsidRDefault="00CB440A" w:rsidP="00E75FFA">
            <w:pPr>
              <w:pStyle w:val="tabletext"/>
              <w:rPr>
                <w:b/>
                <w:bCs/>
                <w:lang w:eastAsia="en-GB"/>
              </w:rPr>
            </w:pPr>
            <w:r w:rsidRPr="007051AA">
              <w:rPr>
                <w:rFonts w:eastAsiaTheme="minorEastAsia"/>
                <w:b/>
                <w:bCs/>
                <w:color w:val="000000" w:themeColor="text1"/>
                <w:kern w:val="24"/>
                <w:lang w:eastAsia="en-GB"/>
              </w:rPr>
              <w:t>France</w:t>
            </w:r>
            <w:r w:rsidR="005F266E" w:rsidRPr="007051AA">
              <w:rPr>
                <w:rFonts w:eastAsiaTheme="minorEastAsia"/>
                <w:b/>
                <w:bCs/>
                <w:color w:val="000000" w:themeColor="text1"/>
                <w:kern w:val="24"/>
                <w:lang w:eastAsia="en-GB"/>
              </w:rPr>
              <w:t>03</w:t>
            </w:r>
          </w:p>
        </w:tc>
        <w:tc>
          <w:tcPr>
            <w:tcW w:w="1677" w:type="pct"/>
            <w:tcBorders>
              <w:top w:val="nil"/>
            </w:tcBorders>
            <w:tcMar>
              <w:top w:w="72" w:type="dxa"/>
              <w:left w:w="72" w:type="dxa"/>
              <w:bottom w:w="72" w:type="dxa"/>
              <w:right w:w="72" w:type="dxa"/>
            </w:tcMar>
            <w:vAlign w:val="center"/>
            <w:hideMark/>
          </w:tcPr>
          <w:p w14:paraId="592C88DD"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00B050"/>
                <w:kern w:val="24"/>
                <w:sz w:val="20"/>
                <w:szCs w:val="20"/>
                <w:lang w:eastAsia="en-GB"/>
              </w:rPr>
              <w:t>⬤</w:t>
            </w:r>
          </w:p>
        </w:tc>
        <w:tc>
          <w:tcPr>
            <w:tcW w:w="2190" w:type="pct"/>
            <w:tcBorders>
              <w:top w:val="nil"/>
            </w:tcBorders>
            <w:tcMar>
              <w:top w:w="72" w:type="dxa"/>
              <w:left w:w="72" w:type="dxa"/>
              <w:bottom w:w="72" w:type="dxa"/>
              <w:right w:w="72" w:type="dxa"/>
            </w:tcMar>
            <w:vAlign w:val="center"/>
            <w:hideMark/>
          </w:tcPr>
          <w:p w14:paraId="1C8B7DA6" w14:textId="77777777" w:rsidR="005F266E" w:rsidRPr="007051AA" w:rsidRDefault="005F266E" w:rsidP="00E75FFA">
            <w:pPr>
              <w:spacing w:after="0" w:line="240" w:lineRule="auto"/>
              <w:jc w:val="center"/>
              <w:rPr>
                <w:rFonts w:eastAsia="Times New Roman" w:cstheme="minorHAnsi"/>
                <w:sz w:val="20"/>
                <w:szCs w:val="20"/>
                <w:lang w:eastAsia="en-GB"/>
              </w:rPr>
            </w:pPr>
            <w:r w:rsidRPr="007051AA">
              <w:rPr>
                <w:rFonts w:ascii="Segoe UI Symbol" w:eastAsiaTheme="minorEastAsia" w:hAnsi="Segoe UI Symbol" w:cs="Segoe UI Symbol"/>
                <w:color w:val="00B050"/>
                <w:kern w:val="24"/>
                <w:sz w:val="20"/>
                <w:szCs w:val="20"/>
                <w:lang w:eastAsia="en-GB"/>
              </w:rPr>
              <w:t>⬤</w:t>
            </w:r>
          </w:p>
        </w:tc>
      </w:tr>
      <w:tr w:rsidR="005F266E" w:rsidRPr="007051AA" w14:paraId="15D28C1E" w14:textId="77777777" w:rsidTr="00E75FFA">
        <w:trPr>
          <w:trHeight w:val="450"/>
        </w:trPr>
        <w:tc>
          <w:tcPr>
            <w:tcW w:w="5000" w:type="pct"/>
            <w:gridSpan w:val="3"/>
            <w:tcMar>
              <w:top w:w="72" w:type="dxa"/>
              <w:left w:w="72" w:type="dxa"/>
              <w:bottom w:w="72" w:type="dxa"/>
              <w:right w:w="72" w:type="dxa"/>
            </w:tcMar>
            <w:vAlign w:val="center"/>
            <w:hideMark/>
          </w:tcPr>
          <w:p w14:paraId="35799EEC" w14:textId="77777777" w:rsidR="005F266E" w:rsidRPr="007051AA" w:rsidRDefault="005F266E" w:rsidP="00E75FFA">
            <w:pPr>
              <w:spacing w:after="0" w:line="240" w:lineRule="auto"/>
              <w:rPr>
                <w:rFonts w:eastAsia="Times New Roman" w:cstheme="minorHAnsi"/>
                <w:sz w:val="20"/>
                <w:szCs w:val="20"/>
                <w:lang w:eastAsia="en-GB"/>
              </w:rPr>
            </w:pPr>
            <w:r w:rsidRPr="007051AA">
              <w:rPr>
                <w:rFonts w:eastAsia="Times New Roman" w:cstheme="minorHAnsi"/>
                <w:noProof/>
                <w:sz w:val="20"/>
                <w:szCs w:val="20"/>
                <w:lang w:eastAsia="en-GB"/>
              </w:rPr>
              <mc:AlternateContent>
                <mc:Choice Requires="wpg">
                  <w:drawing>
                    <wp:anchor distT="0" distB="0" distL="114300" distR="114300" simplePos="0" relativeHeight="251658240" behindDoc="0" locked="0" layoutInCell="1" allowOverlap="1" wp14:anchorId="081E6BC5" wp14:editId="1219283B">
                      <wp:simplePos x="0" y="0"/>
                      <wp:positionH relativeFrom="column">
                        <wp:posOffset>-635</wp:posOffset>
                      </wp:positionH>
                      <wp:positionV relativeFrom="paragraph">
                        <wp:posOffset>44450</wp:posOffset>
                      </wp:positionV>
                      <wp:extent cx="5398770" cy="201930"/>
                      <wp:effectExtent l="0" t="0" r="0" b="7620"/>
                      <wp:wrapNone/>
                      <wp:docPr id="17" name="Group 16">
                        <a:extLst xmlns:a="http://schemas.openxmlformats.org/drawingml/2006/main">
                          <a:ext uri="{FF2B5EF4-FFF2-40B4-BE49-F238E27FC236}">
                            <a16:creationId xmlns:a16="http://schemas.microsoft.com/office/drawing/2014/main" id="{EC2840F8-C01D-1431-2622-7CD9EA29EEA9}"/>
                          </a:ext>
                        </a:extLst>
                      </wp:docPr>
                      <wp:cNvGraphicFramePr/>
                      <a:graphic xmlns:a="http://schemas.openxmlformats.org/drawingml/2006/main">
                        <a:graphicData uri="http://schemas.microsoft.com/office/word/2010/wordprocessingGroup">
                          <wpg:wgp>
                            <wpg:cNvGrpSpPr/>
                            <wpg:grpSpPr>
                              <a:xfrm>
                                <a:off x="0" y="0"/>
                                <a:ext cx="5398770" cy="201930"/>
                                <a:chOff x="38103" y="36078"/>
                                <a:chExt cx="5399525" cy="204059"/>
                              </a:xfrm>
                            </wpg:grpSpPr>
                            <wpg:grpSp>
                              <wpg:cNvPr id="551873474" name="Group 551873474">
                                <a:extLst>
                                  <a:ext uri="{FF2B5EF4-FFF2-40B4-BE49-F238E27FC236}">
                                    <a16:creationId xmlns:a16="http://schemas.microsoft.com/office/drawing/2014/main" id="{25E4EE02-E371-EB6D-525C-F9D1160F8930}"/>
                                  </a:ext>
                                </a:extLst>
                              </wpg:cNvPr>
                              <wpg:cNvGrpSpPr/>
                              <wpg:grpSpPr>
                                <a:xfrm>
                                  <a:off x="950769" y="39565"/>
                                  <a:ext cx="1176830" cy="177604"/>
                                  <a:chOff x="944739" y="42297"/>
                                  <a:chExt cx="1251296" cy="189871"/>
                                </a:xfrm>
                              </wpg:grpSpPr>
                              <wps:wsp>
                                <wps:cNvPr id="1337342381" name="Oval 1337342381">
                                  <a:extLst>
                                    <a:ext uri="{FF2B5EF4-FFF2-40B4-BE49-F238E27FC236}">
                                      <a16:creationId xmlns:a16="http://schemas.microsoft.com/office/drawing/2014/main" id="{626D9E75-4D54-D459-9838-4E2EE333D3D6}"/>
                                    </a:ext>
                                  </a:extLst>
                                </wps:cNvPr>
                                <wps:cNvSpPr>
                                  <a:spLocks noChangeAspect="1"/>
                                </wps:cNvSpPr>
                                <wps:spPr>
                                  <a:xfrm>
                                    <a:off x="944739" y="53128"/>
                                    <a:ext cx="175007" cy="175008"/>
                                  </a:xfrm>
                                  <a:prstGeom prst="ellipse">
                                    <a:avLst/>
                                  </a:prstGeom>
                                  <a:solidFill>
                                    <a:srgbClr val="92D050"/>
                                  </a:solidFill>
                                  <a:ln w="25400" cap="flat" cmpd="sng" algn="ctr">
                                    <a:noFill/>
                                    <a:prstDash val="solid"/>
                                  </a:ln>
                                  <a:effectLst/>
                                </wps:spPr>
                                <wps:bodyPr lIns="72000" tIns="36000" rIns="72000" bIns="36000" rtlCol="0" anchor="t"/>
                              </wps:wsp>
                              <wps:wsp>
                                <wps:cNvPr id="1161232470" name="TextBox 29">
                                  <a:extLst>
                                    <a:ext uri="{FF2B5EF4-FFF2-40B4-BE49-F238E27FC236}">
                                      <a16:creationId xmlns:a16="http://schemas.microsoft.com/office/drawing/2014/main" id="{CAEB1840-72D8-45E4-A8A3-BB8ABC075C3F}"/>
                                    </a:ext>
                                  </a:extLst>
                                </wps:cNvPr>
                                <wps:cNvSpPr txBox="1"/>
                                <wps:spPr>
                                  <a:xfrm>
                                    <a:off x="1095132" y="42297"/>
                                    <a:ext cx="1100903" cy="189871"/>
                                  </a:xfrm>
                                  <a:prstGeom prst="rect">
                                    <a:avLst/>
                                  </a:prstGeom>
                                  <a:noFill/>
                                </wps:spPr>
                                <wps:txbx>
                                  <w:txbxContent>
                                    <w:p w14:paraId="578340B0" w14:textId="77777777" w:rsidR="005F266E" w:rsidRPr="009006DA" w:rsidRDefault="005F266E" w:rsidP="005F266E">
                                      <w:pPr>
                                        <w:spacing w:line="288" w:lineRule="auto"/>
                                        <w:textAlignment w:val="baseline"/>
                                        <w:rPr>
                                          <w:rFonts w:cstheme="minorHAnsi"/>
                                          <w:color w:val="000000" w:themeColor="text1"/>
                                          <w:sz w:val="20"/>
                                          <w:szCs w:val="20"/>
                                        </w:rPr>
                                      </w:pPr>
                                      <w:r w:rsidRPr="009006DA">
                                        <w:rPr>
                                          <w:rFonts w:cstheme="minorHAnsi"/>
                                          <w:color w:val="000000" w:themeColor="text1"/>
                                          <w:sz w:val="20"/>
                                          <w:szCs w:val="20"/>
                                        </w:rPr>
                                        <w:t>Moderate impact</w:t>
                                      </w:r>
                                      <w:r w:rsidRPr="007D3AEC">
                                        <w:rPr>
                                          <w:rFonts w:cs="Times New Roman"/>
                                          <w:color w:val="000000" w:themeColor="text1"/>
                                          <w:sz w:val="20"/>
                                          <w:szCs w:val="20"/>
                                          <w:vertAlign w:val="superscript"/>
                                        </w:rPr>
                                        <w:t>§</w:t>
                                      </w:r>
                                    </w:p>
                                  </w:txbxContent>
                                </wps:txbx>
                                <wps:bodyPr wrap="square" lIns="72000" tIns="0" rIns="0" bIns="0" rtlCol="0">
                                  <a:noAutofit/>
                                </wps:bodyPr>
                              </wps:wsp>
                            </wpg:grpSp>
                            <wps:wsp>
                              <wps:cNvPr id="2005425897" name="TextBox 19">
                                <a:extLst>
                                  <a:ext uri="{FF2B5EF4-FFF2-40B4-BE49-F238E27FC236}">
                                    <a16:creationId xmlns:a16="http://schemas.microsoft.com/office/drawing/2014/main" id="{480921D1-370D-CF76-B144-B917E6354C42}"/>
                                  </a:ext>
                                </a:extLst>
                              </wps:cNvPr>
                              <wps:cNvSpPr txBox="1"/>
                              <wps:spPr>
                                <a:xfrm>
                                  <a:off x="211398" y="36078"/>
                                  <a:ext cx="839238" cy="141528"/>
                                </a:xfrm>
                                <a:prstGeom prst="rect">
                                  <a:avLst/>
                                </a:prstGeom>
                                <a:noFill/>
                              </wps:spPr>
                              <wps:txbx>
                                <w:txbxContent>
                                  <w:p w14:paraId="615582EB" w14:textId="77777777" w:rsidR="005F266E" w:rsidRPr="009006DA" w:rsidRDefault="005F266E" w:rsidP="005F266E">
                                    <w:pPr>
                                      <w:spacing w:line="288" w:lineRule="auto"/>
                                      <w:textAlignment w:val="baseline"/>
                                      <w:rPr>
                                        <w:rFonts w:cstheme="minorHAnsi"/>
                                        <w:color w:val="000000" w:themeColor="text1"/>
                                        <w:sz w:val="20"/>
                                        <w:szCs w:val="20"/>
                                      </w:rPr>
                                    </w:pPr>
                                    <w:r w:rsidRPr="009006DA">
                                      <w:rPr>
                                        <w:rFonts w:cstheme="minorHAnsi"/>
                                        <w:color w:val="000000" w:themeColor="text1"/>
                                        <w:sz w:val="20"/>
                                        <w:szCs w:val="20"/>
                                      </w:rPr>
                                      <w:t>Low impact</w:t>
                                    </w:r>
                                    <w:r w:rsidRPr="00B6560A">
                                      <w:rPr>
                                        <w:rFonts w:cs="Times New Roman"/>
                                        <w:color w:val="000000" w:themeColor="text1"/>
                                        <w:sz w:val="20"/>
                                        <w:szCs w:val="20"/>
                                        <w:vertAlign w:val="superscript"/>
                                      </w:rPr>
                                      <w:t>‡</w:t>
                                    </w:r>
                                  </w:p>
                                </w:txbxContent>
                              </wps:txbx>
                              <wps:bodyPr wrap="square" lIns="72000" tIns="0" rIns="0" bIns="0" rtlCol="0">
                                <a:noAutofit/>
                              </wps:bodyPr>
                            </wps:wsp>
                            <wps:wsp>
                              <wps:cNvPr id="839463784" name="Oval 839463784">
                                <a:extLst>
                                  <a:ext uri="{FF2B5EF4-FFF2-40B4-BE49-F238E27FC236}">
                                    <a16:creationId xmlns:a16="http://schemas.microsoft.com/office/drawing/2014/main" id="{EA64C689-4CF8-4454-3655-44242F954456}"/>
                                  </a:ext>
                                </a:extLst>
                              </wps:cNvPr>
                              <wps:cNvSpPr>
                                <a:spLocks noChangeAspect="1"/>
                              </wps:cNvSpPr>
                              <wps:spPr>
                                <a:xfrm>
                                  <a:off x="38103" y="59227"/>
                                  <a:ext cx="164592" cy="163701"/>
                                </a:xfrm>
                                <a:prstGeom prst="ellipse">
                                  <a:avLst/>
                                </a:prstGeom>
                                <a:solidFill>
                                  <a:srgbClr val="BBDADC"/>
                                </a:solidFill>
                                <a:ln w="25400" cap="flat" cmpd="sng" algn="ctr">
                                  <a:noFill/>
                                  <a:prstDash val="solid"/>
                                </a:ln>
                                <a:effectLst/>
                              </wps:spPr>
                              <wps:bodyPr lIns="72000" tIns="36000" rIns="72000" bIns="36000" rtlCol="0" anchor="t"/>
                            </wps:wsp>
                            <wps:wsp>
                              <wps:cNvPr id="1002147511" name="Oval 1002147511">
                                <a:extLst>
                                  <a:ext uri="{FF2B5EF4-FFF2-40B4-BE49-F238E27FC236}">
                                    <a16:creationId xmlns:a16="http://schemas.microsoft.com/office/drawing/2014/main" id="{82A977B6-FB58-6241-1801-69877087A9C0}"/>
                                  </a:ext>
                                </a:extLst>
                              </wps:cNvPr>
                              <wps:cNvSpPr>
                                <a:spLocks noChangeAspect="1"/>
                              </wps:cNvSpPr>
                              <wps:spPr>
                                <a:xfrm>
                                  <a:off x="3068604" y="51603"/>
                                  <a:ext cx="164592" cy="163702"/>
                                </a:xfrm>
                                <a:prstGeom prst="ellipse">
                                  <a:avLst/>
                                </a:prstGeom>
                                <a:solidFill>
                                  <a:sysClr val="window" lastClr="FFFFFF">
                                    <a:lumMod val="65000"/>
                                  </a:sysClr>
                                </a:solidFill>
                                <a:ln w="25400" cap="flat" cmpd="sng" algn="ctr">
                                  <a:noFill/>
                                  <a:prstDash val="solid"/>
                                </a:ln>
                                <a:effectLst/>
                              </wps:spPr>
                              <wps:bodyPr lIns="72000" tIns="36000" rIns="72000" bIns="36000" rtlCol="0" anchor="t"/>
                            </wps:wsp>
                            <wps:wsp>
                              <wps:cNvPr id="1704787448" name="TextBox 24">
                                <a:extLst>
                                  <a:ext uri="{FF2B5EF4-FFF2-40B4-BE49-F238E27FC236}">
                                    <a16:creationId xmlns:a16="http://schemas.microsoft.com/office/drawing/2014/main" id="{EC6B1AB2-8335-DE3F-66A4-9895A33D55EA}"/>
                                  </a:ext>
                                </a:extLst>
                              </wps:cNvPr>
                              <wps:cNvSpPr txBox="1"/>
                              <wps:spPr>
                                <a:xfrm>
                                  <a:off x="3261775" y="39564"/>
                                  <a:ext cx="2175853" cy="200573"/>
                                </a:xfrm>
                                <a:prstGeom prst="rect">
                                  <a:avLst/>
                                </a:prstGeom>
                                <a:noFill/>
                              </wps:spPr>
                              <wps:txbx>
                                <w:txbxContent>
                                  <w:p w14:paraId="288C4930" w14:textId="77777777" w:rsidR="005F266E" w:rsidRPr="009006DA" w:rsidRDefault="005F266E" w:rsidP="005F266E">
                                    <w:pPr>
                                      <w:spacing w:line="288" w:lineRule="auto"/>
                                      <w:textAlignment w:val="baseline"/>
                                      <w:rPr>
                                        <w:rFonts w:cstheme="minorHAnsi"/>
                                        <w:color w:val="000000" w:themeColor="text1"/>
                                        <w:sz w:val="20"/>
                                        <w:szCs w:val="20"/>
                                      </w:rPr>
                                    </w:pPr>
                                    <w:r w:rsidRPr="009006DA">
                                      <w:rPr>
                                        <w:rFonts w:cstheme="minorHAnsi"/>
                                        <w:color w:val="000000" w:themeColor="text1"/>
                                        <w:sz w:val="20"/>
                                        <w:szCs w:val="20"/>
                                      </w:rPr>
                                      <w:t>Indirect impact</w:t>
                                    </w:r>
                                    <w:r>
                                      <w:rPr>
                                        <w:rFonts w:cs="Times New Roman"/>
                                        <w:color w:val="000000" w:themeColor="text1"/>
                                        <w:sz w:val="20"/>
                                        <w:szCs w:val="20"/>
                                        <w:vertAlign w:val="superscript"/>
                                      </w:rPr>
                                      <w:t>††</w:t>
                                    </w:r>
                                  </w:p>
                                </w:txbxContent>
                              </wps:txbx>
                              <wps:bodyPr wrap="square" lIns="72000" tIns="0" rIns="0" bIns="0" rtlCol="0">
                                <a:noAutofit/>
                              </wps:bodyPr>
                            </wps:wsp>
                            <wps:wsp>
                              <wps:cNvPr id="684235716" name="TextBox 25">
                                <a:extLst>
                                  <a:ext uri="{FF2B5EF4-FFF2-40B4-BE49-F238E27FC236}">
                                    <a16:creationId xmlns:a16="http://schemas.microsoft.com/office/drawing/2014/main" id="{30762C47-546F-0824-9A41-911C9EA9F8C4}"/>
                                  </a:ext>
                                </a:extLst>
                              </wps:cNvPr>
                              <wps:cNvSpPr txBox="1"/>
                              <wps:spPr>
                                <a:xfrm>
                                  <a:off x="2292192" y="39564"/>
                                  <a:ext cx="969583" cy="166899"/>
                                </a:xfrm>
                                <a:prstGeom prst="rect">
                                  <a:avLst/>
                                </a:prstGeom>
                                <a:noFill/>
                              </wps:spPr>
                              <wps:txbx>
                                <w:txbxContent>
                                  <w:p w14:paraId="28E08BC8" w14:textId="77777777" w:rsidR="005F266E" w:rsidRPr="009006DA" w:rsidRDefault="005F266E" w:rsidP="005F266E">
                                    <w:pPr>
                                      <w:spacing w:line="288" w:lineRule="auto"/>
                                      <w:textAlignment w:val="baseline"/>
                                      <w:rPr>
                                        <w:rFonts w:cstheme="minorHAnsi"/>
                                        <w:color w:val="000000" w:themeColor="text1"/>
                                        <w:sz w:val="20"/>
                                        <w:szCs w:val="20"/>
                                      </w:rPr>
                                    </w:pPr>
                                    <w:r w:rsidRPr="009006DA">
                                      <w:rPr>
                                        <w:rFonts w:cstheme="minorHAnsi"/>
                                        <w:color w:val="000000" w:themeColor="text1"/>
                                        <w:sz w:val="20"/>
                                        <w:szCs w:val="20"/>
                                      </w:rPr>
                                      <w:t>High impact</w:t>
                                    </w:r>
                                    <w:r w:rsidRPr="00F373B7">
                                      <w:rPr>
                                        <w:rFonts w:cs="Times New Roman"/>
                                        <w:color w:val="000000" w:themeColor="text1"/>
                                        <w:sz w:val="20"/>
                                        <w:szCs w:val="20"/>
                                        <w:vertAlign w:val="superscript"/>
                                      </w:rPr>
                                      <w:t>⁋</w:t>
                                    </w:r>
                                  </w:p>
                                </w:txbxContent>
                              </wps:txbx>
                              <wps:bodyPr wrap="square" lIns="72000" tIns="0" rIns="0" bIns="0" rtlCol="0">
                                <a:noAutofit/>
                              </wps:bodyPr>
                            </wps:wsp>
                            <wps:wsp>
                              <wps:cNvPr id="1958636666" name="Oval 1958636666">
                                <a:extLst>
                                  <a:ext uri="{FF2B5EF4-FFF2-40B4-BE49-F238E27FC236}">
                                    <a16:creationId xmlns:a16="http://schemas.microsoft.com/office/drawing/2014/main" id="{77F6E44D-9176-12C0-1657-AC882ACA0B30}"/>
                                  </a:ext>
                                </a:extLst>
                              </wps:cNvPr>
                              <wps:cNvSpPr>
                                <a:spLocks noChangeAspect="1"/>
                              </wps:cNvSpPr>
                              <wps:spPr>
                                <a:xfrm>
                                  <a:off x="2146653" y="42764"/>
                                  <a:ext cx="164592" cy="163700"/>
                                </a:xfrm>
                                <a:prstGeom prst="ellipse">
                                  <a:avLst/>
                                </a:prstGeom>
                                <a:solidFill>
                                  <a:srgbClr val="00B050"/>
                                </a:solidFill>
                                <a:ln w="25400" cap="flat" cmpd="sng" algn="ctr">
                                  <a:noFill/>
                                  <a:prstDash val="solid"/>
                                </a:ln>
                                <a:effectLst/>
                              </wps:spPr>
                              <wps:bodyPr lIns="72000" tIns="36000" rIns="72000" bIns="36000" rtlCol="0" anchor="t"/>
                            </wps:wsp>
                          </wpg:wgp>
                        </a:graphicData>
                      </a:graphic>
                      <wp14:sizeRelH relativeFrom="margin">
                        <wp14:pctWidth>0</wp14:pctWidth>
                      </wp14:sizeRelH>
                      <wp14:sizeRelV relativeFrom="margin">
                        <wp14:pctHeight>0</wp14:pctHeight>
                      </wp14:sizeRelV>
                    </wp:anchor>
                  </w:drawing>
                </mc:Choice>
                <mc:Fallback>
                  <w:pict>
                    <v:group w14:anchorId="081E6BC5" id="Group 16" o:spid="_x0000_s1026" style="position:absolute;margin-left:-.05pt;margin-top:3.5pt;width:425.1pt;height:15.9pt;z-index:251658240;mso-width-relative:margin;mso-height-relative:margin" coordorigin="381,360" coordsize="53995,2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aWZoAQAAC8UAAAOAAAAZHJzL2Uyb0RvYy54bWzsWMFu2zgQvS/QfyB0b0xSIikZcYok3gQL&#10;dLcF2v0AWpZsYSVRS8qx8/c7pCjJsZsCceocuvVBFkmJnJn3+Gaoyw+7qkQPmTaFqmcBucAByupU&#10;LYt6NQv+/nr3Pg6QaWW9lKWqs1nwmJngw9W73y63zTSjaq3KZaYRTFKb6baZBeu2baaTiUnXWSXN&#10;hWqyGgZzpSvZQlOvJksttzB7VU4oxnyyVXrZaJVmxkDvvBsMrtz8eZ6l7ac8N1mLylkAtrXuqt11&#10;Ya+Tq0s5XWnZrIvUmyFPsKKSRQ2LDlPNZSvRRhdHU1VFqpVReXuRqmqi8rxIM+cDeEPwgTf3Wm0a&#10;58tqul01Q5ggtAdxOnna9K+He918aT5riMS2WUEsXMv6sst1Zf/BSrRzIXscQpbtWpRCJwuTWAiI&#10;bApj4EIS+pimawi8fS2MCQ4DBMMhxyLuIp6ufx8nSBhl/QQRZol9ZNIvP3li1NDojAXrP2tULMEO&#10;RmIRRiIKUC0rIJqLHRq7vXsv8DdhWPCkszxhnHWW944TIngMzjrHiRAcR71r3vEkikTYvR9Rmoh+&#10;uPecUEZowv0MMcSRfNdz2CBm5IB5HQe+rGWTOWqZ6RhFEoYQRAqQ9WH89CBLtNftwuhesZyx7DDN&#10;R5X+Y1CtbteyXmXXpoFdB1rgnNk2ew/bhvGvHZBrL1gsJNTTZAi2YBiLPtZw78YHjshpo017n6kK&#10;2ZtZkJVl0Rjrn5zKh4+m7RjVP+XMVmWxvCvK0jX0anFbagTOzoKEzjFzLIYFzP5jZY22wHIWYYu7&#10;BLnKS9nCbdUABU29CpAsV6CDaavd2rWyK8DinYVzadbdGm5aj3ZZ2/HMiZU3dQyUvVuo5SPQvPyj&#10;BtAFqJ4VMteAHWUben9k8WSkLW9VJ32yTtcKlK8dcAE62W30FrwinNCQRlYouu35FaC9UTtE3W63&#10;RgALLaVQu4N+T58xDr0cDGpEcMJISN323NteA2MIxonVHatL5HhzHVFGA2m/x5cBShCknsX2rt0t&#10;dn5TeJy2kE2ADf9upM6Cb6E2IAY3HVq2Z0DKsqFW15tW5YUjrl2mmxt00TYccKMwvhGIQDwWURaD&#10;kh2ASE4FkRIC+eMwOfQYxmECUuQhjAjrVOH5Xf8aCF0ScZI1Rhu9EZIe0iG9n0XaIZgRD0U8JEin&#10;7GPvuYR9TP8sodQnwR5hwiPo9QiDdfhpBjzapK/S9Zub+fX81ovuL12/eFHN+Ey9gDElkWDkoF4Y&#10;u89GK8xjW3LZupIRDkrvsuyzxKIe977s6EuBUwuGRzPUC3AaWaotKL00LXTOgjv3c8mk3FR/qmWX&#10;8znULUNZ4d53Ze4vJv4QJgociVhEEeSLgwrD1eVWY19YYYSUQ10PJxN7dIEDgK/ve4pRIljMfIVh&#10;c6NwHDxjenIc/knTE4/h2MEEgePQAXzu3HUCfHDkosQml2/Dl/CExX19yHmcPD12HqWeVxcXjh0/&#10;KXoEYslDDr8evu7cOHafKw9A+uHc7kJAOaLicJMeFRi9AP+oPLB/cMT45n90cHTnD/gq5ZKY/4Jm&#10;P3vtt915ZfzOd/UfAAAA//8DAFBLAwQUAAYACAAAACEAy8kqvNwAAAAGAQAADwAAAGRycy9kb3du&#10;cmV2LnhtbEyPQUvDQBSE74L/YXmCt3YTSzWkeSmlqKci2ArS2zZ5TUKzb0N2m6T/3udJj8MMM99k&#10;68m2aqDeN44R4nkEirhwZcMVwtfhbZaA8sFwaVrHhHAjD+v8/i4zaelG/qRhHyolJexTg1CH0KVa&#10;+6Ima/zcdcTinV1vTRDZV7rszSjlttVPUfSsrWlYFmrT0bam4rK/WoT30YybRfw67C7n7e14WH58&#10;72JCfHyYNitQgabwF4ZffEGHXJhO7sqlVy3CLJYgwoscEjdZRqJPCIskAZ1n+j9+/gMAAP//AwBQ&#10;SwECLQAUAAYACAAAACEAtoM4kv4AAADhAQAAEwAAAAAAAAAAAAAAAAAAAAAAW0NvbnRlbnRfVHlw&#10;ZXNdLnhtbFBLAQItABQABgAIAAAAIQA4/SH/1gAAAJQBAAALAAAAAAAAAAAAAAAAAC8BAABfcmVs&#10;cy8ucmVsc1BLAQItABQABgAIAAAAIQDlhaWZoAQAAC8UAAAOAAAAAAAAAAAAAAAAAC4CAABkcnMv&#10;ZTJvRG9jLnhtbFBLAQItABQABgAIAAAAIQDLySq83AAAAAYBAAAPAAAAAAAAAAAAAAAAAPoGAABk&#10;cnMvZG93bnJldi54bWxQSwUGAAAAAAQABADzAAAAAwgAAAAA&#10;">
                      <v:group id="Group 551873474" o:spid="_x0000_s1027" style="position:absolute;left:9507;top:395;width:11768;height:1776" coordorigin="9447,422" coordsize="12512,1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5TfywAAAOIAAAAPAAAAZHJzL2Rvd25yZXYueG1sRI9Pa8JA&#10;FMTvQr/D8gq91U2qqSF1FZG2eJBCtSDeHtmXP5h9G7LbJH77rlDwOMzMb5jlejSN6KlztWUF8TQC&#10;QZxbXXOp4Of48ZyCcB5ZY2OZFFzJwXr1MFlipu3A39QffCkChF2GCirv20xKl1dk0E1tSxy8wnYG&#10;fZBdKXWHQ4CbRr5E0as0WHNYqLClbUX55fBrFHwOOGxm8Xu/vxTb6/mYfJ32MSn19Dhu3kB4Gv09&#10;/N/eaQVJEqeL2Xwxh9ulcAfk6g8AAP//AwBQSwECLQAUAAYACAAAACEA2+H2y+4AAACFAQAAEwAA&#10;AAAAAAAAAAAAAAAAAAAAW0NvbnRlbnRfVHlwZXNdLnhtbFBLAQItABQABgAIAAAAIQBa9CxbvwAA&#10;ABUBAAALAAAAAAAAAAAAAAAAAB8BAABfcmVscy8ucmVsc1BLAQItABQABgAIAAAAIQDlH5TfywAA&#10;AOIAAAAPAAAAAAAAAAAAAAAAAAcCAABkcnMvZG93bnJldi54bWxQSwUGAAAAAAMAAwC3AAAA/wIA&#10;AAAA&#10;">
                        <v:oval id="Oval 1337342381" o:spid="_x0000_s1028" style="position:absolute;left:9447;top:531;width:1750;height:1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yHlyQAAAOMAAAAPAAAAZHJzL2Rvd25yZXYueG1sRE/NTgIx&#10;EL6b8A7NkHiTFlaULBRijAqcjAsXbpPtuLtxO13aCotPb0lMPM73P4tVb1txIh8axxrGIwWCuHSm&#10;4UrDfvd6NwMRIrLB1jFpuFCA1XJws8DcuDN/0KmIlUghHHLUUMfY5VKGsiaLYeQ64sR9Om8xptNX&#10;0ng8p3DbyolSD9Jiw6mhxo6eayq/im+r4XBcq5/dWm1Lb17e3y6HLR2Lqda3w/5pDiJSH//Ff+6N&#10;SfOz7DG7n2SzMVx/SgDI5S8AAAD//wMAUEsBAi0AFAAGAAgAAAAhANvh9svuAAAAhQEAABMAAAAA&#10;AAAAAAAAAAAAAAAAAFtDb250ZW50X1R5cGVzXS54bWxQSwECLQAUAAYACAAAACEAWvQsW78AAAAV&#10;AQAACwAAAAAAAAAAAAAAAAAfAQAAX3JlbHMvLnJlbHNQSwECLQAUAAYACAAAACEAssch5ckAAADj&#10;AAAADwAAAAAAAAAAAAAAAAAHAgAAZHJzL2Rvd25yZXYueG1sUEsFBgAAAAADAAMAtwAAAP0CAAAA&#10;AA==&#10;" fillcolor="#92d050" stroked="f" strokeweight="2pt">
                          <o:lock v:ext="edit" aspectratio="t"/>
                          <v:textbox inset="2mm,1mm,2mm,1mm"/>
                        </v:oval>
                        <v:shapetype id="_x0000_t202" coordsize="21600,21600" o:spt="202" path="m,l,21600r21600,l21600,xe">
                          <v:stroke joinstyle="miter"/>
                          <v:path gradientshapeok="t" o:connecttype="rect"/>
                        </v:shapetype>
                        <v:shape id="TextBox 29" o:spid="_x0000_s1029" type="#_x0000_t202" style="position:absolute;left:10951;top:422;width:11009;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yqyzQAAAOMAAAAPAAAAZHJzL2Rvd25yZXYueG1sRI/dSsNA&#10;EIXvBd9hGcEbaTdJSyux2yL+oBQRW/sAQ3bMhmZnQ3ZNo0/vXBS8nJkz55xvtRl9qwbqYxPYQD7N&#10;QBFXwTZcGzh8Pk9uQcWEbLENTAZ+KMJmfXmxwtKGE+9o2KdaiQnHEg24lLpS61g58hinoSOW21fo&#10;PSYZ+1rbHk9i7ltdZNlCe2xYEhx29OCoOu6/vQGNx4/Z9uV9OXdvh8Ftbx6Lp/zXmOur8f4OVKIx&#10;/YvP369W6ueLvJgV86VQCJMsQK//AAAA//8DAFBLAQItABQABgAIAAAAIQDb4fbL7gAAAIUBAAAT&#10;AAAAAAAAAAAAAAAAAAAAAABbQ29udGVudF9UeXBlc10ueG1sUEsBAi0AFAAGAAgAAAAhAFr0LFu/&#10;AAAAFQEAAAsAAAAAAAAAAAAAAAAAHwEAAF9yZWxzLy5yZWxzUEsBAi0AFAAGAAgAAAAhAIBrKrLN&#10;AAAA4wAAAA8AAAAAAAAAAAAAAAAABwIAAGRycy9kb3ducmV2LnhtbFBLBQYAAAAAAwADALcAAAAB&#10;AwAAAAA=&#10;" filled="f" stroked="f">
                          <v:textbox inset="2mm,0,0,0">
                            <w:txbxContent>
                              <w:p w14:paraId="578340B0" w14:textId="77777777" w:rsidR="005F266E" w:rsidRPr="009006DA" w:rsidRDefault="005F266E" w:rsidP="005F266E">
                                <w:pPr>
                                  <w:spacing w:line="288" w:lineRule="auto"/>
                                  <w:textAlignment w:val="baseline"/>
                                  <w:rPr>
                                    <w:rFonts w:cstheme="minorHAnsi"/>
                                    <w:color w:val="000000" w:themeColor="text1"/>
                                    <w:sz w:val="20"/>
                                    <w:szCs w:val="20"/>
                                  </w:rPr>
                                </w:pPr>
                                <w:r w:rsidRPr="009006DA">
                                  <w:rPr>
                                    <w:rFonts w:cstheme="minorHAnsi"/>
                                    <w:color w:val="000000" w:themeColor="text1"/>
                                    <w:sz w:val="20"/>
                                    <w:szCs w:val="20"/>
                                  </w:rPr>
                                  <w:t>Moderate impact</w:t>
                                </w:r>
                                <w:r w:rsidRPr="007D3AEC">
                                  <w:rPr>
                                    <w:rFonts w:cs="Times New Roman"/>
                                    <w:color w:val="000000" w:themeColor="text1"/>
                                    <w:sz w:val="20"/>
                                    <w:szCs w:val="20"/>
                                    <w:vertAlign w:val="superscript"/>
                                  </w:rPr>
                                  <w:t>§</w:t>
                                </w:r>
                              </w:p>
                            </w:txbxContent>
                          </v:textbox>
                        </v:shape>
                      </v:group>
                      <v:shape id="TextBox 19" o:spid="_x0000_s1030" type="#_x0000_t202" style="position:absolute;left:2113;top:360;width:8393;height:1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EMzAAAAOMAAAAPAAAAZHJzL2Rvd25yZXYueG1sRI/dasJA&#10;FITvC77DcgRvim5MtWrqKtIfKlKkVR/gkD3NBrNnQ3Yb0z59t1DwcpiZb5jlurOVaKnxpWMF41EC&#10;gjh3uuRCwen4MpyD8AFZY+WYFHyTh/Wqd7PETLsLf1B7CIWIEPYZKjAh1JmUPjdk0Y9cTRy9T9dY&#10;DFE2hdQNXiLcVjJNkntpseS4YLCmR0P5+fBlFUg8v9/tXveziXk7tWZ3+5Q+j3+UGvS7zQOIQF24&#10;hv/bW60gEqeTdDpfzODvU/wDcvULAAD//wMAUEsBAi0AFAAGAAgAAAAhANvh9svuAAAAhQEAABMA&#10;AAAAAAAAAAAAAAAAAAAAAFtDb250ZW50X1R5cGVzXS54bWxQSwECLQAUAAYACAAAACEAWvQsW78A&#10;AAAVAQAACwAAAAAAAAAAAAAAAAAfAQAAX3JlbHMvLnJlbHNQSwECLQAUAAYACAAAACEAoVPxDMwA&#10;AADjAAAADwAAAAAAAAAAAAAAAAAHAgAAZHJzL2Rvd25yZXYueG1sUEsFBgAAAAADAAMAtwAAAAAD&#10;AAAAAA==&#10;" filled="f" stroked="f">
                        <v:textbox inset="2mm,0,0,0">
                          <w:txbxContent>
                            <w:p w14:paraId="615582EB" w14:textId="77777777" w:rsidR="005F266E" w:rsidRPr="009006DA" w:rsidRDefault="005F266E" w:rsidP="005F266E">
                              <w:pPr>
                                <w:spacing w:line="288" w:lineRule="auto"/>
                                <w:textAlignment w:val="baseline"/>
                                <w:rPr>
                                  <w:rFonts w:cstheme="minorHAnsi"/>
                                  <w:color w:val="000000" w:themeColor="text1"/>
                                  <w:sz w:val="20"/>
                                  <w:szCs w:val="20"/>
                                </w:rPr>
                              </w:pPr>
                              <w:r w:rsidRPr="009006DA">
                                <w:rPr>
                                  <w:rFonts w:cstheme="minorHAnsi"/>
                                  <w:color w:val="000000" w:themeColor="text1"/>
                                  <w:sz w:val="20"/>
                                  <w:szCs w:val="20"/>
                                </w:rPr>
                                <w:t>Low impact</w:t>
                              </w:r>
                              <w:r w:rsidRPr="00B6560A">
                                <w:rPr>
                                  <w:rFonts w:cs="Times New Roman"/>
                                  <w:color w:val="000000" w:themeColor="text1"/>
                                  <w:sz w:val="20"/>
                                  <w:szCs w:val="20"/>
                                  <w:vertAlign w:val="superscript"/>
                                </w:rPr>
                                <w:t>‡</w:t>
                              </w:r>
                            </w:p>
                          </w:txbxContent>
                        </v:textbox>
                      </v:shape>
                      <v:oval id="Oval 839463784" o:spid="_x0000_s1031" style="position:absolute;left:381;top:592;width:1645;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SVfzAAAAOIAAAAPAAAAZHJzL2Rvd25yZXYueG1sRI9Pa8JA&#10;FMTvhX6H5RV6q5tq1Ji6ShEU8VDxz8HjM/uahGbfhuyapP303YLQ4zAzv2Hmy95UoqXGlZYVvA4i&#10;EMSZ1SXnCs6n9UsCwnlkjZVlUvBNDpaLx4c5ptp2fKD26HMRIOxSVFB4X6dSuqwgg25ga+LgfdrG&#10;oA+yyaVusAtwU8lhFE2kwZLDQoE1rQrKvo43o4Da7cb+9Jfx6lTvu911HA8/1helnp/69zcQnnr/&#10;H763t1pBMprFk9E0ieHvUrgDcvELAAD//wMAUEsBAi0AFAAGAAgAAAAhANvh9svuAAAAhQEAABMA&#10;AAAAAAAAAAAAAAAAAAAAAFtDb250ZW50X1R5cGVzXS54bWxQSwECLQAUAAYACAAAACEAWvQsW78A&#10;AAAVAQAACwAAAAAAAAAAAAAAAAAfAQAAX3JlbHMvLnJlbHNQSwECLQAUAAYACAAAACEAb3ElX8wA&#10;AADiAAAADwAAAAAAAAAAAAAAAAAHAgAAZHJzL2Rvd25yZXYueG1sUEsFBgAAAAADAAMAtwAAAAAD&#10;AAAAAA==&#10;" fillcolor="#bbdadc" stroked="f" strokeweight="2pt">
                        <o:lock v:ext="edit" aspectratio="t"/>
                        <v:textbox inset="2mm,1mm,2mm,1mm"/>
                      </v:oval>
                      <v:oval id="Oval 1002147511" o:spid="_x0000_s1032" style="position:absolute;left:30686;top:516;width:1645;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yWhxgAAAOMAAAAPAAAAZHJzL2Rvd25yZXYueG1sRE9Pa8Iw&#10;FL8P9h3CE7zNpKXO0hllOMTdZOrB46N5a4rNS2my2n37ZTDY8f3+v/V2cp0YaQitZw3ZQoEgrr1p&#10;udFwOe+fShAhIhvsPJOGbwqw3Tw+rLEy/s4fNJ5iI1IIhwo12Bj7SspQW3IYFr4nTtynHxzGdA6N&#10;NAPeU7jrZK7Us3TYcmqw2NPOUn07fTkNXTntlsdyNMXbYXW1R1fkB1loPZ9Nry8gIk3xX/znfjdp&#10;vlJ5VqyWWQa/PyUA5OYHAAD//wMAUEsBAi0AFAAGAAgAAAAhANvh9svuAAAAhQEAABMAAAAAAAAA&#10;AAAAAAAAAAAAAFtDb250ZW50X1R5cGVzXS54bWxQSwECLQAUAAYACAAAACEAWvQsW78AAAAVAQAA&#10;CwAAAAAAAAAAAAAAAAAfAQAAX3JlbHMvLnJlbHNQSwECLQAUAAYACAAAACEAelMlocYAAADjAAAA&#10;DwAAAAAAAAAAAAAAAAAHAgAAZHJzL2Rvd25yZXYueG1sUEsFBgAAAAADAAMAtwAAAPoCAAAAAA==&#10;" fillcolor="#a6a6a6" stroked="f" strokeweight="2pt">
                        <o:lock v:ext="edit" aspectratio="t"/>
                        <v:textbox inset="2mm,1mm,2mm,1mm"/>
                      </v:oval>
                      <v:shape id="TextBox 24" o:spid="_x0000_s1033" type="#_x0000_t202" style="position:absolute;left:32617;top:395;width:21759;height:20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tpzAAAAOMAAAAPAAAAZHJzL2Rvd25yZXYueG1sRI/RSsNA&#10;EEXfhf7DMgVfxG5agymx21KqohQRrf2AITtmQ7OzIbum0a93HgQfZ+6de8+sNqNv1UB9bAIbmM8y&#10;UMRVsA3XBo4fj9dLUDEhW2wDk4FvirBZTy5WWNpw5ncaDqlWEsKxRAMupa7UOlaOPMZZ6IhF+wy9&#10;xyRjX2vb41nCfasXWXarPTYsDQ472jmqTocvb0Dj6e1m//Ra5O7lOLj91f3iYf5jzOV03N6BSjSm&#10;f/Pf9bMV/CLLi2WR5wItP8kC9PoXAAD//wMAUEsBAi0AFAAGAAgAAAAhANvh9svuAAAAhQEAABMA&#10;AAAAAAAAAAAAAAAAAAAAAFtDb250ZW50X1R5cGVzXS54bWxQSwECLQAUAAYACAAAACEAWvQsW78A&#10;AAAVAQAACwAAAAAAAAAAAAAAAAAfAQAAX3JlbHMvLnJlbHNQSwECLQAUAAYACAAAACEAK/8bacwA&#10;AADjAAAADwAAAAAAAAAAAAAAAAAHAgAAZHJzL2Rvd25yZXYueG1sUEsFBgAAAAADAAMAtwAAAAAD&#10;AAAAAA==&#10;" filled="f" stroked="f">
                        <v:textbox inset="2mm,0,0,0">
                          <w:txbxContent>
                            <w:p w14:paraId="288C4930" w14:textId="77777777" w:rsidR="005F266E" w:rsidRPr="009006DA" w:rsidRDefault="005F266E" w:rsidP="005F266E">
                              <w:pPr>
                                <w:spacing w:line="288" w:lineRule="auto"/>
                                <w:textAlignment w:val="baseline"/>
                                <w:rPr>
                                  <w:rFonts w:cstheme="minorHAnsi"/>
                                  <w:color w:val="000000" w:themeColor="text1"/>
                                  <w:sz w:val="20"/>
                                  <w:szCs w:val="20"/>
                                </w:rPr>
                              </w:pPr>
                              <w:r w:rsidRPr="009006DA">
                                <w:rPr>
                                  <w:rFonts w:cstheme="minorHAnsi"/>
                                  <w:color w:val="000000" w:themeColor="text1"/>
                                  <w:sz w:val="20"/>
                                  <w:szCs w:val="20"/>
                                </w:rPr>
                                <w:t>Indirect impact</w:t>
                              </w:r>
                              <w:r>
                                <w:rPr>
                                  <w:rFonts w:cs="Times New Roman"/>
                                  <w:color w:val="000000" w:themeColor="text1"/>
                                  <w:sz w:val="20"/>
                                  <w:szCs w:val="20"/>
                                  <w:vertAlign w:val="superscript"/>
                                </w:rPr>
                                <w:t>††</w:t>
                              </w:r>
                            </w:p>
                          </w:txbxContent>
                        </v:textbox>
                      </v:shape>
                      <v:shape id="TextBox 25" o:spid="_x0000_s1034" type="#_x0000_t202" style="position:absolute;left:22921;top:395;width:9696;height:1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f5DzQAAAOIAAAAPAAAAZHJzL2Rvd25yZXYueG1sRI/dSsNA&#10;FITvhb7DcgRvxG6StmmJ3ZbiD0op0tY+wCF7zIZmz4bsmkaf3hUEL4eZ+YZZrgfbiJ46XztWkI4T&#10;EMSl0zVXCk7vz3cLED4ga2wck4Iv8rBeja6WWGh34QP1x1CJCGFfoAITQltI6UtDFv3YtcTR+3Cd&#10;xRBlV0nd4SXCbSOzJMmlxZrjgsGWHgyV5+OnVSDxvJ9sX97mU7M79WZ7+5g9pd9K3VwPm3sQgYbw&#10;H/5rv2oF+WKaTWbzNIffS/EOyNUPAAAA//8DAFBLAQItABQABgAIAAAAIQDb4fbL7gAAAIUBAAAT&#10;AAAAAAAAAAAAAAAAAAAAAABbQ29udGVudF9UeXBlc10ueG1sUEsBAi0AFAAGAAgAAAAhAFr0LFu/&#10;AAAAFQEAAAsAAAAAAAAAAAAAAAAAHwEAAF9yZWxzLy5yZWxzUEsBAi0AFAAGAAgAAAAhANQF/kPN&#10;AAAA4gAAAA8AAAAAAAAAAAAAAAAABwIAAGRycy9kb3ducmV2LnhtbFBLBQYAAAAAAwADALcAAAAB&#10;AwAAAAA=&#10;" filled="f" stroked="f">
                        <v:textbox inset="2mm,0,0,0">
                          <w:txbxContent>
                            <w:p w14:paraId="28E08BC8" w14:textId="77777777" w:rsidR="005F266E" w:rsidRPr="009006DA" w:rsidRDefault="005F266E" w:rsidP="005F266E">
                              <w:pPr>
                                <w:spacing w:line="288" w:lineRule="auto"/>
                                <w:textAlignment w:val="baseline"/>
                                <w:rPr>
                                  <w:rFonts w:cstheme="minorHAnsi"/>
                                  <w:color w:val="000000" w:themeColor="text1"/>
                                  <w:sz w:val="20"/>
                                  <w:szCs w:val="20"/>
                                </w:rPr>
                              </w:pPr>
                              <w:r w:rsidRPr="009006DA">
                                <w:rPr>
                                  <w:rFonts w:cstheme="minorHAnsi"/>
                                  <w:color w:val="000000" w:themeColor="text1"/>
                                  <w:sz w:val="20"/>
                                  <w:szCs w:val="20"/>
                                </w:rPr>
                                <w:t>High impact</w:t>
                              </w:r>
                              <w:r w:rsidRPr="00F373B7">
                                <w:rPr>
                                  <w:rFonts w:cs="Times New Roman"/>
                                  <w:color w:val="000000" w:themeColor="text1"/>
                                  <w:sz w:val="20"/>
                                  <w:szCs w:val="20"/>
                                  <w:vertAlign w:val="superscript"/>
                                </w:rPr>
                                <w:t>⁋</w:t>
                              </w:r>
                            </w:p>
                          </w:txbxContent>
                        </v:textbox>
                      </v:shape>
                      <v:oval id="Oval 1958636666" o:spid="_x0000_s1035" style="position:absolute;left:21466;top:427;width:1646;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WmryQAAAOMAAAAPAAAAZHJzL2Rvd25yZXYueG1sRE/RasJA&#10;EHwv9B+OLfhWLyoNGj1FhIKl+qAVn5fcmovJ7YXcVWO/3hOEztvu7MzszBadrcWFWl86VjDoJyCI&#10;c6dLLhQcfj7fxyB8QNZYOyYFN/KwmL++zDDT7so7uuxDIaIJ+wwVmBCaTEqfG7Lo+64hjtzJtRZD&#10;HNtC6hav0dzWcpgkqbRYckww2NDKUF7tf62CTahokn75reHb8e97dDivdtVZqd5bt5yCCNSF/+On&#10;eq3j+5OPcTpKI+DRKS5Azu8AAAD//wMAUEsBAi0AFAAGAAgAAAAhANvh9svuAAAAhQEAABMAAAAA&#10;AAAAAAAAAAAAAAAAAFtDb250ZW50X1R5cGVzXS54bWxQSwECLQAUAAYACAAAACEAWvQsW78AAAAV&#10;AQAACwAAAAAAAAAAAAAAAAAfAQAAX3JlbHMvLnJlbHNQSwECLQAUAAYACAAAACEASvVpq8kAAADj&#10;AAAADwAAAAAAAAAAAAAAAAAHAgAAZHJzL2Rvd25yZXYueG1sUEsFBgAAAAADAAMAtwAAAP0CAAAA&#10;AA==&#10;" fillcolor="#00b050" stroked="f" strokeweight="2pt">
                        <o:lock v:ext="edit" aspectratio="t"/>
                        <v:textbox inset="2mm,1mm,2mm,1mm"/>
                      </v:oval>
                    </v:group>
                  </w:pict>
                </mc:Fallback>
              </mc:AlternateContent>
            </w:r>
          </w:p>
        </w:tc>
      </w:tr>
    </w:tbl>
    <w:p w14:paraId="20CA9BE4" w14:textId="0E53549B" w:rsidR="005F266E" w:rsidRPr="007051AA" w:rsidRDefault="005F266E" w:rsidP="005211D0">
      <w:pPr>
        <w:pStyle w:val="footnotes"/>
        <w:spacing w:line="240" w:lineRule="auto"/>
        <w:rPr>
          <w:rFonts w:cs="Times New Roman"/>
        </w:rPr>
      </w:pPr>
      <w:r w:rsidRPr="007051AA">
        <w:t>Abbreviations: CE, cost-effectiveness; DE, Germany; FR, France; HTA, health technology assessment; PRO, patient-reported outcomes; UK, United Kingdom.</w:t>
      </w:r>
      <w:r w:rsidRPr="007051AA">
        <w:br/>
      </w:r>
      <w:r w:rsidRPr="007051AA">
        <w:rPr>
          <w:rFonts w:cs="Times New Roman"/>
        </w:rPr>
        <w:t xml:space="preserve">†Definitions for perceived impact of PRO on HTA were devised and agreed upon by authors. </w:t>
      </w:r>
      <w:r w:rsidRPr="007051AA">
        <w:rPr>
          <w:rFonts w:cs="Times New Roman"/>
        </w:rPr>
        <w:br/>
        <w:t>‡The use of PRO data has minimal effect on HTA decisions or price setting.</w:t>
      </w:r>
      <w:r w:rsidRPr="007051AA">
        <w:rPr>
          <w:rFonts w:cs="Times New Roman"/>
        </w:rPr>
        <w:br/>
      </w:r>
      <w:r w:rsidRPr="007051AA">
        <w:rPr>
          <w:rFonts w:cs="Times New Roman"/>
          <w:color w:val="000000" w:themeColor="text1"/>
        </w:rPr>
        <w:t>§</w:t>
      </w:r>
      <w:r w:rsidRPr="007051AA">
        <w:rPr>
          <w:rFonts w:cs="Times New Roman"/>
        </w:rPr>
        <w:t>PRO data is factored into HTA decisions or price setting, but it is not a primary driver.</w:t>
      </w:r>
      <w:r w:rsidRPr="007051AA">
        <w:rPr>
          <w:rFonts w:cs="Times New Roman"/>
        </w:rPr>
        <w:br/>
        <w:t>⁋</w:t>
      </w:r>
      <w:r w:rsidRPr="007051AA">
        <w:rPr>
          <w:rFonts w:cs="Times New Roman"/>
          <w:color w:val="000000" w:themeColor="text1"/>
        </w:rPr>
        <w:t>PRO data is a major determinant in the HTA decision-making process or price setting, significantly shaping outcomes.</w:t>
      </w:r>
      <w:r w:rsidRPr="007051AA">
        <w:rPr>
          <w:rFonts w:cs="Times New Roman"/>
          <w:color w:val="000000" w:themeColor="text1"/>
        </w:rPr>
        <w:br/>
      </w:r>
      <w:r w:rsidRPr="007051AA">
        <w:rPr>
          <w:rFonts w:cs="Times New Roman"/>
        </w:rPr>
        <w:t>††PRO data plays a supportive role, but does not have a direct effect on the final decision.</w:t>
      </w:r>
    </w:p>
    <w:p w14:paraId="5E25D81A" w14:textId="77777777" w:rsidR="00312FD3" w:rsidRPr="007051AA" w:rsidRDefault="00312FD3" w:rsidP="005211D0">
      <w:pPr>
        <w:pStyle w:val="Caption"/>
        <w:keepNext/>
        <w:spacing w:after="0"/>
        <w:rPr>
          <w:b/>
          <w:bCs/>
          <w:i w:val="0"/>
          <w:iCs w:val="0"/>
          <w:color w:val="auto"/>
          <w:sz w:val="20"/>
          <w:szCs w:val="20"/>
        </w:rPr>
        <w:sectPr w:rsidR="00312FD3" w:rsidRPr="007051AA">
          <w:pgSz w:w="11906" w:h="16838"/>
          <w:pgMar w:top="1440" w:right="1440" w:bottom="1440" w:left="1440" w:header="708" w:footer="708" w:gutter="0"/>
          <w:cols w:space="708"/>
          <w:docGrid w:linePitch="360"/>
        </w:sectPr>
      </w:pPr>
    </w:p>
    <w:p w14:paraId="67CD4DA3" w14:textId="181B45AC" w:rsidR="005211D0" w:rsidRPr="007051AA" w:rsidRDefault="005211D0" w:rsidP="005211D0">
      <w:pPr>
        <w:pStyle w:val="Caption"/>
        <w:keepNext/>
        <w:spacing w:after="0"/>
      </w:pPr>
      <w:bookmarkStart w:id="3" w:name="_Ref205974979"/>
      <w:r w:rsidRPr="007051AA">
        <w:rPr>
          <w:b/>
          <w:bCs/>
          <w:i w:val="0"/>
          <w:iCs w:val="0"/>
          <w:color w:val="auto"/>
          <w:sz w:val="20"/>
          <w:szCs w:val="20"/>
        </w:rPr>
        <w:lastRenderedPageBreak/>
        <w:t xml:space="preserve">Table </w:t>
      </w:r>
      <w:r w:rsidRPr="007051AA">
        <w:rPr>
          <w:b/>
          <w:bCs/>
          <w:i w:val="0"/>
          <w:iCs w:val="0"/>
          <w:color w:val="auto"/>
          <w:sz w:val="20"/>
          <w:szCs w:val="20"/>
        </w:rPr>
        <w:fldChar w:fldCharType="begin"/>
      </w:r>
      <w:r w:rsidRPr="007051AA">
        <w:rPr>
          <w:b/>
          <w:bCs/>
          <w:i w:val="0"/>
          <w:iCs w:val="0"/>
          <w:color w:val="auto"/>
          <w:sz w:val="20"/>
          <w:szCs w:val="20"/>
        </w:rPr>
        <w:instrText xml:space="preserve"> SEQ Table \* ARABIC </w:instrText>
      </w:r>
      <w:r w:rsidRPr="007051AA">
        <w:rPr>
          <w:b/>
          <w:bCs/>
          <w:i w:val="0"/>
          <w:iCs w:val="0"/>
          <w:color w:val="auto"/>
          <w:sz w:val="20"/>
          <w:szCs w:val="20"/>
        </w:rPr>
        <w:fldChar w:fldCharType="separate"/>
      </w:r>
      <w:r w:rsidRPr="007051AA">
        <w:rPr>
          <w:b/>
          <w:bCs/>
          <w:i w:val="0"/>
          <w:iCs w:val="0"/>
          <w:noProof/>
          <w:color w:val="auto"/>
          <w:sz w:val="20"/>
          <w:szCs w:val="20"/>
        </w:rPr>
        <w:t>3</w:t>
      </w:r>
      <w:r w:rsidRPr="007051AA">
        <w:rPr>
          <w:b/>
          <w:bCs/>
          <w:i w:val="0"/>
          <w:iCs w:val="0"/>
          <w:color w:val="auto"/>
          <w:sz w:val="20"/>
          <w:szCs w:val="20"/>
        </w:rPr>
        <w:fldChar w:fldCharType="end"/>
      </w:r>
      <w:bookmarkEnd w:id="3"/>
      <w:r w:rsidRPr="007051AA">
        <w:rPr>
          <w:b/>
          <w:bCs/>
          <w:i w:val="0"/>
          <w:iCs w:val="0"/>
          <w:color w:val="auto"/>
          <w:sz w:val="20"/>
          <w:szCs w:val="20"/>
        </w:rPr>
        <w:t xml:space="preserve">. Challenges of Using PROs in HTA, According to Interviewed </w:t>
      </w:r>
      <w:r w:rsidR="00F30A1E" w:rsidRPr="007051AA">
        <w:rPr>
          <w:b/>
          <w:bCs/>
          <w:i w:val="0"/>
          <w:iCs w:val="0"/>
          <w:color w:val="auto"/>
          <w:sz w:val="20"/>
          <w:szCs w:val="20"/>
        </w:rPr>
        <w:t>KOL</w:t>
      </w:r>
      <w:r w:rsidRPr="007051AA">
        <w:rPr>
          <w:b/>
          <w:bCs/>
          <w:i w:val="0"/>
          <w:iCs w:val="0"/>
          <w:color w:val="auto"/>
          <w:sz w:val="20"/>
          <w:szCs w:val="20"/>
        </w:rPr>
        <w:t>s</w:t>
      </w:r>
      <w:r w:rsidR="006F5F09" w:rsidRPr="007051AA">
        <w:rPr>
          <w:b/>
          <w:bCs/>
          <w:i w:val="0"/>
          <w:iCs w:val="0"/>
          <w:color w:val="auto"/>
          <w:sz w:val="20"/>
          <w:szCs w:val="20"/>
        </w:rPr>
        <w:t xml:space="preserve"> from </w:t>
      </w:r>
      <w:r w:rsidR="00D255F3" w:rsidRPr="007051AA">
        <w:rPr>
          <w:b/>
          <w:bCs/>
          <w:i w:val="0"/>
          <w:iCs w:val="0"/>
          <w:color w:val="auto"/>
          <w:sz w:val="20"/>
          <w:szCs w:val="20"/>
        </w:rPr>
        <w:t>Eng</w:t>
      </w:r>
      <w:r w:rsidR="00522584" w:rsidRPr="007051AA">
        <w:rPr>
          <w:b/>
          <w:bCs/>
          <w:i w:val="0"/>
          <w:iCs w:val="0"/>
          <w:color w:val="auto"/>
          <w:sz w:val="20"/>
          <w:szCs w:val="20"/>
        </w:rPr>
        <w:t>l</w:t>
      </w:r>
      <w:r w:rsidR="00D255F3" w:rsidRPr="007051AA">
        <w:rPr>
          <w:b/>
          <w:bCs/>
          <w:i w:val="0"/>
          <w:iCs w:val="0"/>
          <w:color w:val="auto"/>
          <w:sz w:val="20"/>
          <w:szCs w:val="20"/>
        </w:rPr>
        <w:t>and</w:t>
      </w:r>
      <w:r w:rsidR="006F5F09" w:rsidRPr="007051AA">
        <w:rPr>
          <w:b/>
          <w:bCs/>
          <w:i w:val="0"/>
          <w:iCs w:val="0"/>
          <w:color w:val="auto"/>
          <w:sz w:val="20"/>
          <w:szCs w:val="20"/>
        </w:rPr>
        <w:t>, Germany and France</w:t>
      </w:r>
    </w:p>
    <w:tbl>
      <w:tblPr>
        <w:tblW w:w="5000" w:type="pct"/>
        <w:tblCellMar>
          <w:left w:w="0" w:type="dxa"/>
          <w:right w:w="0" w:type="dxa"/>
        </w:tblCellMar>
        <w:tblLook w:val="0420" w:firstRow="1" w:lastRow="0" w:firstColumn="0" w:lastColumn="0" w:noHBand="0" w:noVBand="1"/>
      </w:tblPr>
      <w:tblGrid>
        <w:gridCol w:w="1550"/>
        <w:gridCol w:w="6194"/>
        <w:gridCol w:w="6194"/>
      </w:tblGrid>
      <w:tr w:rsidR="00A36A62" w:rsidRPr="007051AA" w14:paraId="69FF555E" w14:textId="160FAD1E" w:rsidTr="00584DAA">
        <w:trPr>
          <w:trHeight w:val="252"/>
        </w:trPr>
        <w:tc>
          <w:tcPr>
            <w:tcW w:w="5000" w:type="pct"/>
            <w:gridSpan w:val="3"/>
            <w:tcBorders>
              <w:top w:val="single" w:sz="8" w:space="0" w:color="000000"/>
              <w:left w:val="single" w:sz="8" w:space="0" w:color="000000"/>
              <w:bottom w:val="single" w:sz="8" w:space="0" w:color="000000"/>
              <w:right w:val="single" w:sz="8" w:space="0" w:color="000000"/>
            </w:tcBorders>
            <w:tcMar>
              <w:top w:w="72" w:type="dxa"/>
              <w:left w:w="288" w:type="dxa"/>
              <w:bottom w:w="72" w:type="dxa"/>
              <w:right w:w="144" w:type="dxa"/>
            </w:tcMar>
            <w:vAlign w:val="center"/>
            <w:hideMark/>
          </w:tcPr>
          <w:p w14:paraId="72711B8E" w14:textId="3B345FFE" w:rsidR="00A36A62" w:rsidRPr="007051AA" w:rsidRDefault="00A36A62" w:rsidP="00A36A62">
            <w:pPr>
              <w:pStyle w:val="tabletext"/>
              <w:spacing w:before="0" w:after="0"/>
              <w:jc w:val="center"/>
              <w:rPr>
                <w:b/>
                <w:bCs/>
              </w:rPr>
            </w:pPr>
            <w:r w:rsidRPr="007051AA">
              <w:rPr>
                <w:b/>
                <w:bCs/>
              </w:rPr>
              <w:t>Most to Least Commonly Cited Challenges in PRO Submissions</w:t>
            </w:r>
            <w:r w:rsidRPr="007051AA">
              <w:rPr>
                <w:b/>
                <w:bCs/>
                <w:vertAlign w:val="superscript"/>
              </w:rPr>
              <w:t>†</w:t>
            </w:r>
          </w:p>
        </w:tc>
      </w:tr>
      <w:tr w:rsidR="00B97F7D" w:rsidRPr="007051AA" w14:paraId="22E1B9FA" w14:textId="0BCEE018" w:rsidTr="00DE08E4">
        <w:trPr>
          <w:trHeight w:val="458"/>
        </w:trPr>
        <w:tc>
          <w:tcPr>
            <w:tcW w:w="556" w:type="pct"/>
            <w:vMerge w:val="restart"/>
            <w:tcBorders>
              <w:top w:val="single" w:sz="8" w:space="0" w:color="000000"/>
              <w:left w:val="single" w:sz="8" w:space="0" w:color="000000"/>
              <w:right w:val="single" w:sz="8" w:space="0" w:color="000000"/>
            </w:tcBorders>
            <w:tcMar>
              <w:top w:w="72" w:type="dxa"/>
              <w:left w:w="288" w:type="dxa"/>
              <w:bottom w:w="72" w:type="dxa"/>
              <w:right w:w="144" w:type="dxa"/>
            </w:tcMar>
            <w:textDirection w:val="btLr"/>
            <w:vAlign w:val="center"/>
            <w:hideMark/>
          </w:tcPr>
          <w:p w14:paraId="037AF209" w14:textId="3ABFCF83" w:rsidR="00B97F7D" w:rsidRPr="007051AA" w:rsidRDefault="001C7907" w:rsidP="001C7907">
            <w:pPr>
              <w:pStyle w:val="tabletext"/>
              <w:spacing w:before="0" w:after="0"/>
              <w:ind w:left="113" w:right="113"/>
            </w:pPr>
            <w:r w:rsidRPr="007051AA">
              <w:rPr>
                <w:noProof/>
                <w:sz w:val="22"/>
                <w:szCs w:val="22"/>
              </w:rPr>
              <mc:AlternateContent>
                <mc:Choice Requires="wps">
                  <w:drawing>
                    <wp:anchor distT="0" distB="0" distL="114300" distR="114300" simplePos="0" relativeHeight="251658241" behindDoc="0" locked="0" layoutInCell="1" allowOverlap="1" wp14:anchorId="4FB54A16" wp14:editId="3DD07E3C">
                      <wp:simplePos x="0" y="0"/>
                      <wp:positionH relativeFrom="column">
                        <wp:posOffset>312420</wp:posOffset>
                      </wp:positionH>
                      <wp:positionV relativeFrom="paragraph">
                        <wp:posOffset>-2021205</wp:posOffset>
                      </wp:positionV>
                      <wp:extent cx="304800" cy="2000250"/>
                      <wp:effectExtent l="0" t="0" r="0" b="0"/>
                      <wp:wrapNone/>
                      <wp:docPr id="184176042" name="Arrow: Down 1"/>
                      <wp:cNvGraphicFramePr/>
                      <a:graphic xmlns:a="http://schemas.openxmlformats.org/drawingml/2006/main">
                        <a:graphicData uri="http://schemas.microsoft.com/office/word/2010/wordprocessingShape">
                          <wps:wsp>
                            <wps:cNvSpPr/>
                            <wps:spPr>
                              <a:xfrm rot="10800000">
                                <a:off x="0" y="0"/>
                                <a:ext cx="304800" cy="2000250"/>
                              </a:xfrm>
                              <a:prstGeom prst="downArrow">
                                <a:avLst/>
                              </a:prstGeom>
                              <a:solidFill>
                                <a:schemeClr val="tx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4356A2"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 o:spid="_x0000_s1026" type="#_x0000_t67" style="position:absolute;margin-left:24.6pt;margin-top:-159.15pt;width:24pt;height:157.5pt;rotation:180;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A2ciAIAAHIFAAAOAAAAZHJzL2Uyb0RvYy54bWysVFFP2zAQfp+0/2D5fSTpysYqUlSBmCYh&#10;QMDEs3FsEsnxeWe3affrd7aTljH2Mi0Pke377ru7z3c+Pdv2hm0U+g5szaujkjNlJTSdfa7594fL&#10;Dyec+SBsIwxYVfOd8vxs+f7d6eAWagYtmEYhIxLrF4OreRuCWxSFl63qhT8CpywZNWAvAm3xuWhQ&#10;DMTem2JWlp+KAbBxCFJ5T6cX2ciXiV9rJcON1l4FZmpOuYX0x/R/iv9ieSoWzyhc28kxDfEPWfSi&#10;sxR0T3UhgmBr7P6g6juJ4EGHIwl9AVp3UqUaqJqqfFXNfSucSrWQON7tZfL/j1Zeb+7dLZIMg/ML&#10;T8tYxVZjzxBIrao8KeOXiqN02TZpt9trp7aBSTr8WM4JyZkkE11MOTtO4haZLJI69OGrgp7FRc0b&#10;GOwKEYZELTZXPlAWhJ9w0ceD6ZrLzpi0iU2hzg2yjaDrDNtZvD7y+A1lbMRaiF7ZHE+KQ3lpFXZG&#10;RZyxd0qzrqEKZimR1HmHIEJKZUOVTa1oVI5dHUdNxuhTWimXRBiZNcXfc48EEzKTTNyZZsRHV5Ua&#10;d++cxf9LYtl575Eigw17576zgG9VZqiqMXLGTyJlaaJKT9DsbjE3Al2td/Kyo7u7Ej7cCqQ5oUOa&#10;/XBDP21gqDmMK85awJ9vnUc8tS9ZORto7mruf6wFKs7MN0uN/aWaz+Ogps38+POMNvjS8vTSYtf9&#10;OVAvVCm7tIz4YKalRugf6YlYxahkElZS7JrLgNPmPOT3gB4ZqVarBKPhdCJc2XsnI3lUNbblw/ZR&#10;oBsbOFDrX8M0o2LxqoUzNnpaWK0D6C7190HXUW8a7NQ44yMUX46X+4Q6PJXLXwAAAP//AwBQSwME&#10;FAAGAAgAAAAhAMl6AfngAAAACQEAAA8AAABkcnMvZG93bnJldi54bWxMj8FuwjAMhu+T9g6RJ+0y&#10;QQqtNlqaomnSxGFwgPWwY2hNW5E4VROgvP3MaTv696ffn/PVaI244OA7Rwpm0wgEUuXqjhoF5ffn&#10;ZAHCB021No5QwQ09rIrHh1xntbvSDi/70AguIZ9pBW0IfSalr1q02k9dj8S7oxusDjwOjawHfeVy&#10;a+Q8il6l1R3xhVb3+NFiddqfrYL118m8uNvPdpNGu4TMutxUSanU89P4vgQRcAx/MNz1WR0Kdjq4&#10;M9VeGAVJOmdSwSSeLWIQTKRvnBzuSQyyyOX/D4pfAAAA//8DAFBLAQItABQABgAIAAAAIQC2gziS&#10;/gAAAOEBAAATAAAAAAAAAAAAAAAAAAAAAABbQ29udGVudF9UeXBlc10ueG1sUEsBAi0AFAAGAAgA&#10;AAAhADj9If/WAAAAlAEAAAsAAAAAAAAAAAAAAAAALwEAAF9yZWxzLy5yZWxzUEsBAi0AFAAGAAgA&#10;AAAhAOGwDZyIAgAAcgUAAA4AAAAAAAAAAAAAAAAALgIAAGRycy9lMm9Eb2MueG1sUEsBAi0AFAAG&#10;AAgAAAAhAMl6AfngAAAACQEAAA8AAAAAAAAAAAAAAAAA4gQAAGRycy9kb3ducmV2LnhtbFBLBQYA&#10;AAAABAAEAPMAAADvBQAAAAA=&#10;" adj="19954" fillcolor="#1f497d [3215]" stroked="f" strokeweight="2pt"/>
                  </w:pict>
                </mc:Fallback>
              </mc:AlternateContent>
            </w:r>
            <w:r w:rsidR="0014315E" w:rsidRPr="007051AA">
              <w:rPr>
                <w:sz w:val="22"/>
                <w:szCs w:val="22"/>
              </w:rPr>
              <w:t>Increasing number of ment</w:t>
            </w:r>
            <w:r w:rsidRPr="007051AA">
              <w:rPr>
                <w:sz w:val="22"/>
                <w:szCs w:val="22"/>
              </w:rPr>
              <w:t>ions</w:t>
            </w:r>
          </w:p>
        </w:tc>
        <w:tc>
          <w:tcPr>
            <w:tcW w:w="2222" w:type="pct"/>
            <w:tcBorders>
              <w:top w:val="single" w:sz="8" w:space="0" w:color="000000"/>
              <w:left w:val="single" w:sz="8" w:space="0" w:color="000000"/>
              <w:bottom w:val="single" w:sz="8" w:space="0" w:color="000000"/>
            </w:tcBorders>
            <w:vAlign w:val="center"/>
          </w:tcPr>
          <w:p w14:paraId="0833FCB1" w14:textId="3639140F" w:rsidR="00B97F7D" w:rsidRPr="007051AA" w:rsidRDefault="00B97F7D" w:rsidP="00C01085">
            <w:pPr>
              <w:pStyle w:val="tabletext"/>
              <w:spacing w:before="0" w:after="0"/>
              <w:ind w:left="284" w:right="284"/>
            </w:pPr>
            <w:r w:rsidRPr="007051AA">
              <w:t>No/suboptimal PRO data collection/submission (e.g., due to value perceptions)</w:t>
            </w:r>
          </w:p>
        </w:tc>
        <w:tc>
          <w:tcPr>
            <w:tcW w:w="2222" w:type="pct"/>
            <w:tcBorders>
              <w:top w:val="single" w:sz="8" w:space="0" w:color="000000"/>
              <w:left w:val="nil"/>
              <w:bottom w:val="single" w:sz="8" w:space="0" w:color="000000"/>
              <w:right w:val="single" w:sz="8" w:space="0" w:color="000000"/>
            </w:tcBorders>
            <w:vAlign w:val="center"/>
          </w:tcPr>
          <w:p w14:paraId="1A77A36E" w14:textId="560438BC" w:rsidR="00B97F7D" w:rsidRPr="007051AA" w:rsidRDefault="00B97F7D" w:rsidP="00C01085">
            <w:pPr>
              <w:pStyle w:val="tabletext"/>
              <w:spacing w:before="0" w:after="0"/>
              <w:ind w:left="284" w:right="284"/>
            </w:pPr>
            <w:r w:rsidRPr="007051AA">
              <w:t>Selected instruments not fit-for-purpose/PRO benefits not adequately represented in models</w:t>
            </w:r>
          </w:p>
        </w:tc>
      </w:tr>
      <w:tr w:rsidR="00B97F7D" w:rsidRPr="007051AA" w14:paraId="206EECDF" w14:textId="1C6000DB" w:rsidTr="00DE08E4">
        <w:trPr>
          <w:trHeight w:val="458"/>
        </w:trPr>
        <w:tc>
          <w:tcPr>
            <w:tcW w:w="556" w:type="pct"/>
            <w:vMerge/>
            <w:tcBorders>
              <w:left w:val="single" w:sz="8" w:space="0" w:color="000000"/>
              <w:right w:val="single" w:sz="8" w:space="0" w:color="000000"/>
            </w:tcBorders>
            <w:tcMar>
              <w:top w:w="72" w:type="dxa"/>
              <w:left w:w="288" w:type="dxa"/>
              <w:bottom w:w="72" w:type="dxa"/>
              <w:right w:w="144" w:type="dxa"/>
            </w:tcMar>
            <w:vAlign w:val="center"/>
            <w:hideMark/>
          </w:tcPr>
          <w:p w14:paraId="48A87CF8" w14:textId="6AB25217" w:rsidR="00B97F7D" w:rsidRPr="007051AA" w:rsidRDefault="00B97F7D" w:rsidP="00E75FFA">
            <w:pPr>
              <w:pStyle w:val="tabletext"/>
              <w:spacing w:before="0" w:after="0"/>
            </w:pPr>
          </w:p>
        </w:tc>
        <w:tc>
          <w:tcPr>
            <w:tcW w:w="2222" w:type="pct"/>
            <w:tcBorders>
              <w:top w:val="single" w:sz="8" w:space="0" w:color="000000"/>
              <w:left w:val="single" w:sz="8" w:space="0" w:color="000000"/>
              <w:bottom w:val="single" w:sz="8" w:space="0" w:color="000000"/>
            </w:tcBorders>
            <w:vAlign w:val="center"/>
          </w:tcPr>
          <w:p w14:paraId="47B393BB" w14:textId="70A7565B" w:rsidR="00B97F7D" w:rsidRPr="007051AA" w:rsidRDefault="00B97F7D" w:rsidP="00C01085">
            <w:pPr>
              <w:pStyle w:val="tabletext"/>
              <w:spacing w:before="0" w:after="0"/>
              <w:ind w:left="284" w:right="284"/>
            </w:pPr>
            <w:r w:rsidRPr="007051AA">
              <w:t>Inappropriate use of PROM or non-validated instrument</w:t>
            </w:r>
          </w:p>
        </w:tc>
        <w:tc>
          <w:tcPr>
            <w:tcW w:w="2222" w:type="pct"/>
            <w:tcBorders>
              <w:top w:val="single" w:sz="8" w:space="0" w:color="000000"/>
              <w:left w:val="nil"/>
              <w:bottom w:val="single" w:sz="8" w:space="0" w:color="000000"/>
              <w:right w:val="single" w:sz="8" w:space="0" w:color="000000"/>
            </w:tcBorders>
            <w:vAlign w:val="center"/>
          </w:tcPr>
          <w:p w14:paraId="2A0D9359" w14:textId="03F80371" w:rsidR="00B97F7D" w:rsidRPr="007051AA" w:rsidRDefault="00B97F7D" w:rsidP="00C01085">
            <w:pPr>
              <w:pStyle w:val="tabletext"/>
              <w:spacing w:before="0" w:after="0"/>
              <w:ind w:left="284" w:right="284"/>
            </w:pPr>
            <w:r w:rsidRPr="007051AA">
              <w:t>Study design (e.g., blinding/endpoint selection) &amp; bias</w:t>
            </w:r>
          </w:p>
        </w:tc>
      </w:tr>
      <w:tr w:rsidR="00B97F7D" w:rsidRPr="007051AA" w14:paraId="6BEF6781" w14:textId="40BAB381" w:rsidTr="00DE08E4">
        <w:trPr>
          <w:trHeight w:val="458"/>
        </w:trPr>
        <w:tc>
          <w:tcPr>
            <w:tcW w:w="556" w:type="pct"/>
            <w:vMerge/>
            <w:tcBorders>
              <w:left w:val="single" w:sz="8" w:space="0" w:color="000000"/>
              <w:right w:val="single" w:sz="8" w:space="0" w:color="000000"/>
            </w:tcBorders>
            <w:tcMar>
              <w:top w:w="72" w:type="dxa"/>
              <w:left w:w="288" w:type="dxa"/>
              <w:bottom w:w="72" w:type="dxa"/>
              <w:right w:w="144" w:type="dxa"/>
            </w:tcMar>
            <w:vAlign w:val="center"/>
            <w:hideMark/>
          </w:tcPr>
          <w:p w14:paraId="5A81F59D" w14:textId="493B2834" w:rsidR="00B97F7D" w:rsidRPr="007051AA" w:rsidRDefault="00B97F7D" w:rsidP="00E75FFA">
            <w:pPr>
              <w:pStyle w:val="tabletext"/>
              <w:spacing w:before="0" w:after="0"/>
            </w:pPr>
          </w:p>
        </w:tc>
        <w:tc>
          <w:tcPr>
            <w:tcW w:w="2222" w:type="pct"/>
            <w:tcBorders>
              <w:top w:val="single" w:sz="8" w:space="0" w:color="000000"/>
              <w:left w:val="single" w:sz="8" w:space="0" w:color="000000"/>
              <w:bottom w:val="single" w:sz="8" w:space="0" w:color="000000"/>
            </w:tcBorders>
            <w:vAlign w:val="center"/>
          </w:tcPr>
          <w:p w14:paraId="43C89E80" w14:textId="6B1FB717" w:rsidR="00B97F7D" w:rsidRPr="007051AA" w:rsidRDefault="00B97F7D" w:rsidP="00C01085">
            <w:pPr>
              <w:pStyle w:val="tabletext"/>
              <w:spacing w:before="10" w:after="10"/>
              <w:ind w:left="284" w:right="284"/>
            </w:pPr>
            <w:r w:rsidRPr="007051AA">
              <w:t>Failure to meet statistical/EQ-5D mapping rigor</w:t>
            </w:r>
          </w:p>
        </w:tc>
        <w:tc>
          <w:tcPr>
            <w:tcW w:w="2222" w:type="pct"/>
            <w:tcBorders>
              <w:top w:val="single" w:sz="8" w:space="0" w:color="000000"/>
              <w:left w:val="nil"/>
              <w:bottom w:val="single" w:sz="8" w:space="0" w:color="000000"/>
              <w:right w:val="single" w:sz="8" w:space="0" w:color="000000"/>
            </w:tcBorders>
            <w:vAlign w:val="center"/>
          </w:tcPr>
          <w:p w14:paraId="55853986" w14:textId="4BFD7530" w:rsidR="00B97F7D" w:rsidRPr="007051AA" w:rsidRDefault="00B97F7D" w:rsidP="00C01085">
            <w:pPr>
              <w:pStyle w:val="tabletext"/>
              <w:spacing w:before="0" w:after="0"/>
              <w:ind w:left="284" w:right="284"/>
            </w:pPr>
            <w:r w:rsidRPr="007051AA">
              <w:t>Missing or insufficient PRO data</w:t>
            </w:r>
          </w:p>
        </w:tc>
      </w:tr>
      <w:tr w:rsidR="00B97F7D" w:rsidRPr="007051AA" w14:paraId="7DA6A384" w14:textId="6F4BE274" w:rsidTr="00DE08E4">
        <w:trPr>
          <w:trHeight w:val="458"/>
        </w:trPr>
        <w:tc>
          <w:tcPr>
            <w:tcW w:w="556" w:type="pct"/>
            <w:vMerge/>
            <w:tcBorders>
              <w:left w:val="single" w:sz="8" w:space="0" w:color="000000"/>
              <w:right w:val="single" w:sz="8" w:space="0" w:color="000000"/>
            </w:tcBorders>
            <w:tcMar>
              <w:top w:w="72" w:type="dxa"/>
              <w:left w:w="288" w:type="dxa"/>
              <w:bottom w:w="72" w:type="dxa"/>
              <w:right w:w="144" w:type="dxa"/>
            </w:tcMar>
            <w:vAlign w:val="center"/>
            <w:hideMark/>
          </w:tcPr>
          <w:p w14:paraId="5A629DE6" w14:textId="66B68ACF" w:rsidR="00B97F7D" w:rsidRPr="007051AA" w:rsidRDefault="00B97F7D" w:rsidP="00F24C7A">
            <w:pPr>
              <w:pStyle w:val="tabletext"/>
              <w:spacing w:before="0" w:after="0"/>
            </w:pPr>
          </w:p>
        </w:tc>
        <w:tc>
          <w:tcPr>
            <w:tcW w:w="2222" w:type="pct"/>
            <w:tcBorders>
              <w:top w:val="single" w:sz="8" w:space="0" w:color="000000"/>
              <w:left w:val="single" w:sz="8" w:space="0" w:color="000000"/>
              <w:bottom w:val="single" w:sz="8" w:space="0" w:color="000000"/>
            </w:tcBorders>
            <w:vAlign w:val="center"/>
          </w:tcPr>
          <w:p w14:paraId="2274EA32" w14:textId="0B705F33" w:rsidR="00B97F7D" w:rsidRPr="007051AA" w:rsidRDefault="00B97F7D" w:rsidP="00C01085">
            <w:pPr>
              <w:pStyle w:val="tabletext"/>
              <w:spacing w:before="0" w:after="0"/>
              <w:ind w:left="284" w:right="284"/>
            </w:pPr>
            <w:r w:rsidRPr="007051AA">
              <w:t>PRO requirement discrepancy among stakeholders (e.g., HTA vs regulatory agencies)</w:t>
            </w:r>
          </w:p>
        </w:tc>
        <w:tc>
          <w:tcPr>
            <w:tcW w:w="2222" w:type="pct"/>
            <w:tcBorders>
              <w:top w:val="single" w:sz="8" w:space="0" w:color="000000"/>
              <w:left w:val="nil"/>
              <w:right w:val="single" w:sz="8" w:space="0" w:color="000000"/>
            </w:tcBorders>
            <w:vAlign w:val="center"/>
          </w:tcPr>
          <w:p w14:paraId="4D3B7A78" w14:textId="77777777" w:rsidR="00B97F7D" w:rsidRPr="007051AA" w:rsidRDefault="00B97F7D" w:rsidP="00C01085">
            <w:pPr>
              <w:pStyle w:val="tabletext"/>
              <w:spacing w:before="0" w:after="0"/>
              <w:ind w:left="284" w:right="284"/>
            </w:pPr>
          </w:p>
        </w:tc>
      </w:tr>
      <w:tr w:rsidR="00B97F7D" w:rsidRPr="007051AA" w14:paraId="33469C15" w14:textId="781C682E" w:rsidTr="00DE08E4">
        <w:trPr>
          <w:trHeight w:val="458"/>
        </w:trPr>
        <w:tc>
          <w:tcPr>
            <w:tcW w:w="556" w:type="pct"/>
            <w:vMerge/>
            <w:tcBorders>
              <w:left w:val="single" w:sz="8" w:space="0" w:color="000000"/>
              <w:right w:val="single" w:sz="8" w:space="0" w:color="000000"/>
            </w:tcBorders>
            <w:tcMar>
              <w:top w:w="72" w:type="dxa"/>
              <w:left w:w="288" w:type="dxa"/>
              <w:bottom w:w="72" w:type="dxa"/>
              <w:right w:w="144" w:type="dxa"/>
            </w:tcMar>
            <w:vAlign w:val="center"/>
            <w:hideMark/>
          </w:tcPr>
          <w:p w14:paraId="7CDBEAC6" w14:textId="679D1748" w:rsidR="00B97F7D" w:rsidRPr="007051AA" w:rsidRDefault="00B97F7D" w:rsidP="00F24C7A">
            <w:pPr>
              <w:pStyle w:val="tabletext"/>
              <w:spacing w:before="0" w:after="0"/>
            </w:pPr>
          </w:p>
        </w:tc>
        <w:tc>
          <w:tcPr>
            <w:tcW w:w="2222" w:type="pct"/>
            <w:tcBorders>
              <w:top w:val="single" w:sz="8" w:space="0" w:color="000000"/>
              <w:left w:val="single" w:sz="8" w:space="0" w:color="000000"/>
              <w:bottom w:val="single" w:sz="8" w:space="0" w:color="000000"/>
            </w:tcBorders>
            <w:vAlign w:val="center"/>
          </w:tcPr>
          <w:p w14:paraId="1D9134C6" w14:textId="4CC10642" w:rsidR="00B97F7D" w:rsidRPr="007051AA" w:rsidRDefault="00B97F7D" w:rsidP="00C01085">
            <w:pPr>
              <w:pStyle w:val="tabletext"/>
              <w:spacing w:before="0" w:after="0"/>
              <w:ind w:left="284" w:right="284"/>
            </w:pPr>
            <w:r w:rsidRPr="007051AA">
              <w:t>Comparator PRO data not collected/submitted</w:t>
            </w:r>
          </w:p>
        </w:tc>
        <w:tc>
          <w:tcPr>
            <w:tcW w:w="2222" w:type="pct"/>
            <w:tcBorders>
              <w:left w:val="nil"/>
              <w:bottom w:val="single" w:sz="8" w:space="0" w:color="000000"/>
              <w:right w:val="single" w:sz="8" w:space="0" w:color="000000"/>
            </w:tcBorders>
            <w:vAlign w:val="center"/>
          </w:tcPr>
          <w:p w14:paraId="74D59276" w14:textId="77777777" w:rsidR="00B97F7D" w:rsidRPr="007051AA" w:rsidRDefault="00B97F7D" w:rsidP="00C01085">
            <w:pPr>
              <w:pStyle w:val="tabletext"/>
              <w:spacing w:before="0" w:after="0"/>
              <w:ind w:left="284" w:right="284"/>
            </w:pPr>
          </w:p>
        </w:tc>
      </w:tr>
      <w:tr w:rsidR="00B97F7D" w:rsidRPr="007051AA" w14:paraId="4BA4FCB1" w14:textId="5AA3883F" w:rsidTr="00DE08E4">
        <w:trPr>
          <w:trHeight w:val="458"/>
        </w:trPr>
        <w:tc>
          <w:tcPr>
            <w:tcW w:w="556" w:type="pct"/>
            <w:vMerge/>
            <w:tcBorders>
              <w:left w:val="single" w:sz="8" w:space="0" w:color="000000"/>
              <w:bottom w:val="single" w:sz="4" w:space="0" w:color="auto"/>
              <w:right w:val="single" w:sz="8" w:space="0" w:color="000000"/>
            </w:tcBorders>
            <w:tcMar>
              <w:top w:w="72" w:type="dxa"/>
              <w:left w:w="288" w:type="dxa"/>
              <w:bottom w:w="72" w:type="dxa"/>
              <w:right w:w="144" w:type="dxa"/>
            </w:tcMar>
            <w:vAlign w:val="center"/>
            <w:hideMark/>
          </w:tcPr>
          <w:p w14:paraId="36DE9E0F" w14:textId="368FF6D7" w:rsidR="00B97F7D" w:rsidRPr="007051AA" w:rsidRDefault="00B97F7D" w:rsidP="00E75FFA">
            <w:pPr>
              <w:pStyle w:val="tabletext"/>
              <w:spacing w:before="0" w:after="0"/>
            </w:pPr>
          </w:p>
        </w:tc>
        <w:tc>
          <w:tcPr>
            <w:tcW w:w="2222" w:type="pct"/>
            <w:tcBorders>
              <w:top w:val="single" w:sz="8" w:space="0" w:color="000000"/>
              <w:left w:val="single" w:sz="8" w:space="0" w:color="000000"/>
              <w:bottom w:val="single" w:sz="8" w:space="0" w:color="000000"/>
            </w:tcBorders>
            <w:vAlign w:val="center"/>
          </w:tcPr>
          <w:p w14:paraId="1A6BED27" w14:textId="1E8F22A0" w:rsidR="00B97F7D" w:rsidRPr="007051AA" w:rsidRDefault="00B97F7D" w:rsidP="00C01085">
            <w:pPr>
              <w:pStyle w:val="tabletext"/>
              <w:spacing w:before="0" w:after="0"/>
              <w:ind w:left="284" w:right="284"/>
            </w:pPr>
            <w:r w:rsidRPr="007051AA">
              <w:t>Low awareness of PRO, leading to non-compliance</w:t>
            </w:r>
          </w:p>
        </w:tc>
        <w:tc>
          <w:tcPr>
            <w:tcW w:w="2222" w:type="pct"/>
            <w:tcBorders>
              <w:top w:val="single" w:sz="8" w:space="0" w:color="000000"/>
              <w:left w:val="nil"/>
              <w:bottom w:val="single" w:sz="8" w:space="0" w:color="000000"/>
              <w:right w:val="single" w:sz="8" w:space="0" w:color="000000"/>
            </w:tcBorders>
            <w:vAlign w:val="center"/>
          </w:tcPr>
          <w:p w14:paraId="4EAEB0C7" w14:textId="7442787C" w:rsidR="00B97F7D" w:rsidRPr="007051AA" w:rsidRDefault="00B97F7D" w:rsidP="00C01085">
            <w:pPr>
              <w:pStyle w:val="tabletext"/>
              <w:spacing w:before="0" w:after="0"/>
              <w:ind w:left="284" w:right="284"/>
            </w:pPr>
            <w:r w:rsidRPr="007051AA">
              <w:t>Real-world applicability of collected data</w:t>
            </w:r>
          </w:p>
        </w:tc>
      </w:tr>
      <w:tr w:rsidR="00B162CE" w:rsidRPr="007051AA" w14:paraId="447A245C" w14:textId="77777777" w:rsidTr="00584DAA">
        <w:trPr>
          <w:trHeight w:val="147"/>
        </w:trPr>
        <w:tc>
          <w:tcPr>
            <w:tcW w:w="5000" w:type="pct"/>
            <w:gridSpan w:val="3"/>
            <w:tcBorders>
              <w:top w:val="single" w:sz="4" w:space="0" w:color="auto"/>
              <w:left w:val="single" w:sz="4" w:space="0" w:color="auto"/>
              <w:bottom w:val="single" w:sz="4" w:space="0" w:color="auto"/>
              <w:right w:val="single" w:sz="8" w:space="0" w:color="000000"/>
            </w:tcBorders>
            <w:tcMar>
              <w:top w:w="72" w:type="dxa"/>
              <w:left w:w="288" w:type="dxa"/>
              <w:bottom w:w="72" w:type="dxa"/>
              <w:right w:w="144" w:type="dxa"/>
            </w:tcMar>
            <w:vAlign w:val="center"/>
          </w:tcPr>
          <w:p w14:paraId="21408D51" w14:textId="606025C1" w:rsidR="00B162CE" w:rsidRPr="007051AA" w:rsidRDefault="00154ACB" w:rsidP="00B162CE">
            <w:pPr>
              <w:pStyle w:val="tabletext"/>
              <w:spacing w:before="0" w:after="0"/>
              <w:ind w:left="284" w:right="284"/>
              <w:jc w:val="center"/>
            </w:pPr>
            <w:r w:rsidRPr="007051AA">
              <w:rPr>
                <w:b/>
                <w:bCs/>
              </w:rPr>
              <w:t>KOL</w:t>
            </w:r>
            <w:r w:rsidR="00B162CE" w:rsidRPr="007051AA">
              <w:rPr>
                <w:b/>
                <w:bCs/>
              </w:rPr>
              <w:t xml:space="preserve"> quotes</w:t>
            </w:r>
          </w:p>
        </w:tc>
      </w:tr>
      <w:tr w:rsidR="00A538A2" w:rsidRPr="007051AA" w14:paraId="071153B5" w14:textId="77777777" w:rsidTr="00DE08E4">
        <w:trPr>
          <w:trHeight w:val="458"/>
        </w:trPr>
        <w:tc>
          <w:tcPr>
            <w:tcW w:w="556" w:type="pct"/>
            <w:tcBorders>
              <w:top w:val="single" w:sz="4" w:space="0" w:color="auto"/>
              <w:left w:val="single" w:sz="4" w:space="0" w:color="auto"/>
              <w:bottom w:val="single" w:sz="4" w:space="0" w:color="auto"/>
              <w:right w:val="single" w:sz="4" w:space="0" w:color="auto"/>
            </w:tcBorders>
            <w:tcMar>
              <w:top w:w="72" w:type="dxa"/>
              <w:left w:w="288" w:type="dxa"/>
              <w:bottom w:w="72" w:type="dxa"/>
              <w:right w:w="144" w:type="dxa"/>
            </w:tcMar>
            <w:vAlign w:val="center"/>
          </w:tcPr>
          <w:p w14:paraId="077EA388" w14:textId="43B4A2DA" w:rsidR="00A538A2" w:rsidRPr="007051AA" w:rsidRDefault="00A538A2" w:rsidP="00E75FFA">
            <w:pPr>
              <w:pStyle w:val="tabletext"/>
              <w:spacing w:before="0" w:after="0"/>
            </w:pPr>
            <w:r w:rsidRPr="007051AA">
              <w:t>England</w:t>
            </w:r>
          </w:p>
        </w:tc>
        <w:tc>
          <w:tcPr>
            <w:tcW w:w="4444" w:type="pct"/>
            <w:gridSpan w:val="2"/>
            <w:tcBorders>
              <w:top w:val="single" w:sz="8" w:space="0" w:color="000000"/>
              <w:left w:val="single" w:sz="4" w:space="0" w:color="auto"/>
              <w:bottom w:val="single" w:sz="8" w:space="0" w:color="000000"/>
              <w:right w:val="single" w:sz="8" w:space="0" w:color="000000"/>
            </w:tcBorders>
            <w:vAlign w:val="center"/>
          </w:tcPr>
          <w:p w14:paraId="5F5CD2D6" w14:textId="541EFECE" w:rsidR="00A538A2" w:rsidRPr="007051AA" w:rsidRDefault="007656FB" w:rsidP="00C01085">
            <w:pPr>
              <w:pStyle w:val="tabletext"/>
              <w:spacing w:before="0" w:after="0"/>
              <w:ind w:left="284" w:right="284"/>
            </w:pPr>
            <w:r w:rsidRPr="007051AA">
              <w:rPr>
                <w:i/>
                <w:iCs/>
              </w:rPr>
              <w:t>“</w:t>
            </w:r>
            <w:r w:rsidR="00A538A2" w:rsidRPr="007051AA">
              <w:rPr>
                <w:i/>
                <w:iCs/>
              </w:rPr>
              <w:t xml:space="preserve">The first issue </w:t>
            </w:r>
            <w:r w:rsidR="00A538A2" w:rsidRPr="007051AA">
              <w:t>[</w:t>
            </w:r>
            <w:r w:rsidRPr="007051AA">
              <w:t>with using PROs in HTA</w:t>
            </w:r>
            <w:r w:rsidR="00A538A2" w:rsidRPr="007051AA">
              <w:t>]</w:t>
            </w:r>
            <w:r w:rsidR="00A538A2" w:rsidRPr="007051AA">
              <w:rPr>
                <w:i/>
                <w:iCs/>
              </w:rPr>
              <w:t xml:space="preserve"> is having the right outcome measure in the clinical evidence…NICE has a specific preference for the EQ-5D… I still think there is an issue in some situations where either EQ-5D isn't being included in the clinical studies or no generic outcome measure that allows you to calculate QALYs is being included. It is rarer, but it does still happen. And I think often that is because the trials aren't just designed for the UK market and you know, there are global influences and sometimes the global HQ for the industry doesn't fully understand how important it is. The other situation is that they look to include some other outcome measures that can be accepted. But I think the difficulties come when companies make that decision without having empirical evidence to justify that choice…The third is where the correct outcome measures have been included in the trials, but they are insufficient. </w:t>
            </w:r>
            <w:proofErr w:type="gramStart"/>
            <w:r w:rsidR="00A538A2" w:rsidRPr="007051AA">
              <w:rPr>
                <w:i/>
                <w:iCs/>
              </w:rPr>
              <w:t>So</w:t>
            </w:r>
            <w:proofErr w:type="gramEnd"/>
            <w:r w:rsidR="00A538A2" w:rsidRPr="007051AA">
              <w:rPr>
                <w:i/>
                <w:iCs/>
              </w:rPr>
              <w:t xml:space="preserve"> the economic model nearly always </w:t>
            </w:r>
            <w:proofErr w:type="gramStart"/>
            <w:r w:rsidR="00A538A2" w:rsidRPr="007051AA">
              <w:rPr>
                <w:i/>
                <w:iCs/>
              </w:rPr>
              <w:t>has to</w:t>
            </w:r>
            <w:proofErr w:type="gramEnd"/>
            <w:r w:rsidR="00A538A2" w:rsidRPr="007051AA">
              <w:rPr>
                <w:i/>
                <w:iCs/>
              </w:rPr>
              <w:t xml:space="preserve"> extrapolate beyond the trial</w:t>
            </w:r>
            <w:proofErr w:type="gramStart"/>
            <w:r w:rsidR="00A538A2" w:rsidRPr="007051AA">
              <w:rPr>
                <w:i/>
                <w:iCs/>
              </w:rPr>
              <w:t>….So</w:t>
            </w:r>
            <w:proofErr w:type="gramEnd"/>
            <w:r w:rsidR="00A538A2" w:rsidRPr="007051AA">
              <w:rPr>
                <w:i/>
                <w:iCs/>
              </w:rPr>
              <w:t xml:space="preserve"> often we are </w:t>
            </w:r>
            <w:proofErr w:type="gramStart"/>
            <w:r w:rsidR="00A538A2" w:rsidRPr="007051AA">
              <w:rPr>
                <w:i/>
                <w:iCs/>
              </w:rPr>
              <w:t>have</w:t>
            </w:r>
            <w:proofErr w:type="gramEnd"/>
            <w:r w:rsidR="00A538A2" w:rsidRPr="007051AA">
              <w:rPr>
                <w:i/>
                <w:iCs/>
              </w:rPr>
              <w:t xml:space="preserve"> to supplement </w:t>
            </w:r>
            <w:r w:rsidRPr="007051AA">
              <w:rPr>
                <w:i/>
                <w:iCs/>
              </w:rPr>
              <w:t>the evidence that has been collected in the trials with evidence from elsewhere.</w:t>
            </w:r>
            <w:r w:rsidR="00175E68" w:rsidRPr="007051AA">
              <w:rPr>
                <w:i/>
                <w:iCs/>
              </w:rPr>
              <w:t>”</w:t>
            </w:r>
          </w:p>
        </w:tc>
      </w:tr>
      <w:tr w:rsidR="004A300E" w:rsidRPr="007051AA" w14:paraId="440018CB" w14:textId="77777777" w:rsidTr="00DE08E4">
        <w:trPr>
          <w:trHeight w:val="458"/>
        </w:trPr>
        <w:tc>
          <w:tcPr>
            <w:tcW w:w="556" w:type="pct"/>
            <w:tcBorders>
              <w:top w:val="single" w:sz="4" w:space="0" w:color="auto"/>
              <w:left w:val="single" w:sz="4" w:space="0" w:color="auto"/>
              <w:bottom w:val="single" w:sz="4" w:space="0" w:color="auto"/>
              <w:right w:val="single" w:sz="4" w:space="0" w:color="auto"/>
            </w:tcBorders>
            <w:tcMar>
              <w:top w:w="72" w:type="dxa"/>
              <w:left w:w="288" w:type="dxa"/>
              <w:bottom w:w="72" w:type="dxa"/>
              <w:right w:w="144" w:type="dxa"/>
            </w:tcMar>
            <w:vAlign w:val="center"/>
          </w:tcPr>
          <w:p w14:paraId="2FA232AE" w14:textId="0E558DC9" w:rsidR="004A300E" w:rsidRPr="007051AA" w:rsidRDefault="004A300E" w:rsidP="00E75FFA">
            <w:pPr>
              <w:pStyle w:val="tabletext"/>
              <w:spacing w:before="0" w:after="0"/>
            </w:pPr>
            <w:r w:rsidRPr="007051AA">
              <w:t>Germany</w:t>
            </w:r>
          </w:p>
        </w:tc>
        <w:tc>
          <w:tcPr>
            <w:tcW w:w="4444" w:type="pct"/>
            <w:gridSpan w:val="2"/>
            <w:tcBorders>
              <w:top w:val="single" w:sz="8" w:space="0" w:color="000000"/>
              <w:left w:val="single" w:sz="4" w:space="0" w:color="auto"/>
              <w:bottom w:val="single" w:sz="8" w:space="0" w:color="000000"/>
              <w:right w:val="single" w:sz="8" w:space="0" w:color="000000"/>
            </w:tcBorders>
            <w:vAlign w:val="center"/>
          </w:tcPr>
          <w:p w14:paraId="310911E4" w14:textId="37B1D92F" w:rsidR="004A300E" w:rsidRPr="007051AA" w:rsidRDefault="004A300E" w:rsidP="00C01085">
            <w:pPr>
              <w:pStyle w:val="tabletext"/>
              <w:spacing w:before="0" w:after="0"/>
              <w:ind w:left="284" w:right="284"/>
            </w:pPr>
            <w:r w:rsidRPr="007051AA">
              <w:rPr>
                <w:i/>
                <w:iCs/>
              </w:rPr>
              <w:t xml:space="preserve">“For about the last 5-10 years, there has been an increase in PRO…We want PRO factoring into assessments, but the problem is that PRO studies are not done, are not collected, or they are collected in an insufficient way. The data quality has not been good. I would say this is improving. </w:t>
            </w:r>
            <w:proofErr w:type="gramStart"/>
            <w:r w:rsidRPr="007051AA">
              <w:rPr>
                <w:i/>
                <w:iCs/>
              </w:rPr>
              <w:t>On the whole</w:t>
            </w:r>
            <w:proofErr w:type="gramEnd"/>
            <w:r w:rsidRPr="007051AA">
              <w:rPr>
                <w:i/>
                <w:iCs/>
              </w:rPr>
              <w:t>, PROs can play a major role in German HTA if collected and analyzed adequately.</w:t>
            </w:r>
            <w:r w:rsidR="00AB6F04" w:rsidRPr="007051AA">
              <w:rPr>
                <w:i/>
                <w:iCs/>
              </w:rPr>
              <w:t>”</w:t>
            </w:r>
          </w:p>
        </w:tc>
      </w:tr>
      <w:tr w:rsidR="00E10C59" w:rsidRPr="007051AA" w14:paraId="4BBA2CDA" w14:textId="77777777" w:rsidTr="00DE08E4">
        <w:trPr>
          <w:trHeight w:val="458"/>
        </w:trPr>
        <w:tc>
          <w:tcPr>
            <w:tcW w:w="556" w:type="pct"/>
            <w:tcBorders>
              <w:top w:val="single" w:sz="4" w:space="0" w:color="auto"/>
              <w:left w:val="single" w:sz="4" w:space="0" w:color="auto"/>
              <w:bottom w:val="single" w:sz="4" w:space="0" w:color="auto"/>
              <w:right w:val="single" w:sz="4" w:space="0" w:color="auto"/>
            </w:tcBorders>
            <w:tcMar>
              <w:top w:w="72" w:type="dxa"/>
              <w:left w:w="288" w:type="dxa"/>
              <w:bottom w:w="72" w:type="dxa"/>
              <w:right w:w="144" w:type="dxa"/>
            </w:tcMar>
            <w:vAlign w:val="center"/>
          </w:tcPr>
          <w:p w14:paraId="32C159CC" w14:textId="275347E0" w:rsidR="00E10C59" w:rsidRPr="007051AA" w:rsidRDefault="00E10C59" w:rsidP="00954459">
            <w:pPr>
              <w:pStyle w:val="tabletext"/>
              <w:keepNext/>
              <w:keepLines/>
              <w:spacing w:before="0" w:after="0"/>
            </w:pPr>
            <w:r w:rsidRPr="007051AA">
              <w:t>France</w:t>
            </w:r>
          </w:p>
        </w:tc>
        <w:tc>
          <w:tcPr>
            <w:tcW w:w="4444" w:type="pct"/>
            <w:gridSpan w:val="2"/>
            <w:tcBorders>
              <w:top w:val="single" w:sz="8" w:space="0" w:color="000000"/>
              <w:left w:val="single" w:sz="4" w:space="0" w:color="auto"/>
              <w:bottom w:val="single" w:sz="8" w:space="0" w:color="000000"/>
              <w:right w:val="single" w:sz="8" w:space="0" w:color="000000"/>
            </w:tcBorders>
            <w:vAlign w:val="center"/>
          </w:tcPr>
          <w:p w14:paraId="6B237E89" w14:textId="292164BE" w:rsidR="00E10C59" w:rsidRPr="007051AA" w:rsidRDefault="00E10C59" w:rsidP="00954459">
            <w:pPr>
              <w:pStyle w:val="tabletext"/>
              <w:keepNext/>
              <w:keepLines/>
              <w:spacing w:before="0" w:after="0"/>
              <w:ind w:left="284" w:right="284"/>
            </w:pPr>
            <w:r w:rsidRPr="007051AA">
              <w:t>“</w:t>
            </w:r>
            <w:r w:rsidRPr="007051AA">
              <w:rPr>
                <w:i/>
                <w:iCs/>
              </w:rPr>
              <w:t xml:space="preserve">If you have PRO data collected with a poor methodology, for example, in an open-label trial design or with many missing data, it will not be considered. </w:t>
            </w:r>
            <w:proofErr w:type="gramStart"/>
            <w:r w:rsidRPr="007051AA">
              <w:rPr>
                <w:i/>
                <w:iCs/>
              </w:rPr>
              <w:t>So</w:t>
            </w:r>
            <w:proofErr w:type="gramEnd"/>
            <w:r w:rsidRPr="007051AA">
              <w:rPr>
                <w:i/>
                <w:iCs/>
              </w:rPr>
              <w:t xml:space="preserve"> the impact </w:t>
            </w:r>
            <w:r w:rsidRPr="007051AA">
              <w:t>[of PRO on HTA decisions]</w:t>
            </w:r>
            <w:r w:rsidRPr="007051AA">
              <w:rPr>
                <w:i/>
                <w:iCs/>
              </w:rPr>
              <w:t xml:space="preserve"> is dependent on the quality of PRO data.</w:t>
            </w:r>
            <w:r w:rsidRPr="007051AA">
              <w:t>”</w:t>
            </w:r>
          </w:p>
        </w:tc>
      </w:tr>
    </w:tbl>
    <w:p w14:paraId="6CE04BAA" w14:textId="731AEBF3" w:rsidR="00312FD3" w:rsidRPr="007051AA" w:rsidRDefault="00846784" w:rsidP="0047065E">
      <w:pPr>
        <w:keepNext/>
        <w:keepLines/>
        <w:spacing w:after="0" w:line="240" w:lineRule="auto"/>
        <w:sectPr w:rsidR="00312FD3" w:rsidRPr="007051AA" w:rsidSect="00312FD3">
          <w:pgSz w:w="16838" w:h="11906" w:orient="landscape"/>
          <w:pgMar w:top="1440" w:right="1440" w:bottom="1440" w:left="1440" w:header="709" w:footer="709" w:gutter="0"/>
          <w:cols w:space="708"/>
          <w:docGrid w:linePitch="360"/>
        </w:sectPr>
      </w:pPr>
      <w:r w:rsidRPr="007051AA">
        <w:rPr>
          <w:rStyle w:val="footnotesChar"/>
        </w:rPr>
        <w:t xml:space="preserve">Interviewed </w:t>
      </w:r>
      <w:r w:rsidR="00154ACB" w:rsidRPr="007051AA">
        <w:rPr>
          <w:rStyle w:val="footnotesChar"/>
        </w:rPr>
        <w:t>KOL</w:t>
      </w:r>
      <w:r w:rsidRPr="007051AA">
        <w:rPr>
          <w:rStyle w:val="footnotesChar"/>
        </w:rPr>
        <w:t xml:space="preserve">s were from </w:t>
      </w:r>
      <w:r w:rsidR="00D255F3" w:rsidRPr="007051AA">
        <w:rPr>
          <w:rStyle w:val="footnotesChar"/>
        </w:rPr>
        <w:t>Eng</w:t>
      </w:r>
      <w:r w:rsidR="00784ACB" w:rsidRPr="007051AA">
        <w:rPr>
          <w:rStyle w:val="footnotesChar"/>
        </w:rPr>
        <w:t>l</w:t>
      </w:r>
      <w:r w:rsidR="00D255F3" w:rsidRPr="007051AA">
        <w:rPr>
          <w:rStyle w:val="footnotesChar"/>
        </w:rPr>
        <w:t>and</w:t>
      </w:r>
      <w:r w:rsidR="004C4C6D" w:rsidRPr="007051AA">
        <w:rPr>
          <w:rStyle w:val="footnotesChar"/>
        </w:rPr>
        <w:t xml:space="preserve"> (n=4)</w:t>
      </w:r>
      <w:r w:rsidRPr="007051AA">
        <w:rPr>
          <w:rStyle w:val="footnotesChar"/>
        </w:rPr>
        <w:t>, Germany</w:t>
      </w:r>
      <w:r w:rsidR="004C4C6D" w:rsidRPr="007051AA">
        <w:rPr>
          <w:rStyle w:val="footnotesChar"/>
        </w:rPr>
        <w:t xml:space="preserve"> (n=5)</w:t>
      </w:r>
      <w:r w:rsidRPr="007051AA">
        <w:rPr>
          <w:rStyle w:val="footnotesChar"/>
        </w:rPr>
        <w:t xml:space="preserve"> and France</w:t>
      </w:r>
      <w:r w:rsidR="004C4C6D" w:rsidRPr="007051AA">
        <w:rPr>
          <w:rStyle w:val="footnotesChar"/>
        </w:rPr>
        <w:t xml:space="preserve"> (n=3)</w:t>
      </w:r>
      <w:r w:rsidRPr="007051AA">
        <w:rPr>
          <w:rStyle w:val="footnotesChar"/>
        </w:rPr>
        <w:t>.</w:t>
      </w:r>
      <w:r w:rsidR="00D773E8" w:rsidRPr="007051AA">
        <w:rPr>
          <w:rStyle w:val="footnotesChar"/>
        </w:rPr>
        <w:t xml:space="preserve"> </w:t>
      </w:r>
      <w:r w:rsidR="00190071" w:rsidRPr="007051AA">
        <w:rPr>
          <w:rStyle w:val="footnotesChar"/>
        </w:rPr>
        <w:t xml:space="preserve">Challenges </w:t>
      </w:r>
      <w:proofErr w:type="gramStart"/>
      <w:r w:rsidR="00190071" w:rsidRPr="007051AA">
        <w:rPr>
          <w:rStyle w:val="footnotesChar"/>
        </w:rPr>
        <w:t>on</w:t>
      </w:r>
      <w:proofErr w:type="gramEnd"/>
      <w:r w:rsidR="00190071" w:rsidRPr="007051AA">
        <w:rPr>
          <w:rStyle w:val="footnotesChar"/>
        </w:rPr>
        <w:t xml:space="preserve"> the same row were cited equally.</w:t>
      </w:r>
      <w:r w:rsidRPr="007051AA">
        <w:rPr>
          <w:rStyle w:val="footnotesChar"/>
        </w:rPr>
        <w:t xml:space="preserve"> </w:t>
      </w:r>
      <w:r w:rsidRPr="007051AA">
        <w:rPr>
          <w:rStyle w:val="footnotesChar"/>
        </w:rPr>
        <w:br/>
      </w:r>
      <w:r w:rsidR="00312FD3" w:rsidRPr="007051AA">
        <w:rPr>
          <w:rStyle w:val="footnotesChar"/>
        </w:rPr>
        <w:t xml:space="preserve">Abbreviations: EQ-5D, </w:t>
      </w:r>
      <w:proofErr w:type="spellStart"/>
      <w:r w:rsidR="00312FD3" w:rsidRPr="007051AA">
        <w:rPr>
          <w:rStyle w:val="footnotesChar"/>
        </w:rPr>
        <w:t>EuroQoL</w:t>
      </w:r>
      <w:proofErr w:type="spellEnd"/>
      <w:r w:rsidR="00312FD3" w:rsidRPr="007051AA">
        <w:rPr>
          <w:rStyle w:val="footnotesChar"/>
        </w:rPr>
        <w:t>-five dimensions; HTA, Health Technology Assessment;</w:t>
      </w:r>
      <w:r w:rsidR="00F30A1E" w:rsidRPr="007051AA">
        <w:rPr>
          <w:rStyle w:val="footnotesChar"/>
        </w:rPr>
        <w:t xml:space="preserve"> KOL</w:t>
      </w:r>
      <w:r w:rsidR="005B158A" w:rsidRPr="007051AA">
        <w:rPr>
          <w:rStyle w:val="footnotesChar"/>
        </w:rPr>
        <w:t>, key opinion leader;</w:t>
      </w:r>
      <w:r w:rsidR="00AC26FF" w:rsidRPr="007051AA">
        <w:rPr>
          <w:rStyle w:val="footnotesChar"/>
        </w:rPr>
        <w:t xml:space="preserve"> NICE, National Institute for Health and Care Excellence;</w:t>
      </w:r>
      <w:r w:rsidR="00312FD3" w:rsidRPr="007051AA">
        <w:rPr>
          <w:rStyle w:val="footnotesChar"/>
        </w:rPr>
        <w:t xml:space="preserve"> PRO, patient-reported outcomes; PROM,</w:t>
      </w:r>
      <w:r w:rsidR="005B158A" w:rsidRPr="007051AA">
        <w:rPr>
          <w:rStyle w:val="footnotesChar"/>
        </w:rPr>
        <w:t xml:space="preserve"> </w:t>
      </w:r>
      <w:r w:rsidR="00312FD3" w:rsidRPr="007051AA">
        <w:rPr>
          <w:rStyle w:val="footnotesChar"/>
        </w:rPr>
        <w:t xml:space="preserve">patient-reported outcome measure; </w:t>
      </w:r>
      <w:r w:rsidR="00784ACB" w:rsidRPr="007051AA">
        <w:rPr>
          <w:rStyle w:val="footnotesChar"/>
        </w:rPr>
        <w:t xml:space="preserve">QALY, quality adjusted life year; </w:t>
      </w:r>
      <w:r w:rsidR="00312FD3" w:rsidRPr="007051AA">
        <w:rPr>
          <w:rStyle w:val="footnotesChar"/>
        </w:rPr>
        <w:t>UK, United Kingdom</w:t>
      </w:r>
      <w:r w:rsidR="00312FD3" w:rsidRPr="007051AA">
        <w:rPr>
          <w:noProof/>
        </w:rPr>
        <w:t>.</w:t>
      </w:r>
    </w:p>
    <w:p w14:paraId="04802A42" w14:textId="3541A7F1" w:rsidR="00134AB8" w:rsidRPr="007051AA" w:rsidRDefault="00134AB8" w:rsidP="00134AB8">
      <w:pPr>
        <w:pStyle w:val="Caption"/>
        <w:keepNext/>
        <w:spacing w:after="0"/>
        <w:rPr>
          <w:b/>
          <w:bCs/>
          <w:i w:val="0"/>
          <w:iCs w:val="0"/>
          <w:color w:val="auto"/>
          <w:sz w:val="20"/>
          <w:szCs w:val="20"/>
        </w:rPr>
      </w:pPr>
      <w:r w:rsidRPr="007051AA">
        <w:rPr>
          <w:b/>
          <w:bCs/>
          <w:i w:val="0"/>
          <w:iCs w:val="0"/>
          <w:color w:val="auto"/>
          <w:sz w:val="20"/>
          <w:szCs w:val="20"/>
        </w:rPr>
        <w:lastRenderedPageBreak/>
        <w:t xml:space="preserve">Table </w:t>
      </w:r>
      <w:r w:rsidRPr="007051AA">
        <w:rPr>
          <w:b/>
          <w:bCs/>
          <w:i w:val="0"/>
          <w:iCs w:val="0"/>
          <w:color w:val="auto"/>
          <w:sz w:val="20"/>
          <w:szCs w:val="20"/>
        </w:rPr>
        <w:fldChar w:fldCharType="begin"/>
      </w:r>
      <w:r w:rsidRPr="007051AA">
        <w:rPr>
          <w:b/>
          <w:bCs/>
          <w:i w:val="0"/>
          <w:iCs w:val="0"/>
          <w:color w:val="auto"/>
          <w:sz w:val="20"/>
          <w:szCs w:val="20"/>
        </w:rPr>
        <w:instrText xml:space="preserve"> SEQ Table \* ARABIC </w:instrText>
      </w:r>
      <w:r w:rsidRPr="007051AA">
        <w:rPr>
          <w:b/>
          <w:bCs/>
          <w:i w:val="0"/>
          <w:iCs w:val="0"/>
          <w:color w:val="auto"/>
          <w:sz w:val="20"/>
          <w:szCs w:val="20"/>
        </w:rPr>
        <w:fldChar w:fldCharType="separate"/>
      </w:r>
      <w:r w:rsidRPr="007051AA">
        <w:rPr>
          <w:b/>
          <w:bCs/>
          <w:i w:val="0"/>
          <w:iCs w:val="0"/>
          <w:noProof/>
          <w:color w:val="auto"/>
          <w:sz w:val="20"/>
          <w:szCs w:val="20"/>
        </w:rPr>
        <w:t>4</w:t>
      </w:r>
      <w:r w:rsidRPr="007051AA">
        <w:rPr>
          <w:b/>
          <w:bCs/>
          <w:i w:val="0"/>
          <w:iCs w:val="0"/>
          <w:color w:val="auto"/>
          <w:sz w:val="20"/>
          <w:szCs w:val="20"/>
        </w:rPr>
        <w:fldChar w:fldCharType="end"/>
      </w:r>
      <w:r w:rsidRPr="007051AA">
        <w:rPr>
          <w:b/>
          <w:bCs/>
          <w:i w:val="0"/>
          <w:iCs w:val="0"/>
          <w:color w:val="auto"/>
          <w:sz w:val="20"/>
          <w:szCs w:val="20"/>
        </w:rPr>
        <w:t xml:space="preserve">. Challenges Cited by Interviewed </w:t>
      </w:r>
      <w:r w:rsidR="005B158A" w:rsidRPr="007051AA">
        <w:rPr>
          <w:b/>
          <w:bCs/>
          <w:i w:val="0"/>
          <w:iCs w:val="0"/>
          <w:color w:val="auto"/>
          <w:sz w:val="20"/>
          <w:szCs w:val="20"/>
        </w:rPr>
        <w:t>KOL</w:t>
      </w:r>
      <w:r w:rsidRPr="007051AA">
        <w:rPr>
          <w:b/>
          <w:bCs/>
          <w:i w:val="0"/>
          <w:iCs w:val="0"/>
          <w:color w:val="auto"/>
          <w:sz w:val="20"/>
          <w:szCs w:val="20"/>
        </w:rPr>
        <w:t>s Associated with PRO Submissions and Key Considerations for HTDs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3177"/>
        <w:gridCol w:w="5978"/>
        <w:gridCol w:w="4793"/>
      </w:tblGrid>
      <w:tr w:rsidR="00134AB8" w:rsidRPr="007051AA" w14:paraId="1A29E8D2" w14:textId="77777777" w:rsidTr="00584DAA">
        <w:trPr>
          <w:trHeight w:val="336"/>
        </w:trPr>
        <w:tc>
          <w:tcPr>
            <w:tcW w:w="1139" w:type="pct"/>
          </w:tcPr>
          <w:p w14:paraId="43E1E10F" w14:textId="77777777" w:rsidR="00134AB8" w:rsidRPr="007051AA" w:rsidRDefault="00134AB8" w:rsidP="00E75FFA">
            <w:pPr>
              <w:pStyle w:val="tabletext"/>
              <w:rPr>
                <w:b/>
                <w:bCs/>
              </w:rPr>
            </w:pPr>
            <w:r w:rsidRPr="007051AA">
              <w:rPr>
                <w:b/>
                <w:bCs/>
              </w:rPr>
              <w:t>Cited Challenges</w:t>
            </w:r>
          </w:p>
        </w:tc>
        <w:tc>
          <w:tcPr>
            <w:tcW w:w="3861" w:type="pct"/>
            <w:gridSpan w:val="2"/>
          </w:tcPr>
          <w:p w14:paraId="4B83CBAF" w14:textId="77777777" w:rsidR="00134AB8" w:rsidRPr="007051AA" w:rsidRDefault="00134AB8" w:rsidP="00E75FFA">
            <w:pPr>
              <w:pStyle w:val="tabletext"/>
              <w:jc w:val="center"/>
              <w:rPr>
                <w:b/>
                <w:bCs/>
              </w:rPr>
            </w:pPr>
            <w:r w:rsidRPr="007051AA">
              <w:rPr>
                <w:b/>
                <w:bCs/>
              </w:rPr>
              <w:t>Key Considerations for HTDs</w:t>
            </w:r>
            <w:r w:rsidRPr="007051AA">
              <w:rPr>
                <w:b/>
                <w:bCs/>
                <w:vertAlign w:val="superscript"/>
              </w:rPr>
              <w:t>†</w:t>
            </w:r>
          </w:p>
        </w:tc>
      </w:tr>
      <w:tr w:rsidR="00134AB8" w:rsidRPr="007051AA" w14:paraId="003D4892" w14:textId="77777777" w:rsidTr="00E75FFA">
        <w:trPr>
          <w:trHeight w:val="664"/>
        </w:trPr>
        <w:tc>
          <w:tcPr>
            <w:tcW w:w="1139" w:type="pct"/>
          </w:tcPr>
          <w:p w14:paraId="54D57783" w14:textId="77777777" w:rsidR="00134AB8" w:rsidRPr="007051AA" w:rsidRDefault="00134AB8" w:rsidP="00E75FFA">
            <w:pPr>
              <w:pStyle w:val="tabletext"/>
            </w:pPr>
            <w:r w:rsidRPr="007051AA">
              <w:t>No/suboptimal PRO data collection/submission (e.g., due to value perceptions of PRO data)</w:t>
            </w:r>
          </w:p>
        </w:tc>
        <w:tc>
          <w:tcPr>
            <w:tcW w:w="2143" w:type="pct"/>
          </w:tcPr>
          <w:p w14:paraId="1C56B169" w14:textId="77777777" w:rsidR="00134AB8" w:rsidRPr="007051AA" w:rsidRDefault="00134AB8" w:rsidP="00E75FFA">
            <w:pPr>
              <w:pStyle w:val="tabletext"/>
            </w:pPr>
            <w:r w:rsidRPr="007051AA">
              <w:t>Plan submissions using PROs, especially in high-symptom/high-burden conditions</w:t>
            </w:r>
          </w:p>
        </w:tc>
        <w:tc>
          <w:tcPr>
            <w:tcW w:w="1718" w:type="pct"/>
            <w:vMerge w:val="restart"/>
          </w:tcPr>
          <w:p w14:paraId="44E0D44C" w14:textId="77777777" w:rsidR="00134AB8" w:rsidRPr="007051AA" w:rsidRDefault="00134AB8" w:rsidP="00E75FFA">
            <w:pPr>
              <w:pStyle w:val="tabletext"/>
            </w:pPr>
            <w:r w:rsidRPr="007051AA">
              <w:t xml:space="preserve">Increase awareness among industry and HTA bodies of the value of PROs in the target indication, where evaluation methods and priorities reflect increased patient engagement, e.g., in PRO measure selection (such as JCA evaluations and national HTA methods), and communicating literature evidence to alleviate concerns around </w:t>
            </w:r>
            <w:proofErr w:type="gramStart"/>
            <w:r w:rsidRPr="007051AA">
              <w:t>bias of</w:t>
            </w:r>
            <w:proofErr w:type="gramEnd"/>
            <w:r w:rsidRPr="007051AA">
              <w:t xml:space="preserve"> open-label studies</w:t>
            </w:r>
          </w:p>
        </w:tc>
      </w:tr>
      <w:tr w:rsidR="00134AB8" w:rsidRPr="007051AA" w14:paraId="540E3F96" w14:textId="77777777" w:rsidTr="00E75FFA">
        <w:trPr>
          <w:trHeight w:val="664"/>
        </w:trPr>
        <w:tc>
          <w:tcPr>
            <w:tcW w:w="1139" w:type="pct"/>
          </w:tcPr>
          <w:p w14:paraId="4A15BE2A" w14:textId="77777777" w:rsidR="00134AB8" w:rsidRPr="007051AA" w:rsidRDefault="00134AB8" w:rsidP="00E75FFA">
            <w:pPr>
              <w:pStyle w:val="tabletext"/>
            </w:pPr>
            <w:r w:rsidRPr="007051AA">
              <w:t>PRO requirement discrepancy among stakeholders (e.g., HTA vs regulatory agencies)</w:t>
            </w:r>
          </w:p>
        </w:tc>
        <w:tc>
          <w:tcPr>
            <w:tcW w:w="2143" w:type="pct"/>
          </w:tcPr>
          <w:p w14:paraId="3F2D22C8" w14:textId="77777777" w:rsidR="00134AB8" w:rsidRPr="007051AA" w:rsidRDefault="00134AB8" w:rsidP="00E75FFA">
            <w:pPr>
              <w:pStyle w:val="tabletext"/>
            </w:pPr>
            <w:r w:rsidRPr="007051AA">
              <w:t xml:space="preserve">As regulators emphasize the importance of including patient perceptions of symptomatic AEs in submissions (for reporting safety in interventional trials), MedDRA terminology is preferred. The use of a different terminology standards should be justified by the HTD, for example for the use of oncology-specific questionnaires (e.g. PRO-CTCAE, with a rating for severity/seriousness), per JCA and national HTA guidance </w:t>
            </w:r>
            <w:r w:rsidRPr="007051AA">
              <w:fldChar w:fldCharType="begin"/>
            </w:r>
            <w:r w:rsidRPr="007051AA">
              <w:instrText xml:space="preserve"> ADDIN EN.CITE &lt;EndNote&gt;&lt;Cite&gt;&lt;Author&gt;Member state coordination group on health technology assessment&lt;/Author&gt;&lt;Year&gt;2024&lt;/Year&gt;&lt;RecNum&gt;4&lt;/RecNum&gt;&lt;DisplayText&gt;(8)&lt;/DisplayText&gt;&lt;record&gt;&lt;rec-number&gt;4&lt;/rec-number&gt;&lt;foreign-keys&gt;&lt;key app="EN" db-id="rwesrw9adsdp9eet92mpeavcwrptwaxa2we2" timestamp="1730125500"&gt;4&lt;/key&gt;&lt;/foreign-keys&gt;&lt;ref-type name="Journal Article"&gt;17&lt;/ref-type&gt;&lt;contributors&gt;&lt;authors&gt;&lt;author&gt;Member state coordination group on health technology assessment,&lt;/author&gt;&lt;/authors&gt;&lt;/contributors&gt;&lt;titles&gt;&lt;title&gt;Guidance on outcomes for joint&amp;#xD;clinical assessments&lt;/title&gt;&lt;secondary-title&gt;Available at: https://health.ec.europa.eu/document/download/a70a62c7-325c-401e-ba42-66174b656ab8_en?filename=hta_outcomes_jca_guidance_en.pdf. Accessed October 2024&lt;/secondary-title&gt;&lt;/titles&gt;&lt;periodical&gt;&lt;full-title&gt;Available at: https://health.ec.europa.eu/document/download/a70a62c7-325c-401e-ba42-66174b656ab8_en?filename=hta_outcomes_jca_guidance_en.pdf. Accessed October 2024&lt;/full-title&gt;&lt;/periodical&gt;&lt;dates&gt;&lt;year&gt;2024&lt;/year&gt;&lt;/dates&gt;&lt;urls&gt;&lt;/urls&gt;&lt;/record&gt;&lt;/Cite&gt;&lt;/EndNote&gt;</w:instrText>
            </w:r>
            <w:r w:rsidRPr="007051AA">
              <w:fldChar w:fldCharType="separate"/>
            </w:r>
            <w:r w:rsidRPr="007051AA">
              <w:t>(8)</w:t>
            </w:r>
            <w:r w:rsidRPr="007051AA">
              <w:fldChar w:fldCharType="end"/>
            </w:r>
          </w:p>
          <w:p w14:paraId="419C2C7F" w14:textId="77777777" w:rsidR="00134AB8" w:rsidRPr="007051AA" w:rsidRDefault="00134AB8" w:rsidP="00E75FFA">
            <w:pPr>
              <w:pStyle w:val="tabletext"/>
            </w:pPr>
            <w:r w:rsidRPr="007051AA">
              <w:t xml:space="preserve">To mitigate concerns about use of a subset of selections of the full PRO-CTCAE, individual patient-reported symptomatic AEs should be pre-specified with justification in the study protocol. In addition, using </w:t>
            </w:r>
            <w:proofErr w:type="gramStart"/>
            <w:r w:rsidRPr="007051AA">
              <w:t>free-text</w:t>
            </w:r>
            <w:proofErr w:type="gramEnd"/>
            <w:r w:rsidRPr="007051AA">
              <w:t xml:space="preserve"> for patient-reported symptomatic AEs would be good practice to capture unexpected or previously unidentified events</w:t>
            </w:r>
          </w:p>
        </w:tc>
        <w:tc>
          <w:tcPr>
            <w:tcW w:w="1718" w:type="pct"/>
            <w:vMerge/>
          </w:tcPr>
          <w:p w14:paraId="1F63D5D0" w14:textId="77777777" w:rsidR="00134AB8" w:rsidRPr="007051AA" w:rsidRDefault="00134AB8" w:rsidP="00E75FFA">
            <w:pPr>
              <w:pStyle w:val="tabletext"/>
            </w:pPr>
          </w:p>
        </w:tc>
      </w:tr>
      <w:tr w:rsidR="00134AB8" w:rsidRPr="007051AA" w14:paraId="4A3590A6" w14:textId="77777777" w:rsidTr="00E75FFA">
        <w:trPr>
          <w:trHeight w:val="664"/>
        </w:trPr>
        <w:tc>
          <w:tcPr>
            <w:tcW w:w="1139" w:type="pct"/>
          </w:tcPr>
          <w:p w14:paraId="41AA5215" w14:textId="77777777" w:rsidR="00134AB8" w:rsidRPr="007051AA" w:rsidRDefault="00134AB8" w:rsidP="00E75FFA">
            <w:pPr>
              <w:pStyle w:val="tabletext"/>
            </w:pPr>
            <w:r w:rsidRPr="007051AA">
              <w:t>Comparator PRO data not collected/submitted</w:t>
            </w:r>
          </w:p>
        </w:tc>
        <w:tc>
          <w:tcPr>
            <w:tcW w:w="2143" w:type="pct"/>
          </w:tcPr>
          <w:p w14:paraId="3E1BBB62" w14:textId="77777777" w:rsidR="00134AB8" w:rsidRPr="007051AA" w:rsidRDefault="00134AB8" w:rsidP="00E75FFA">
            <w:pPr>
              <w:pStyle w:val="tabletext"/>
            </w:pPr>
          </w:p>
        </w:tc>
        <w:tc>
          <w:tcPr>
            <w:tcW w:w="1718" w:type="pct"/>
            <w:vMerge/>
          </w:tcPr>
          <w:p w14:paraId="48F06A94" w14:textId="77777777" w:rsidR="00134AB8" w:rsidRPr="007051AA" w:rsidRDefault="00134AB8" w:rsidP="00E75FFA">
            <w:pPr>
              <w:pStyle w:val="tabletext"/>
            </w:pPr>
          </w:p>
        </w:tc>
      </w:tr>
      <w:tr w:rsidR="00134AB8" w:rsidRPr="007051AA" w14:paraId="385617ED" w14:textId="77777777" w:rsidTr="00E75FFA">
        <w:trPr>
          <w:trHeight w:val="664"/>
        </w:trPr>
        <w:tc>
          <w:tcPr>
            <w:tcW w:w="1139" w:type="pct"/>
          </w:tcPr>
          <w:p w14:paraId="03FB04D4" w14:textId="77777777" w:rsidR="00134AB8" w:rsidRPr="007051AA" w:rsidRDefault="00134AB8" w:rsidP="00E75FFA">
            <w:pPr>
              <w:pStyle w:val="tabletext"/>
            </w:pPr>
            <w:r w:rsidRPr="007051AA">
              <w:t>Low awareness of PRO, leading to non-compliance</w:t>
            </w:r>
          </w:p>
        </w:tc>
        <w:tc>
          <w:tcPr>
            <w:tcW w:w="2143" w:type="pct"/>
          </w:tcPr>
          <w:p w14:paraId="4FF4E84B" w14:textId="77777777" w:rsidR="00134AB8" w:rsidRPr="007051AA" w:rsidRDefault="00134AB8" w:rsidP="00E75FFA">
            <w:pPr>
              <w:pStyle w:val="tabletext"/>
            </w:pPr>
          </w:p>
        </w:tc>
        <w:tc>
          <w:tcPr>
            <w:tcW w:w="1718" w:type="pct"/>
            <w:vMerge/>
          </w:tcPr>
          <w:p w14:paraId="018076B1" w14:textId="77777777" w:rsidR="00134AB8" w:rsidRPr="007051AA" w:rsidRDefault="00134AB8" w:rsidP="00E75FFA">
            <w:pPr>
              <w:pStyle w:val="tabletext"/>
            </w:pPr>
          </w:p>
        </w:tc>
      </w:tr>
      <w:tr w:rsidR="00134AB8" w:rsidRPr="007051AA" w14:paraId="3BE5C12C" w14:textId="77777777" w:rsidTr="00E75FFA">
        <w:trPr>
          <w:trHeight w:val="664"/>
        </w:trPr>
        <w:tc>
          <w:tcPr>
            <w:tcW w:w="1139" w:type="pct"/>
          </w:tcPr>
          <w:p w14:paraId="59E0BEB5" w14:textId="77777777" w:rsidR="00134AB8" w:rsidRPr="007051AA" w:rsidRDefault="00134AB8" w:rsidP="00E75FFA">
            <w:pPr>
              <w:pStyle w:val="tabletext"/>
            </w:pPr>
            <w:r w:rsidRPr="007051AA">
              <w:t>Selected instruments not fit-for-purpose/PRO benefits not adequately represented in models/inappropriate use of PROM or non-validated instruments</w:t>
            </w:r>
          </w:p>
        </w:tc>
        <w:tc>
          <w:tcPr>
            <w:tcW w:w="3861" w:type="pct"/>
            <w:gridSpan w:val="2"/>
          </w:tcPr>
          <w:p w14:paraId="1E01025E" w14:textId="77777777" w:rsidR="00134AB8" w:rsidRPr="007051AA" w:rsidRDefault="00134AB8" w:rsidP="00E75FFA">
            <w:pPr>
              <w:pStyle w:val="tabletext"/>
            </w:pPr>
            <w:r w:rsidRPr="007051AA">
              <w:t>Consider use of both validated generic and disease-specific PRO instruments for submissions</w:t>
            </w:r>
          </w:p>
          <w:p w14:paraId="27C4971B" w14:textId="77777777" w:rsidR="00134AB8" w:rsidRPr="007051AA" w:rsidRDefault="00134AB8" w:rsidP="00E75FFA">
            <w:pPr>
              <w:pStyle w:val="tabletext"/>
            </w:pPr>
            <w:r w:rsidRPr="007051AA">
              <w:t xml:space="preserve">As a standard MCID threshold exists only in Germany (and is not planned by JCA </w:t>
            </w:r>
            <w:r w:rsidRPr="007051AA">
              <w:fldChar w:fldCharType="begin"/>
            </w:r>
            <w:r w:rsidRPr="007051AA">
              <w:instrText xml:space="preserve"> ADDIN EN.CITE &lt;EndNote&gt;&lt;Cite&gt;&lt;Author&gt;Member state coordination group on health technology assessment&lt;/Author&gt;&lt;Year&gt;2024&lt;/Year&gt;&lt;RecNum&gt;4&lt;/RecNum&gt;&lt;DisplayText&gt;(8)&lt;/DisplayText&gt;&lt;record&gt;&lt;rec-number&gt;4&lt;/rec-number&gt;&lt;foreign-keys&gt;&lt;key app="EN" db-id="rwesrw9adsdp9eet92mpeavcwrptwaxa2we2" timestamp="1730125500"&gt;4&lt;/key&gt;&lt;/foreign-keys&gt;&lt;ref-type name="Journal Article"&gt;17&lt;/ref-type&gt;&lt;contributors&gt;&lt;authors&gt;&lt;author&gt;Member state coordination group on health technology assessment,&lt;/author&gt;&lt;/authors&gt;&lt;/contributors&gt;&lt;titles&gt;&lt;title&gt;Guidance on outcomes for joint&amp;#xD;clinical assessments&lt;/title&gt;&lt;secondary-title&gt;Available at: https://health.ec.europa.eu/document/download/a70a62c7-325c-401e-ba42-66174b656ab8_en?filename=hta_outcomes_jca_guidance_en.pdf. Accessed October 2024&lt;/secondary-title&gt;&lt;/titles&gt;&lt;periodical&gt;&lt;full-title&gt;Available at: https://health.ec.europa.eu/document/download/a70a62c7-325c-401e-ba42-66174b656ab8_en?filename=hta_outcomes_jca_guidance_en.pdf. Accessed October 2024&lt;/full-title&gt;&lt;/periodical&gt;&lt;dates&gt;&lt;year&gt;2024&lt;/year&gt;&lt;/dates&gt;&lt;urls&gt;&lt;/urls&gt;&lt;/record&gt;&lt;/Cite&gt;&lt;/EndNote&gt;</w:instrText>
            </w:r>
            <w:r w:rsidRPr="007051AA">
              <w:fldChar w:fldCharType="separate"/>
            </w:r>
            <w:r w:rsidRPr="007051AA">
              <w:t>(8)</w:t>
            </w:r>
            <w:r w:rsidRPr="007051AA">
              <w:fldChar w:fldCharType="end"/>
            </w:r>
            <w:r w:rsidRPr="007051AA">
              <w:t>), PRO data without context (for example, literature-validated MCID by disease) may be criticized in other markets. Therefore, use of literature-derived data to address gaps, if required, could be considered</w:t>
            </w:r>
          </w:p>
        </w:tc>
      </w:tr>
      <w:tr w:rsidR="00134AB8" w:rsidRPr="007051AA" w14:paraId="1D8F43E2" w14:textId="77777777" w:rsidTr="00E75FFA">
        <w:trPr>
          <w:trHeight w:val="664"/>
        </w:trPr>
        <w:tc>
          <w:tcPr>
            <w:tcW w:w="1139" w:type="pct"/>
          </w:tcPr>
          <w:p w14:paraId="78309111" w14:textId="77777777" w:rsidR="00134AB8" w:rsidRPr="007051AA" w:rsidRDefault="00134AB8" w:rsidP="00E75FFA">
            <w:pPr>
              <w:pStyle w:val="tabletext"/>
            </w:pPr>
            <w:r w:rsidRPr="007051AA">
              <w:t>Failure to meet statistical/EQ-5D mapping rigor for using PRO data in HTA</w:t>
            </w:r>
          </w:p>
        </w:tc>
        <w:tc>
          <w:tcPr>
            <w:tcW w:w="2143" w:type="pct"/>
          </w:tcPr>
          <w:p w14:paraId="7A3A4271" w14:textId="77777777" w:rsidR="00134AB8" w:rsidRPr="007051AA" w:rsidRDefault="00134AB8" w:rsidP="00E75FFA">
            <w:pPr>
              <w:pStyle w:val="tabletext"/>
            </w:pPr>
          </w:p>
        </w:tc>
        <w:tc>
          <w:tcPr>
            <w:tcW w:w="1718" w:type="pct"/>
            <w:vMerge w:val="restart"/>
          </w:tcPr>
          <w:p w14:paraId="2813E043" w14:textId="77777777" w:rsidR="00134AB8" w:rsidRPr="007051AA" w:rsidRDefault="00134AB8" w:rsidP="00E75FFA">
            <w:pPr>
              <w:pStyle w:val="tabletext"/>
            </w:pPr>
            <w:r w:rsidRPr="007051AA">
              <w:t xml:space="preserve">Conduct missing data sensitivity analyses per JCA standards (“as many as appropriate”) </w:t>
            </w:r>
            <w:r w:rsidRPr="007051AA">
              <w:fldChar w:fldCharType="begin"/>
            </w:r>
            <w:r w:rsidRPr="007051AA">
              <w:instrText xml:space="preserve"> ADDIN EN.CITE &lt;EndNote&gt;&lt;Cite&gt;&lt;Author&gt;Member state coordination group on health technology assessment&lt;/Author&gt;&lt;Year&gt;2024&lt;/Year&gt;&lt;RecNum&gt;4&lt;/RecNum&gt;&lt;DisplayText&gt;(8)&lt;/DisplayText&gt;&lt;record&gt;&lt;rec-number&gt;4&lt;/rec-number&gt;&lt;foreign-keys&gt;&lt;key app="EN" db-id="rwesrw9adsdp9eet92mpeavcwrptwaxa2we2" timestamp="1730125500"&gt;4&lt;/key&gt;&lt;/foreign-keys&gt;&lt;ref-type name="Journal Article"&gt;17&lt;/ref-type&gt;&lt;contributors&gt;&lt;authors&gt;&lt;author&gt;Member state coordination group on health technology assessment,&lt;/author&gt;&lt;/authors&gt;&lt;/contributors&gt;&lt;titles&gt;&lt;title&gt;Guidance on outcomes for joint&amp;#xD;clinical assessments&lt;/title&gt;&lt;secondary-title&gt;Available at: https://health.ec.europa.eu/document/download/a70a62c7-325c-401e-ba42-66174b656ab8_en?filename=hta_outcomes_jca_guidance_en.pdf. Accessed October 2024&lt;/secondary-title&gt;&lt;/titles&gt;&lt;periodical&gt;&lt;full-title&gt;Available at: https://health.ec.europa.eu/document/download/a70a62c7-325c-401e-ba42-66174b656ab8_en?filename=hta_outcomes_jca_guidance_en.pdf. Accessed October 2024&lt;/full-title&gt;&lt;/periodical&gt;&lt;dates&gt;&lt;year&gt;2024&lt;/year&gt;&lt;/dates&gt;&lt;urls&gt;&lt;/urls&gt;&lt;/record&gt;&lt;/Cite&gt;&lt;/EndNote&gt;</w:instrText>
            </w:r>
            <w:r w:rsidRPr="007051AA">
              <w:fldChar w:fldCharType="separate"/>
            </w:r>
            <w:r w:rsidRPr="007051AA">
              <w:t>(8)</w:t>
            </w:r>
            <w:r w:rsidRPr="007051AA">
              <w:fldChar w:fldCharType="end"/>
            </w:r>
            <w:r w:rsidRPr="007051AA">
              <w:t>, and implement rigorous clinical and statistical practices, with clear methods and definitions</w:t>
            </w:r>
          </w:p>
        </w:tc>
      </w:tr>
      <w:tr w:rsidR="00134AB8" w:rsidRPr="007051AA" w14:paraId="38F61CC7" w14:textId="77777777" w:rsidTr="00E75FFA">
        <w:trPr>
          <w:trHeight w:val="225"/>
        </w:trPr>
        <w:tc>
          <w:tcPr>
            <w:tcW w:w="1139" w:type="pct"/>
            <w:vMerge w:val="restart"/>
          </w:tcPr>
          <w:p w14:paraId="1C2BEAE7" w14:textId="77777777" w:rsidR="00134AB8" w:rsidRPr="007051AA" w:rsidRDefault="00134AB8" w:rsidP="00E75FFA">
            <w:pPr>
              <w:pStyle w:val="tabletext"/>
            </w:pPr>
            <w:r w:rsidRPr="007051AA">
              <w:t>Missing or insufficient PRO data</w:t>
            </w:r>
          </w:p>
        </w:tc>
        <w:tc>
          <w:tcPr>
            <w:tcW w:w="2143" w:type="pct"/>
          </w:tcPr>
          <w:p w14:paraId="5BDF636D" w14:textId="77777777" w:rsidR="00134AB8" w:rsidRPr="007051AA" w:rsidRDefault="00134AB8" w:rsidP="00E75FFA">
            <w:pPr>
              <w:pStyle w:val="tabletext"/>
            </w:pPr>
            <w:r w:rsidRPr="007051AA">
              <w:t>Aim for ≤20% missing data to meet both formal (Germany) and informal (England and France) expectations, ideally lower.</w:t>
            </w:r>
          </w:p>
        </w:tc>
        <w:tc>
          <w:tcPr>
            <w:tcW w:w="1718" w:type="pct"/>
            <w:vMerge/>
          </w:tcPr>
          <w:p w14:paraId="23F63FB1" w14:textId="77777777" w:rsidR="00134AB8" w:rsidRPr="007051AA" w:rsidRDefault="00134AB8" w:rsidP="00E75FFA">
            <w:pPr>
              <w:pStyle w:val="tabletext"/>
            </w:pPr>
          </w:p>
        </w:tc>
      </w:tr>
      <w:tr w:rsidR="00134AB8" w:rsidRPr="007051AA" w14:paraId="4B35DE2A" w14:textId="77777777" w:rsidTr="00E75FFA">
        <w:trPr>
          <w:trHeight w:val="224"/>
        </w:trPr>
        <w:tc>
          <w:tcPr>
            <w:tcW w:w="1139" w:type="pct"/>
            <w:vMerge/>
          </w:tcPr>
          <w:p w14:paraId="54BACFF7" w14:textId="77777777" w:rsidR="00134AB8" w:rsidRPr="007051AA" w:rsidRDefault="00134AB8" w:rsidP="00E75FFA">
            <w:pPr>
              <w:pStyle w:val="tabletext"/>
            </w:pPr>
          </w:p>
        </w:tc>
        <w:tc>
          <w:tcPr>
            <w:tcW w:w="2143" w:type="pct"/>
          </w:tcPr>
          <w:p w14:paraId="1DC9101F" w14:textId="77777777" w:rsidR="00134AB8" w:rsidRPr="007051AA" w:rsidRDefault="00134AB8" w:rsidP="00E75FFA">
            <w:pPr>
              <w:pStyle w:val="tabletext"/>
            </w:pPr>
            <w:r w:rsidRPr="007051AA">
              <w:t>Plan for PPD analyses as a standard for all oncology submissions</w:t>
            </w:r>
          </w:p>
        </w:tc>
        <w:tc>
          <w:tcPr>
            <w:tcW w:w="1718" w:type="pct"/>
            <w:vMerge/>
          </w:tcPr>
          <w:p w14:paraId="457C437D" w14:textId="77777777" w:rsidR="00134AB8" w:rsidRPr="007051AA" w:rsidRDefault="00134AB8" w:rsidP="00E75FFA">
            <w:pPr>
              <w:pStyle w:val="tabletext"/>
            </w:pPr>
          </w:p>
        </w:tc>
      </w:tr>
      <w:tr w:rsidR="00134AB8" w:rsidRPr="007051AA" w14:paraId="3B81F2CE" w14:textId="77777777" w:rsidTr="00E75FFA">
        <w:trPr>
          <w:trHeight w:val="369"/>
        </w:trPr>
        <w:tc>
          <w:tcPr>
            <w:tcW w:w="1139" w:type="pct"/>
          </w:tcPr>
          <w:p w14:paraId="6C98BD3C" w14:textId="77777777" w:rsidR="00134AB8" w:rsidRPr="007051AA" w:rsidRDefault="00134AB8" w:rsidP="00E75FFA">
            <w:pPr>
              <w:pStyle w:val="tabletext"/>
            </w:pPr>
            <w:r w:rsidRPr="007051AA">
              <w:lastRenderedPageBreak/>
              <w:t>Real-world applicability of collected data</w:t>
            </w:r>
          </w:p>
        </w:tc>
        <w:tc>
          <w:tcPr>
            <w:tcW w:w="3861" w:type="pct"/>
            <w:gridSpan w:val="2"/>
          </w:tcPr>
          <w:p w14:paraId="3AA087AE" w14:textId="77777777" w:rsidR="00134AB8" w:rsidRPr="007051AA" w:rsidRDefault="00134AB8" w:rsidP="00E75FFA">
            <w:pPr>
              <w:pStyle w:val="tabletext"/>
            </w:pPr>
            <w:r w:rsidRPr="007051AA">
              <w:t>If using TTE endpoints, the event should be clearly defined, with validated tools for measurement. Baseline values, data collection time points and frequency of assessments should be reported to provide context for change scores</w:t>
            </w:r>
          </w:p>
        </w:tc>
      </w:tr>
      <w:tr w:rsidR="00134AB8" w:rsidRPr="007051AA" w14:paraId="315A4DAA" w14:textId="77777777" w:rsidTr="00E75FFA">
        <w:trPr>
          <w:trHeight w:val="548"/>
        </w:trPr>
        <w:tc>
          <w:tcPr>
            <w:tcW w:w="1139" w:type="pct"/>
          </w:tcPr>
          <w:p w14:paraId="034CA574" w14:textId="77777777" w:rsidR="00134AB8" w:rsidRPr="007051AA" w:rsidRDefault="00134AB8" w:rsidP="00E75FFA">
            <w:pPr>
              <w:pStyle w:val="tabletext"/>
            </w:pPr>
            <w:r w:rsidRPr="007051AA">
              <w:t>Study design (e.g., blinding/endpoint selection) and bias</w:t>
            </w:r>
          </w:p>
        </w:tc>
        <w:tc>
          <w:tcPr>
            <w:tcW w:w="3861" w:type="pct"/>
            <w:gridSpan w:val="2"/>
          </w:tcPr>
          <w:p w14:paraId="2E73F3BC" w14:textId="77777777" w:rsidR="00134AB8" w:rsidRPr="007051AA" w:rsidRDefault="00134AB8" w:rsidP="00E75FFA">
            <w:pPr>
              <w:pStyle w:val="tabletext"/>
            </w:pPr>
            <w:r w:rsidRPr="007051AA">
              <w:t>Apply strategies to reduce bias risk in reporting of outcomes (for example, avoid omissions of key measures or timepoints, changing measure scoring, additions of unplanned analyses and discrepancies between the study protocol and the SAP)</w:t>
            </w:r>
          </w:p>
        </w:tc>
      </w:tr>
    </w:tbl>
    <w:p w14:paraId="5E39BB16" w14:textId="528E5F7A" w:rsidR="00134AB8" w:rsidRPr="007051AA" w:rsidRDefault="00134AB8" w:rsidP="00134AB8">
      <w:pPr>
        <w:pStyle w:val="footnotes"/>
        <w:spacing w:after="0" w:line="240" w:lineRule="auto"/>
      </w:pPr>
      <w:r w:rsidRPr="007051AA">
        <w:t xml:space="preserve">Abbreviations: AE, adverse event; EQ-5D, </w:t>
      </w:r>
      <w:proofErr w:type="spellStart"/>
      <w:r w:rsidRPr="007051AA">
        <w:t>EuroQoL</w:t>
      </w:r>
      <w:proofErr w:type="spellEnd"/>
      <w:r w:rsidRPr="007051AA">
        <w:t xml:space="preserve">-five dimensions; HTA, Health Technology Assessment; HTD, health technology developer; JCA, Joint Clinical Assessment; </w:t>
      </w:r>
      <w:r w:rsidR="005B158A" w:rsidRPr="007051AA">
        <w:rPr>
          <w:rStyle w:val="footnotesChar"/>
        </w:rPr>
        <w:t>KOL, key opinion leader</w:t>
      </w:r>
      <w:r w:rsidR="00001658" w:rsidRPr="007051AA">
        <w:rPr>
          <w:rStyle w:val="footnotesChar"/>
        </w:rPr>
        <w:t>;</w:t>
      </w:r>
      <w:r w:rsidR="005B158A" w:rsidRPr="007051AA">
        <w:t xml:space="preserve"> </w:t>
      </w:r>
      <w:r w:rsidRPr="007051AA">
        <w:t>PRO, patient-reported outcome; PROM, patient-reported outcome measure; PRO-CTCAE, PRO-Common Terminology Criteria for Adverse Events; MCID, minimally clinical important difference; MedDRA, Medical Dictionary for Regulatory Activities; MMRM, mixed model for repeated measures; PPD, post-progression data; PRO, patient-reported outcome; SAP, statistical analysis plan; TTE, time</w:t>
      </w:r>
      <w:r w:rsidR="00551C71" w:rsidRPr="007051AA">
        <w:t>-</w:t>
      </w:r>
      <w:r w:rsidRPr="007051AA">
        <w:t>to</w:t>
      </w:r>
      <w:r w:rsidR="00551C71" w:rsidRPr="007051AA">
        <w:t>-</w:t>
      </w:r>
      <w:r w:rsidRPr="007051AA">
        <w:t>event.</w:t>
      </w:r>
      <w:r w:rsidR="005D7242" w:rsidRPr="007051AA">
        <w:br/>
      </w:r>
      <w:r w:rsidR="005D7242" w:rsidRPr="007051AA">
        <w:rPr>
          <w:rFonts w:cs="Times New Roman"/>
        </w:rPr>
        <w:t>†</w:t>
      </w:r>
      <w:r w:rsidR="005D7242" w:rsidRPr="007051AA">
        <w:t>Considerations according to study authors.</w:t>
      </w:r>
    </w:p>
    <w:p w14:paraId="6EA29694" w14:textId="77777777" w:rsidR="00134AB8" w:rsidRPr="007051AA" w:rsidRDefault="00134AB8" w:rsidP="005F266E">
      <w:pPr>
        <w:sectPr w:rsidR="00134AB8" w:rsidRPr="007051AA" w:rsidSect="00134AB8">
          <w:pgSz w:w="16838" w:h="11906" w:orient="landscape"/>
          <w:pgMar w:top="1440" w:right="1440" w:bottom="1440" w:left="1440" w:header="709" w:footer="709" w:gutter="0"/>
          <w:cols w:space="708"/>
          <w:docGrid w:linePitch="360"/>
        </w:sectPr>
      </w:pPr>
    </w:p>
    <w:p w14:paraId="08D316CA" w14:textId="3C6BBB03" w:rsidR="009114E7" w:rsidRPr="00300B5D" w:rsidRDefault="009114E7" w:rsidP="00C410F2">
      <w:pPr>
        <w:pStyle w:val="Heading2"/>
      </w:pPr>
    </w:p>
    <w:sectPr w:rsidR="009114E7" w:rsidRPr="00300B5D" w:rsidSect="00C410F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931EB1" w14:textId="77777777" w:rsidR="001D3EFD" w:rsidRDefault="001D3EFD" w:rsidP="008647D4">
      <w:pPr>
        <w:spacing w:after="0" w:line="240" w:lineRule="auto"/>
      </w:pPr>
      <w:r>
        <w:separator/>
      </w:r>
    </w:p>
  </w:endnote>
  <w:endnote w:type="continuationSeparator" w:id="0">
    <w:p w14:paraId="515A3AFE" w14:textId="77777777" w:rsidR="001D3EFD" w:rsidRDefault="001D3EFD" w:rsidP="008647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3953811"/>
      <w:docPartObj>
        <w:docPartGallery w:val="Page Numbers (Bottom of Page)"/>
        <w:docPartUnique/>
      </w:docPartObj>
    </w:sdtPr>
    <w:sdtEndPr>
      <w:rPr>
        <w:noProof/>
      </w:rPr>
    </w:sdtEndPr>
    <w:sdtContent>
      <w:p w14:paraId="032A4387" w14:textId="0DFB4481" w:rsidR="003F4710" w:rsidRDefault="003F471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1B1A45" w14:textId="67CBBC14" w:rsidR="00261F3F" w:rsidRDefault="00261F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F235B8" w14:textId="77777777" w:rsidR="001D3EFD" w:rsidRDefault="001D3EFD" w:rsidP="008647D4">
      <w:pPr>
        <w:spacing w:after="0" w:line="240" w:lineRule="auto"/>
      </w:pPr>
      <w:r>
        <w:separator/>
      </w:r>
    </w:p>
  </w:footnote>
  <w:footnote w:type="continuationSeparator" w:id="0">
    <w:p w14:paraId="1A1D32EF" w14:textId="77777777" w:rsidR="001D3EFD" w:rsidRDefault="001D3EFD" w:rsidP="008647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44F87"/>
    <w:multiLevelType w:val="hybridMultilevel"/>
    <w:tmpl w:val="87B4A712"/>
    <w:lvl w:ilvl="0" w:tplc="DD905BAE">
      <w:start w:val="1"/>
      <w:numFmt w:val="bullet"/>
      <w:lvlText w:val=""/>
      <w:lvlJc w:val="left"/>
      <w:pPr>
        <w:ind w:left="720" w:hanging="360"/>
      </w:pPr>
      <w:rPr>
        <w:rFonts w:ascii="Symbol" w:hAnsi="Symbol"/>
      </w:rPr>
    </w:lvl>
    <w:lvl w:ilvl="1" w:tplc="87D68984">
      <w:start w:val="1"/>
      <w:numFmt w:val="bullet"/>
      <w:lvlText w:val=""/>
      <w:lvlJc w:val="left"/>
      <w:pPr>
        <w:ind w:left="720" w:hanging="360"/>
      </w:pPr>
      <w:rPr>
        <w:rFonts w:ascii="Symbol" w:hAnsi="Symbol"/>
      </w:rPr>
    </w:lvl>
    <w:lvl w:ilvl="2" w:tplc="F52E6FD0">
      <w:start w:val="1"/>
      <w:numFmt w:val="bullet"/>
      <w:lvlText w:val=""/>
      <w:lvlJc w:val="left"/>
      <w:pPr>
        <w:ind w:left="720" w:hanging="360"/>
      </w:pPr>
      <w:rPr>
        <w:rFonts w:ascii="Symbol" w:hAnsi="Symbol"/>
      </w:rPr>
    </w:lvl>
    <w:lvl w:ilvl="3" w:tplc="0066C2DA">
      <w:start w:val="1"/>
      <w:numFmt w:val="bullet"/>
      <w:lvlText w:val=""/>
      <w:lvlJc w:val="left"/>
      <w:pPr>
        <w:ind w:left="720" w:hanging="360"/>
      </w:pPr>
      <w:rPr>
        <w:rFonts w:ascii="Symbol" w:hAnsi="Symbol"/>
      </w:rPr>
    </w:lvl>
    <w:lvl w:ilvl="4" w:tplc="BE5C662E">
      <w:start w:val="1"/>
      <w:numFmt w:val="bullet"/>
      <w:lvlText w:val=""/>
      <w:lvlJc w:val="left"/>
      <w:pPr>
        <w:ind w:left="720" w:hanging="360"/>
      </w:pPr>
      <w:rPr>
        <w:rFonts w:ascii="Symbol" w:hAnsi="Symbol"/>
      </w:rPr>
    </w:lvl>
    <w:lvl w:ilvl="5" w:tplc="58B0D2D4">
      <w:start w:val="1"/>
      <w:numFmt w:val="bullet"/>
      <w:lvlText w:val=""/>
      <w:lvlJc w:val="left"/>
      <w:pPr>
        <w:ind w:left="720" w:hanging="360"/>
      </w:pPr>
      <w:rPr>
        <w:rFonts w:ascii="Symbol" w:hAnsi="Symbol"/>
      </w:rPr>
    </w:lvl>
    <w:lvl w:ilvl="6" w:tplc="C4EC38EA">
      <w:start w:val="1"/>
      <w:numFmt w:val="bullet"/>
      <w:lvlText w:val=""/>
      <w:lvlJc w:val="left"/>
      <w:pPr>
        <w:ind w:left="720" w:hanging="360"/>
      </w:pPr>
      <w:rPr>
        <w:rFonts w:ascii="Symbol" w:hAnsi="Symbol"/>
      </w:rPr>
    </w:lvl>
    <w:lvl w:ilvl="7" w:tplc="D98A0EF0">
      <w:start w:val="1"/>
      <w:numFmt w:val="bullet"/>
      <w:lvlText w:val=""/>
      <w:lvlJc w:val="left"/>
      <w:pPr>
        <w:ind w:left="720" w:hanging="360"/>
      </w:pPr>
      <w:rPr>
        <w:rFonts w:ascii="Symbol" w:hAnsi="Symbol"/>
      </w:rPr>
    </w:lvl>
    <w:lvl w:ilvl="8" w:tplc="8D628A54">
      <w:start w:val="1"/>
      <w:numFmt w:val="bullet"/>
      <w:lvlText w:val=""/>
      <w:lvlJc w:val="left"/>
      <w:pPr>
        <w:ind w:left="720" w:hanging="360"/>
      </w:pPr>
      <w:rPr>
        <w:rFonts w:ascii="Symbol" w:hAnsi="Symbol"/>
      </w:rPr>
    </w:lvl>
  </w:abstractNum>
  <w:abstractNum w:abstractNumId="1" w15:restartNumberingAfterBreak="0">
    <w:nsid w:val="1ABE320E"/>
    <w:multiLevelType w:val="hybridMultilevel"/>
    <w:tmpl w:val="7BDE771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45764CB"/>
    <w:multiLevelType w:val="multilevel"/>
    <w:tmpl w:val="343C2A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891A4C"/>
    <w:multiLevelType w:val="multilevel"/>
    <w:tmpl w:val="30D49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DF35E6"/>
    <w:multiLevelType w:val="hybridMultilevel"/>
    <w:tmpl w:val="FFA4C966"/>
    <w:lvl w:ilvl="0" w:tplc="0956A1CE">
      <w:start w:val="1"/>
      <w:numFmt w:val="bullet"/>
      <w:lvlText w:val=""/>
      <w:lvlJc w:val="left"/>
      <w:pPr>
        <w:ind w:left="1280" w:hanging="360"/>
      </w:pPr>
      <w:rPr>
        <w:rFonts w:ascii="Symbol" w:hAnsi="Symbol"/>
      </w:rPr>
    </w:lvl>
    <w:lvl w:ilvl="1" w:tplc="0916CDD6">
      <w:start w:val="1"/>
      <w:numFmt w:val="bullet"/>
      <w:lvlText w:val=""/>
      <w:lvlJc w:val="left"/>
      <w:pPr>
        <w:ind w:left="1280" w:hanging="360"/>
      </w:pPr>
      <w:rPr>
        <w:rFonts w:ascii="Symbol" w:hAnsi="Symbol"/>
      </w:rPr>
    </w:lvl>
    <w:lvl w:ilvl="2" w:tplc="3842869A">
      <w:start w:val="1"/>
      <w:numFmt w:val="bullet"/>
      <w:lvlText w:val=""/>
      <w:lvlJc w:val="left"/>
      <w:pPr>
        <w:ind w:left="1280" w:hanging="360"/>
      </w:pPr>
      <w:rPr>
        <w:rFonts w:ascii="Symbol" w:hAnsi="Symbol"/>
      </w:rPr>
    </w:lvl>
    <w:lvl w:ilvl="3" w:tplc="5CC0A3E6">
      <w:start w:val="1"/>
      <w:numFmt w:val="bullet"/>
      <w:lvlText w:val=""/>
      <w:lvlJc w:val="left"/>
      <w:pPr>
        <w:ind w:left="1280" w:hanging="360"/>
      </w:pPr>
      <w:rPr>
        <w:rFonts w:ascii="Symbol" w:hAnsi="Symbol"/>
      </w:rPr>
    </w:lvl>
    <w:lvl w:ilvl="4" w:tplc="2C308096">
      <w:start w:val="1"/>
      <w:numFmt w:val="bullet"/>
      <w:lvlText w:val=""/>
      <w:lvlJc w:val="left"/>
      <w:pPr>
        <w:ind w:left="1280" w:hanging="360"/>
      </w:pPr>
      <w:rPr>
        <w:rFonts w:ascii="Symbol" w:hAnsi="Symbol"/>
      </w:rPr>
    </w:lvl>
    <w:lvl w:ilvl="5" w:tplc="90326ACE">
      <w:start w:val="1"/>
      <w:numFmt w:val="bullet"/>
      <w:lvlText w:val=""/>
      <w:lvlJc w:val="left"/>
      <w:pPr>
        <w:ind w:left="1280" w:hanging="360"/>
      </w:pPr>
      <w:rPr>
        <w:rFonts w:ascii="Symbol" w:hAnsi="Symbol"/>
      </w:rPr>
    </w:lvl>
    <w:lvl w:ilvl="6" w:tplc="C13EDEA6">
      <w:start w:val="1"/>
      <w:numFmt w:val="bullet"/>
      <w:lvlText w:val=""/>
      <w:lvlJc w:val="left"/>
      <w:pPr>
        <w:ind w:left="1280" w:hanging="360"/>
      </w:pPr>
      <w:rPr>
        <w:rFonts w:ascii="Symbol" w:hAnsi="Symbol"/>
      </w:rPr>
    </w:lvl>
    <w:lvl w:ilvl="7" w:tplc="00562C94">
      <w:start w:val="1"/>
      <w:numFmt w:val="bullet"/>
      <w:lvlText w:val=""/>
      <w:lvlJc w:val="left"/>
      <w:pPr>
        <w:ind w:left="1280" w:hanging="360"/>
      </w:pPr>
      <w:rPr>
        <w:rFonts w:ascii="Symbol" w:hAnsi="Symbol"/>
      </w:rPr>
    </w:lvl>
    <w:lvl w:ilvl="8" w:tplc="7EA4CAC0">
      <w:start w:val="1"/>
      <w:numFmt w:val="bullet"/>
      <w:lvlText w:val=""/>
      <w:lvlJc w:val="left"/>
      <w:pPr>
        <w:ind w:left="1280" w:hanging="360"/>
      </w:pPr>
      <w:rPr>
        <w:rFonts w:ascii="Symbol" w:hAnsi="Symbol"/>
      </w:rPr>
    </w:lvl>
  </w:abstractNum>
  <w:abstractNum w:abstractNumId="5" w15:restartNumberingAfterBreak="0">
    <w:nsid w:val="2CB55E41"/>
    <w:multiLevelType w:val="hybridMultilevel"/>
    <w:tmpl w:val="7AF0DC24"/>
    <w:lvl w:ilvl="0" w:tplc="14D23CFA">
      <w:start w:val="1"/>
      <w:numFmt w:val="bullet"/>
      <w:lvlText w:val=""/>
      <w:lvlJc w:val="left"/>
      <w:pPr>
        <w:ind w:left="720" w:hanging="360"/>
      </w:pPr>
      <w:rPr>
        <w:rFonts w:ascii="Symbol" w:hAnsi="Symbol"/>
      </w:rPr>
    </w:lvl>
    <w:lvl w:ilvl="1" w:tplc="8D4AB246">
      <w:start w:val="1"/>
      <w:numFmt w:val="bullet"/>
      <w:lvlText w:val=""/>
      <w:lvlJc w:val="left"/>
      <w:pPr>
        <w:ind w:left="720" w:hanging="360"/>
      </w:pPr>
      <w:rPr>
        <w:rFonts w:ascii="Symbol" w:hAnsi="Symbol"/>
      </w:rPr>
    </w:lvl>
    <w:lvl w:ilvl="2" w:tplc="AFBEA960">
      <w:start w:val="1"/>
      <w:numFmt w:val="bullet"/>
      <w:lvlText w:val=""/>
      <w:lvlJc w:val="left"/>
      <w:pPr>
        <w:ind w:left="720" w:hanging="360"/>
      </w:pPr>
      <w:rPr>
        <w:rFonts w:ascii="Symbol" w:hAnsi="Symbol"/>
      </w:rPr>
    </w:lvl>
    <w:lvl w:ilvl="3" w:tplc="724EAFB4">
      <w:start w:val="1"/>
      <w:numFmt w:val="bullet"/>
      <w:lvlText w:val=""/>
      <w:lvlJc w:val="left"/>
      <w:pPr>
        <w:ind w:left="720" w:hanging="360"/>
      </w:pPr>
      <w:rPr>
        <w:rFonts w:ascii="Symbol" w:hAnsi="Symbol"/>
      </w:rPr>
    </w:lvl>
    <w:lvl w:ilvl="4" w:tplc="1116ED12">
      <w:start w:val="1"/>
      <w:numFmt w:val="bullet"/>
      <w:lvlText w:val=""/>
      <w:lvlJc w:val="left"/>
      <w:pPr>
        <w:ind w:left="720" w:hanging="360"/>
      </w:pPr>
      <w:rPr>
        <w:rFonts w:ascii="Symbol" w:hAnsi="Symbol"/>
      </w:rPr>
    </w:lvl>
    <w:lvl w:ilvl="5" w:tplc="548CFC10">
      <w:start w:val="1"/>
      <w:numFmt w:val="bullet"/>
      <w:lvlText w:val=""/>
      <w:lvlJc w:val="left"/>
      <w:pPr>
        <w:ind w:left="720" w:hanging="360"/>
      </w:pPr>
      <w:rPr>
        <w:rFonts w:ascii="Symbol" w:hAnsi="Symbol"/>
      </w:rPr>
    </w:lvl>
    <w:lvl w:ilvl="6" w:tplc="B7E0962A">
      <w:start w:val="1"/>
      <w:numFmt w:val="bullet"/>
      <w:lvlText w:val=""/>
      <w:lvlJc w:val="left"/>
      <w:pPr>
        <w:ind w:left="720" w:hanging="360"/>
      </w:pPr>
      <w:rPr>
        <w:rFonts w:ascii="Symbol" w:hAnsi="Symbol"/>
      </w:rPr>
    </w:lvl>
    <w:lvl w:ilvl="7" w:tplc="6DD61B98">
      <w:start w:val="1"/>
      <w:numFmt w:val="bullet"/>
      <w:lvlText w:val=""/>
      <w:lvlJc w:val="left"/>
      <w:pPr>
        <w:ind w:left="720" w:hanging="360"/>
      </w:pPr>
      <w:rPr>
        <w:rFonts w:ascii="Symbol" w:hAnsi="Symbol"/>
      </w:rPr>
    </w:lvl>
    <w:lvl w:ilvl="8" w:tplc="D54088A8">
      <w:start w:val="1"/>
      <w:numFmt w:val="bullet"/>
      <w:lvlText w:val=""/>
      <w:lvlJc w:val="left"/>
      <w:pPr>
        <w:ind w:left="720" w:hanging="360"/>
      </w:pPr>
      <w:rPr>
        <w:rFonts w:ascii="Symbol" w:hAnsi="Symbol"/>
      </w:rPr>
    </w:lvl>
  </w:abstractNum>
  <w:abstractNum w:abstractNumId="6" w15:restartNumberingAfterBreak="0">
    <w:nsid w:val="3F7A704B"/>
    <w:multiLevelType w:val="hybridMultilevel"/>
    <w:tmpl w:val="89B0C50E"/>
    <w:lvl w:ilvl="0" w:tplc="43FA5932">
      <w:start w:val="1"/>
      <w:numFmt w:val="bullet"/>
      <w:lvlText w:val=""/>
      <w:lvlJc w:val="left"/>
      <w:pPr>
        <w:ind w:left="1380" w:hanging="360"/>
      </w:pPr>
      <w:rPr>
        <w:rFonts w:ascii="Symbol" w:hAnsi="Symbol"/>
      </w:rPr>
    </w:lvl>
    <w:lvl w:ilvl="1" w:tplc="3D8A2F9A">
      <w:start w:val="1"/>
      <w:numFmt w:val="bullet"/>
      <w:lvlText w:val=""/>
      <w:lvlJc w:val="left"/>
      <w:pPr>
        <w:ind w:left="1380" w:hanging="360"/>
      </w:pPr>
      <w:rPr>
        <w:rFonts w:ascii="Symbol" w:hAnsi="Symbol"/>
      </w:rPr>
    </w:lvl>
    <w:lvl w:ilvl="2" w:tplc="AFE694B4">
      <w:start w:val="1"/>
      <w:numFmt w:val="bullet"/>
      <w:lvlText w:val=""/>
      <w:lvlJc w:val="left"/>
      <w:pPr>
        <w:ind w:left="1380" w:hanging="360"/>
      </w:pPr>
      <w:rPr>
        <w:rFonts w:ascii="Symbol" w:hAnsi="Symbol"/>
      </w:rPr>
    </w:lvl>
    <w:lvl w:ilvl="3" w:tplc="4D0082D8">
      <w:start w:val="1"/>
      <w:numFmt w:val="bullet"/>
      <w:lvlText w:val=""/>
      <w:lvlJc w:val="left"/>
      <w:pPr>
        <w:ind w:left="1380" w:hanging="360"/>
      </w:pPr>
      <w:rPr>
        <w:rFonts w:ascii="Symbol" w:hAnsi="Symbol"/>
      </w:rPr>
    </w:lvl>
    <w:lvl w:ilvl="4" w:tplc="381AB088">
      <w:start w:val="1"/>
      <w:numFmt w:val="bullet"/>
      <w:lvlText w:val=""/>
      <w:lvlJc w:val="left"/>
      <w:pPr>
        <w:ind w:left="1380" w:hanging="360"/>
      </w:pPr>
      <w:rPr>
        <w:rFonts w:ascii="Symbol" w:hAnsi="Symbol"/>
      </w:rPr>
    </w:lvl>
    <w:lvl w:ilvl="5" w:tplc="03E02706">
      <w:start w:val="1"/>
      <w:numFmt w:val="bullet"/>
      <w:lvlText w:val=""/>
      <w:lvlJc w:val="left"/>
      <w:pPr>
        <w:ind w:left="1380" w:hanging="360"/>
      </w:pPr>
      <w:rPr>
        <w:rFonts w:ascii="Symbol" w:hAnsi="Symbol"/>
      </w:rPr>
    </w:lvl>
    <w:lvl w:ilvl="6" w:tplc="7FC63E88">
      <w:start w:val="1"/>
      <w:numFmt w:val="bullet"/>
      <w:lvlText w:val=""/>
      <w:lvlJc w:val="left"/>
      <w:pPr>
        <w:ind w:left="1380" w:hanging="360"/>
      </w:pPr>
      <w:rPr>
        <w:rFonts w:ascii="Symbol" w:hAnsi="Symbol"/>
      </w:rPr>
    </w:lvl>
    <w:lvl w:ilvl="7" w:tplc="394804DA">
      <w:start w:val="1"/>
      <w:numFmt w:val="bullet"/>
      <w:lvlText w:val=""/>
      <w:lvlJc w:val="left"/>
      <w:pPr>
        <w:ind w:left="1380" w:hanging="360"/>
      </w:pPr>
      <w:rPr>
        <w:rFonts w:ascii="Symbol" w:hAnsi="Symbol"/>
      </w:rPr>
    </w:lvl>
    <w:lvl w:ilvl="8" w:tplc="74AC4DFA">
      <w:start w:val="1"/>
      <w:numFmt w:val="bullet"/>
      <w:lvlText w:val=""/>
      <w:lvlJc w:val="left"/>
      <w:pPr>
        <w:ind w:left="1380" w:hanging="360"/>
      </w:pPr>
      <w:rPr>
        <w:rFonts w:ascii="Symbol" w:hAnsi="Symbol"/>
      </w:rPr>
    </w:lvl>
  </w:abstractNum>
  <w:abstractNum w:abstractNumId="7" w15:restartNumberingAfterBreak="0">
    <w:nsid w:val="42EC12A8"/>
    <w:multiLevelType w:val="hybridMultilevel"/>
    <w:tmpl w:val="C1C4EF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6CD7566"/>
    <w:multiLevelType w:val="multilevel"/>
    <w:tmpl w:val="44980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CD08A3"/>
    <w:multiLevelType w:val="hybridMultilevel"/>
    <w:tmpl w:val="D4AE9062"/>
    <w:lvl w:ilvl="0" w:tplc="58D0BE90">
      <w:start w:val="1"/>
      <w:numFmt w:val="bullet"/>
      <w:pStyle w:val="bulletlist1"/>
      <w:lvlText w:val=""/>
      <w:lvlJc w:val="left"/>
      <w:pPr>
        <w:ind w:left="720" w:hanging="360"/>
      </w:pPr>
      <w:rPr>
        <w:rFonts w:ascii="Symbol" w:hAnsi="Symbol" w:hint="default"/>
      </w:rPr>
    </w:lvl>
    <w:lvl w:ilvl="1" w:tplc="891EB8A4">
      <w:start w:val="1"/>
      <w:numFmt w:val="bullet"/>
      <w:pStyle w:val="bulletlist2"/>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E1361CE"/>
    <w:multiLevelType w:val="hybridMultilevel"/>
    <w:tmpl w:val="D67AB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64F6523"/>
    <w:multiLevelType w:val="hybridMultilevel"/>
    <w:tmpl w:val="646E4946"/>
    <w:lvl w:ilvl="0" w:tplc="82CE80A6">
      <w:start w:val="1"/>
      <w:numFmt w:val="bullet"/>
      <w:lvlText w:val=""/>
      <w:lvlJc w:val="left"/>
      <w:pPr>
        <w:ind w:left="1440" w:hanging="360"/>
      </w:pPr>
      <w:rPr>
        <w:rFonts w:ascii="Symbol" w:hAnsi="Symbol"/>
      </w:rPr>
    </w:lvl>
    <w:lvl w:ilvl="1" w:tplc="87369A52">
      <w:start w:val="1"/>
      <w:numFmt w:val="bullet"/>
      <w:lvlText w:val=""/>
      <w:lvlJc w:val="left"/>
      <w:pPr>
        <w:ind w:left="2160" w:hanging="360"/>
      </w:pPr>
      <w:rPr>
        <w:rFonts w:ascii="Symbol" w:hAnsi="Symbol"/>
      </w:rPr>
    </w:lvl>
    <w:lvl w:ilvl="2" w:tplc="7154056E">
      <w:start w:val="1"/>
      <w:numFmt w:val="bullet"/>
      <w:lvlText w:val=""/>
      <w:lvlJc w:val="left"/>
      <w:pPr>
        <w:ind w:left="1440" w:hanging="360"/>
      </w:pPr>
      <w:rPr>
        <w:rFonts w:ascii="Symbol" w:hAnsi="Symbol"/>
      </w:rPr>
    </w:lvl>
    <w:lvl w:ilvl="3" w:tplc="C8A6FB10">
      <w:start w:val="1"/>
      <w:numFmt w:val="bullet"/>
      <w:lvlText w:val=""/>
      <w:lvlJc w:val="left"/>
      <w:pPr>
        <w:ind w:left="1440" w:hanging="360"/>
      </w:pPr>
      <w:rPr>
        <w:rFonts w:ascii="Symbol" w:hAnsi="Symbol"/>
      </w:rPr>
    </w:lvl>
    <w:lvl w:ilvl="4" w:tplc="1C16B79C">
      <w:start w:val="1"/>
      <w:numFmt w:val="bullet"/>
      <w:lvlText w:val=""/>
      <w:lvlJc w:val="left"/>
      <w:pPr>
        <w:ind w:left="1440" w:hanging="360"/>
      </w:pPr>
      <w:rPr>
        <w:rFonts w:ascii="Symbol" w:hAnsi="Symbol"/>
      </w:rPr>
    </w:lvl>
    <w:lvl w:ilvl="5" w:tplc="59581A3C">
      <w:start w:val="1"/>
      <w:numFmt w:val="bullet"/>
      <w:lvlText w:val=""/>
      <w:lvlJc w:val="left"/>
      <w:pPr>
        <w:ind w:left="1440" w:hanging="360"/>
      </w:pPr>
      <w:rPr>
        <w:rFonts w:ascii="Symbol" w:hAnsi="Symbol"/>
      </w:rPr>
    </w:lvl>
    <w:lvl w:ilvl="6" w:tplc="DFBCC270">
      <w:start w:val="1"/>
      <w:numFmt w:val="bullet"/>
      <w:lvlText w:val=""/>
      <w:lvlJc w:val="left"/>
      <w:pPr>
        <w:ind w:left="1440" w:hanging="360"/>
      </w:pPr>
      <w:rPr>
        <w:rFonts w:ascii="Symbol" w:hAnsi="Symbol"/>
      </w:rPr>
    </w:lvl>
    <w:lvl w:ilvl="7" w:tplc="BA1C5B5A">
      <w:start w:val="1"/>
      <w:numFmt w:val="bullet"/>
      <w:lvlText w:val=""/>
      <w:lvlJc w:val="left"/>
      <w:pPr>
        <w:ind w:left="1440" w:hanging="360"/>
      </w:pPr>
      <w:rPr>
        <w:rFonts w:ascii="Symbol" w:hAnsi="Symbol"/>
      </w:rPr>
    </w:lvl>
    <w:lvl w:ilvl="8" w:tplc="05784F3C">
      <w:start w:val="1"/>
      <w:numFmt w:val="bullet"/>
      <w:lvlText w:val=""/>
      <w:lvlJc w:val="left"/>
      <w:pPr>
        <w:ind w:left="1440" w:hanging="360"/>
      </w:pPr>
      <w:rPr>
        <w:rFonts w:ascii="Symbol" w:hAnsi="Symbol"/>
      </w:rPr>
    </w:lvl>
  </w:abstractNum>
  <w:abstractNum w:abstractNumId="12" w15:restartNumberingAfterBreak="0">
    <w:nsid w:val="60141EB6"/>
    <w:multiLevelType w:val="hybridMultilevel"/>
    <w:tmpl w:val="B2CCBA06"/>
    <w:lvl w:ilvl="0" w:tplc="AB40468A">
      <w:start w:val="1"/>
      <w:numFmt w:val="bullet"/>
      <w:pStyle w:val="tablebullet"/>
      <w:lvlText w:val="•"/>
      <w:lvlJc w:val="left"/>
      <w:pPr>
        <w:tabs>
          <w:tab w:val="num" w:pos="720"/>
        </w:tabs>
        <w:ind w:left="720" w:hanging="360"/>
      </w:pPr>
      <w:rPr>
        <w:rFonts w:ascii="Arial" w:hAnsi="Arial" w:hint="default"/>
      </w:rPr>
    </w:lvl>
    <w:lvl w:ilvl="1" w:tplc="2D6A8702">
      <w:start w:val="1"/>
      <w:numFmt w:val="bullet"/>
      <w:pStyle w:val="tablebullet2"/>
      <w:lvlText w:val="•"/>
      <w:lvlJc w:val="left"/>
      <w:pPr>
        <w:tabs>
          <w:tab w:val="num" w:pos="1440"/>
        </w:tabs>
        <w:ind w:left="1440" w:hanging="360"/>
      </w:pPr>
      <w:rPr>
        <w:rFonts w:ascii="Arial" w:hAnsi="Arial" w:hint="default"/>
      </w:rPr>
    </w:lvl>
    <w:lvl w:ilvl="2" w:tplc="8052440A" w:tentative="1">
      <w:start w:val="1"/>
      <w:numFmt w:val="bullet"/>
      <w:lvlText w:val="•"/>
      <w:lvlJc w:val="left"/>
      <w:pPr>
        <w:tabs>
          <w:tab w:val="num" w:pos="2160"/>
        </w:tabs>
        <w:ind w:left="2160" w:hanging="360"/>
      </w:pPr>
      <w:rPr>
        <w:rFonts w:ascii="Arial" w:hAnsi="Arial" w:hint="default"/>
      </w:rPr>
    </w:lvl>
    <w:lvl w:ilvl="3" w:tplc="A21CAACA" w:tentative="1">
      <w:start w:val="1"/>
      <w:numFmt w:val="bullet"/>
      <w:lvlText w:val="•"/>
      <w:lvlJc w:val="left"/>
      <w:pPr>
        <w:tabs>
          <w:tab w:val="num" w:pos="2880"/>
        </w:tabs>
        <w:ind w:left="2880" w:hanging="360"/>
      </w:pPr>
      <w:rPr>
        <w:rFonts w:ascii="Arial" w:hAnsi="Arial" w:hint="default"/>
      </w:rPr>
    </w:lvl>
    <w:lvl w:ilvl="4" w:tplc="AEFA4824" w:tentative="1">
      <w:start w:val="1"/>
      <w:numFmt w:val="bullet"/>
      <w:lvlText w:val="•"/>
      <w:lvlJc w:val="left"/>
      <w:pPr>
        <w:tabs>
          <w:tab w:val="num" w:pos="3600"/>
        </w:tabs>
        <w:ind w:left="3600" w:hanging="360"/>
      </w:pPr>
      <w:rPr>
        <w:rFonts w:ascii="Arial" w:hAnsi="Arial" w:hint="default"/>
      </w:rPr>
    </w:lvl>
    <w:lvl w:ilvl="5" w:tplc="ED8466D8" w:tentative="1">
      <w:start w:val="1"/>
      <w:numFmt w:val="bullet"/>
      <w:lvlText w:val="•"/>
      <w:lvlJc w:val="left"/>
      <w:pPr>
        <w:tabs>
          <w:tab w:val="num" w:pos="4320"/>
        </w:tabs>
        <w:ind w:left="4320" w:hanging="360"/>
      </w:pPr>
      <w:rPr>
        <w:rFonts w:ascii="Arial" w:hAnsi="Arial" w:hint="default"/>
      </w:rPr>
    </w:lvl>
    <w:lvl w:ilvl="6" w:tplc="FABC8DC4" w:tentative="1">
      <w:start w:val="1"/>
      <w:numFmt w:val="bullet"/>
      <w:lvlText w:val="•"/>
      <w:lvlJc w:val="left"/>
      <w:pPr>
        <w:tabs>
          <w:tab w:val="num" w:pos="5040"/>
        </w:tabs>
        <w:ind w:left="5040" w:hanging="360"/>
      </w:pPr>
      <w:rPr>
        <w:rFonts w:ascii="Arial" w:hAnsi="Arial" w:hint="default"/>
      </w:rPr>
    </w:lvl>
    <w:lvl w:ilvl="7" w:tplc="077C6C86" w:tentative="1">
      <w:start w:val="1"/>
      <w:numFmt w:val="bullet"/>
      <w:lvlText w:val="•"/>
      <w:lvlJc w:val="left"/>
      <w:pPr>
        <w:tabs>
          <w:tab w:val="num" w:pos="5760"/>
        </w:tabs>
        <w:ind w:left="5760" w:hanging="360"/>
      </w:pPr>
      <w:rPr>
        <w:rFonts w:ascii="Arial" w:hAnsi="Arial" w:hint="default"/>
      </w:rPr>
    </w:lvl>
    <w:lvl w:ilvl="8" w:tplc="D74E81FE"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65582CCB"/>
    <w:multiLevelType w:val="hybridMultilevel"/>
    <w:tmpl w:val="68E816DC"/>
    <w:lvl w:ilvl="0" w:tplc="77963670">
      <w:start w:val="1"/>
      <w:numFmt w:val="bullet"/>
      <w:lvlText w:val=""/>
      <w:lvlJc w:val="left"/>
      <w:pPr>
        <w:ind w:left="1080" w:hanging="360"/>
      </w:pPr>
      <w:rPr>
        <w:rFonts w:ascii="Symbol" w:hAnsi="Symbol"/>
      </w:rPr>
    </w:lvl>
    <w:lvl w:ilvl="1" w:tplc="E7C41160">
      <w:start w:val="1"/>
      <w:numFmt w:val="bullet"/>
      <w:lvlText w:val=""/>
      <w:lvlJc w:val="left"/>
      <w:pPr>
        <w:ind w:left="1080" w:hanging="360"/>
      </w:pPr>
      <w:rPr>
        <w:rFonts w:ascii="Symbol" w:hAnsi="Symbol"/>
      </w:rPr>
    </w:lvl>
    <w:lvl w:ilvl="2" w:tplc="F3CC74E2">
      <w:start w:val="1"/>
      <w:numFmt w:val="bullet"/>
      <w:lvlText w:val=""/>
      <w:lvlJc w:val="left"/>
      <w:pPr>
        <w:ind w:left="1080" w:hanging="360"/>
      </w:pPr>
      <w:rPr>
        <w:rFonts w:ascii="Symbol" w:hAnsi="Symbol"/>
      </w:rPr>
    </w:lvl>
    <w:lvl w:ilvl="3" w:tplc="673C04AE">
      <w:start w:val="1"/>
      <w:numFmt w:val="bullet"/>
      <w:lvlText w:val=""/>
      <w:lvlJc w:val="left"/>
      <w:pPr>
        <w:ind w:left="1080" w:hanging="360"/>
      </w:pPr>
      <w:rPr>
        <w:rFonts w:ascii="Symbol" w:hAnsi="Symbol"/>
      </w:rPr>
    </w:lvl>
    <w:lvl w:ilvl="4" w:tplc="FD16E0F0">
      <w:start w:val="1"/>
      <w:numFmt w:val="bullet"/>
      <w:lvlText w:val=""/>
      <w:lvlJc w:val="left"/>
      <w:pPr>
        <w:ind w:left="1080" w:hanging="360"/>
      </w:pPr>
      <w:rPr>
        <w:rFonts w:ascii="Symbol" w:hAnsi="Symbol"/>
      </w:rPr>
    </w:lvl>
    <w:lvl w:ilvl="5" w:tplc="F99C9054">
      <w:start w:val="1"/>
      <w:numFmt w:val="bullet"/>
      <w:lvlText w:val=""/>
      <w:lvlJc w:val="left"/>
      <w:pPr>
        <w:ind w:left="1080" w:hanging="360"/>
      </w:pPr>
      <w:rPr>
        <w:rFonts w:ascii="Symbol" w:hAnsi="Symbol"/>
      </w:rPr>
    </w:lvl>
    <w:lvl w:ilvl="6" w:tplc="52CA8CFA">
      <w:start w:val="1"/>
      <w:numFmt w:val="bullet"/>
      <w:lvlText w:val=""/>
      <w:lvlJc w:val="left"/>
      <w:pPr>
        <w:ind w:left="1080" w:hanging="360"/>
      </w:pPr>
      <w:rPr>
        <w:rFonts w:ascii="Symbol" w:hAnsi="Symbol"/>
      </w:rPr>
    </w:lvl>
    <w:lvl w:ilvl="7" w:tplc="D208007E">
      <w:start w:val="1"/>
      <w:numFmt w:val="bullet"/>
      <w:lvlText w:val=""/>
      <w:lvlJc w:val="left"/>
      <w:pPr>
        <w:ind w:left="1080" w:hanging="360"/>
      </w:pPr>
      <w:rPr>
        <w:rFonts w:ascii="Symbol" w:hAnsi="Symbol"/>
      </w:rPr>
    </w:lvl>
    <w:lvl w:ilvl="8" w:tplc="51D615B0">
      <w:start w:val="1"/>
      <w:numFmt w:val="bullet"/>
      <w:lvlText w:val=""/>
      <w:lvlJc w:val="left"/>
      <w:pPr>
        <w:ind w:left="1080" w:hanging="360"/>
      </w:pPr>
      <w:rPr>
        <w:rFonts w:ascii="Symbol" w:hAnsi="Symbol"/>
      </w:rPr>
    </w:lvl>
  </w:abstractNum>
  <w:abstractNum w:abstractNumId="14" w15:restartNumberingAfterBreak="0">
    <w:nsid w:val="690F3DC2"/>
    <w:multiLevelType w:val="multilevel"/>
    <w:tmpl w:val="F4F02D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95C4551"/>
    <w:multiLevelType w:val="hybridMultilevel"/>
    <w:tmpl w:val="E2904E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B3B0E18"/>
    <w:multiLevelType w:val="hybridMultilevel"/>
    <w:tmpl w:val="A7B0A9DE"/>
    <w:lvl w:ilvl="0" w:tplc="38F22492">
      <w:start w:val="1"/>
      <w:numFmt w:val="bullet"/>
      <w:lvlText w:val=""/>
      <w:lvlJc w:val="left"/>
      <w:pPr>
        <w:ind w:left="720" w:hanging="360"/>
      </w:pPr>
      <w:rPr>
        <w:rFonts w:ascii="Symbol" w:hAnsi="Symbol"/>
      </w:rPr>
    </w:lvl>
    <w:lvl w:ilvl="1" w:tplc="7D02297C">
      <w:start w:val="1"/>
      <w:numFmt w:val="bullet"/>
      <w:lvlText w:val=""/>
      <w:lvlJc w:val="left"/>
      <w:pPr>
        <w:ind w:left="720" w:hanging="360"/>
      </w:pPr>
      <w:rPr>
        <w:rFonts w:ascii="Symbol" w:hAnsi="Symbol"/>
      </w:rPr>
    </w:lvl>
    <w:lvl w:ilvl="2" w:tplc="C4EE5E9C">
      <w:start w:val="1"/>
      <w:numFmt w:val="bullet"/>
      <w:lvlText w:val=""/>
      <w:lvlJc w:val="left"/>
      <w:pPr>
        <w:ind w:left="720" w:hanging="360"/>
      </w:pPr>
      <w:rPr>
        <w:rFonts w:ascii="Symbol" w:hAnsi="Symbol"/>
      </w:rPr>
    </w:lvl>
    <w:lvl w:ilvl="3" w:tplc="2078F8EE">
      <w:start w:val="1"/>
      <w:numFmt w:val="bullet"/>
      <w:lvlText w:val=""/>
      <w:lvlJc w:val="left"/>
      <w:pPr>
        <w:ind w:left="720" w:hanging="360"/>
      </w:pPr>
      <w:rPr>
        <w:rFonts w:ascii="Symbol" w:hAnsi="Symbol"/>
      </w:rPr>
    </w:lvl>
    <w:lvl w:ilvl="4" w:tplc="6FC676D2">
      <w:start w:val="1"/>
      <w:numFmt w:val="bullet"/>
      <w:lvlText w:val=""/>
      <w:lvlJc w:val="left"/>
      <w:pPr>
        <w:ind w:left="720" w:hanging="360"/>
      </w:pPr>
      <w:rPr>
        <w:rFonts w:ascii="Symbol" w:hAnsi="Symbol"/>
      </w:rPr>
    </w:lvl>
    <w:lvl w:ilvl="5" w:tplc="E630678E">
      <w:start w:val="1"/>
      <w:numFmt w:val="bullet"/>
      <w:lvlText w:val=""/>
      <w:lvlJc w:val="left"/>
      <w:pPr>
        <w:ind w:left="720" w:hanging="360"/>
      </w:pPr>
      <w:rPr>
        <w:rFonts w:ascii="Symbol" w:hAnsi="Symbol"/>
      </w:rPr>
    </w:lvl>
    <w:lvl w:ilvl="6" w:tplc="15665472">
      <w:start w:val="1"/>
      <w:numFmt w:val="bullet"/>
      <w:lvlText w:val=""/>
      <w:lvlJc w:val="left"/>
      <w:pPr>
        <w:ind w:left="720" w:hanging="360"/>
      </w:pPr>
      <w:rPr>
        <w:rFonts w:ascii="Symbol" w:hAnsi="Symbol"/>
      </w:rPr>
    </w:lvl>
    <w:lvl w:ilvl="7" w:tplc="346C79C2">
      <w:start w:val="1"/>
      <w:numFmt w:val="bullet"/>
      <w:lvlText w:val=""/>
      <w:lvlJc w:val="left"/>
      <w:pPr>
        <w:ind w:left="720" w:hanging="360"/>
      </w:pPr>
      <w:rPr>
        <w:rFonts w:ascii="Symbol" w:hAnsi="Symbol"/>
      </w:rPr>
    </w:lvl>
    <w:lvl w:ilvl="8" w:tplc="8F82FE86">
      <w:start w:val="1"/>
      <w:numFmt w:val="bullet"/>
      <w:lvlText w:val=""/>
      <w:lvlJc w:val="left"/>
      <w:pPr>
        <w:ind w:left="720" w:hanging="360"/>
      </w:pPr>
      <w:rPr>
        <w:rFonts w:ascii="Symbol" w:hAnsi="Symbol"/>
      </w:rPr>
    </w:lvl>
  </w:abstractNum>
  <w:abstractNum w:abstractNumId="17" w15:restartNumberingAfterBreak="0">
    <w:nsid w:val="6BAA1CE5"/>
    <w:multiLevelType w:val="hybridMultilevel"/>
    <w:tmpl w:val="1F66FAB0"/>
    <w:lvl w:ilvl="0" w:tplc="C25248E4">
      <w:start w:val="1"/>
      <w:numFmt w:val="bullet"/>
      <w:pStyle w:val="bulletlist3"/>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820451F"/>
    <w:multiLevelType w:val="hybridMultilevel"/>
    <w:tmpl w:val="EE561A3A"/>
    <w:lvl w:ilvl="0" w:tplc="9BC2CEF2">
      <w:start w:val="1"/>
      <w:numFmt w:val="bullet"/>
      <w:lvlText w:val=""/>
      <w:lvlJc w:val="left"/>
      <w:pPr>
        <w:ind w:left="720" w:hanging="360"/>
      </w:pPr>
      <w:rPr>
        <w:rFonts w:ascii="Symbol" w:hAnsi="Symbol"/>
      </w:rPr>
    </w:lvl>
    <w:lvl w:ilvl="1" w:tplc="ACC6D2D0">
      <w:start w:val="1"/>
      <w:numFmt w:val="bullet"/>
      <w:lvlText w:val=""/>
      <w:lvlJc w:val="left"/>
      <w:pPr>
        <w:ind w:left="720" w:hanging="360"/>
      </w:pPr>
      <w:rPr>
        <w:rFonts w:ascii="Symbol" w:hAnsi="Symbol"/>
      </w:rPr>
    </w:lvl>
    <w:lvl w:ilvl="2" w:tplc="1E3A0562">
      <w:start w:val="1"/>
      <w:numFmt w:val="bullet"/>
      <w:lvlText w:val=""/>
      <w:lvlJc w:val="left"/>
      <w:pPr>
        <w:ind w:left="720" w:hanging="360"/>
      </w:pPr>
      <w:rPr>
        <w:rFonts w:ascii="Symbol" w:hAnsi="Symbol"/>
      </w:rPr>
    </w:lvl>
    <w:lvl w:ilvl="3" w:tplc="D1C86F8E">
      <w:start w:val="1"/>
      <w:numFmt w:val="bullet"/>
      <w:lvlText w:val=""/>
      <w:lvlJc w:val="left"/>
      <w:pPr>
        <w:ind w:left="720" w:hanging="360"/>
      </w:pPr>
      <w:rPr>
        <w:rFonts w:ascii="Symbol" w:hAnsi="Symbol"/>
      </w:rPr>
    </w:lvl>
    <w:lvl w:ilvl="4" w:tplc="2B0E3C5E">
      <w:start w:val="1"/>
      <w:numFmt w:val="bullet"/>
      <w:lvlText w:val=""/>
      <w:lvlJc w:val="left"/>
      <w:pPr>
        <w:ind w:left="720" w:hanging="360"/>
      </w:pPr>
      <w:rPr>
        <w:rFonts w:ascii="Symbol" w:hAnsi="Symbol"/>
      </w:rPr>
    </w:lvl>
    <w:lvl w:ilvl="5" w:tplc="36445D36">
      <w:start w:val="1"/>
      <w:numFmt w:val="bullet"/>
      <w:lvlText w:val=""/>
      <w:lvlJc w:val="left"/>
      <w:pPr>
        <w:ind w:left="720" w:hanging="360"/>
      </w:pPr>
      <w:rPr>
        <w:rFonts w:ascii="Symbol" w:hAnsi="Symbol"/>
      </w:rPr>
    </w:lvl>
    <w:lvl w:ilvl="6" w:tplc="74B25DE4">
      <w:start w:val="1"/>
      <w:numFmt w:val="bullet"/>
      <w:lvlText w:val=""/>
      <w:lvlJc w:val="left"/>
      <w:pPr>
        <w:ind w:left="720" w:hanging="360"/>
      </w:pPr>
      <w:rPr>
        <w:rFonts w:ascii="Symbol" w:hAnsi="Symbol"/>
      </w:rPr>
    </w:lvl>
    <w:lvl w:ilvl="7" w:tplc="8C24B8AC">
      <w:start w:val="1"/>
      <w:numFmt w:val="bullet"/>
      <w:lvlText w:val=""/>
      <w:lvlJc w:val="left"/>
      <w:pPr>
        <w:ind w:left="720" w:hanging="360"/>
      </w:pPr>
      <w:rPr>
        <w:rFonts w:ascii="Symbol" w:hAnsi="Symbol"/>
      </w:rPr>
    </w:lvl>
    <w:lvl w:ilvl="8" w:tplc="23689B82">
      <w:start w:val="1"/>
      <w:numFmt w:val="bullet"/>
      <w:lvlText w:val=""/>
      <w:lvlJc w:val="left"/>
      <w:pPr>
        <w:ind w:left="720" w:hanging="360"/>
      </w:pPr>
      <w:rPr>
        <w:rFonts w:ascii="Symbol" w:hAnsi="Symbol"/>
      </w:rPr>
    </w:lvl>
  </w:abstractNum>
  <w:abstractNum w:abstractNumId="19" w15:restartNumberingAfterBreak="0">
    <w:nsid w:val="7AA569CA"/>
    <w:multiLevelType w:val="hybridMultilevel"/>
    <w:tmpl w:val="95C643B6"/>
    <w:lvl w:ilvl="0" w:tplc="1CF2F7A4">
      <w:start w:val="1"/>
      <w:numFmt w:val="bullet"/>
      <w:lvlText w:val=""/>
      <w:lvlJc w:val="left"/>
      <w:pPr>
        <w:ind w:left="1280" w:hanging="360"/>
      </w:pPr>
      <w:rPr>
        <w:rFonts w:ascii="Symbol" w:hAnsi="Symbol"/>
      </w:rPr>
    </w:lvl>
    <w:lvl w:ilvl="1" w:tplc="E9144FC2">
      <w:start w:val="1"/>
      <w:numFmt w:val="bullet"/>
      <w:lvlText w:val=""/>
      <w:lvlJc w:val="left"/>
      <w:pPr>
        <w:ind w:left="1280" w:hanging="360"/>
      </w:pPr>
      <w:rPr>
        <w:rFonts w:ascii="Symbol" w:hAnsi="Symbol"/>
      </w:rPr>
    </w:lvl>
    <w:lvl w:ilvl="2" w:tplc="31C828E0">
      <w:start w:val="1"/>
      <w:numFmt w:val="bullet"/>
      <w:lvlText w:val=""/>
      <w:lvlJc w:val="left"/>
      <w:pPr>
        <w:ind w:left="1280" w:hanging="360"/>
      </w:pPr>
      <w:rPr>
        <w:rFonts w:ascii="Symbol" w:hAnsi="Symbol"/>
      </w:rPr>
    </w:lvl>
    <w:lvl w:ilvl="3" w:tplc="A71C6AFE">
      <w:start w:val="1"/>
      <w:numFmt w:val="bullet"/>
      <w:lvlText w:val=""/>
      <w:lvlJc w:val="left"/>
      <w:pPr>
        <w:ind w:left="1280" w:hanging="360"/>
      </w:pPr>
      <w:rPr>
        <w:rFonts w:ascii="Symbol" w:hAnsi="Symbol"/>
      </w:rPr>
    </w:lvl>
    <w:lvl w:ilvl="4" w:tplc="33C8E37E">
      <w:start w:val="1"/>
      <w:numFmt w:val="bullet"/>
      <w:lvlText w:val=""/>
      <w:lvlJc w:val="left"/>
      <w:pPr>
        <w:ind w:left="1280" w:hanging="360"/>
      </w:pPr>
      <w:rPr>
        <w:rFonts w:ascii="Symbol" w:hAnsi="Symbol"/>
      </w:rPr>
    </w:lvl>
    <w:lvl w:ilvl="5" w:tplc="09A681B6">
      <w:start w:val="1"/>
      <w:numFmt w:val="bullet"/>
      <w:lvlText w:val=""/>
      <w:lvlJc w:val="left"/>
      <w:pPr>
        <w:ind w:left="1280" w:hanging="360"/>
      </w:pPr>
      <w:rPr>
        <w:rFonts w:ascii="Symbol" w:hAnsi="Symbol"/>
      </w:rPr>
    </w:lvl>
    <w:lvl w:ilvl="6" w:tplc="CB229356">
      <w:start w:val="1"/>
      <w:numFmt w:val="bullet"/>
      <w:lvlText w:val=""/>
      <w:lvlJc w:val="left"/>
      <w:pPr>
        <w:ind w:left="1280" w:hanging="360"/>
      </w:pPr>
      <w:rPr>
        <w:rFonts w:ascii="Symbol" w:hAnsi="Symbol"/>
      </w:rPr>
    </w:lvl>
    <w:lvl w:ilvl="7" w:tplc="B8FC1B10">
      <w:start w:val="1"/>
      <w:numFmt w:val="bullet"/>
      <w:lvlText w:val=""/>
      <w:lvlJc w:val="left"/>
      <w:pPr>
        <w:ind w:left="1280" w:hanging="360"/>
      </w:pPr>
      <w:rPr>
        <w:rFonts w:ascii="Symbol" w:hAnsi="Symbol"/>
      </w:rPr>
    </w:lvl>
    <w:lvl w:ilvl="8" w:tplc="74240A26">
      <w:start w:val="1"/>
      <w:numFmt w:val="bullet"/>
      <w:lvlText w:val=""/>
      <w:lvlJc w:val="left"/>
      <w:pPr>
        <w:ind w:left="1280" w:hanging="360"/>
      </w:pPr>
      <w:rPr>
        <w:rFonts w:ascii="Symbol" w:hAnsi="Symbol"/>
      </w:rPr>
    </w:lvl>
  </w:abstractNum>
  <w:abstractNum w:abstractNumId="20" w15:restartNumberingAfterBreak="0">
    <w:nsid w:val="7AEC07DB"/>
    <w:multiLevelType w:val="hybridMultilevel"/>
    <w:tmpl w:val="F8BA9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CB6162"/>
    <w:multiLevelType w:val="multilevel"/>
    <w:tmpl w:val="6D70D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DF86BB8"/>
    <w:multiLevelType w:val="hybridMultilevel"/>
    <w:tmpl w:val="9BEE6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25448936">
    <w:abstractNumId w:val="9"/>
  </w:num>
  <w:num w:numId="2" w16cid:durableId="2010059195">
    <w:abstractNumId w:val="17"/>
  </w:num>
  <w:num w:numId="3" w16cid:durableId="1028531506">
    <w:abstractNumId w:val="12"/>
  </w:num>
  <w:num w:numId="4" w16cid:durableId="724335604">
    <w:abstractNumId w:val="0"/>
  </w:num>
  <w:num w:numId="5" w16cid:durableId="399907189">
    <w:abstractNumId w:val="18"/>
  </w:num>
  <w:num w:numId="6" w16cid:durableId="2118213817">
    <w:abstractNumId w:val="5"/>
  </w:num>
  <w:num w:numId="7" w16cid:durableId="2064523320">
    <w:abstractNumId w:val="16"/>
  </w:num>
  <w:num w:numId="8" w16cid:durableId="1110322283">
    <w:abstractNumId w:val="7"/>
  </w:num>
  <w:num w:numId="9" w16cid:durableId="248656156">
    <w:abstractNumId w:val="21"/>
  </w:num>
  <w:num w:numId="10" w16cid:durableId="1715230052">
    <w:abstractNumId w:val="8"/>
  </w:num>
  <w:num w:numId="11" w16cid:durableId="278535119">
    <w:abstractNumId w:val="2"/>
  </w:num>
  <w:num w:numId="12" w16cid:durableId="1387490070">
    <w:abstractNumId w:val="2"/>
    <w:lvlOverride w:ilvl="1">
      <w:lvl w:ilvl="1">
        <w:numFmt w:val="bullet"/>
        <w:lvlText w:val=""/>
        <w:lvlJc w:val="left"/>
        <w:pPr>
          <w:tabs>
            <w:tab w:val="num" w:pos="1440"/>
          </w:tabs>
          <w:ind w:left="1440" w:hanging="360"/>
        </w:pPr>
        <w:rPr>
          <w:rFonts w:ascii="Symbol" w:hAnsi="Symbol" w:hint="default"/>
          <w:sz w:val="20"/>
        </w:rPr>
      </w:lvl>
    </w:lvlOverride>
  </w:num>
  <w:num w:numId="13" w16cid:durableId="1318682398">
    <w:abstractNumId w:val="2"/>
    <w:lvlOverride w:ilvl="1">
      <w:lvl w:ilvl="1">
        <w:numFmt w:val="bullet"/>
        <w:lvlText w:val=""/>
        <w:lvlJc w:val="left"/>
        <w:pPr>
          <w:tabs>
            <w:tab w:val="num" w:pos="1440"/>
          </w:tabs>
          <w:ind w:left="1440" w:hanging="360"/>
        </w:pPr>
        <w:rPr>
          <w:rFonts w:ascii="Symbol" w:hAnsi="Symbol" w:hint="default"/>
          <w:sz w:val="20"/>
        </w:rPr>
      </w:lvl>
    </w:lvlOverride>
  </w:num>
  <w:num w:numId="14" w16cid:durableId="863178193">
    <w:abstractNumId w:val="2"/>
    <w:lvlOverride w:ilvl="1">
      <w:lvl w:ilvl="1">
        <w:numFmt w:val="bullet"/>
        <w:lvlText w:val=""/>
        <w:lvlJc w:val="left"/>
        <w:pPr>
          <w:tabs>
            <w:tab w:val="num" w:pos="1440"/>
          </w:tabs>
          <w:ind w:left="1440" w:hanging="360"/>
        </w:pPr>
        <w:rPr>
          <w:rFonts w:ascii="Symbol" w:hAnsi="Symbol" w:hint="default"/>
          <w:sz w:val="20"/>
        </w:rPr>
      </w:lvl>
    </w:lvlOverride>
  </w:num>
  <w:num w:numId="15" w16cid:durableId="1231426517">
    <w:abstractNumId w:val="3"/>
  </w:num>
  <w:num w:numId="16" w16cid:durableId="1765179094">
    <w:abstractNumId w:val="4"/>
  </w:num>
  <w:num w:numId="17" w16cid:durableId="1736582162">
    <w:abstractNumId w:val="19"/>
  </w:num>
  <w:num w:numId="18" w16cid:durableId="1597440596">
    <w:abstractNumId w:val="20"/>
  </w:num>
  <w:num w:numId="19" w16cid:durableId="2053846376">
    <w:abstractNumId w:val="1"/>
  </w:num>
  <w:num w:numId="20" w16cid:durableId="1424060990">
    <w:abstractNumId w:val="22"/>
  </w:num>
  <w:num w:numId="21" w16cid:durableId="41297036">
    <w:abstractNumId w:val="10"/>
  </w:num>
  <w:num w:numId="22" w16cid:durableId="1978342387">
    <w:abstractNumId w:val="15"/>
  </w:num>
  <w:num w:numId="23" w16cid:durableId="1651402380">
    <w:abstractNumId w:val="14"/>
  </w:num>
  <w:num w:numId="24" w16cid:durableId="156002120">
    <w:abstractNumId w:val="11"/>
  </w:num>
  <w:num w:numId="25" w16cid:durableId="960456706">
    <w:abstractNumId w:val="13"/>
  </w:num>
  <w:num w:numId="26" w16cid:durableId="45299535">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Vancouver - footnotes modified&lt;/Style&gt;&lt;LeftDelim&gt;{&lt;/LeftDelim&gt;&lt;RightDelim&gt;}&lt;/RightDelim&gt;&lt;FontName&gt;Calibri&lt;/FontName&gt;&lt;FontSize&gt;13&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wesrw9adsdp9eet92mpeavcwrptwaxa2we2&quot;&gt;Gilead HTA manuscript&lt;record-ids&gt;&lt;item&gt;1&lt;/item&gt;&lt;item&gt;2&lt;/item&gt;&lt;item&gt;3&lt;/item&gt;&lt;item&gt;4&lt;/item&gt;&lt;item&gt;5&lt;/item&gt;&lt;item&gt;6&lt;/item&gt;&lt;item&gt;7&lt;/item&gt;&lt;item&gt;8&lt;/item&gt;&lt;item&gt;10&lt;/item&gt;&lt;item&gt;11&lt;/item&gt;&lt;item&gt;12&lt;/item&gt;&lt;item&gt;13&lt;/item&gt;&lt;item&gt;15&lt;/item&gt;&lt;item&gt;17&lt;/item&gt;&lt;item&gt;18&lt;/item&gt;&lt;item&gt;19&lt;/item&gt;&lt;item&gt;20&lt;/item&gt;&lt;item&gt;21&lt;/item&gt;&lt;item&gt;22&lt;/item&gt;&lt;item&gt;23&lt;/item&gt;&lt;item&gt;24&lt;/item&gt;&lt;item&gt;25&lt;/item&gt;&lt;item&gt;27&lt;/item&gt;&lt;item&gt;28&lt;/item&gt;&lt;item&gt;29&lt;/item&gt;&lt;item&gt;30&lt;/item&gt;&lt;item&gt;31&lt;/item&gt;&lt;item&gt;32&lt;/item&gt;&lt;item&gt;33&lt;/item&gt;&lt;/record-ids&gt;&lt;/item&gt;&lt;/Libraries&gt;"/>
  </w:docVars>
  <w:rsids>
    <w:rsidRoot w:val="00133103"/>
    <w:rsid w:val="000008A1"/>
    <w:rsid w:val="00000E83"/>
    <w:rsid w:val="00001235"/>
    <w:rsid w:val="00001658"/>
    <w:rsid w:val="00001DCB"/>
    <w:rsid w:val="00002012"/>
    <w:rsid w:val="000022BF"/>
    <w:rsid w:val="000022CB"/>
    <w:rsid w:val="00002B8D"/>
    <w:rsid w:val="0000372E"/>
    <w:rsid w:val="00003DBF"/>
    <w:rsid w:val="000045C1"/>
    <w:rsid w:val="00004BAA"/>
    <w:rsid w:val="00005B26"/>
    <w:rsid w:val="00005C8D"/>
    <w:rsid w:val="0000600A"/>
    <w:rsid w:val="000064BB"/>
    <w:rsid w:val="00007126"/>
    <w:rsid w:val="000108A6"/>
    <w:rsid w:val="00010F82"/>
    <w:rsid w:val="00011062"/>
    <w:rsid w:val="00011E8C"/>
    <w:rsid w:val="00012361"/>
    <w:rsid w:val="0001278D"/>
    <w:rsid w:val="00012E09"/>
    <w:rsid w:val="000130CF"/>
    <w:rsid w:val="00013AA9"/>
    <w:rsid w:val="00014A45"/>
    <w:rsid w:val="0001517C"/>
    <w:rsid w:val="000155BB"/>
    <w:rsid w:val="00015863"/>
    <w:rsid w:val="00015991"/>
    <w:rsid w:val="0001628B"/>
    <w:rsid w:val="000162D0"/>
    <w:rsid w:val="000164C1"/>
    <w:rsid w:val="000167B4"/>
    <w:rsid w:val="00017089"/>
    <w:rsid w:val="000175D9"/>
    <w:rsid w:val="000177B3"/>
    <w:rsid w:val="00017A59"/>
    <w:rsid w:val="00017ED4"/>
    <w:rsid w:val="00020046"/>
    <w:rsid w:val="00020A46"/>
    <w:rsid w:val="00021985"/>
    <w:rsid w:val="00021C4E"/>
    <w:rsid w:val="00023ABB"/>
    <w:rsid w:val="00023FC9"/>
    <w:rsid w:val="00024654"/>
    <w:rsid w:val="000251A7"/>
    <w:rsid w:val="00026204"/>
    <w:rsid w:val="00026593"/>
    <w:rsid w:val="00027E68"/>
    <w:rsid w:val="00030D4E"/>
    <w:rsid w:val="000325E2"/>
    <w:rsid w:val="0003273F"/>
    <w:rsid w:val="00032A17"/>
    <w:rsid w:val="00033D7C"/>
    <w:rsid w:val="00034FCA"/>
    <w:rsid w:val="00035979"/>
    <w:rsid w:val="00035A2E"/>
    <w:rsid w:val="00035E62"/>
    <w:rsid w:val="00036815"/>
    <w:rsid w:val="0004048D"/>
    <w:rsid w:val="00040A15"/>
    <w:rsid w:val="00040E69"/>
    <w:rsid w:val="000411CE"/>
    <w:rsid w:val="00041533"/>
    <w:rsid w:val="00042869"/>
    <w:rsid w:val="00042C37"/>
    <w:rsid w:val="00043AF9"/>
    <w:rsid w:val="0004416A"/>
    <w:rsid w:val="0004470C"/>
    <w:rsid w:val="00044F4A"/>
    <w:rsid w:val="00045314"/>
    <w:rsid w:val="0004555A"/>
    <w:rsid w:val="00045604"/>
    <w:rsid w:val="00046744"/>
    <w:rsid w:val="0004707F"/>
    <w:rsid w:val="00047219"/>
    <w:rsid w:val="00047290"/>
    <w:rsid w:val="00050CD2"/>
    <w:rsid w:val="00051A81"/>
    <w:rsid w:val="00051AA2"/>
    <w:rsid w:val="00053CF8"/>
    <w:rsid w:val="0005474B"/>
    <w:rsid w:val="000549C4"/>
    <w:rsid w:val="00055B8F"/>
    <w:rsid w:val="00057C97"/>
    <w:rsid w:val="00057CA9"/>
    <w:rsid w:val="000603AD"/>
    <w:rsid w:val="0006089F"/>
    <w:rsid w:val="0006095B"/>
    <w:rsid w:val="00061D4F"/>
    <w:rsid w:val="000621FC"/>
    <w:rsid w:val="0006264F"/>
    <w:rsid w:val="00063052"/>
    <w:rsid w:val="00063D43"/>
    <w:rsid w:val="00064A16"/>
    <w:rsid w:val="00064D51"/>
    <w:rsid w:val="00064EE3"/>
    <w:rsid w:val="00065634"/>
    <w:rsid w:val="00066017"/>
    <w:rsid w:val="0006639F"/>
    <w:rsid w:val="000663AB"/>
    <w:rsid w:val="000669C6"/>
    <w:rsid w:val="00066F06"/>
    <w:rsid w:val="000677C5"/>
    <w:rsid w:val="0006783C"/>
    <w:rsid w:val="000709BB"/>
    <w:rsid w:val="0007133E"/>
    <w:rsid w:val="00071CDF"/>
    <w:rsid w:val="0007240B"/>
    <w:rsid w:val="00072551"/>
    <w:rsid w:val="00072715"/>
    <w:rsid w:val="0007284F"/>
    <w:rsid w:val="00072C04"/>
    <w:rsid w:val="00073A24"/>
    <w:rsid w:val="00073F71"/>
    <w:rsid w:val="00075A7A"/>
    <w:rsid w:val="00075B7D"/>
    <w:rsid w:val="00075DDC"/>
    <w:rsid w:val="00076279"/>
    <w:rsid w:val="000762C9"/>
    <w:rsid w:val="00077314"/>
    <w:rsid w:val="00077597"/>
    <w:rsid w:val="00077F6D"/>
    <w:rsid w:val="00080132"/>
    <w:rsid w:val="000807EF"/>
    <w:rsid w:val="00081769"/>
    <w:rsid w:val="000818C6"/>
    <w:rsid w:val="00082B58"/>
    <w:rsid w:val="00082B76"/>
    <w:rsid w:val="00082D50"/>
    <w:rsid w:val="00083114"/>
    <w:rsid w:val="0008325E"/>
    <w:rsid w:val="00084457"/>
    <w:rsid w:val="00084EE1"/>
    <w:rsid w:val="0008521F"/>
    <w:rsid w:val="00085EF2"/>
    <w:rsid w:val="000860DF"/>
    <w:rsid w:val="00086AA2"/>
    <w:rsid w:val="00086B3D"/>
    <w:rsid w:val="000873E3"/>
    <w:rsid w:val="0008758F"/>
    <w:rsid w:val="00087911"/>
    <w:rsid w:val="00087A48"/>
    <w:rsid w:val="00090D5E"/>
    <w:rsid w:val="00090E85"/>
    <w:rsid w:val="0009256F"/>
    <w:rsid w:val="0009316C"/>
    <w:rsid w:val="000932E0"/>
    <w:rsid w:val="0009352D"/>
    <w:rsid w:val="00094584"/>
    <w:rsid w:val="000945D5"/>
    <w:rsid w:val="00095733"/>
    <w:rsid w:val="00096A64"/>
    <w:rsid w:val="00096DB2"/>
    <w:rsid w:val="0009712E"/>
    <w:rsid w:val="00097D0C"/>
    <w:rsid w:val="000A0B6B"/>
    <w:rsid w:val="000A1007"/>
    <w:rsid w:val="000A1092"/>
    <w:rsid w:val="000A243A"/>
    <w:rsid w:val="000A35B3"/>
    <w:rsid w:val="000A37E0"/>
    <w:rsid w:val="000A3ABB"/>
    <w:rsid w:val="000A3B61"/>
    <w:rsid w:val="000A59B0"/>
    <w:rsid w:val="000A6DE9"/>
    <w:rsid w:val="000A79C9"/>
    <w:rsid w:val="000B01B6"/>
    <w:rsid w:val="000B034D"/>
    <w:rsid w:val="000B0523"/>
    <w:rsid w:val="000B0771"/>
    <w:rsid w:val="000B0E3C"/>
    <w:rsid w:val="000B1AD3"/>
    <w:rsid w:val="000B2A16"/>
    <w:rsid w:val="000B2A4C"/>
    <w:rsid w:val="000B3355"/>
    <w:rsid w:val="000B36D5"/>
    <w:rsid w:val="000B4456"/>
    <w:rsid w:val="000B53B0"/>
    <w:rsid w:val="000B543B"/>
    <w:rsid w:val="000B5E81"/>
    <w:rsid w:val="000B62BE"/>
    <w:rsid w:val="000B666E"/>
    <w:rsid w:val="000B6FAF"/>
    <w:rsid w:val="000C005E"/>
    <w:rsid w:val="000C1B69"/>
    <w:rsid w:val="000C1BF3"/>
    <w:rsid w:val="000C203B"/>
    <w:rsid w:val="000C2050"/>
    <w:rsid w:val="000C2F0B"/>
    <w:rsid w:val="000C3056"/>
    <w:rsid w:val="000C3309"/>
    <w:rsid w:val="000C383D"/>
    <w:rsid w:val="000C3AC1"/>
    <w:rsid w:val="000C3D2C"/>
    <w:rsid w:val="000C5585"/>
    <w:rsid w:val="000C5800"/>
    <w:rsid w:val="000C5B2A"/>
    <w:rsid w:val="000C63A5"/>
    <w:rsid w:val="000C6D3B"/>
    <w:rsid w:val="000C71A8"/>
    <w:rsid w:val="000C71F9"/>
    <w:rsid w:val="000D18DA"/>
    <w:rsid w:val="000D194A"/>
    <w:rsid w:val="000D305F"/>
    <w:rsid w:val="000D3842"/>
    <w:rsid w:val="000D384A"/>
    <w:rsid w:val="000D3970"/>
    <w:rsid w:val="000D4520"/>
    <w:rsid w:val="000D645C"/>
    <w:rsid w:val="000D69A2"/>
    <w:rsid w:val="000D776A"/>
    <w:rsid w:val="000E0ADE"/>
    <w:rsid w:val="000E1644"/>
    <w:rsid w:val="000E1D5C"/>
    <w:rsid w:val="000E23D4"/>
    <w:rsid w:val="000E3585"/>
    <w:rsid w:val="000E4648"/>
    <w:rsid w:val="000E5297"/>
    <w:rsid w:val="000E63AC"/>
    <w:rsid w:val="000E68FE"/>
    <w:rsid w:val="000E7272"/>
    <w:rsid w:val="000E75B6"/>
    <w:rsid w:val="000E7740"/>
    <w:rsid w:val="000E7A9B"/>
    <w:rsid w:val="000F0B98"/>
    <w:rsid w:val="000F1D39"/>
    <w:rsid w:val="000F2B16"/>
    <w:rsid w:val="000F3AC1"/>
    <w:rsid w:val="000F4539"/>
    <w:rsid w:val="000F4C1A"/>
    <w:rsid w:val="000F4EB6"/>
    <w:rsid w:val="000F5D94"/>
    <w:rsid w:val="000F5E7D"/>
    <w:rsid w:val="000F64B9"/>
    <w:rsid w:val="000F6778"/>
    <w:rsid w:val="000F6889"/>
    <w:rsid w:val="000F6E7E"/>
    <w:rsid w:val="000F75A4"/>
    <w:rsid w:val="000F75FC"/>
    <w:rsid w:val="000F78B9"/>
    <w:rsid w:val="00100295"/>
    <w:rsid w:val="001002D5"/>
    <w:rsid w:val="001003D5"/>
    <w:rsid w:val="00100749"/>
    <w:rsid w:val="00100DA1"/>
    <w:rsid w:val="00101527"/>
    <w:rsid w:val="0010301F"/>
    <w:rsid w:val="001033A1"/>
    <w:rsid w:val="0010351B"/>
    <w:rsid w:val="00103BF9"/>
    <w:rsid w:val="00103DA2"/>
    <w:rsid w:val="00104372"/>
    <w:rsid w:val="0010471F"/>
    <w:rsid w:val="001051C1"/>
    <w:rsid w:val="00105661"/>
    <w:rsid w:val="00105856"/>
    <w:rsid w:val="001059CF"/>
    <w:rsid w:val="00105E28"/>
    <w:rsid w:val="00106335"/>
    <w:rsid w:val="0010640E"/>
    <w:rsid w:val="00106A9A"/>
    <w:rsid w:val="00106E5C"/>
    <w:rsid w:val="001071C4"/>
    <w:rsid w:val="00107929"/>
    <w:rsid w:val="00107D88"/>
    <w:rsid w:val="00107F39"/>
    <w:rsid w:val="00110BCF"/>
    <w:rsid w:val="00110F9C"/>
    <w:rsid w:val="00111381"/>
    <w:rsid w:val="0011138D"/>
    <w:rsid w:val="001114D9"/>
    <w:rsid w:val="00111DA1"/>
    <w:rsid w:val="00112881"/>
    <w:rsid w:val="00112990"/>
    <w:rsid w:val="00112FA5"/>
    <w:rsid w:val="00113D5F"/>
    <w:rsid w:val="0011782E"/>
    <w:rsid w:val="001179C1"/>
    <w:rsid w:val="00121835"/>
    <w:rsid w:val="00121B2B"/>
    <w:rsid w:val="00122852"/>
    <w:rsid w:val="001228D0"/>
    <w:rsid w:val="00122B04"/>
    <w:rsid w:val="00122C9F"/>
    <w:rsid w:val="00123875"/>
    <w:rsid w:val="001249CC"/>
    <w:rsid w:val="00124EC9"/>
    <w:rsid w:val="00125EE4"/>
    <w:rsid w:val="0012685D"/>
    <w:rsid w:val="00126D60"/>
    <w:rsid w:val="00126E78"/>
    <w:rsid w:val="001277D7"/>
    <w:rsid w:val="00130567"/>
    <w:rsid w:val="00130FFF"/>
    <w:rsid w:val="00131AD3"/>
    <w:rsid w:val="00132103"/>
    <w:rsid w:val="0013305D"/>
    <w:rsid w:val="00133103"/>
    <w:rsid w:val="001338C8"/>
    <w:rsid w:val="001340F3"/>
    <w:rsid w:val="0013453C"/>
    <w:rsid w:val="001345CE"/>
    <w:rsid w:val="001346F3"/>
    <w:rsid w:val="00134900"/>
    <w:rsid w:val="00134AB8"/>
    <w:rsid w:val="00134AE7"/>
    <w:rsid w:val="001351D4"/>
    <w:rsid w:val="00136094"/>
    <w:rsid w:val="001365C4"/>
    <w:rsid w:val="001370D3"/>
    <w:rsid w:val="00137691"/>
    <w:rsid w:val="00137B02"/>
    <w:rsid w:val="001415DC"/>
    <w:rsid w:val="00142230"/>
    <w:rsid w:val="0014315E"/>
    <w:rsid w:val="001431A7"/>
    <w:rsid w:val="001437B5"/>
    <w:rsid w:val="00144809"/>
    <w:rsid w:val="0014484E"/>
    <w:rsid w:val="00145D5D"/>
    <w:rsid w:val="00145EED"/>
    <w:rsid w:val="001474DE"/>
    <w:rsid w:val="00147554"/>
    <w:rsid w:val="00147742"/>
    <w:rsid w:val="00147851"/>
    <w:rsid w:val="00147E44"/>
    <w:rsid w:val="001505C3"/>
    <w:rsid w:val="001529E1"/>
    <w:rsid w:val="00152D7E"/>
    <w:rsid w:val="001532E7"/>
    <w:rsid w:val="001533AF"/>
    <w:rsid w:val="00153C29"/>
    <w:rsid w:val="00154589"/>
    <w:rsid w:val="001547EA"/>
    <w:rsid w:val="00154ACB"/>
    <w:rsid w:val="00154F69"/>
    <w:rsid w:val="001553C9"/>
    <w:rsid w:val="001555ED"/>
    <w:rsid w:val="0015566E"/>
    <w:rsid w:val="00155834"/>
    <w:rsid w:val="001559FA"/>
    <w:rsid w:val="001567FB"/>
    <w:rsid w:val="00156A72"/>
    <w:rsid w:val="00157274"/>
    <w:rsid w:val="001572A9"/>
    <w:rsid w:val="001577FF"/>
    <w:rsid w:val="00157D0E"/>
    <w:rsid w:val="00160EF3"/>
    <w:rsid w:val="001617EB"/>
    <w:rsid w:val="001629E9"/>
    <w:rsid w:val="00162EBA"/>
    <w:rsid w:val="00163308"/>
    <w:rsid w:val="00163A59"/>
    <w:rsid w:val="001640DA"/>
    <w:rsid w:val="001642C8"/>
    <w:rsid w:val="001647F5"/>
    <w:rsid w:val="00164AF8"/>
    <w:rsid w:val="00164B09"/>
    <w:rsid w:val="00164C40"/>
    <w:rsid w:val="001652A3"/>
    <w:rsid w:val="0016594B"/>
    <w:rsid w:val="00166530"/>
    <w:rsid w:val="0016665E"/>
    <w:rsid w:val="0016666B"/>
    <w:rsid w:val="00166FA1"/>
    <w:rsid w:val="00167004"/>
    <w:rsid w:val="00171ADF"/>
    <w:rsid w:val="0017235D"/>
    <w:rsid w:val="001727F6"/>
    <w:rsid w:val="00172840"/>
    <w:rsid w:val="001743D9"/>
    <w:rsid w:val="00174D37"/>
    <w:rsid w:val="00174F27"/>
    <w:rsid w:val="001750E4"/>
    <w:rsid w:val="00175E68"/>
    <w:rsid w:val="00176820"/>
    <w:rsid w:val="001770B3"/>
    <w:rsid w:val="00177727"/>
    <w:rsid w:val="00180DF7"/>
    <w:rsid w:val="001810B8"/>
    <w:rsid w:val="0018174C"/>
    <w:rsid w:val="001818C2"/>
    <w:rsid w:val="00181EA2"/>
    <w:rsid w:val="00183B75"/>
    <w:rsid w:val="00183F5B"/>
    <w:rsid w:val="00184B7F"/>
    <w:rsid w:val="00184D38"/>
    <w:rsid w:val="0018551C"/>
    <w:rsid w:val="00185BF2"/>
    <w:rsid w:val="00185D56"/>
    <w:rsid w:val="00185DAC"/>
    <w:rsid w:val="0018646D"/>
    <w:rsid w:val="00186B3A"/>
    <w:rsid w:val="00187830"/>
    <w:rsid w:val="00187874"/>
    <w:rsid w:val="00187AC7"/>
    <w:rsid w:val="00190071"/>
    <w:rsid w:val="00190479"/>
    <w:rsid w:val="00190DF4"/>
    <w:rsid w:val="00190F85"/>
    <w:rsid w:val="00192134"/>
    <w:rsid w:val="001927C9"/>
    <w:rsid w:val="00193B18"/>
    <w:rsid w:val="00194038"/>
    <w:rsid w:val="001944F8"/>
    <w:rsid w:val="00194524"/>
    <w:rsid w:val="00196165"/>
    <w:rsid w:val="00196221"/>
    <w:rsid w:val="00196531"/>
    <w:rsid w:val="001974F2"/>
    <w:rsid w:val="0019775A"/>
    <w:rsid w:val="001A38AF"/>
    <w:rsid w:val="001A3D07"/>
    <w:rsid w:val="001A4B19"/>
    <w:rsid w:val="001A59BD"/>
    <w:rsid w:val="001A636A"/>
    <w:rsid w:val="001A66AF"/>
    <w:rsid w:val="001A72C9"/>
    <w:rsid w:val="001A7D0A"/>
    <w:rsid w:val="001A7EF4"/>
    <w:rsid w:val="001B00AA"/>
    <w:rsid w:val="001B00F8"/>
    <w:rsid w:val="001B147A"/>
    <w:rsid w:val="001B19EF"/>
    <w:rsid w:val="001B2CDE"/>
    <w:rsid w:val="001B49A1"/>
    <w:rsid w:val="001B4A69"/>
    <w:rsid w:val="001B4B4D"/>
    <w:rsid w:val="001B537A"/>
    <w:rsid w:val="001B56B8"/>
    <w:rsid w:val="001B61D4"/>
    <w:rsid w:val="001B689A"/>
    <w:rsid w:val="001B778A"/>
    <w:rsid w:val="001B779F"/>
    <w:rsid w:val="001B7CC2"/>
    <w:rsid w:val="001B7DB1"/>
    <w:rsid w:val="001C08FC"/>
    <w:rsid w:val="001C0A8C"/>
    <w:rsid w:val="001C0B68"/>
    <w:rsid w:val="001C148F"/>
    <w:rsid w:val="001C17F2"/>
    <w:rsid w:val="001C27D0"/>
    <w:rsid w:val="001C369A"/>
    <w:rsid w:val="001C37B6"/>
    <w:rsid w:val="001C3D0C"/>
    <w:rsid w:val="001C4174"/>
    <w:rsid w:val="001C4AB7"/>
    <w:rsid w:val="001C4EFF"/>
    <w:rsid w:val="001C5207"/>
    <w:rsid w:val="001C771B"/>
    <w:rsid w:val="001C7907"/>
    <w:rsid w:val="001C79B6"/>
    <w:rsid w:val="001C7CE3"/>
    <w:rsid w:val="001D07EF"/>
    <w:rsid w:val="001D0B04"/>
    <w:rsid w:val="001D0C51"/>
    <w:rsid w:val="001D1FC3"/>
    <w:rsid w:val="001D2FB6"/>
    <w:rsid w:val="001D358E"/>
    <w:rsid w:val="001D38A9"/>
    <w:rsid w:val="001D38BB"/>
    <w:rsid w:val="001D39C9"/>
    <w:rsid w:val="001D3A8C"/>
    <w:rsid w:val="001D3DCC"/>
    <w:rsid w:val="001D3EFD"/>
    <w:rsid w:val="001D471F"/>
    <w:rsid w:val="001D4BD1"/>
    <w:rsid w:val="001D57E5"/>
    <w:rsid w:val="001D58D1"/>
    <w:rsid w:val="001D5BA1"/>
    <w:rsid w:val="001D731B"/>
    <w:rsid w:val="001D7347"/>
    <w:rsid w:val="001D7623"/>
    <w:rsid w:val="001D7CE0"/>
    <w:rsid w:val="001D7D5E"/>
    <w:rsid w:val="001D7E64"/>
    <w:rsid w:val="001D7FA2"/>
    <w:rsid w:val="001E02D5"/>
    <w:rsid w:val="001E0528"/>
    <w:rsid w:val="001E0567"/>
    <w:rsid w:val="001E066D"/>
    <w:rsid w:val="001E0BEF"/>
    <w:rsid w:val="001E1BAF"/>
    <w:rsid w:val="001E2487"/>
    <w:rsid w:val="001E2ABD"/>
    <w:rsid w:val="001E6554"/>
    <w:rsid w:val="001E74E3"/>
    <w:rsid w:val="001E782C"/>
    <w:rsid w:val="001F03FB"/>
    <w:rsid w:val="001F0E15"/>
    <w:rsid w:val="001F11F2"/>
    <w:rsid w:val="001F13E6"/>
    <w:rsid w:val="001F1498"/>
    <w:rsid w:val="001F14A4"/>
    <w:rsid w:val="001F196B"/>
    <w:rsid w:val="001F1D36"/>
    <w:rsid w:val="001F2329"/>
    <w:rsid w:val="001F263E"/>
    <w:rsid w:val="001F30C6"/>
    <w:rsid w:val="001F31DA"/>
    <w:rsid w:val="001F3961"/>
    <w:rsid w:val="001F3C57"/>
    <w:rsid w:val="001F46CF"/>
    <w:rsid w:val="001F4E5B"/>
    <w:rsid w:val="001F53AD"/>
    <w:rsid w:val="001F58C3"/>
    <w:rsid w:val="001F645D"/>
    <w:rsid w:val="001F757B"/>
    <w:rsid w:val="001F781F"/>
    <w:rsid w:val="001F7D09"/>
    <w:rsid w:val="00200596"/>
    <w:rsid w:val="0020097D"/>
    <w:rsid w:val="00200B8F"/>
    <w:rsid w:val="00201757"/>
    <w:rsid w:val="002020E5"/>
    <w:rsid w:val="00202A8A"/>
    <w:rsid w:val="00202C71"/>
    <w:rsid w:val="00202F1A"/>
    <w:rsid w:val="002034CD"/>
    <w:rsid w:val="002037E4"/>
    <w:rsid w:val="00203986"/>
    <w:rsid w:val="00203A7A"/>
    <w:rsid w:val="0020511D"/>
    <w:rsid w:val="00205804"/>
    <w:rsid w:val="00205888"/>
    <w:rsid w:val="00205D75"/>
    <w:rsid w:val="00206815"/>
    <w:rsid w:val="0020698B"/>
    <w:rsid w:val="00207501"/>
    <w:rsid w:val="00210484"/>
    <w:rsid w:val="00210973"/>
    <w:rsid w:val="00211C9E"/>
    <w:rsid w:val="00212309"/>
    <w:rsid w:val="00212542"/>
    <w:rsid w:val="002125B1"/>
    <w:rsid w:val="002125CF"/>
    <w:rsid w:val="00212F93"/>
    <w:rsid w:val="00213027"/>
    <w:rsid w:val="0021339D"/>
    <w:rsid w:val="002133F5"/>
    <w:rsid w:val="00213480"/>
    <w:rsid w:val="00213CB7"/>
    <w:rsid w:val="00213EEB"/>
    <w:rsid w:val="0021455E"/>
    <w:rsid w:val="00216133"/>
    <w:rsid w:val="00216333"/>
    <w:rsid w:val="00220A5F"/>
    <w:rsid w:val="002216F8"/>
    <w:rsid w:val="00221C01"/>
    <w:rsid w:val="002239A9"/>
    <w:rsid w:val="00223E13"/>
    <w:rsid w:val="00223F2E"/>
    <w:rsid w:val="00224176"/>
    <w:rsid w:val="00224515"/>
    <w:rsid w:val="0022481C"/>
    <w:rsid w:val="00224AD0"/>
    <w:rsid w:val="00224CE4"/>
    <w:rsid w:val="00225058"/>
    <w:rsid w:val="002255D5"/>
    <w:rsid w:val="00225869"/>
    <w:rsid w:val="00225E5F"/>
    <w:rsid w:val="002265E9"/>
    <w:rsid w:val="0022676A"/>
    <w:rsid w:val="002277B3"/>
    <w:rsid w:val="00230CDB"/>
    <w:rsid w:val="00231727"/>
    <w:rsid w:val="00231D0A"/>
    <w:rsid w:val="002336CB"/>
    <w:rsid w:val="00233890"/>
    <w:rsid w:val="002343C0"/>
    <w:rsid w:val="00234ABE"/>
    <w:rsid w:val="0023523B"/>
    <w:rsid w:val="00235C96"/>
    <w:rsid w:val="0023679A"/>
    <w:rsid w:val="00240129"/>
    <w:rsid w:val="0024030E"/>
    <w:rsid w:val="00240582"/>
    <w:rsid w:val="00240A67"/>
    <w:rsid w:val="00241E08"/>
    <w:rsid w:val="00241FA9"/>
    <w:rsid w:val="00242222"/>
    <w:rsid w:val="002423BE"/>
    <w:rsid w:val="002424D0"/>
    <w:rsid w:val="002424E7"/>
    <w:rsid w:val="00242C3B"/>
    <w:rsid w:val="00243166"/>
    <w:rsid w:val="0024339A"/>
    <w:rsid w:val="00243871"/>
    <w:rsid w:val="00244A2E"/>
    <w:rsid w:val="00244D25"/>
    <w:rsid w:val="00245707"/>
    <w:rsid w:val="002458C0"/>
    <w:rsid w:val="00245A5C"/>
    <w:rsid w:val="00245D2F"/>
    <w:rsid w:val="00245FC8"/>
    <w:rsid w:val="002460D1"/>
    <w:rsid w:val="002500B6"/>
    <w:rsid w:val="0025032E"/>
    <w:rsid w:val="0025086C"/>
    <w:rsid w:val="002510F8"/>
    <w:rsid w:val="00251FF9"/>
    <w:rsid w:val="0025241F"/>
    <w:rsid w:val="00253256"/>
    <w:rsid w:val="00253FD6"/>
    <w:rsid w:val="00254B11"/>
    <w:rsid w:val="00255390"/>
    <w:rsid w:val="00255704"/>
    <w:rsid w:val="00255993"/>
    <w:rsid w:val="00255D91"/>
    <w:rsid w:val="002569F5"/>
    <w:rsid w:val="00257CF2"/>
    <w:rsid w:val="00257EE6"/>
    <w:rsid w:val="0026095B"/>
    <w:rsid w:val="00260ED9"/>
    <w:rsid w:val="002612EE"/>
    <w:rsid w:val="00261A35"/>
    <w:rsid w:val="00261BEF"/>
    <w:rsid w:val="00261F3F"/>
    <w:rsid w:val="00262108"/>
    <w:rsid w:val="002629AD"/>
    <w:rsid w:val="002635CE"/>
    <w:rsid w:val="00264394"/>
    <w:rsid w:val="00264680"/>
    <w:rsid w:val="002649ED"/>
    <w:rsid w:val="00266365"/>
    <w:rsid w:val="002663D1"/>
    <w:rsid w:val="0027077A"/>
    <w:rsid w:val="002717C8"/>
    <w:rsid w:val="00271971"/>
    <w:rsid w:val="00271BF5"/>
    <w:rsid w:val="00272DDE"/>
    <w:rsid w:val="002731C1"/>
    <w:rsid w:val="00273A95"/>
    <w:rsid w:val="00273F34"/>
    <w:rsid w:val="002753DC"/>
    <w:rsid w:val="002753EC"/>
    <w:rsid w:val="002754A2"/>
    <w:rsid w:val="002754DA"/>
    <w:rsid w:val="0027787C"/>
    <w:rsid w:val="002800F5"/>
    <w:rsid w:val="00280573"/>
    <w:rsid w:val="0028066D"/>
    <w:rsid w:val="002811AC"/>
    <w:rsid w:val="002817B4"/>
    <w:rsid w:val="00281B5B"/>
    <w:rsid w:val="0028214E"/>
    <w:rsid w:val="00283402"/>
    <w:rsid w:val="002836BE"/>
    <w:rsid w:val="00283D6C"/>
    <w:rsid w:val="00283E6B"/>
    <w:rsid w:val="002844E7"/>
    <w:rsid w:val="00284557"/>
    <w:rsid w:val="002850B9"/>
    <w:rsid w:val="00285122"/>
    <w:rsid w:val="002862B3"/>
    <w:rsid w:val="0028630A"/>
    <w:rsid w:val="00287297"/>
    <w:rsid w:val="002877A0"/>
    <w:rsid w:val="00287B3E"/>
    <w:rsid w:val="00290007"/>
    <w:rsid w:val="00290F09"/>
    <w:rsid w:val="0029108F"/>
    <w:rsid w:val="002912E9"/>
    <w:rsid w:val="0029130A"/>
    <w:rsid w:val="0029132A"/>
    <w:rsid w:val="00291A36"/>
    <w:rsid w:val="00292731"/>
    <w:rsid w:val="00293A95"/>
    <w:rsid w:val="002941F9"/>
    <w:rsid w:val="002946AE"/>
    <w:rsid w:val="002948C9"/>
    <w:rsid w:val="00295111"/>
    <w:rsid w:val="00295200"/>
    <w:rsid w:val="0029560A"/>
    <w:rsid w:val="0029578D"/>
    <w:rsid w:val="00295DFF"/>
    <w:rsid w:val="00295F43"/>
    <w:rsid w:val="0029615E"/>
    <w:rsid w:val="00296638"/>
    <w:rsid w:val="00297204"/>
    <w:rsid w:val="0029725C"/>
    <w:rsid w:val="00297A31"/>
    <w:rsid w:val="00297C2F"/>
    <w:rsid w:val="002A1DE7"/>
    <w:rsid w:val="002A2E77"/>
    <w:rsid w:val="002A36EF"/>
    <w:rsid w:val="002A4393"/>
    <w:rsid w:val="002A4612"/>
    <w:rsid w:val="002A4850"/>
    <w:rsid w:val="002A49FE"/>
    <w:rsid w:val="002A53AA"/>
    <w:rsid w:val="002A5971"/>
    <w:rsid w:val="002A6ED5"/>
    <w:rsid w:val="002A7F43"/>
    <w:rsid w:val="002B1435"/>
    <w:rsid w:val="002B1530"/>
    <w:rsid w:val="002B1CCD"/>
    <w:rsid w:val="002B21FC"/>
    <w:rsid w:val="002B26BF"/>
    <w:rsid w:val="002B27B5"/>
    <w:rsid w:val="002B2EAC"/>
    <w:rsid w:val="002B2F6E"/>
    <w:rsid w:val="002B3A3F"/>
    <w:rsid w:val="002B3AB7"/>
    <w:rsid w:val="002B4262"/>
    <w:rsid w:val="002B5582"/>
    <w:rsid w:val="002B581B"/>
    <w:rsid w:val="002B609F"/>
    <w:rsid w:val="002B646A"/>
    <w:rsid w:val="002B6B57"/>
    <w:rsid w:val="002B6C11"/>
    <w:rsid w:val="002B7128"/>
    <w:rsid w:val="002B749B"/>
    <w:rsid w:val="002B7CDD"/>
    <w:rsid w:val="002C00CD"/>
    <w:rsid w:val="002C1395"/>
    <w:rsid w:val="002C2D73"/>
    <w:rsid w:val="002C3093"/>
    <w:rsid w:val="002C33A3"/>
    <w:rsid w:val="002C34EC"/>
    <w:rsid w:val="002C448A"/>
    <w:rsid w:val="002C4CDA"/>
    <w:rsid w:val="002C7482"/>
    <w:rsid w:val="002C77BB"/>
    <w:rsid w:val="002D0E59"/>
    <w:rsid w:val="002D29B4"/>
    <w:rsid w:val="002D2E7B"/>
    <w:rsid w:val="002D318A"/>
    <w:rsid w:val="002D31A8"/>
    <w:rsid w:val="002D339C"/>
    <w:rsid w:val="002D3738"/>
    <w:rsid w:val="002D49E4"/>
    <w:rsid w:val="002D4FE1"/>
    <w:rsid w:val="002D59BE"/>
    <w:rsid w:val="002D65CF"/>
    <w:rsid w:val="002D73EF"/>
    <w:rsid w:val="002D7599"/>
    <w:rsid w:val="002D7E02"/>
    <w:rsid w:val="002E12B5"/>
    <w:rsid w:val="002E17A4"/>
    <w:rsid w:val="002E2300"/>
    <w:rsid w:val="002E2D2A"/>
    <w:rsid w:val="002E2E74"/>
    <w:rsid w:val="002E2FA6"/>
    <w:rsid w:val="002E3487"/>
    <w:rsid w:val="002E3C10"/>
    <w:rsid w:val="002E3EC9"/>
    <w:rsid w:val="002E419B"/>
    <w:rsid w:val="002E4C47"/>
    <w:rsid w:val="002E651E"/>
    <w:rsid w:val="002E6C60"/>
    <w:rsid w:val="002E726E"/>
    <w:rsid w:val="002E7E4F"/>
    <w:rsid w:val="002E7EAD"/>
    <w:rsid w:val="002F0694"/>
    <w:rsid w:val="002F069A"/>
    <w:rsid w:val="002F0817"/>
    <w:rsid w:val="002F0854"/>
    <w:rsid w:val="002F0891"/>
    <w:rsid w:val="002F22D8"/>
    <w:rsid w:val="002F3028"/>
    <w:rsid w:val="002F37B0"/>
    <w:rsid w:val="002F37DE"/>
    <w:rsid w:val="002F3D73"/>
    <w:rsid w:val="002F4402"/>
    <w:rsid w:val="002F4826"/>
    <w:rsid w:val="002F536C"/>
    <w:rsid w:val="002F5587"/>
    <w:rsid w:val="002F56BD"/>
    <w:rsid w:val="002F6AC1"/>
    <w:rsid w:val="003004DC"/>
    <w:rsid w:val="00300B5D"/>
    <w:rsid w:val="0030172A"/>
    <w:rsid w:val="003017E5"/>
    <w:rsid w:val="00301ABE"/>
    <w:rsid w:val="00301DC7"/>
    <w:rsid w:val="003024CF"/>
    <w:rsid w:val="003029FC"/>
    <w:rsid w:val="003031D5"/>
    <w:rsid w:val="00303A43"/>
    <w:rsid w:val="00303CC9"/>
    <w:rsid w:val="0030471C"/>
    <w:rsid w:val="00305409"/>
    <w:rsid w:val="003071D6"/>
    <w:rsid w:val="00307A49"/>
    <w:rsid w:val="00307CF2"/>
    <w:rsid w:val="00307EAA"/>
    <w:rsid w:val="00310297"/>
    <w:rsid w:val="00312FD3"/>
    <w:rsid w:val="003134C3"/>
    <w:rsid w:val="00313A3D"/>
    <w:rsid w:val="00313E0B"/>
    <w:rsid w:val="00313F1F"/>
    <w:rsid w:val="00314085"/>
    <w:rsid w:val="00314550"/>
    <w:rsid w:val="00314B6F"/>
    <w:rsid w:val="00315446"/>
    <w:rsid w:val="00315AB1"/>
    <w:rsid w:val="0031614C"/>
    <w:rsid w:val="00317F61"/>
    <w:rsid w:val="00320500"/>
    <w:rsid w:val="00321B67"/>
    <w:rsid w:val="00322BB7"/>
    <w:rsid w:val="00323300"/>
    <w:rsid w:val="0032420A"/>
    <w:rsid w:val="003245EE"/>
    <w:rsid w:val="003249E4"/>
    <w:rsid w:val="00324A9B"/>
    <w:rsid w:val="003250CE"/>
    <w:rsid w:val="0032700D"/>
    <w:rsid w:val="003270B0"/>
    <w:rsid w:val="00327166"/>
    <w:rsid w:val="003271A1"/>
    <w:rsid w:val="003273F6"/>
    <w:rsid w:val="003277A2"/>
    <w:rsid w:val="00327AC7"/>
    <w:rsid w:val="00327DE5"/>
    <w:rsid w:val="003306D8"/>
    <w:rsid w:val="00330E04"/>
    <w:rsid w:val="0033161C"/>
    <w:rsid w:val="00332145"/>
    <w:rsid w:val="00332A97"/>
    <w:rsid w:val="00332AEB"/>
    <w:rsid w:val="00334502"/>
    <w:rsid w:val="003346EE"/>
    <w:rsid w:val="003356C4"/>
    <w:rsid w:val="003362E5"/>
    <w:rsid w:val="00336C26"/>
    <w:rsid w:val="00337585"/>
    <w:rsid w:val="00337622"/>
    <w:rsid w:val="00337AAA"/>
    <w:rsid w:val="00337D25"/>
    <w:rsid w:val="00337E47"/>
    <w:rsid w:val="003406CA"/>
    <w:rsid w:val="00340FB9"/>
    <w:rsid w:val="00341AD1"/>
    <w:rsid w:val="003437EA"/>
    <w:rsid w:val="00344D9D"/>
    <w:rsid w:val="003457F3"/>
    <w:rsid w:val="00346469"/>
    <w:rsid w:val="00346BC7"/>
    <w:rsid w:val="00347015"/>
    <w:rsid w:val="003508E9"/>
    <w:rsid w:val="0035094C"/>
    <w:rsid w:val="00350E90"/>
    <w:rsid w:val="00350FE1"/>
    <w:rsid w:val="0035110D"/>
    <w:rsid w:val="0035265A"/>
    <w:rsid w:val="00353011"/>
    <w:rsid w:val="00353132"/>
    <w:rsid w:val="00354342"/>
    <w:rsid w:val="00354C70"/>
    <w:rsid w:val="00354E0F"/>
    <w:rsid w:val="00354FAC"/>
    <w:rsid w:val="003550BE"/>
    <w:rsid w:val="00355487"/>
    <w:rsid w:val="00355DA9"/>
    <w:rsid w:val="00356200"/>
    <w:rsid w:val="00357395"/>
    <w:rsid w:val="00360203"/>
    <w:rsid w:val="00360C37"/>
    <w:rsid w:val="00362497"/>
    <w:rsid w:val="00364592"/>
    <w:rsid w:val="003647CC"/>
    <w:rsid w:val="00364C83"/>
    <w:rsid w:val="00364FFB"/>
    <w:rsid w:val="003651AB"/>
    <w:rsid w:val="0036568E"/>
    <w:rsid w:val="00365749"/>
    <w:rsid w:val="00365BAD"/>
    <w:rsid w:val="00366049"/>
    <w:rsid w:val="00370162"/>
    <w:rsid w:val="00370EDC"/>
    <w:rsid w:val="0037134C"/>
    <w:rsid w:val="00371534"/>
    <w:rsid w:val="00371C10"/>
    <w:rsid w:val="00373460"/>
    <w:rsid w:val="00373561"/>
    <w:rsid w:val="0037446E"/>
    <w:rsid w:val="00374531"/>
    <w:rsid w:val="003745F6"/>
    <w:rsid w:val="00376088"/>
    <w:rsid w:val="0037637C"/>
    <w:rsid w:val="003771CD"/>
    <w:rsid w:val="00377EFB"/>
    <w:rsid w:val="003800F2"/>
    <w:rsid w:val="003802C4"/>
    <w:rsid w:val="0038054D"/>
    <w:rsid w:val="0038099C"/>
    <w:rsid w:val="00380A2F"/>
    <w:rsid w:val="00380F82"/>
    <w:rsid w:val="00381064"/>
    <w:rsid w:val="00382378"/>
    <w:rsid w:val="00382698"/>
    <w:rsid w:val="00383DAD"/>
    <w:rsid w:val="0038489A"/>
    <w:rsid w:val="0038530E"/>
    <w:rsid w:val="00385B15"/>
    <w:rsid w:val="0038753E"/>
    <w:rsid w:val="0038759E"/>
    <w:rsid w:val="00391D11"/>
    <w:rsid w:val="0039218F"/>
    <w:rsid w:val="003923EA"/>
    <w:rsid w:val="0039287E"/>
    <w:rsid w:val="0039390F"/>
    <w:rsid w:val="003941D7"/>
    <w:rsid w:val="003943DE"/>
    <w:rsid w:val="00394429"/>
    <w:rsid w:val="003950E0"/>
    <w:rsid w:val="00395952"/>
    <w:rsid w:val="00395FA7"/>
    <w:rsid w:val="00396883"/>
    <w:rsid w:val="00396CD1"/>
    <w:rsid w:val="003A08E0"/>
    <w:rsid w:val="003A1B0F"/>
    <w:rsid w:val="003A3563"/>
    <w:rsid w:val="003A39D2"/>
    <w:rsid w:val="003A4297"/>
    <w:rsid w:val="003A5145"/>
    <w:rsid w:val="003A5511"/>
    <w:rsid w:val="003A6A69"/>
    <w:rsid w:val="003B04CE"/>
    <w:rsid w:val="003B3024"/>
    <w:rsid w:val="003B3107"/>
    <w:rsid w:val="003B332A"/>
    <w:rsid w:val="003B3D82"/>
    <w:rsid w:val="003B3F12"/>
    <w:rsid w:val="003B47A1"/>
    <w:rsid w:val="003B5219"/>
    <w:rsid w:val="003B5335"/>
    <w:rsid w:val="003B5CC3"/>
    <w:rsid w:val="003B6040"/>
    <w:rsid w:val="003B61F6"/>
    <w:rsid w:val="003B64CB"/>
    <w:rsid w:val="003B6C44"/>
    <w:rsid w:val="003B76B3"/>
    <w:rsid w:val="003C04D7"/>
    <w:rsid w:val="003C2278"/>
    <w:rsid w:val="003C2501"/>
    <w:rsid w:val="003C252E"/>
    <w:rsid w:val="003C25F9"/>
    <w:rsid w:val="003C28F2"/>
    <w:rsid w:val="003C370D"/>
    <w:rsid w:val="003C40CC"/>
    <w:rsid w:val="003C45CF"/>
    <w:rsid w:val="003C48CF"/>
    <w:rsid w:val="003C4B58"/>
    <w:rsid w:val="003C5D0B"/>
    <w:rsid w:val="003C656B"/>
    <w:rsid w:val="003C686C"/>
    <w:rsid w:val="003C6A18"/>
    <w:rsid w:val="003C7126"/>
    <w:rsid w:val="003C7324"/>
    <w:rsid w:val="003C7EAD"/>
    <w:rsid w:val="003D00ED"/>
    <w:rsid w:val="003D0AF4"/>
    <w:rsid w:val="003D20E5"/>
    <w:rsid w:val="003D2EA4"/>
    <w:rsid w:val="003D39E5"/>
    <w:rsid w:val="003D5C02"/>
    <w:rsid w:val="003D731C"/>
    <w:rsid w:val="003D737E"/>
    <w:rsid w:val="003D755D"/>
    <w:rsid w:val="003D7E9F"/>
    <w:rsid w:val="003D7F1A"/>
    <w:rsid w:val="003E04D8"/>
    <w:rsid w:val="003E097B"/>
    <w:rsid w:val="003E0B0A"/>
    <w:rsid w:val="003E0C0A"/>
    <w:rsid w:val="003E1657"/>
    <w:rsid w:val="003E1AF4"/>
    <w:rsid w:val="003E21E0"/>
    <w:rsid w:val="003E33FD"/>
    <w:rsid w:val="003E379E"/>
    <w:rsid w:val="003E3AA4"/>
    <w:rsid w:val="003E3F00"/>
    <w:rsid w:val="003E4A79"/>
    <w:rsid w:val="003E4CA2"/>
    <w:rsid w:val="003E4D42"/>
    <w:rsid w:val="003E5DE9"/>
    <w:rsid w:val="003E5E4B"/>
    <w:rsid w:val="003E65BD"/>
    <w:rsid w:val="003E7074"/>
    <w:rsid w:val="003E7A39"/>
    <w:rsid w:val="003F0138"/>
    <w:rsid w:val="003F0316"/>
    <w:rsid w:val="003F03BC"/>
    <w:rsid w:val="003F0D8D"/>
    <w:rsid w:val="003F2272"/>
    <w:rsid w:val="003F32AF"/>
    <w:rsid w:val="003F3663"/>
    <w:rsid w:val="003F3743"/>
    <w:rsid w:val="003F3899"/>
    <w:rsid w:val="003F3CBB"/>
    <w:rsid w:val="003F4710"/>
    <w:rsid w:val="003F493C"/>
    <w:rsid w:val="003F5716"/>
    <w:rsid w:val="003F5770"/>
    <w:rsid w:val="003F5C6A"/>
    <w:rsid w:val="003F5C99"/>
    <w:rsid w:val="003F64AE"/>
    <w:rsid w:val="003F715B"/>
    <w:rsid w:val="003F761E"/>
    <w:rsid w:val="003F7775"/>
    <w:rsid w:val="003F7EFE"/>
    <w:rsid w:val="0040031C"/>
    <w:rsid w:val="00400C62"/>
    <w:rsid w:val="0040106D"/>
    <w:rsid w:val="00401DB3"/>
    <w:rsid w:val="0040262A"/>
    <w:rsid w:val="004027B3"/>
    <w:rsid w:val="004027E2"/>
    <w:rsid w:val="00402D1A"/>
    <w:rsid w:val="00403141"/>
    <w:rsid w:val="00403143"/>
    <w:rsid w:val="00404CA3"/>
    <w:rsid w:val="00404DAA"/>
    <w:rsid w:val="004050A1"/>
    <w:rsid w:val="00406129"/>
    <w:rsid w:val="00406436"/>
    <w:rsid w:val="004073C0"/>
    <w:rsid w:val="004076B7"/>
    <w:rsid w:val="00407B06"/>
    <w:rsid w:val="00407C1F"/>
    <w:rsid w:val="00410568"/>
    <w:rsid w:val="00411B5A"/>
    <w:rsid w:val="00412F10"/>
    <w:rsid w:val="004137C4"/>
    <w:rsid w:val="004139D8"/>
    <w:rsid w:val="00414128"/>
    <w:rsid w:val="00414236"/>
    <w:rsid w:val="00414525"/>
    <w:rsid w:val="004148FF"/>
    <w:rsid w:val="00415436"/>
    <w:rsid w:val="00416014"/>
    <w:rsid w:val="00416493"/>
    <w:rsid w:val="004171B3"/>
    <w:rsid w:val="004175ED"/>
    <w:rsid w:val="004179E1"/>
    <w:rsid w:val="00417CDE"/>
    <w:rsid w:val="004200B5"/>
    <w:rsid w:val="0042028C"/>
    <w:rsid w:val="004208DD"/>
    <w:rsid w:val="00420AC9"/>
    <w:rsid w:val="004219AD"/>
    <w:rsid w:val="00422669"/>
    <w:rsid w:val="00422ACD"/>
    <w:rsid w:val="004237C9"/>
    <w:rsid w:val="00423BE6"/>
    <w:rsid w:val="00423F63"/>
    <w:rsid w:val="00424414"/>
    <w:rsid w:val="00424EE4"/>
    <w:rsid w:val="00425C30"/>
    <w:rsid w:val="00425D74"/>
    <w:rsid w:val="0042668E"/>
    <w:rsid w:val="004267A4"/>
    <w:rsid w:val="004276CA"/>
    <w:rsid w:val="00430544"/>
    <w:rsid w:val="004307DB"/>
    <w:rsid w:val="00432BC7"/>
    <w:rsid w:val="00433180"/>
    <w:rsid w:val="00433457"/>
    <w:rsid w:val="0043346B"/>
    <w:rsid w:val="004335CC"/>
    <w:rsid w:val="00434A46"/>
    <w:rsid w:val="00435C2B"/>
    <w:rsid w:val="004362C7"/>
    <w:rsid w:val="00436842"/>
    <w:rsid w:val="00436B05"/>
    <w:rsid w:val="00437278"/>
    <w:rsid w:val="004375C7"/>
    <w:rsid w:val="0043775B"/>
    <w:rsid w:val="00437EAA"/>
    <w:rsid w:val="00440477"/>
    <w:rsid w:val="00441274"/>
    <w:rsid w:val="004412C7"/>
    <w:rsid w:val="00441605"/>
    <w:rsid w:val="00441827"/>
    <w:rsid w:val="00441B8B"/>
    <w:rsid w:val="00441C4D"/>
    <w:rsid w:val="00441C82"/>
    <w:rsid w:val="00441E17"/>
    <w:rsid w:val="00441EB3"/>
    <w:rsid w:val="00442D1E"/>
    <w:rsid w:val="00443EB8"/>
    <w:rsid w:val="004442C0"/>
    <w:rsid w:val="004442E2"/>
    <w:rsid w:val="00444630"/>
    <w:rsid w:val="00444FEA"/>
    <w:rsid w:val="00445959"/>
    <w:rsid w:val="00446405"/>
    <w:rsid w:val="004464A1"/>
    <w:rsid w:val="00447849"/>
    <w:rsid w:val="00447E3E"/>
    <w:rsid w:val="004502E4"/>
    <w:rsid w:val="0045081B"/>
    <w:rsid w:val="004513B7"/>
    <w:rsid w:val="00451907"/>
    <w:rsid w:val="00451CA4"/>
    <w:rsid w:val="004525C4"/>
    <w:rsid w:val="004528C8"/>
    <w:rsid w:val="0045302B"/>
    <w:rsid w:val="0045388B"/>
    <w:rsid w:val="00453D4D"/>
    <w:rsid w:val="00454CD8"/>
    <w:rsid w:val="00455677"/>
    <w:rsid w:val="00455E2C"/>
    <w:rsid w:val="00456247"/>
    <w:rsid w:val="00456793"/>
    <w:rsid w:val="00457756"/>
    <w:rsid w:val="00457796"/>
    <w:rsid w:val="00457885"/>
    <w:rsid w:val="00457E82"/>
    <w:rsid w:val="00457E8B"/>
    <w:rsid w:val="00457FDE"/>
    <w:rsid w:val="004605D7"/>
    <w:rsid w:val="00460A6B"/>
    <w:rsid w:val="00461B30"/>
    <w:rsid w:val="00461CDE"/>
    <w:rsid w:val="0046339B"/>
    <w:rsid w:val="0046343D"/>
    <w:rsid w:val="00463B98"/>
    <w:rsid w:val="00464350"/>
    <w:rsid w:val="00464779"/>
    <w:rsid w:val="00465859"/>
    <w:rsid w:val="00465E52"/>
    <w:rsid w:val="00465F67"/>
    <w:rsid w:val="00467A18"/>
    <w:rsid w:val="00467F9D"/>
    <w:rsid w:val="0047065E"/>
    <w:rsid w:val="00470F32"/>
    <w:rsid w:val="00471256"/>
    <w:rsid w:val="00471267"/>
    <w:rsid w:val="00472A69"/>
    <w:rsid w:val="00472A6C"/>
    <w:rsid w:val="00472C3C"/>
    <w:rsid w:val="00473FE8"/>
    <w:rsid w:val="0047490D"/>
    <w:rsid w:val="00474960"/>
    <w:rsid w:val="00474ED9"/>
    <w:rsid w:val="00475580"/>
    <w:rsid w:val="0047574B"/>
    <w:rsid w:val="00475E56"/>
    <w:rsid w:val="00475FC0"/>
    <w:rsid w:val="004763BA"/>
    <w:rsid w:val="00476630"/>
    <w:rsid w:val="00476ADE"/>
    <w:rsid w:val="00476E0A"/>
    <w:rsid w:val="0047723F"/>
    <w:rsid w:val="00477357"/>
    <w:rsid w:val="004777E6"/>
    <w:rsid w:val="00477CC5"/>
    <w:rsid w:val="00481161"/>
    <w:rsid w:val="00481F5A"/>
    <w:rsid w:val="00481FED"/>
    <w:rsid w:val="00482B03"/>
    <w:rsid w:val="004830DE"/>
    <w:rsid w:val="00483223"/>
    <w:rsid w:val="00483ADA"/>
    <w:rsid w:val="00483E14"/>
    <w:rsid w:val="00485768"/>
    <w:rsid w:val="00485EF0"/>
    <w:rsid w:val="00486591"/>
    <w:rsid w:val="00487A68"/>
    <w:rsid w:val="00490026"/>
    <w:rsid w:val="00490EA0"/>
    <w:rsid w:val="00490FB6"/>
    <w:rsid w:val="00492A0C"/>
    <w:rsid w:val="0049318A"/>
    <w:rsid w:val="0049359D"/>
    <w:rsid w:val="004936A4"/>
    <w:rsid w:val="00493EB5"/>
    <w:rsid w:val="004958DB"/>
    <w:rsid w:val="00495D0D"/>
    <w:rsid w:val="00496A47"/>
    <w:rsid w:val="004973ED"/>
    <w:rsid w:val="00497C98"/>
    <w:rsid w:val="00497D09"/>
    <w:rsid w:val="004A00A9"/>
    <w:rsid w:val="004A1415"/>
    <w:rsid w:val="004A151F"/>
    <w:rsid w:val="004A18B8"/>
    <w:rsid w:val="004A1D2D"/>
    <w:rsid w:val="004A2854"/>
    <w:rsid w:val="004A2D4A"/>
    <w:rsid w:val="004A300E"/>
    <w:rsid w:val="004A31EF"/>
    <w:rsid w:val="004A4429"/>
    <w:rsid w:val="004A53F7"/>
    <w:rsid w:val="004A5997"/>
    <w:rsid w:val="004A6B48"/>
    <w:rsid w:val="004A7162"/>
    <w:rsid w:val="004A71F2"/>
    <w:rsid w:val="004A73D5"/>
    <w:rsid w:val="004A7688"/>
    <w:rsid w:val="004B0903"/>
    <w:rsid w:val="004B0C8E"/>
    <w:rsid w:val="004B11F0"/>
    <w:rsid w:val="004B1360"/>
    <w:rsid w:val="004B16B3"/>
    <w:rsid w:val="004B1DCD"/>
    <w:rsid w:val="004B20CA"/>
    <w:rsid w:val="004B2CA1"/>
    <w:rsid w:val="004B2E62"/>
    <w:rsid w:val="004B3855"/>
    <w:rsid w:val="004B3CE3"/>
    <w:rsid w:val="004B487A"/>
    <w:rsid w:val="004B5481"/>
    <w:rsid w:val="004B6190"/>
    <w:rsid w:val="004B6FCB"/>
    <w:rsid w:val="004B72AC"/>
    <w:rsid w:val="004C04C6"/>
    <w:rsid w:val="004C06D7"/>
    <w:rsid w:val="004C0739"/>
    <w:rsid w:val="004C1B69"/>
    <w:rsid w:val="004C23A8"/>
    <w:rsid w:val="004C33D7"/>
    <w:rsid w:val="004C3947"/>
    <w:rsid w:val="004C46C1"/>
    <w:rsid w:val="004C4866"/>
    <w:rsid w:val="004C4C6D"/>
    <w:rsid w:val="004C5738"/>
    <w:rsid w:val="004C5C6B"/>
    <w:rsid w:val="004C608A"/>
    <w:rsid w:val="004C673B"/>
    <w:rsid w:val="004D01F3"/>
    <w:rsid w:val="004D068F"/>
    <w:rsid w:val="004D18ED"/>
    <w:rsid w:val="004D1C0D"/>
    <w:rsid w:val="004D209A"/>
    <w:rsid w:val="004D28D8"/>
    <w:rsid w:val="004D32DD"/>
    <w:rsid w:val="004D332F"/>
    <w:rsid w:val="004D38E6"/>
    <w:rsid w:val="004D3A79"/>
    <w:rsid w:val="004D4224"/>
    <w:rsid w:val="004D5BE5"/>
    <w:rsid w:val="004D6439"/>
    <w:rsid w:val="004D6866"/>
    <w:rsid w:val="004D6C9E"/>
    <w:rsid w:val="004D7CF2"/>
    <w:rsid w:val="004E02D2"/>
    <w:rsid w:val="004E0A79"/>
    <w:rsid w:val="004E110E"/>
    <w:rsid w:val="004E135E"/>
    <w:rsid w:val="004E24A3"/>
    <w:rsid w:val="004E2893"/>
    <w:rsid w:val="004E2C2B"/>
    <w:rsid w:val="004E369C"/>
    <w:rsid w:val="004E3A9B"/>
    <w:rsid w:val="004E3FEE"/>
    <w:rsid w:val="004E55F4"/>
    <w:rsid w:val="004E65E5"/>
    <w:rsid w:val="004E7F1A"/>
    <w:rsid w:val="004F1131"/>
    <w:rsid w:val="004F236F"/>
    <w:rsid w:val="004F288C"/>
    <w:rsid w:val="004F28BF"/>
    <w:rsid w:val="004F2BB4"/>
    <w:rsid w:val="004F496F"/>
    <w:rsid w:val="004F4A24"/>
    <w:rsid w:val="004F5852"/>
    <w:rsid w:val="004F5A49"/>
    <w:rsid w:val="004F6409"/>
    <w:rsid w:val="004F6532"/>
    <w:rsid w:val="004F6E2E"/>
    <w:rsid w:val="004F6F3E"/>
    <w:rsid w:val="004F7128"/>
    <w:rsid w:val="004F7264"/>
    <w:rsid w:val="004F78E2"/>
    <w:rsid w:val="004F7BC1"/>
    <w:rsid w:val="00500A5E"/>
    <w:rsid w:val="005010AB"/>
    <w:rsid w:val="00502CE0"/>
    <w:rsid w:val="0050383F"/>
    <w:rsid w:val="00505D70"/>
    <w:rsid w:val="00505FA3"/>
    <w:rsid w:val="005066A8"/>
    <w:rsid w:val="005066FC"/>
    <w:rsid w:val="005070D5"/>
    <w:rsid w:val="00507286"/>
    <w:rsid w:val="00507ABB"/>
    <w:rsid w:val="00510025"/>
    <w:rsid w:val="005108A2"/>
    <w:rsid w:val="00512051"/>
    <w:rsid w:val="00512318"/>
    <w:rsid w:val="0051267E"/>
    <w:rsid w:val="0051275B"/>
    <w:rsid w:val="005139BA"/>
    <w:rsid w:val="00513B0A"/>
    <w:rsid w:val="0051447C"/>
    <w:rsid w:val="00514B59"/>
    <w:rsid w:val="00514F3B"/>
    <w:rsid w:val="0051625B"/>
    <w:rsid w:val="00517CC1"/>
    <w:rsid w:val="00520CE5"/>
    <w:rsid w:val="00520FA6"/>
    <w:rsid w:val="005211D0"/>
    <w:rsid w:val="00521933"/>
    <w:rsid w:val="00522584"/>
    <w:rsid w:val="00522598"/>
    <w:rsid w:val="00522895"/>
    <w:rsid w:val="00522DD9"/>
    <w:rsid w:val="005240C8"/>
    <w:rsid w:val="0052431E"/>
    <w:rsid w:val="005251B4"/>
    <w:rsid w:val="00526437"/>
    <w:rsid w:val="0052699E"/>
    <w:rsid w:val="00526B38"/>
    <w:rsid w:val="00526D12"/>
    <w:rsid w:val="00526D40"/>
    <w:rsid w:val="005272FC"/>
    <w:rsid w:val="00527591"/>
    <w:rsid w:val="00527623"/>
    <w:rsid w:val="00527A5A"/>
    <w:rsid w:val="00527F80"/>
    <w:rsid w:val="005306D8"/>
    <w:rsid w:val="005313B1"/>
    <w:rsid w:val="00531418"/>
    <w:rsid w:val="00531691"/>
    <w:rsid w:val="00531750"/>
    <w:rsid w:val="00531826"/>
    <w:rsid w:val="005345C4"/>
    <w:rsid w:val="00534C7B"/>
    <w:rsid w:val="00534F29"/>
    <w:rsid w:val="0053534B"/>
    <w:rsid w:val="00535852"/>
    <w:rsid w:val="005362F7"/>
    <w:rsid w:val="00536729"/>
    <w:rsid w:val="00536F40"/>
    <w:rsid w:val="00537910"/>
    <w:rsid w:val="0054095D"/>
    <w:rsid w:val="00540A76"/>
    <w:rsid w:val="0054129C"/>
    <w:rsid w:val="0054392F"/>
    <w:rsid w:val="00543C7E"/>
    <w:rsid w:val="0054438A"/>
    <w:rsid w:val="00544D50"/>
    <w:rsid w:val="00546E86"/>
    <w:rsid w:val="00547135"/>
    <w:rsid w:val="005475FE"/>
    <w:rsid w:val="005476A5"/>
    <w:rsid w:val="00550492"/>
    <w:rsid w:val="00550882"/>
    <w:rsid w:val="0055197E"/>
    <w:rsid w:val="00551C71"/>
    <w:rsid w:val="0055277B"/>
    <w:rsid w:val="00552E58"/>
    <w:rsid w:val="005532B8"/>
    <w:rsid w:val="005535A3"/>
    <w:rsid w:val="005535E7"/>
    <w:rsid w:val="005537A6"/>
    <w:rsid w:val="00553BE0"/>
    <w:rsid w:val="00553C5E"/>
    <w:rsid w:val="00554126"/>
    <w:rsid w:val="00554BF3"/>
    <w:rsid w:val="005553A6"/>
    <w:rsid w:val="00556280"/>
    <w:rsid w:val="005571B5"/>
    <w:rsid w:val="00557716"/>
    <w:rsid w:val="00561476"/>
    <w:rsid w:val="005616E9"/>
    <w:rsid w:val="00561F4A"/>
    <w:rsid w:val="00562507"/>
    <w:rsid w:val="00562604"/>
    <w:rsid w:val="00562DD0"/>
    <w:rsid w:val="00564079"/>
    <w:rsid w:val="0056468D"/>
    <w:rsid w:val="005647F6"/>
    <w:rsid w:val="00564835"/>
    <w:rsid w:val="0056486A"/>
    <w:rsid w:val="00564F2B"/>
    <w:rsid w:val="00565070"/>
    <w:rsid w:val="00565354"/>
    <w:rsid w:val="00566E92"/>
    <w:rsid w:val="00570E17"/>
    <w:rsid w:val="00571322"/>
    <w:rsid w:val="0057173C"/>
    <w:rsid w:val="005720A3"/>
    <w:rsid w:val="00572103"/>
    <w:rsid w:val="005722B9"/>
    <w:rsid w:val="00572890"/>
    <w:rsid w:val="00573447"/>
    <w:rsid w:val="00573EE7"/>
    <w:rsid w:val="005744B8"/>
    <w:rsid w:val="00574712"/>
    <w:rsid w:val="00575564"/>
    <w:rsid w:val="00576075"/>
    <w:rsid w:val="005766F0"/>
    <w:rsid w:val="00576B90"/>
    <w:rsid w:val="00576DEA"/>
    <w:rsid w:val="00576F1F"/>
    <w:rsid w:val="00576F43"/>
    <w:rsid w:val="00577A00"/>
    <w:rsid w:val="005802BD"/>
    <w:rsid w:val="005811A5"/>
    <w:rsid w:val="005812DC"/>
    <w:rsid w:val="00581330"/>
    <w:rsid w:val="0058200B"/>
    <w:rsid w:val="00582A87"/>
    <w:rsid w:val="00583592"/>
    <w:rsid w:val="0058384D"/>
    <w:rsid w:val="00583E8C"/>
    <w:rsid w:val="005841EA"/>
    <w:rsid w:val="00584834"/>
    <w:rsid w:val="00584AAC"/>
    <w:rsid w:val="00584AF3"/>
    <w:rsid w:val="00584DAA"/>
    <w:rsid w:val="0058546C"/>
    <w:rsid w:val="005857E3"/>
    <w:rsid w:val="00585C55"/>
    <w:rsid w:val="00586104"/>
    <w:rsid w:val="00586277"/>
    <w:rsid w:val="00586718"/>
    <w:rsid w:val="0058684F"/>
    <w:rsid w:val="00586D8A"/>
    <w:rsid w:val="00586DEE"/>
    <w:rsid w:val="005905B7"/>
    <w:rsid w:val="00592BCC"/>
    <w:rsid w:val="00592E62"/>
    <w:rsid w:val="005936C1"/>
    <w:rsid w:val="00594EBB"/>
    <w:rsid w:val="005961D2"/>
    <w:rsid w:val="00596234"/>
    <w:rsid w:val="005979D7"/>
    <w:rsid w:val="00597B6E"/>
    <w:rsid w:val="00597CFE"/>
    <w:rsid w:val="005A0553"/>
    <w:rsid w:val="005A15C8"/>
    <w:rsid w:val="005A1935"/>
    <w:rsid w:val="005A3026"/>
    <w:rsid w:val="005A3571"/>
    <w:rsid w:val="005A3E0D"/>
    <w:rsid w:val="005A4AB3"/>
    <w:rsid w:val="005A4BDB"/>
    <w:rsid w:val="005A4FB5"/>
    <w:rsid w:val="005A6575"/>
    <w:rsid w:val="005A66D4"/>
    <w:rsid w:val="005A67C8"/>
    <w:rsid w:val="005A6FFD"/>
    <w:rsid w:val="005A746B"/>
    <w:rsid w:val="005A7840"/>
    <w:rsid w:val="005A7FB9"/>
    <w:rsid w:val="005B0251"/>
    <w:rsid w:val="005B158A"/>
    <w:rsid w:val="005B1A69"/>
    <w:rsid w:val="005B25E3"/>
    <w:rsid w:val="005B2903"/>
    <w:rsid w:val="005B30C1"/>
    <w:rsid w:val="005B33F1"/>
    <w:rsid w:val="005B34E4"/>
    <w:rsid w:val="005B39A8"/>
    <w:rsid w:val="005B3D01"/>
    <w:rsid w:val="005B457E"/>
    <w:rsid w:val="005B49DC"/>
    <w:rsid w:val="005B6209"/>
    <w:rsid w:val="005B6410"/>
    <w:rsid w:val="005B6893"/>
    <w:rsid w:val="005B71B4"/>
    <w:rsid w:val="005B7AB2"/>
    <w:rsid w:val="005C0850"/>
    <w:rsid w:val="005C0B16"/>
    <w:rsid w:val="005C0FB9"/>
    <w:rsid w:val="005C1305"/>
    <w:rsid w:val="005C1DE9"/>
    <w:rsid w:val="005C270F"/>
    <w:rsid w:val="005C3289"/>
    <w:rsid w:val="005C35EC"/>
    <w:rsid w:val="005C38A9"/>
    <w:rsid w:val="005C3BB1"/>
    <w:rsid w:val="005C3C49"/>
    <w:rsid w:val="005C4220"/>
    <w:rsid w:val="005C438E"/>
    <w:rsid w:val="005C4CDF"/>
    <w:rsid w:val="005C55F0"/>
    <w:rsid w:val="005C67D8"/>
    <w:rsid w:val="005C6EDC"/>
    <w:rsid w:val="005D11BC"/>
    <w:rsid w:val="005D15AA"/>
    <w:rsid w:val="005D196A"/>
    <w:rsid w:val="005D271E"/>
    <w:rsid w:val="005D314E"/>
    <w:rsid w:val="005D33F1"/>
    <w:rsid w:val="005D38EB"/>
    <w:rsid w:val="005D390F"/>
    <w:rsid w:val="005D58C4"/>
    <w:rsid w:val="005D5C6B"/>
    <w:rsid w:val="005D6176"/>
    <w:rsid w:val="005D6B8E"/>
    <w:rsid w:val="005D6BD3"/>
    <w:rsid w:val="005D6E6B"/>
    <w:rsid w:val="005D7242"/>
    <w:rsid w:val="005E0201"/>
    <w:rsid w:val="005E0CE2"/>
    <w:rsid w:val="005E1928"/>
    <w:rsid w:val="005E2213"/>
    <w:rsid w:val="005E24A7"/>
    <w:rsid w:val="005E37CC"/>
    <w:rsid w:val="005E3A05"/>
    <w:rsid w:val="005E3FEC"/>
    <w:rsid w:val="005E4A6C"/>
    <w:rsid w:val="005E5179"/>
    <w:rsid w:val="005E568B"/>
    <w:rsid w:val="005E6083"/>
    <w:rsid w:val="005E673A"/>
    <w:rsid w:val="005F090B"/>
    <w:rsid w:val="005F0954"/>
    <w:rsid w:val="005F1DB8"/>
    <w:rsid w:val="005F24EF"/>
    <w:rsid w:val="005F266E"/>
    <w:rsid w:val="005F427A"/>
    <w:rsid w:val="005F42FC"/>
    <w:rsid w:val="005F6C0E"/>
    <w:rsid w:val="005F7450"/>
    <w:rsid w:val="005F78CC"/>
    <w:rsid w:val="005F7E72"/>
    <w:rsid w:val="00600741"/>
    <w:rsid w:val="00600A36"/>
    <w:rsid w:val="00600B51"/>
    <w:rsid w:val="00600DD5"/>
    <w:rsid w:val="0060221A"/>
    <w:rsid w:val="0060296B"/>
    <w:rsid w:val="00603A6A"/>
    <w:rsid w:val="00603ED4"/>
    <w:rsid w:val="00604B66"/>
    <w:rsid w:val="00604CB4"/>
    <w:rsid w:val="00605433"/>
    <w:rsid w:val="00606141"/>
    <w:rsid w:val="00606E39"/>
    <w:rsid w:val="00607271"/>
    <w:rsid w:val="006074D2"/>
    <w:rsid w:val="00607ABC"/>
    <w:rsid w:val="00610B78"/>
    <w:rsid w:val="00610C58"/>
    <w:rsid w:val="0061188C"/>
    <w:rsid w:val="00611AC0"/>
    <w:rsid w:val="006122CE"/>
    <w:rsid w:val="00612D27"/>
    <w:rsid w:val="00612FD9"/>
    <w:rsid w:val="006139E5"/>
    <w:rsid w:val="00613A5D"/>
    <w:rsid w:val="00614681"/>
    <w:rsid w:val="00614EC9"/>
    <w:rsid w:val="006155B8"/>
    <w:rsid w:val="006157C4"/>
    <w:rsid w:val="00616193"/>
    <w:rsid w:val="00616A62"/>
    <w:rsid w:val="0061714B"/>
    <w:rsid w:val="00617DAC"/>
    <w:rsid w:val="00617E5D"/>
    <w:rsid w:val="00617EA5"/>
    <w:rsid w:val="00620367"/>
    <w:rsid w:val="00620F57"/>
    <w:rsid w:val="00622269"/>
    <w:rsid w:val="00622591"/>
    <w:rsid w:val="00622A1B"/>
    <w:rsid w:val="00622ADA"/>
    <w:rsid w:val="006237F0"/>
    <w:rsid w:val="006238A0"/>
    <w:rsid w:val="00623A91"/>
    <w:rsid w:val="00624FA4"/>
    <w:rsid w:val="006253F3"/>
    <w:rsid w:val="006276E0"/>
    <w:rsid w:val="00627A48"/>
    <w:rsid w:val="00627C51"/>
    <w:rsid w:val="006300CF"/>
    <w:rsid w:val="0063019D"/>
    <w:rsid w:val="00630802"/>
    <w:rsid w:val="00631815"/>
    <w:rsid w:val="00631F04"/>
    <w:rsid w:val="0063253B"/>
    <w:rsid w:val="00632BF2"/>
    <w:rsid w:val="006331DF"/>
    <w:rsid w:val="00633363"/>
    <w:rsid w:val="00634430"/>
    <w:rsid w:val="00635780"/>
    <w:rsid w:val="006362C6"/>
    <w:rsid w:val="00636571"/>
    <w:rsid w:val="00636A00"/>
    <w:rsid w:val="00636CA1"/>
    <w:rsid w:val="006378DC"/>
    <w:rsid w:val="00637D7A"/>
    <w:rsid w:val="0064080A"/>
    <w:rsid w:val="00640F50"/>
    <w:rsid w:val="00642C47"/>
    <w:rsid w:val="00642D4C"/>
    <w:rsid w:val="0064310F"/>
    <w:rsid w:val="00644005"/>
    <w:rsid w:val="00644169"/>
    <w:rsid w:val="00644383"/>
    <w:rsid w:val="00644871"/>
    <w:rsid w:val="006463B8"/>
    <w:rsid w:val="006468CD"/>
    <w:rsid w:val="00650E3A"/>
    <w:rsid w:val="006510BA"/>
    <w:rsid w:val="006515C0"/>
    <w:rsid w:val="0065160C"/>
    <w:rsid w:val="006529BA"/>
    <w:rsid w:val="0065347D"/>
    <w:rsid w:val="00653656"/>
    <w:rsid w:val="00654858"/>
    <w:rsid w:val="006553B8"/>
    <w:rsid w:val="00655DD9"/>
    <w:rsid w:val="00655FD7"/>
    <w:rsid w:val="006567A0"/>
    <w:rsid w:val="00657676"/>
    <w:rsid w:val="00657AAF"/>
    <w:rsid w:val="00660850"/>
    <w:rsid w:val="0066104A"/>
    <w:rsid w:val="006613F5"/>
    <w:rsid w:val="0066153E"/>
    <w:rsid w:val="00661A78"/>
    <w:rsid w:val="0066206A"/>
    <w:rsid w:val="0066325A"/>
    <w:rsid w:val="006635B9"/>
    <w:rsid w:val="0066360E"/>
    <w:rsid w:val="00664267"/>
    <w:rsid w:val="006644F4"/>
    <w:rsid w:val="00664B03"/>
    <w:rsid w:val="00665680"/>
    <w:rsid w:val="0066570F"/>
    <w:rsid w:val="006657C8"/>
    <w:rsid w:val="00665B64"/>
    <w:rsid w:val="00665DB1"/>
    <w:rsid w:val="0066609C"/>
    <w:rsid w:val="00666275"/>
    <w:rsid w:val="0066645E"/>
    <w:rsid w:val="00666893"/>
    <w:rsid w:val="00666B78"/>
    <w:rsid w:val="00666C2E"/>
    <w:rsid w:val="00670234"/>
    <w:rsid w:val="00670ACA"/>
    <w:rsid w:val="006712F6"/>
    <w:rsid w:val="00671DD8"/>
    <w:rsid w:val="00672087"/>
    <w:rsid w:val="00672285"/>
    <w:rsid w:val="00672C12"/>
    <w:rsid w:val="00673055"/>
    <w:rsid w:val="00673441"/>
    <w:rsid w:val="00675491"/>
    <w:rsid w:val="00675CCA"/>
    <w:rsid w:val="00677C12"/>
    <w:rsid w:val="00677F3B"/>
    <w:rsid w:val="006823CD"/>
    <w:rsid w:val="00682598"/>
    <w:rsid w:val="0068260C"/>
    <w:rsid w:val="00683342"/>
    <w:rsid w:val="006834D7"/>
    <w:rsid w:val="00683685"/>
    <w:rsid w:val="00683DAB"/>
    <w:rsid w:val="006844DD"/>
    <w:rsid w:val="0068452E"/>
    <w:rsid w:val="0068509B"/>
    <w:rsid w:val="006858A7"/>
    <w:rsid w:val="0068682B"/>
    <w:rsid w:val="00686BA0"/>
    <w:rsid w:val="006873C2"/>
    <w:rsid w:val="0068760B"/>
    <w:rsid w:val="00687630"/>
    <w:rsid w:val="00687E6F"/>
    <w:rsid w:val="006902CF"/>
    <w:rsid w:val="006903A0"/>
    <w:rsid w:val="0069045D"/>
    <w:rsid w:val="00690523"/>
    <w:rsid w:val="00690D09"/>
    <w:rsid w:val="00690F5C"/>
    <w:rsid w:val="00691535"/>
    <w:rsid w:val="00691C83"/>
    <w:rsid w:val="00692103"/>
    <w:rsid w:val="00692796"/>
    <w:rsid w:val="00692B2D"/>
    <w:rsid w:val="00692FCC"/>
    <w:rsid w:val="006934B5"/>
    <w:rsid w:val="00693872"/>
    <w:rsid w:val="006940D6"/>
    <w:rsid w:val="00694305"/>
    <w:rsid w:val="0069470E"/>
    <w:rsid w:val="00695287"/>
    <w:rsid w:val="00695D4E"/>
    <w:rsid w:val="00695E74"/>
    <w:rsid w:val="00695F7C"/>
    <w:rsid w:val="00697624"/>
    <w:rsid w:val="00697968"/>
    <w:rsid w:val="006979A7"/>
    <w:rsid w:val="00697FA8"/>
    <w:rsid w:val="006A06EE"/>
    <w:rsid w:val="006A0CEB"/>
    <w:rsid w:val="006A0DE3"/>
    <w:rsid w:val="006A0E7F"/>
    <w:rsid w:val="006A16A0"/>
    <w:rsid w:val="006A1DA0"/>
    <w:rsid w:val="006A28EF"/>
    <w:rsid w:val="006A3169"/>
    <w:rsid w:val="006A33BA"/>
    <w:rsid w:val="006A3799"/>
    <w:rsid w:val="006A3B0A"/>
    <w:rsid w:val="006A44AF"/>
    <w:rsid w:val="006A4961"/>
    <w:rsid w:val="006A55D2"/>
    <w:rsid w:val="006A572B"/>
    <w:rsid w:val="006B0B14"/>
    <w:rsid w:val="006B10AB"/>
    <w:rsid w:val="006B118E"/>
    <w:rsid w:val="006B1329"/>
    <w:rsid w:val="006B3126"/>
    <w:rsid w:val="006B4727"/>
    <w:rsid w:val="006B476E"/>
    <w:rsid w:val="006B4EE5"/>
    <w:rsid w:val="006B5417"/>
    <w:rsid w:val="006B566D"/>
    <w:rsid w:val="006B5688"/>
    <w:rsid w:val="006B66C0"/>
    <w:rsid w:val="006B68D3"/>
    <w:rsid w:val="006B6BB9"/>
    <w:rsid w:val="006B73BE"/>
    <w:rsid w:val="006B7A35"/>
    <w:rsid w:val="006C062F"/>
    <w:rsid w:val="006C0764"/>
    <w:rsid w:val="006C07B1"/>
    <w:rsid w:val="006C1131"/>
    <w:rsid w:val="006C1449"/>
    <w:rsid w:val="006C1A2E"/>
    <w:rsid w:val="006C2C2A"/>
    <w:rsid w:val="006C3380"/>
    <w:rsid w:val="006C388A"/>
    <w:rsid w:val="006C3C2E"/>
    <w:rsid w:val="006C44BC"/>
    <w:rsid w:val="006C4798"/>
    <w:rsid w:val="006C49D4"/>
    <w:rsid w:val="006C4C44"/>
    <w:rsid w:val="006C53B2"/>
    <w:rsid w:val="006C5636"/>
    <w:rsid w:val="006C6695"/>
    <w:rsid w:val="006C6A53"/>
    <w:rsid w:val="006C75CF"/>
    <w:rsid w:val="006C7B0C"/>
    <w:rsid w:val="006C7E11"/>
    <w:rsid w:val="006D0FA7"/>
    <w:rsid w:val="006D1870"/>
    <w:rsid w:val="006D2672"/>
    <w:rsid w:val="006D3F4C"/>
    <w:rsid w:val="006D4448"/>
    <w:rsid w:val="006D4BF1"/>
    <w:rsid w:val="006D59F5"/>
    <w:rsid w:val="006D66AE"/>
    <w:rsid w:val="006D67B5"/>
    <w:rsid w:val="006D70C4"/>
    <w:rsid w:val="006D7A41"/>
    <w:rsid w:val="006E053C"/>
    <w:rsid w:val="006E05AB"/>
    <w:rsid w:val="006E0EB1"/>
    <w:rsid w:val="006E1C0E"/>
    <w:rsid w:val="006E1FCD"/>
    <w:rsid w:val="006E2A44"/>
    <w:rsid w:val="006E2E64"/>
    <w:rsid w:val="006E2FA6"/>
    <w:rsid w:val="006E38AE"/>
    <w:rsid w:val="006E40CA"/>
    <w:rsid w:val="006E4B97"/>
    <w:rsid w:val="006E6FF0"/>
    <w:rsid w:val="006E7A41"/>
    <w:rsid w:val="006E7C28"/>
    <w:rsid w:val="006F0319"/>
    <w:rsid w:val="006F03F8"/>
    <w:rsid w:val="006F1714"/>
    <w:rsid w:val="006F1A56"/>
    <w:rsid w:val="006F2099"/>
    <w:rsid w:val="006F24F0"/>
    <w:rsid w:val="006F273F"/>
    <w:rsid w:val="006F3FCF"/>
    <w:rsid w:val="006F480F"/>
    <w:rsid w:val="006F5F09"/>
    <w:rsid w:val="006F6072"/>
    <w:rsid w:val="006F6608"/>
    <w:rsid w:val="006F6836"/>
    <w:rsid w:val="006F70F8"/>
    <w:rsid w:val="006F7482"/>
    <w:rsid w:val="007002B9"/>
    <w:rsid w:val="007005E5"/>
    <w:rsid w:val="00700EB1"/>
    <w:rsid w:val="007015A6"/>
    <w:rsid w:val="0070238A"/>
    <w:rsid w:val="00702EF6"/>
    <w:rsid w:val="00703478"/>
    <w:rsid w:val="00703671"/>
    <w:rsid w:val="0070423D"/>
    <w:rsid w:val="007051AA"/>
    <w:rsid w:val="00705310"/>
    <w:rsid w:val="00705BB2"/>
    <w:rsid w:val="0070661E"/>
    <w:rsid w:val="007074D7"/>
    <w:rsid w:val="0070782C"/>
    <w:rsid w:val="00707922"/>
    <w:rsid w:val="00707BF4"/>
    <w:rsid w:val="0071011A"/>
    <w:rsid w:val="00710204"/>
    <w:rsid w:val="00710219"/>
    <w:rsid w:val="00710555"/>
    <w:rsid w:val="00710786"/>
    <w:rsid w:val="0071136B"/>
    <w:rsid w:val="00711EAB"/>
    <w:rsid w:val="00712599"/>
    <w:rsid w:val="007125F9"/>
    <w:rsid w:val="00712EF6"/>
    <w:rsid w:val="00713877"/>
    <w:rsid w:val="00713A56"/>
    <w:rsid w:val="0071438C"/>
    <w:rsid w:val="007159C1"/>
    <w:rsid w:val="00715B1A"/>
    <w:rsid w:val="007168C4"/>
    <w:rsid w:val="00716E90"/>
    <w:rsid w:val="007177D9"/>
    <w:rsid w:val="00717A7B"/>
    <w:rsid w:val="00720561"/>
    <w:rsid w:val="00720670"/>
    <w:rsid w:val="00720DE4"/>
    <w:rsid w:val="00720E3A"/>
    <w:rsid w:val="00721625"/>
    <w:rsid w:val="0072241B"/>
    <w:rsid w:val="00722B95"/>
    <w:rsid w:val="007245DD"/>
    <w:rsid w:val="00724704"/>
    <w:rsid w:val="00724A79"/>
    <w:rsid w:val="00725054"/>
    <w:rsid w:val="007276D9"/>
    <w:rsid w:val="00730407"/>
    <w:rsid w:val="00730C7B"/>
    <w:rsid w:val="00730E39"/>
    <w:rsid w:val="0073168B"/>
    <w:rsid w:val="007319D3"/>
    <w:rsid w:val="0073232C"/>
    <w:rsid w:val="00732FC9"/>
    <w:rsid w:val="00733C05"/>
    <w:rsid w:val="007341D9"/>
    <w:rsid w:val="00734772"/>
    <w:rsid w:val="00734D35"/>
    <w:rsid w:val="007350B4"/>
    <w:rsid w:val="007357FA"/>
    <w:rsid w:val="00735AF9"/>
    <w:rsid w:val="00736375"/>
    <w:rsid w:val="007363A1"/>
    <w:rsid w:val="007363BD"/>
    <w:rsid w:val="00736638"/>
    <w:rsid w:val="00736B41"/>
    <w:rsid w:val="00736FF2"/>
    <w:rsid w:val="00740ECC"/>
    <w:rsid w:val="007416D5"/>
    <w:rsid w:val="0074211A"/>
    <w:rsid w:val="00742391"/>
    <w:rsid w:val="007433D9"/>
    <w:rsid w:val="00744638"/>
    <w:rsid w:val="00745A5D"/>
    <w:rsid w:val="00746180"/>
    <w:rsid w:val="007463F7"/>
    <w:rsid w:val="00746BEF"/>
    <w:rsid w:val="00751651"/>
    <w:rsid w:val="00752391"/>
    <w:rsid w:val="007527E4"/>
    <w:rsid w:val="00752E18"/>
    <w:rsid w:val="00752FC9"/>
    <w:rsid w:val="0075307F"/>
    <w:rsid w:val="0075332B"/>
    <w:rsid w:val="007536D4"/>
    <w:rsid w:val="00753B80"/>
    <w:rsid w:val="00753D57"/>
    <w:rsid w:val="00754497"/>
    <w:rsid w:val="00754DB6"/>
    <w:rsid w:val="00755C66"/>
    <w:rsid w:val="00756D3A"/>
    <w:rsid w:val="00756DA9"/>
    <w:rsid w:val="007570EA"/>
    <w:rsid w:val="007572D1"/>
    <w:rsid w:val="00757582"/>
    <w:rsid w:val="00757613"/>
    <w:rsid w:val="00757711"/>
    <w:rsid w:val="00761A35"/>
    <w:rsid w:val="00763A82"/>
    <w:rsid w:val="00764949"/>
    <w:rsid w:val="007656A0"/>
    <w:rsid w:val="007656FB"/>
    <w:rsid w:val="00765E0A"/>
    <w:rsid w:val="007662C6"/>
    <w:rsid w:val="007667D5"/>
    <w:rsid w:val="00766E15"/>
    <w:rsid w:val="00767115"/>
    <w:rsid w:val="007673E3"/>
    <w:rsid w:val="00767510"/>
    <w:rsid w:val="0077044B"/>
    <w:rsid w:val="007711AF"/>
    <w:rsid w:val="00771864"/>
    <w:rsid w:val="00771C4A"/>
    <w:rsid w:val="00772148"/>
    <w:rsid w:val="0077278E"/>
    <w:rsid w:val="0077296E"/>
    <w:rsid w:val="0077354E"/>
    <w:rsid w:val="00773C4E"/>
    <w:rsid w:val="0077497F"/>
    <w:rsid w:val="00774B28"/>
    <w:rsid w:val="00774EA9"/>
    <w:rsid w:val="00774F14"/>
    <w:rsid w:val="00776195"/>
    <w:rsid w:val="007764A9"/>
    <w:rsid w:val="00776C97"/>
    <w:rsid w:val="00776F6F"/>
    <w:rsid w:val="007771E4"/>
    <w:rsid w:val="007772AC"/>
    <w:rsid w:val="00777312"/>
    <w:rsid w:val="007774F3"/>
    <w:rsid w:val="007778A6"/>
    <w:rsid w:val="0078034C"/>
    <w:rsid w:val="0078046D"/>
    <w:rsid w:val="00780B0F"/>
    <w:rsid w:val="007810B1"/>
    <w:rsid w:val="0078117F"/>
    <w:rsid w:val="00781278"/>
    <w:rsid w:val="00781716"/>
    <w:rsid w:val="00782B75"/>
    <w:rsid w:val="00783936"/>
    <w:rsid w:val="00784ACB"/>
    <w:rsid w:val="00785ECB"/>
    <w:rsid w:val="0078688C"/>
    <w:rsid w:val="00787935"/>
    <w:rsid w:val="00791120"/>
    <w:rsid w:val="00791DF4"/>
    <w:rsid w:val="007923EF"/>
    <w:rsid w:val="0079274D"/>
    <w:rsid w:val="00793738"/>
    <w:rsid w:val="00793FA5"/>
    <w:rsid w:val="007941E6"/>
    <w:rsid w:val="00794626"/>
    <w:rsid w:val="00794ABF"/>
    <w:rsid w:val="00795C95"/>
    <w:rsid w:val="0079637A"/>
    <w:rsid w:val="007967E0"/>
    <w:rsid w:val="007A12F3"/>
    <w:rsid w:val="007A1608"/>
    <w:rsid w:val="007A169B"/>
    <w:rsid w:val="007A285A"/>
    <w:rsid w:val="007A2DD0"/>
    <w:rsid w:val="007A3FB4"/>
    <w:rsid w:val="007A538E"/>
    <w:rsid w:val="007A5648"/>
    <w:rsid w:val="007A584C"/>
    <w:rsid w:val="007A5A3D"/>
    <w:rsid w:val="007A6356"/>
    <w:rsid w:val="007A69FC"/>
    <w:rsid w:val="007A722F"/>
    <w:rsid w:val="007B11D3"/>
    <w:rsid w:val="007B12B1"/>
    <w:rsid w:val="007B1371"/>
    <w:rsid w:val="007B34AE"/>
    <w:rsid w:val="007B3BFD"/>
    <w:rsid w:val="007B475B"/>
    <w:rsid w:val="007B4A79"/>
    <w:rsid w:val="007B4F2D"/>
    <w:rsid w:val="007B5240"/>
    <w:rsid w:val="007B56C9"/>
    <w:rsid w:val="007B5C31"/>
    <w:rsid w:val="007B6186"/>
    <w:rsid w:val="007B61EB"/>
    <w:rsid w:val="007B6BF6"/>
    <w:rsid w:val="007C0BDD"/>
    <w:rsid w:val="007C18E2"/>
    <w:rsid w:val="007C2574"/>
    <w:rsid w:val="007C3F2D"/>
    <w:rsid w:val="007C6CE7"/>
    <w:rsid w:val="007C6DEC"/>
    <w:rsid w:val="007C6F5A"/>
    <w:rsid w:val="007C7067"/>
    <w:rsid w:val="007C71AA"/>
    <w:rsid w:val="007D00B4"/>
    <w:rsid w:val="007D0396"/>
    <w:rsid w:val="007D055D"/>
    <w:rsid w:val="007D06E9"/>
    <w:rsid w:val="007D1421"/>
    <w:rsid w:val="007D1BDF"/>
    <w:rsid w:val="007D2189"/>
    <w:rsid w:val="007D2BEE"/>
    <w:rsid w:val="007D3A2E"/>
    <w:rsid w:val="007D3AEC"/>
    <w:rsid w:val="007D494D"/>
    <w:rsid w:val="007D4B4D"/>
    <w:rsid w:val="007D58FE"/>
    <w:rsid w:val="007D6383"/>
    <w:rsid w:val="007D7618"/>
    <w:rsid w:val="007D791B"/>
    <w:rsid w:val="007D7C9C"/>
    <w:rsid w:val="007E011F"/>
    <w:rsid w:val="007E05E2"/>
    <w:rsid w:val="007E0DE5"/>
    <w:rsid w:val="007E0E3E"/>
    <w:rsid w:val="007E1EAB"/>
    <w:rsid w:val="007E2518"/>
    <w:rsid w:val="007E275D"/>
    <w:rsid w:val="007E28EF"/>
    <w:rsid w:val="007E29A2"/>
    <w:rsid w:val="007E2A39"/>
    <w:rsid w:val="007E2FA6"/>
    <w:rsid w:val="007E3487"/>
    <w:rsid w:val="007E48B3"/>
    <w:rsid w:val="007E6612"/>
    <w:rsid w:val="007E6944"/>
    <w:rsid w:val="007E6A04"/>
    <w:rsid w:val="007E6BCC"/>
    <w:rsid w:val="007E7ECE"/>
    <w:rsid w:val="007F0BA8"/>
    <w:rsid w:val="007F138F"/>
    <w:rsid w:val="007F1B25"/>
    <w:rsid w:val="007F2751"/>
    <w:rsid w:val="007F28C8"/>
    <w:rsid w:val="007F2B31"/>
    <w:rsid w:val="007F301B"/>
    <w:rsid w:val="007F34EC"/>
    <w:rsid w:val="007F412E"/>
    <w:rsid w:val="007F4D9E"/>
    <w:rsid w:val="007F5364"/>
    <w:rsid w:val="007F55F0"/>
    <w:rsid w:val="007F62A6"/>
    <w:rsid w:val="007F71BD"/>
    <w:rsid w:val="00800686"/>
    <w:rsid w:val="00800A0E"/>
    <w:rsid w:val="00800F97"/>
    <w:rsid w:val="00800FA4"/>
    <w:rsid w:val="00801597"/>
    <w:rsid w:val="008020C8"/>
    <w:rsid w:val="008022DD"/>
    <w:rsid w:val="008023F6"/>
    <w:rsid w:val="00804AA6"/>
    <w:rsid w:val="00804C7E"/>
    <w:rsid w:val="00804D8D"/>
    <w:rsid w:val="0080569F"/>
    <w:rsid w:val="00805FC2"/>
    <w:rsid w:val="0080608D"/>
    <w:rsid w:val="00806382"/>
    <w:rsid w:val="00806BF9"/>
    <w:rsid w:val="00806DA2"/>
    <w:rsid w:val="008107D4"/>
    <w:rsid w:val="00811FD4"/>
    <w:rsid w:val="008129C5"/>
    <w:rsid w:val="00812A98"/>
    <w:rsid w:val="00812B67"/>
    <w:rsid w:val="0081334E"/>
    <w:rsid w:val="00813402"/>
    <w:rsid w:val="00813EF3"/>
    <w:rsid w:val="008150D4"/>
    <w:rsid w:val="00815628"/>
    <w:rsid w:val="00815EF8"/>
    <w:rsid w:val="00816153"/>
    <w:rsid w:val="00816650"/>
    <w:rsid w:val="00816931"/>
    <w:rsid w:val="00817096"/>
    <w:rsid w:val="008179AF"/>
    <w:rsid w:val="00822299"/>
    <w:rsid w:val="00822B9A"/>
    <w:rsid w:val="0082393C"/>
    <w:rsid w:val="00823AFA"/>
    <w:rsid w:val="00825BA4"/>
    <w:rsid w:val="00825C9E"/>
    <w:rsid w:val="0082748F"/>
    <w:rsid w:val="008274DB"/>
    <w:rsid w:val="00827CF2"/>
    <w:rsid w:val="008307E2"/>
    <w:rsid w:val="00830853"/>
    <w:rsid w:val="00830E67"/>
    <w:rsid w:val="00830E79"/>
    <w:rsid w:val="00830FE3"/>
    <w:rsid w:val="00831957"/>
    <w:rsid w:val="00831E5C"/>
    <w:rsid w:val="008327CD"/>
    <w:rsid w:val="00832A78"/>
    <w:rsid w:val="00832E45"/>
    <w:rsid w:val="0083342E"/>
    <w:rsid w:val="00833446"/>
    <w:rsid w:val="008340BB"/>
    <w:rsid w:val="008348E6"/>
    <w:rsid w:val="00835003"/>
    <w:rsid w:val="00836101"/>
    <w:rsid w:val="0083770D"/>
    <w:rsid w:val="00837865"/>
    <w:rsid w:val="008403CA"/>
    <w:rsid w:val="00840C56"/>
    <w:rsid w:val="00840E6E"/>
    <w:rsid w:val="0084110E"/>
    <w:rsid w:val="00841445"/>
    <w:rsid w:val="008414E0"/>
    <w:rsid w:val="00841794"/>
    <w:rsid w:val="0084204A"/>
    <w:rsid w:val="00842E38"/>
    <w:rsid w:val="00843411"/>
    <w:rsid w:val="00843C74"/>
    <w:rsid w:val="00844B21"/>
    <w:rsid w:val="00844D09"/>
    <w:rsid w:val="008457AC"/>
    <w:rsid w:val="00845B5D"/>
    <w:rsid w:val="008462F6"/>
    <w:rsid w:val="00846486"/>
    <w:rsid w:val="00846784"/>
    <w:rsid w:val="00847655"/>
    <w:rsid w:val="0084777B"/>
    <w:rsid w:val="008478E8"/>
    <w:rsid w:val="00847E00"/>
    <w:rsid w:val="008505B9"/>
    <w:rsid w:val="00850AF9"/>
    <w:rsid w:val="008518C7"/>
    <w:rsid w:val="00852101"/>
    <w:rsid w:val="0085257B"/>
    <w:rsid w:val="0085293B"/>
    <w:rsid w:val="00852DC2"/>
    <w:rsid w:val="00853682"/>
    <w:rsid w:val="00853C53"/>
    <w:rsid w:val="00853D72"/>
    <w:rsid w:val="00854576"/>
    <w:rsid w:val="0085477D"/>
    <w:rsid w:val="00854D39"/>
    <w:rsid w:val="008552C5"/>
    <w:rsid w:val="008568C9"/>
    <w:rsid w:val="00857AF5"/>
    <w:rsid w:val="00857AF9"/>
    <w:rsid w:val="00857D8B"/>
    <w:rsid w:val="00861917"/>
    <w:rsid w:val="00862255"/>
    <w:rsid w:val="008638D6"/>
    <w:rsid w:val="00863FE8"/>
    <w:rsid w:val="008647D4"/>
    <w:rsid w:val="008649EF"/>
    <w:rsid w:val="0086649F"/>
    <w:rsid w:val="00866B56"/>
    <w:rsid w:val="00867157"/>
    <w:rsid w:val="00867C22"/>
    <w:rsid w:val="00867E9F"/>
    <w:rsid w:val="00867F55"/>
    <w:rsid w:val="00867FD9"/>
    <w:rsid w:val="00870E83"/>
    <w:rsid w:val="00871001"/>
    <w:rsid w:val="0087180C"/>
    <w:rsid w:val="0087212A"/>
    <w:rsid w:val="0087332C"/>
    <w:rsid w:val="0087447A"/>
    <w:rsid w:val="00874ECC"/>
    <w:rsid w:val="00875969"/>
    <w:rsid w:val="00875BEE"/>
    <w:rsid w:val="0087640E"/>
    <w:rsid w:val="00876B3D"/>
    <w:rsid w:val="00877958"/>
    <w:rsid w:val="00877B13"/>
    <w:rsid w:val="00877FAE"/>
    <w:rsid w:val="00880604"/>
    <w:rsid w:val="00880A44"/>
    <w:rsid w:val="00880CC2"/>
    <w:rsid w:val="00881053"/>
    <w:rsid w:val="008810B7"/>
    <w:rsid w:val="0088152F"/>
    <w:rsid w:val="008817C0"/>
    <w:rsid w:val="00881C3F"/>
    <w:rsid w:val="008821FD"/>
    <w:rsid w:val="00882396"/>
    <w:rsid w:val="008831D6"/>
    <w:rsid w:val="00884207"/>
    <w:rsid w:val="0088551D"/>
    <w:rsid w:val="00885C1C"/>
    <w:rsid w:val="00885D79"/>
    <w:rsid w:val="0088619A"/>
    <w:rsid w:val="00886423"/>
    <w:rsid w:val="00887778"/>
    <w:rsid w:val="00887AA6"/>
    <w:rsid w:val="00887E2C"/>
    <w:rsid w:val="0089114C"/>
    <w:rsid w:val="0089249A"/>
    <w:rsid w:val="008924AE"/>
    <w:rsid w:val="00892C9F"/>
    <w:rsid w:val="008939FB"/>
    <w:rsid w:val="00895014"/>
    <w:rsid w:val="00895662"/>
    <w:rsid w:val="00895972"/>
    <w:rsid w:val="00895FA4"/>
    <w:rsid w:val="00895FE4"/>
    <w:rsid w:val="008967D8"/>
    <w:rsid w:val="0089702D"/>
    <w:rsid w:val="008974E4"/>
    <w:rsid w:val="00897B8B"/>
    <w:rsid w:val="008A1598"/>
    <w:rsid w:val="008A27D0"/>
    <w:rsid w:val="008A36F0"/>
    <w:rsid w:val="008A3EF7"/>
    <w:rsid w:val="008A53AB"/>
    <w:rsid w:val="008A562F"/>
    <w:rsid w:val="008A6638"/>
    <w:rsid w:val="008A6A83"/>
    <w:rsid w:val="008A6B95"/>
    <w:rsid w:val="008A6EA4"/>
    <w:rsid w:val="008A7A0F"/>
    <w:rsid w:val="008A7A7B"/>
    <w:rsid w:val="008B0E0E"/>
    <w:rsid w:val="008B1B3A"/>
    <w:rsid w:val="008B1C7B"/>
    <w:rsid w:val="008B2200"/>
    <w:rsid w:val="008B25FE"/>
    <w:rsid w:val="008B3901"/>
    <w:rsid w:val="008B3E50"/>
    <w:rsid w:val="008B4415"/>
    <w:rsid w:val="008B4C2B"/>
    <w:rsid w:val="008B5AB0"/>
    <w:rsid w:val="008B5C09"/>
    <w:rsid w:val="008B658A"/>
    <w:rsid w:val="008B6AA1"/>
    <w:rsid w:val="008B6F7C"/>
    <w:rsid w:val="008B74B5"/>
    <w:rsid w:val="008C09E1"/>
    <w:rsid w:val="008C0A53"/>
    <w:rsid w:val="008C172A"/>
    <w:rsid w:val="008C1EB4"/>
    <w:rsid w:val="008C2584"/>
    <w:rsid w:val="008C2A9C"/>
    <w:rsid w:val="008C2BBD"/>
    <w:rsid w:val="008C39A7"/>
    <w:rsid w:val="008C3B5A"/>
    <w:rsid w:val="008C3D80"/>
    <w:rsid w:val="008C3E26"/>
    <w:rsid w:val="008C460E"/>
    <w:rsid w:val="008C549E"/>
    <w:rsid w:val="008C57C4"/>
    <w:rsid w:val="008C58C1"/>
    <w:rsid w:val="008C6387"/>
    <w:rsid w:val="008C6A1E"/>
    <w:rsid w:val="008C74BC"/>
    <w:rsid w:val="008D02C1"/>
    <w:rsid w:val="008D1BE6"/>
    <w:rsid w:val="008D1DF1"/>
    <w:rsid w:val="008D202C"/>
    <w:rsid w:val="008D20E5"/>
    <w:rsid w:val="008D288C"/>
    <w:rsid w:val="008D31BD"/>
    <w:rsid w:val="008D3B98"/>
    <w:rsid w:val="008D4370"/>
    <w:rsid w:val="008D58EC"/>
    <w:rsid w:val="008D6C53"/>
    <w:rsid w:val="008D6D87"/>
    <w:rsid w:val="008D7984"/>
    <w:rsid w:val="008E129D"/>
    <w:rsid w:val="008E1E0B"/>
    <w:rsid w:val="008E1F39"/>
    <w:rsid w:val="008E20E6"/>
    <w:rsid w:val="008E322E"/>
    <w:rsid w:val="008E362C"/>
    <w:rsid w:val="008E38EF"/>
    <w:rsid w:val="008E4C6A"/>
    <w:rsid w:val="008E4F0B"/>
    <w:rsid w:val="008E5250"/>
    <w:rsid w:val="008E57B0"/>
    <w:rsid w:val="008E5BA4"/>
    <w:rsid w:val="008E6BAE"/>
    <w:rsid w:val="008E712B"/>
    <w:rsid w:val="008E7384"/>
    <w:rsid w:val="008E785F"/>
    <w:rsid w:val="008E7AE2"/>
    <w:rsid w:val="008F039A"/>
    <w:rsid w:val="008F0549"/>
    <w:rsid w:val="008F0707"/>
    <w:rsid w:val="008F07FE"/>
    <w:rsid w:val="008F0A02"/>
    <w:rsid w:val="008F10AD"/>
    <w:rsid w:val="008F1205"/>
    <w:rsid w:val="008F1249"/>
    <w:rsid w:val="008F1A11"/>
    <w:rsid w:val="008F1E90"/>
    <w:rsid w:val="008F1F63"/>
    <w:rsid w:val="008F35A8"/>
    <w:rsid w:val="008F4111"/>
    <w:rsid w:val="008F553F"/>
    <w:rsid w:val="008F5CBF"/>
    <w:rsid w:val="008F60C8"/>
    <w:rsid w:val="009013F3"/>
    <w:rsid w:val="009018F2"/>
    <w:rsid w:val="0090240F"/>
    <w:rsid w:val="00903105"/>
    <w:rsid w:val="009043B9"/>
    <w:rsid w:val="00904C2B"/>
    <w:rsid w:val="00905611"/>
    <w:rsid w:val="0090584D"/>
    <w:rsid w:val="00905D37"/>
    <w:rsid w:val="00906B50"/>
    <w:rsid w:val="00907FBF"/>
    <w:rsid w:val="00910536"/>
    <w:rsid w:val="0091083C"/>
    <w:rsid w:val="00910A22"/>
    <w:rsid w:val="00910F99"/>
    <w:rsid w:val="00911308"/>
    <w:rsid w:val="009114E7"/>
    <w:rsid w:val="00911663"/>
    <w:rsid w:val="00911A23"/>
    <w:rsid w:val="0091252D"/>
    <w:rsid w:val="009125FB"/>
    <w:rsid w:val="00912D2C"/>
    <w:rsid w:val="009143F7"/>
    <w:rsid w:val="00914460"/>
    <w:rsid w:val="00915241"/>
    <w:rsid w:val="009152E9"/>
    <w:rsid w:val="00915AA1"/>
    <w:rsid w:val="00915E25"/>
    <w:rsid w:val="00915E7E"/>
    <w:rsid w:val="00916449"/>
    <w:rsid w:val="0091774D"/>
    <w:rsid w:val="009179F5"/>
    <w:rsid w:val="00920994"/>
    <w:rsid w:val="00920A31"/>
    <w:rsid w:val="00920EDD"/>
    <w:rsid w:val="00921267"/>
    <w:rsid w:val="00923995"/>
    <w:rsid w:val="00923C37"/>
    <w:rsid w:val="00924DA6"/>
    <w:rsid w:val="009260BA"/>
    <w:rsid w:val="009261F4"/>
    <w:rsid w:val="0092626B"/>
    <w:rsid w:val="009263F3"/>
    <w:rsid w:val="00926A1F"/>
    <w:rsid w:val="009273E9"/>
    <w:rsid w:val="00927938"/>
    <w:rsid w:val="0092798E"/>
    <w:rsid w:val="00927CA3"/>
    <w:rsid w:val="00927E40"/>
    <w:rsid w:val="009303F8"/>
    <w:rsid w:val="00930404"/>
    <w:rsid w:val="009304F7"/>
    <w:rsid w:val="00930BFE"/>
    <w:rsid w:val="00930FD8"/>
    <w:rsid w:val="00931331"/>
    <w:rsid w:val="00931359"/>
    <w:rsid w:val="009325DD"/>
    <w:rsid w:val="00932B02"/>
    <w:rsid w:val="00933290"/>
    <w:rsid w:val="0093333B"/>
    <w:rsid w:val="0093397F"/>
    <w:rsid w:val="0093402D"/>
    <w:rsid w:val="00934187"/>
    <w:rsid w:val="009342E9"/>
    <w:rsid w:val="00934A9C"/>
    <w:rsid w:val="00934FB4"/>
    <w:rsid w:val="00935863"/>
    <w:rsid w:val="00935A80"/>
    <w:rsid w:val="00935AF2"/>
    <w:rsid w:val="00936310"/>
    <w:rsid w:val="0093678A"/>
    <w:rsid w:val="009367EB"/>
    <w:rsid w:val="00936FC7"/>
    <w:rsid w:val="00937825"/>
    <w:rsid w:val="0094036F"/>
    <w:rsid w:val="00940B56"/>
    <w:rsid w:val="00940DB4"/>
    <w:rsid w:val="00941119"/>
    <w:rsid w:val="009414CB"/>
    <w:rsid w:val="00942821"/>
    <w:rsid w:val="009438E1"/>
    <w:rsid w:val="009438F3"/>
    <w:rsid w:val="00943CE4"/>
    <w:rsid w:val="00944EB1"/>
    <w:rsid w:val="00947F13"/>
    <w:rsid w:val="00950473"/>
    <w:rsid w:val="00950579"/>
    <w:rsid w:val="0095145E"/>
    <w:rsid w:val="00952119"/>
    <w:rsid w:val="009529B5"/>
    <w:rsid w:val="00954161"/>
    <w:rsid w:val="0095426B"/>
    <w:rsid w:val="00954459"/>
    <w:rsid w:val="009558A8"/>
    <w:rsid w:val="009563F7"/>
    <w:rsid w:val="009565CA"/>
    <w:rsid w:val="00957708"/>
    <w:rsid w:val="0095783F"/>
    <w:rsid w:val="0096061E"/>
    <w:rsid w:val="00960A3D"/>
    <w:rsid w:val="00961089"/>
    <w:rsid w:val="00961E36"/>
    <w:rsid w:val="00961FF0"/>
    <w:rsid w:val="00962408"/>
    <w:rsid w:val="00962854"/>
    <w:rsid w:val="00962F4D"/>
    <w:rsid w:val="00963C15"/>
    <w:rsid w:val="00964E26"/>
    <w:rsid w:val="00965B0A"/>
    <w:rsid w:val="00966160"/>
    <w:rsid w:val="00966AA3"/>
    <w:rsid w:val="00970BDD"/>
    <w:rsid w:val="00970CC3"/>
    <w:rsid w:val="00971B94"/>
    <w:rsid w:val="00971CE7"/>
    <w:rsid w:val="00972589"/>
    <w:rsid w:val="00972BA1"/>
    <w:rsid w:val="009734A2"/>
    <w:rsid w:val="00974307"/>
    <w:rsid w:val="00974398"/>
    <w:rsid w:val="00974B10"/>
    <w:rsid w:val="0097574D"/>
    <w:rsid w:val="00975DF3"/>
    <w:rsid w:val="0097620A"/>
    <w:rsid w:val="009769FD"/>
    <w:rsid w:val="00976B6C"/>
    <w:rsid w:val="00976F0C"/>
    <w:rsid w:val="00977538"/>
    <w:rsid w:val="00977D4E"/>
    <w:rsid w:val="0098018D"/>
    <w:rsid w:val="0098022A"/>
    <w:rsid w:val="00980688"/>
    <w:rsid w:val="00980FB2"/>
    <w:rsid w:val="009815B3"/>
    <w:rsid w:val="00981CEC"/>
    <w:rsid w:val="00983AA3"/>
    <w:rsid w:val="00983ABC"/>
    <w:rsid w:val="00983DE0"/>
    <w:rsid w:val="00983E43"/>
    <w:rsid w:val="009844CC"/>
    <w:rsid w:val="00984930"/>
    <w:rsid w:val="009859C6"/>
    <w:rsid w:val="009861D5"/>
    <w:rsid w:val="0098624E"/>
    <w:rsid w:val="0098697B"/>
    <w:rsid w:val="00986B48"/>
    <w:rsid w:val="009870CA"/>
    <w:rsid w:val="009872DB"/>
    <w:rsid w:val="0098736F"/>
    <w:rsid w:val="00987D21"/>
    <w:rsid w:val="00990969"/>
    <w:rsid w:val="00990BF7"/>
    <w:rsid w:val="00990DD2"/>
    <w:rsid w:val="00991019"/>
    <w:rsid w:val="0099146C"/>
    <w:rsid w:val="009914CF"/>
    <w:rsid w:val="009918A9"/>
    <w:rsid w:val="00991FD0"/>
    <w:rsid w:val="009922BC"/>
    <w:rsid w:val="0099246E"/>
    <w:rsid w:val="00993D1A"/>
    <w:rsid w:val="009941D3"/>
    <w:rsid w:val="00994DFB"/>
    <w:rsid w:val="00994F1F"/>
    <w:rsid w:val="00995783"/>
    <w:rsid w:val="00996805"/>
    <w:rsid w:val="00997DF2"/>
    <w:rsid w:val="009A0838"/>
    <w:rsid w:val="009A09C9"/>
    <w:rsid w:val="009A0EE3"/>
    <w:rsid w:val="009A113D"/>
    <w:rsid w:val="009A17A5"/>
    <w:rsid w:val="009A19D7"/>
    <w:rsid w:val="009A2A49"/>
    <w:rsid w:val="009A3EBE"/>
    <w:rsid w:val="009A4877"/>
    <w:rsid w:val="009A4B1F"/>
    <w:rsid w:val="009A65A6"/>
    <w:rsid w:val="009A6752"/>
    <w:rsid w:val="009A6DD4"/>
    <w:rsid w:val="009A7272"/>
    <w:rsid w:val="009A79C5"/>
    <w:rsid w:val="009B0993"/>
    <w:rsid w:val="009B0AFA"/>
    <w:rsid w:val="009B204D"/>
    <w:rsid w:val="009B2ABC"/>
    <w:rsid w:val="009B3A58"/>
    <w:rsid w:val="009B3CB8"/>
    <w:rsid w:val="009B4471"/>
    <w:rsid w:val="009B49B9"/>
    <w:rsid w:val="009B4A6D"/>
    <w:rsid w:val="009B500A"/>
    <w:rsid w:val="009B5077"/>
    <w:rsid w:val="009B6069"/>
    <w:rsid w:val="009B6756"/>
    <w:rsid w:val="009B7D0B"/>
    <w:rsid w:val="009C0590"/>
    <w:rsid w:val="009C13AA"/>
    <w:rsid w:val="009C296C"/>
    <w:rsid w:val="009C2DFA"/>
    <w:rsid w:val="009C45ED"/>
    <w:rsid w:val="009C4EDA"/>
    <w:rsid w:val="009C514E"/>
    <w:rsid w:val="009C566D"/>
    <w:rsid w:val="009C6053"/>
    <w:rsid w:val="009C6054"/>
    <w:rsid w:val="009C655E"/>
    <w:rsid w:val="009C7368"/>
    <w:rsid w:val="009C7F6A"/>
    <w:rsid w:val="009D0184"/>
    <w:rsid w:val="009D0311"/>
    <w:rsid w:val="009D0BF0"/>
    <w:rsid w:val="009D0EC4"/>
    <w:rsid w:val="009D1AAD"/>
    <w:rsid w:val="009D2504"/>
    <w:rsid w:val="009D37F3"/>
    <w:rsid w:val="009D42E8"/>
    <w:rsid w:val="009D4C00"/>
    <w:rsid w:val="009D4DA8"/>
    <w:rsid w:val="009D500F"/>
    <w:rsid w:val="009D55EE"/>
    <w:rsid w:val="009D583D"/>
    <w:rsid w:val="009D65DE"/>
    <w:rsid w:val="009D67E0"/>
    <w:rsid w:val="009D6ECE"/>
    <w:rsid w:val="009D6FE6"/>
    <w:rsid w:val="009D7121"/>
    <w:rsid w:val="009D714C"/>
    <w:rsid w:val="009E06F7"/>
    <w:rsid w:val="009E12F6"/>
    <w:rsid w:val="009E140D"/>
    <w:rsid w:val="009E1425"/>
    <w:rsid w:val="009E24C7"/>
    <w:rsid w:val="009E2A4B"/>
    <w:rsid w:val="009E4264"/>
    <w:rsid w:val="009E45BC"/>
    <w:rsid w:val="009E5195"/>
    <w:rsid w:val="009E5259"/>
    <w:rsid w:val="009E5977"/>
    <w:rsid w:val="009E599F"/>
    <w:rsid w:val="009E643F"/>
    <w:rsid w:val="009E6A74"/>
    <w:rsid w:val="009E6B6F"/>
    <w:rsid w:val="009E747C"/>
    <w:rsid w:val="009E78A2"/>
    <w:rsid w:val="009E7BDE"/>
    <w:rsid w:val="009F0110"/>
    <w:rsid w:val="009F11C3"/>
    <w:rsid w:val="009F1646"/>
    <w:rsid w:val="009F2D39"/>
    <w:rsid w:val="009F343F"/>
    <w:rsid w:val="009F4263"/>
    <w:rsid w:val="009F45DF"/>
    <w:rsid w:val="009F5705"/>
    <w:rsid w:val="009F6C56"/>
    <w:rsid w:val="009F75CE"/>
    <w:rsid w:val="009F7C2C"/>
    <w:rsid w:val="00A009DD"/>
    <w:rsid w:val="00A01064"/>
    <w:rsid w:val="00A02848"/>
    <w:rsid w:val="00A02D99"/>
    <w:rsid w:val="00A03059"/>
    <w:rsid w:val="00A0318F"/>
    <w:rsid w:val="00A0343E"/>
    <w:rsid w:val="00A04450"/>
    <w:rsid w:val="00A046AF"/>
    <w:rsid w:val="00A046B4"/>
    <w:rsid w:val="00A0490D"/>
    <w:rsid w:val="00A04974"/>
    <w:rsid w:val="00A04E51"/>
    <w:rsid w:val="00A05337"/>
    <w:rsid w:val="00A053D7"/>
    <w:rsid w:val="00A05513"/>
    <w:rsid w:val="00A05517"/>
    <w:rsid w:val="00A07643"/>
    <w:rsid w:val="00A0769A"/>
    <w:rsid w:val="00A10141"/>
    <w:rsid w:val="00A10B41"/>
    <w:rsid w:val="00A114BB"/>
    <w:rsid w:val="00A11926"/>
    <w:rsid w:val="00A1196F"/>
    <w:rsid w:val="00A11C58"/>
    <w:rsid w:val="00A121EF"/>
    <w:rsid w:val="00A12415"/>
    <w:rsid w:val="00A12A6B"/>
    <w:rsid w:val="00A1314F"/>
    <w:rsid w:val="00A138C2"/>
    <w:rsid w:val="00A140A1"/>
    <w:rsid w:val="00A1654C"/>
    <w:rsid w:val="00A17349"/>
    <w:rsid w:val="00A202FD"/>
    <w:rsid w:val="00A20D76"/>
    <w:rsid w:val="00A22107"/>
    <w:rsid w:val="00A232B2"/>
    <w:rsid w:val="00A23AF8"/>
    <w:rsid w:val="00A23C59"/>
    <w:rsid w:val="00A23FFC"/>
    <w:rsid w:val="00A2438B"/>
    <w:rsid w:val="00A249CC"/>
    <w:rsid w:val="00A25681"/>
    <w:rsid w:val="00A25C95"/>
    <w:rsid w:val="00A25DD7"/>
    <w:rsid w:val="00A26380"/>
    <w:rsid w:val="00A26A42"/>
    <w:rsid w:val="00A27837"/>
    <w:rsid w:val="00A30660"/>
    <w:rsid w:val="00A30864"/>
    <w:rsid w:val="00A30D93"/>
    <w:rsid w:val="00A317CA"/>
    <w:rsid w:val="00A32AFE"/>
    <w:rsid w:val="00A33C52"/>
    <w:rsid w:val="00A3441E"/>
    <w:rsid w:val="00A345AC"/>
    <w:rsid w:val="00A34B7F"/>
    <w:rsid w:val="00A3559B"/>
    <w:rsid w:val="00A358CB"/>
    <w:rsid w:val="00A36616"/>
    <w:rsid w:val="00A36937"/>
    <w:rsid w:val="00A369C4"/>
    <w:rsid w:val="00A36A1C"/>
    <w:rsid w:val="00A36A62"/>
    <w:rsid w:val="00A376B8"/>
    <w:rsid w:val="00A37F83"/>
    <w:rsid w:val="00A40CC9"/>
    <w:rsid w:val="00A41474"/>
    <w:rsid w:val="00A42944"/>
    <w:rsid w:val="00A43470"/>
    <w:rsid w:val="00A437F7"/>
    <w:rsid w:val="00A43913"/>
    <w:rsid w:val="00A43DF7"/>
    <w:rsid w:val="00A43F61"/>
    <w:rsid w:val="00A443D4"/>
    <w:rsid w:val="00A4476D"/>
    <w:rsid w:val="00A454F3"/>
    <w:rsid w:val="00A457B1"/>
    <w:rsid w:val="00A45949"/>
    <w:rsid w:val="00A460EB"/>
    <w:rsid w:val="00A475A6"/>
    <w:rsid w:val="00A47871"/>
    <w:rsid w:val="00A508AB"/>
    <w:rsid w:val="00A50CB4"/>
    <w:rsid w:val="00A50D38"/>
    <w:rsid w:val="00A514FE"/>
    <w:rsid w:val="00A51E2B"/>
    <w:rsid w:val="00A522CE"/>
    <w:rsid w:val="00A5273D"/>
    <w:rsid w:val="00A52938"/>
    <w:rsid w:val="00A52DB5"/>
    <w:rsid w:val="00A53592"/>
    <w:rsid w:val="00A537FE"/>
    <w:rsid w:val="00A538A2"/>
    <w:rsid w:val="00A53EC6"/>
    <w:rsid w:val="00A54F33"/>
    <w:rsid w:val="00A5524E"/>
    <w:rsid w:val="00A557AC"/>
    <w:rsid w:val="00A569AD"/>
    <w:rsid w:val="00A57125"/>
    <w:rsid w:val="00A57134"/>
    <w:rsid w:val="00A571F0"/>
    <w:rsid w:val="00A57B2E"/>
    <w:rsid w:val="00A57BC7"/>
    <w:rsid w:val="00A602CD"/>
    <w:rsid w:val="00A603B1"/>
    <w:rsid w:val="00A604ED"/>
    <w:rsid w:val="00A60511"/>
    <w:rsid w:val="00A612D2"/>
    <w:rsid w:val="00A61451"/>
    <w:rsid w:val="00A615B5"/>
    <w:rsid w:val="00A61ECE"/>
    <w:rsid w:val="00A6289D"/>
    <w:rsid w:val="00A63396"/>
    <w:rsid w:val="00A63AE3"/>
    <w:rsid w:val="00A63C81"/>
    <w:rsid w:val="00A64463"/>
    <w:rsid w:val="00A66982"/>
    <w:rsid w:val="00A707F5"/>
    <w:rsid w:val="00A70A6E"/>
    <w:rsid w:val="00A70CFE"/>
    <w:rsid w:val="00A71734"/>
    <w:rsid w:val="00A71D00"/>
    <w:rsid w:val="00A71FFF"/>
    <w:rsid w:val="00A72BF3"/>
    <w:rsid w:val="00A72FB6"/>
    <w:rsid w:val="00A73ADC"/>
    <w:rsid w:val="00A747D7"/>
    <w:rsid w:val="00A749E5"/>
    <w:rsid w:val="00A763DE"/>
    <w:rsid w:val="00A764DD"/>
    <w:rsid w:val="00A768FF"/>
    <w:rsid w:val="00A76E75"/>
    <w:rsid w:val="00A7705E"/>
    <w:rsid w:val="00A772F9"/>
    <w:rsid w:val="00A7755D"/>
    <w:rsid w:val="00A7794A"/>
    <w:rsid w:val="00A77D66"/>
    <w:rsid w:val="00A802C0"/>
    <w:rsid w:val="00A805C4"/>
    <w:rsid w:val="00A80A50"/>
    <w:rsid w:val="00A80B5B"/>
    <w:rsid w:val="00A80BFD"/>
    <w:rsid w:val="00A8161A"/>
    <w:rsid w:val="00A81820"/>
    <w:rsid w:val="00A81EED"/>
    <w:rsid w:val="00A823B5"/>
    <w:rsid w:val="00A82491"/>
    <w:rsid w:val="00A82580"/>
    <w:rsid w:val="00A83AA9"/>
    <w:rsid w:val="00A83E38"/>
    <w:rsid w:val="00A84621"/>
    <w:rsid w:val="00A849E4"/>
    <w:rsid w:val="00A85736"/>
    <w:rsid w:val="00A85BCF"/>
    <w:rsid w:val="00A85E74"/>
    <w:rsid w:val="00A85E9B"/>
    <w:rsid w:val="00A8612C"/>
    <w:rsid w:val="00A8630B"/>
    <w:rsid w:val="00A86A3C"/>
    <w:rsid w:val="00A87554"/>
    <w:rsid w:val="00A87AAC"/>
    <w:rsid w:val="00A87BFE"/>
    <w:rsid w:val="00A90893"/>
    <w:rsid w:val="00A90CEC"/>
    <w:rsid w:val="00A90F8D"/>
    <w:rsid w:val="00A91095"/>
    <w:rsid w:val="00A916FC"/>
    <w:rsid w:val="00A92240"/>
    <w:rsid w:val="00A9259A"/>
    <w:rsid w:val="00A93334"/>
    <w:rsid w:val="00A936EA"/>
    <w:rsid w:val="00A93B11"/>
    <w:rsid w:val="00A94940"/>
    <w:rsid w:val="00A957C0"/>
    <w:rsid w:val="00A957D5"/>
    <w:rsid w:val="00A963A0"/>
    <w:rsid w:val="00A967D2"/>
    <w:rsid w:val="00AA0A37"/>
    <w:rsid w:val="00AA0ABE"/>
    <w:rsid w:val="00AA152C"/>
    <w:rsid w:val="00AA18CE"/>
    <w:rsid w:val="00AA19FC"/>
    <w:rsid w:val="00AA2583"/>
    <w:rsid w:val="00AA2815"/>
    <w:rsid w:val="00AA2DC2"/>
    <w:rsid w:val="00AA3185"/>
    <w:rsid w:val="00AA350F"/>
    <w:rsid w:val="00AA3BD4"/>
    <w:rsid w:val="00AA3D7C"/>
    <w:rsid w:val="00AA44F7"/>
    <w:rsid w:val="00AA4A05"/>
    <w:rsid w:val="00AA4A26"/>
    <w:rsid w:val="00AA4C72"/>
    <w:rsid w:val="00AA4E7F"/>
    <w:rsid w:val="00AA547A"/>
    <w:rsid w:val="00AA6710"/>
    <w:rsid w:val="00AA6E50"/>
    <w:rsid w:val="00AA7545"/>
    <w:rsid w:val="00AA7627"/>
    <w:rsid w:val="00AB1146"/>
    <w:rsid w:val="00AB1191"/>
    <w:rsid w:val="00AB1578"/>
    <w:rsid w:val="00AB1815"/>
    <w:rsid w:val="00AB1917"/>
    <w:rsid w:val="00AB1918"/>
    <w:rsid w:val="00AB201F"/>
    <w:rsid w:val="00AB2FA4"/>
    <w:rsid w:val="00AB4E1F"/>
    <w:rsid w:val="00AB50B6"/>
    <w:rsid w:val="00AB5143"/>
    <w:rsid w:val="00AB548B"/>
    <w:rsid w:val="00AB579F"/>
    <w:rsid w:val="00AB59BA"/>
    <w:rsid w:val="00AB601E"/>
    <w:rsid w:val="00AB6B26"/>
    <w:rsid w:val="00AB6D9D"/>
    <w:rsid w:val="00AB6F04"/>
    <w:rsid w:val="00AC1477"/>
    <w:rsid w:val="00AC2044"/>
    <w:rsid w:val="00AC243E"/>
    <w:rsid w:val="00AC26FF"/>
    <w:rsid w:val="00AC2980"/>
    <w:rsid w:val="00AC308D"/>
    <w:rsid w:val="00AC3BFE"/>
    <w:rsid w:val="00AC41C0"/>
    <w:rsid w:val="00AC4C7E"/>
    <w:rsid w:val="00AC4C9F"/>
    <w:rsid w:val="00AC5057"/>
    <w:rsid w:val="00AC5ACD"/>
    <w:rsid w:val="00AC6508"/>
    <w:rsid w:val="00AC6B62"/>
    <w:rsid w:val="00AC6F2A"/>
    <w:rsid w:val="00AC7B88"/>
    <w:rsid w:val="00AD0E50"/>
    <w:rsid w:val="00AD15FF"/>
    <w:rsid w:val="00AD1D0C"/>
    <w:rsid w:val="00AD20BF"/>
    <w:rsid w:val="00AD2261"/>
    <w:rsid w:val="00AD385D"/>
    <w:rsid w:val="00AD432A"/>
    <w:rsid w:val="00AD4F7D"/>
    <w:rsid w:val="00AD5BF5"/>
    <w:rsid w:val="00AD7C27"/>
    <w:rsid w:val="00AD7CF3"/>
    <w:rsid w:val="00AE04A8"/>
    <w:rsid w:val="00AE12E6"/>
    <w:rsid w:val="00AE3586"/>
    <w:rsid w:val="00AE3B6D"/>
    <w:rsid w:val="00AE3B86"/>
    <w:rsid w:val="00AE40BE"/>
    <w:rsid w:val="00AE4150"/>
    <w:rsid w:val="00AE45CA"/>
    <w:rsid w:val="00AE5EA7"/>
    <w:rsid w:val="00AE632D"/>
    <w:rsid w:val="00AE6764"/>
    <w:rsid w:val="00AE6CDA"/>
    <w:rsid w:val="00AE6DAD"/>
    <w:rsid w:val="00AE7CEA"/>
    <w:rsid w:val="00AF0347"/>
    <w:rsid w:val="00AF0D46"/>
    <w:rsid w:val="00AF1024"/>
    <w:rsid w:val="00AF2053"/>
    <w:rsid w:val="00AF2C0B"/>
    <w:rsid w:val="00AF3266"/>
    <w:rsid w:val="00AF44E4"/>
    <w:rsid w:val="00AF4AC2"/>
    <w:rsid w:val="00AF4BED"/>
    <w:rsid w:val="00AF56B3"/>
    <w:rsid w:val="00AF5A87"/>
    <w:rsid w:val="00AF5CDD"/>
    <w:rsid w:val="00AF798C"/>
    <w:rsid w:val="00AF7D71"/>
    <w:rsid w:val="00B001FC"/>
    <w:rsid w:val="00B003E3"/>
    <w:rsid w:val="00B00615"/>
    <w:rsid w:val="00B01392"/>
    <w:rsid w:val="00B01622"/>
    <w:rsid w:val="00B0296E"/>
    <w:rsid w:val="00B03795"/>
    <w:rsid w:val="00B0402A"/>
    <w:rsid w:val="00B04595"/>
    <w:rsid w:val="00B0472A"/>
    <w:rsid w:val="00B05495"/>
    <w:rsid w:val="00B05DA2"/>
    <w:rsid w:val="00B06260"/>
    <w:rsid w:val="00B06B3C"/>
    <w:rsid w:val="00B07160"/>
    <w:rsid w:val="00B074DA"/>
    <w:rsid w:val="00B07CE0"/>
    <w:rsid w:val="00B105A5"/>
    <w:rsid w:val="00B10E96"/>
    <w:rsid w:val="00B119F9"/>
    <w:rsid w:val="00B11A3F"/>
    <w:rsid w:val="00B11E7F"/>
    <w:rsid w:val="00B120EE"/>
    <w:rsid w:val="00B124A1"/>
    <w:rsid w:val="00B12980"/>
    <w:rsid w:val="00B146F0"/>
    <w:rsid w:val="00B1533B"/>
    <w:rsid w:val="00B15A5B"/>
    <w:rsid w:val="00B162CE"/>
    <w:rsid w:val="00B165C8"/>
    <w:rsid w:val="00B16EE5"/>
    <w:rsid w:val="00B171D1"/>
    <w:rsid w:val="00B172E6"/>
    <w:rsid w:val="00B1793C"/>
    <w:rsid w:val="00B17CEB"/>
    <w:rsid w:val="00B20246"/>
    <w:rsid w:val="00B2065A"/>
    <w:rsid w:val="00B21002"/>
    <w:rsid w:val="00B21E25"/>
    <w:rsid w:val="00B2208C"/>
    <w:rsid w:val="00B22CBA"/>
    <w:rsid w:val="00B2378A"/>
    <w:rsid w:val="00B23C4F"/>
    <w:rsid w:val="00B23F59"/>
    <w:rsid w:val="00B24096"/>
    <w:rsid w:val="00B242A2"/>
    <w:rsid w:val="00B2451E"/>
    <w:rsid w:val="00B24CA2"/>
    <w:rsid w:val="00B24D86"/>
    <w:rsid w:val="00B252EE"/>
    <w:rsid w:val="00B25352"/>
    <w:rsid w:val="00B255BE"/>
    <w:rsid w:val="00B25E83"/>
    <w:rsid w:val="00B2610A"/>
    <w:rsid w:val="00B262FC"/>
    <w:rsid w:val="00B26653"/>
    <w:rsid w:val="00B26C29"/>
    <w:rsid w:val="00B26CA7"/>
    <w:rsid w:val="00B2714F"/>
    <w:rsid w:val="00B27703"/>
    <w:rsid w:val="00B27C81"/>
    <w:rsid w:val="00B30A39"/>
    <w:rsid w:val="00B3213B"/>
    <w:rsid w:val="00B330B7"/>
    <w:rsid w:val="00B338E6"/>
    <w:rsid w:val="00B34470"/>
    <w:rsid w:val="00B34B76"/>
    <w:rsid w:val="00B34C84"/>
    <w:rsid w:val="00B34FAB"/>
    <w:rsid w:val="00B356ED"/>
    <w:rsid w:val="00B35AA3"/>
    <w:rsid w:val="00B3602F"/>
    <w:rsid w:val="00B3674C"/>
    <w:rsid w:val="00B37704"/>
    <w:rsid w:val="00B37E1F"/>
    <w:rsid w:val="00B4126E"/>
    <w:rsid w:val="00B41496"/>
    <w:rsid w:val="00B42F12"/>
    <w:rsid w:val="00B43421"/>
    <w:rsid w:val="00B442E9"/>
    <w:rsid w:val="00B44B88"/>
    <w:rsid w:val="00B44BDC"/>
    <w:rsid w:val="00B461B9"/>
    <w:rsid w:val="00B468E7"/>
    <w:rsid w:val="00B47A1A"/>
    <w:rsid w:val="00B52516"/>
    <w:rsid w:val="00B52DE4"/>
    <w:rsid w:val="00B534A1"/>
    <w:rsid w:val="00B54B57"/>
    <w:rsid w:val="00B54DA1"/>
    <w:rsid w:val="00B55593"/>
    <w:rsid w:val="00B55613"/>
    <w:rsid w:val="00B557C3"/>
    <w:rsid w:val="00B56338"/>
    <w:rsid w:val="00B56D60"/>
    <w:rsid w:val="00B56D95"/>
    <w:rsid w:val="00B56FA3"/>
    <w:rsid w:val="00B577BE"/>
    <w:rsid w:val="00B57D46"/>
    <w:rsid w:val="00B57F9F"/>
    <w:rsid w:val="00B6040F"/>
    <w:rsid w:val="00B61125"/>
    <w:rsid w:val="00B6146A"/>
    <w:rsid w:val="00B6165E"/>
    <w:rsid w:val="00B61713"/>
    <w:rsid w:val="00B62580"/>
    <w:rsid w:val="00B63963"/>
    <w:rsid w:val="00B649DF"/>
    <w:rsid w:val="00B64F28"/>
    <w:rsid w:val="00B6560A"/>
    <w:rsid w:val="00B65CD9"/>
    <w:rsid w:val="00B66542"/>
    <w:rsid w:val="00B678AE"/>
    <w:rsid w:val="00B67A7E"/>
    <w:rsid w:val="00B67C46"/>
    <w:rsid w:val="00B67F0B"/>
    <w:rsid w:val="00B703FD"/>
    <w:rsid w:val="00B72472"/>
    <w:rsid w:val="00B72D92"/>
    <w:rsid w:val="00B733E4"/>
    <w:rsid w:val="00B745E5"/>
    <w:rsid w:val="00B74BA1"/>
    <w:rsid w:val="00B757F9"/>
    <w:rsid w:val="00B75B30"/>
    <w:rsid w:val="00B75EE0"/>
    <w:rsid w:val="00B80755"/>
    <w:rsid w:val="00B81410"/>
    <w:rsid w:val="00B8184F"/>
    <w:rsid w:val="00B81DBC"/>
    <w:rsid w:val="00B828AE"/>
    <w:rsid w:val="00B8300C"/>
    <w:rsid w:val="00B83020"/>
    <w:rsid w:val="00B859A2"/>
    <w:rsid w:val="00B85B40"/>
    <w:rsid w:val="00B85E87"/>
    <w:rsid w:val="00B85E89"/>
    <w:rsid w:val="00B86266"/>
    <w:rsid w:val="00B86582"/>
    <w:rsid w:val="00B86583"/>
    <w:rsid w:val="00B869EA"/>
    <w:rsid w:val="00B876CC"/>
    <w:rsid w:val="00B90C30"/>
    <w:rsid w:val="00B91492"/>
    <w:rsid w:val="00B91B4A"/>
    <w:rsid w:val="00B91D02"/>
    <w:rsid w:val="00B9237C"/>
    <w:rsid w:val="00B93617"/>
    <w:rsid w:val="00B9394A"/>
    <w:rsid w:val="00B9436B"/>
    <w:rsid w:val="00B958C7"/>
    <w:rsid w:val="00B96044"/>
    <w:rsid w:val="00B96C79"/>
    <w:rsid w:val="00B9751A"/>
    <w:rsid w:val="00B97F7D"/>
    <w:rsid w:val="00BA0906"/>
    <w:rsid w:val="00BA0DE5"/>
    <w:rsid w:val="00BA116D"/>
    <w:rsid w:val="00BA1BE0"/>
    <w:rsid w:val="00BA1F4A"/>
    <w:rsid w:val="00BA283C"/>
    <w:rsid w:val="00BA2A3B"/>
    <w:rsid w:val="00BA310A"/>
    <w:rsid w:val="00BA3C63"/>
    <w:rsid w:val="00BA3F30"/>
    <w:rsid w:val="00BA51F7"/>
    <w:rsid w:val="00BA5615"/>
    <w:rsid w:val="00BA5EE0"/>
    <w:rsid w:val="00BA64A1"/>
    <w:rsid w:val="00BA67C2"/>
    <w:rsid w:val="00BA6981"/>
    <w:rsid w:val="00BA722E"/>
    <w:rsid w:val="00BB0B81"/>
    <w:rsid w:val="00BB241E"/>
    <w:rsid w:val="00BB247A"/>
    <w:rsid w:val="00BB27C3"/>
    <w:rsid w:val="00BB2B8C"/>
    <w:rsid w:val="00BB3DBB"/>
    <w:rsid w:val="00BB4215"/>
    <w:rsid w:val="00BB4809"/>
    <w:rsid w:val="00BB4A13"/>
    <w:rsid w:val="00BB4A50"/>
    <w:rsid w:val="00BB4F9A"/>
    <w:rsid w:val="00BB54CE"/>
    <w:rsid w:val="00BB5EF5"/>
    <w:rsid w:val="00BC06C8"/>
    <w:rsid w:val="00BC1D37"/>
    <w:rsid w:val="00BC21C0"/>
    <w:rsid w:val="00BC2235"/>
    <w:rsid w:val="00BC2398"/>
    <w:rsid w:val="00BC2AAB"/>
    <w:rsid w:val="00BC2CC0"/>
    <w:rsid w:val="00BC2E4C"/>
    <w:rsid w:val="00BC3792"/>
    <w:rsid w:val="00BC3F6B"/>
    <w:rsid w:val="00BC4318"/>
    <w:rsid w:val="00BC4321"/>
    <w:rsid w:val="00BC6137"/>
    <w:rsid w:val="00BC6B07"/>
    <w:rsid w:val="00BC7351"/>
    <w:rsid w:val="00BC78AB"/>
    <w:rsid w:val="00BD176F"/>
    <w:rsid w:val="00BD1FE0"/>
    <w:rsid w:val="00BD23FF"/>
    <w:rsid w:val="00BD257A"/>
    <w:rsid w:val="00BD3687"/>
    <w:rsid w:val="00BD44BB"/>
    <w:rsid w:val="00BD505F"/>
    <w:rsid w:val="00BD56D2"/>
    <w:rsid w:val="00BD5FD3"/>
    <w:rsid w:val="00BD5FF7"/>
    <w:rsid w:val="00BD6973"/>
    <w:rsid w:val="00BD7256"/>
    <w:rsid w:val="00BD7A95"/>
    <w:rsid w:val="00BD7F72"/>
    <w:rsid w:val="00BE190E"/>
    <w:rsid w:val="00BE1A02"/>
    <w:rsid w:val="00BE21E2"/>
    <w:rsid w:val="00BE2538"/>
    <w:rsid w:val="00BE2C04"/>
    <w:rsid w:val="00BE362D"/>
    <w:rsid w:val="00BE444C"/>
    <w:rsid w:val="00BE4EB9"/>
    <w:rsid w:val="00BE508E"/>
    <w:rsid w:val="00BE5167"/>
    <w:rsid w:val="00BE5B37"/>
    <w:rsid w:val="00BE5F3D"/>
    <w:rsid w:val="00BE6F3C"/>
    <w:rsid w:val="00BE7140"/>
    <w:rsid w:val="00BE7B7C"/>
    <w:rsid w:val="00BE7DBF"/>
    <w:rsid w:val="00BE7ED7"/>
    <w:rsid w:val="00BF0066"/>
    <w:rsid w:val="00BF02B4"/>
    <w:rsid w:val="00BF0496"/>
    <w:rsid w:val="00BF0FAC"/>
    <w:rsid w:val="00BF3138"/>
    <w:rsid w:val="00BF3503"/>
    <w:rsid w:val="00BF3605"/>
    <w:rsid w:val="00BF455B"/>
    <w:rsid w:val="00BF458A"/>
    <w:rsid w:val="00BF483E"/>
    <w:rsid w:val="00BF510F"/>
    <w:rsid w:val="00BF51E2"/>
    <w:rsid w:val="00BF52A6"/>
    <w:rsid w:val="00BF5E2F"/>
    <w:rsid w:val="00BF62A1"/>
    <w:rsid w:val="00BF6CA8"/>
    <w:rsid w:val="00BF6D70"/>
    <w:rsid w:val="00BF7F3D"/>
    <w:rsid w:val="00C0005D"/>
    <w:rsid w:val="00C00EA5"/>
    <w:rsid w:val="00C01085"/>
    <w:rsid w:val="00C012F0"/>
    <w:rsid w:val="00C01834"/>
    <w:rsid w:val="00C01959"/>
    <w:rsid w:val="00C025EF"/>
    <w:rsid w:val="00C026B0"/>
    <w:rsid w:val="00C02A2A"/>
    <w:rsid w:val="00C032F2"/>
    <w:rsid w:val="00C037EA"/>
    <w:rsid w:val="00C03D28"/>
    <w:rsid w:val="00C03FDE"/>
    <w:rsid w:val="00C04031"/>
    <w:rsid w:val="00C0416F"/>
    <w:rsid w:val="00C0439D"/>
    <w:rsid w:val="00C04A90"/>
    <w:rsid w:val="00C059A5"/>
    <w:rsid w:val="00C05C53"/>
    <w:rsid w:val="00C05D81"/>
    <w:rsid w:val="00C05EED"/>
    <w:rsid w:val="00C05F5F"/>
    <w:rsid w:val="00C070F8"/>
    <w:rsid w:val="00C073A4"/>
    <w:rsid w:val="00C07945"/>
    <w:rsid w:val="00C10642"/>
    <w:rsid w:val="00C111E6"/>
    <w:rsid w:val="00C11676"/>
    <w:rsid w:val="00C1359E"/>
    <w:rsid w:val="00C13C22"/>
    <w:rsid w:val="00C14370"/>
    <w:rsid w:val="00C15320"/>
    <w:rsid w:val="00C15907"/>
    <w:rsid w:val="00C15C83"/>
    <w:rsid w:val="00C162FA"/>
    <w:rsid w:val="00C16336"/>
    <w:rsid w:val="00C16862"/>
    <w:rsid w:val="00C16ADB"/>
    <w:rsid w:val="00C1727E"/>
    <w:rsid w:val="00C17B0A"/>
    <w:rsid w:val="00C20085"/>
    <w:rsid w:val="00C2105A"/>
    <w:rsid w:val="00C22212"/>
    <w:rsid w:val="00C2322C"/>
    <w:rsid w:val="00C23C37"/>
    <w:rsid w:val="00C240D4"/>
    <w:rsid w:val="00C24274"/>
    <w:rsid w:val="00C30450"/>
    <w:rsid w:val="00C3129C"/>
    <w:rsid w:val="00C318C9"/>
    <w:rsid w:val="00C32813"/>
    <w:rsid w:val="00C342BA"/>
    <w:rsid w:val="00C3575B"/>
    <w:rsid w:val="00C35BCE"/>
    <w:rsid w:val="00C36073"/>
    <w:rsid w:val="00C36220"/>
    <w:rsid w:val="00C37064"/>
    <w:rsid w:val="00C373EB"/>
    <w:rsid w:val="00C40A08"/>
    <w:rsid w:val="00C410F2"/>
    <w:rsid w:val="00C41891"/>
    <w:rsid w:val="00C42611"/>
    <w:rsid w:val="00C4269F"/>
    <w:rsid w:val="00C42E2B"/>
    <w:rsid w:val="00C42F81"/>
    <w:rsid w:val="00C432AE"/>
    <w:rsid w:val="00C436C7"/>
    <w:rsid w:val="00C43802"/>
    <w:rsid w:val="00C43840"/>
    <w:rsid w:val="00C4450E"/>
    <w:rsid w:val="00C44911"/>
    <w:rsid w:val="00C45D94"/>
    <w:rsid w:val="00C46D2E"/>
    <w:rsid w:val="00C4777F"/>
    <w:rsid w:val="00C502A3"/>
    <w:rsid w:val="00C510D7"/>
    <w:rsid w:val="00C516D6"/>
    <w:rsid w:val="00C51749"/>
    <w:rsid w:val="00C51861"/>
    <w:rsid w:val="00C51928"/>
    <w:rsid w:val="00C51EB7"/>
    <w:rsid w:val="00C527E7"/>
    <w:rsid w:val="00C531A9"/>
    <w:rsid w:val="00C53353"/>
    <w:rsid w:val="00C552A2"/>
    <w:rsid w:val="00C55309"/>
    <w:rsid w:val="00C55953"/>
    <w:rsid w:val="00C56989"/>
    <w:rsid w:val="00C57BA2"/>
    <w:rsid w:val="00C60097"/>
    <w:rsid w:val="00C6030F"/>
    <w:rsid w:val="00C60F65"/>
    <w:rsid w:val="00C60F9E"/>
    <w:rsid w:val="00C61F50"/>
    <w:rsid w:val="00C61FB2"/>
    <w:rsid w:val="00C6209B"/>
    <w:rsid w:val="00C633A8"/>
    <w:rsid w:val="00C63A28"/>
    <w:rsid w:val="00C63E62"/>
    <w:rsid w:val="00C6407C"/>
    <w:rsid w:val="00C64853"/>
    <w:rsid w:val="00C64EA5"/>
    <w:rsid w:val="00C6524D"/>
    <w:rsid w:val="00C65523"/>
    <w:rsid w:val="00C66243"/>
    <w:rsid w:val="00C66296"/>
    <w:rsid w:val="00C66938"/>
    <w:rsid w:val="00C66D07"/>
    <w:rsid w:val="00C672E3"/>
    <w:rsid w:val="00C67EA5"/>
    <w:rsid w:val="00C7090D"/>
    <w:rsid w:val="00C71122"/>
    <w:rsid w:val="00C71A29"/>
    <w:rsid w:val="00C73703"/>
    <w:rsid w:val="00C73A9A"/>
    <w:rsid w:val="00C73B3F"/>
    <w:rsid w:val="00C73B45"/>
    <w:rsid w:val="00C73F2A"/>
    <w:rsid w:val="00C7542D"/>
    <w:rsid w:val="00C75779"/>
    <w:rsid w:val="00C75D32"/>
    <w:rsid w:val="00C76517"/>
    <w:rsid w:val="00C7655C"/>
    <w:rsid w:val="00C77A35"/>
    <w:rsid w:val="00C77BA3"/>
    <w:rsid w:val="00C77BE7"/>
    <w:rsid w:val="00C77D3B"/>
    <w:rsid w:val="00C80FB8"/>
    <w:rsid w:val="00C810FD"/>
    <w:rsid w:val="00C811FD"/>
    <w:rsid w:val="00C81582"/>
    <w:rsid w:val="00C81776"/>
    <w:rsid w:val="00C826FA"/>
    <w:rsid w:val="00C83100"/>
    <w:rsid w:val="00C8339E"/>
    <w:rsid w:val="00C837BB"/>
    <w:rsid w:val="00C83851"/>
    <w:rsid w:val="00C83886"/>
    <w:rsid w:val="00C83EAD"/>
    <w:rsid w:val="00C83EF4"/>
    <w:rsid w:val="00C84039"/>
    <w:rsid w:val="00C84078"/>
    <w:rsid w:val="00C858C2"/>
    <w:rsid w:val="00C86566"/>
    <w:rsid w:val="00C86BF8"/>
    <w:rsid w:val="00C86FA6"/>
    <w:rsid w:val="00C8724A"/>
    <w:rsid w:val="00C873F6"/>
    <w:rsid w:val="00C87512"/>
    <w:rsid w:val="00C87E55"/>
    <w:rsid w:val="00C9081C"/>
    <w:rsid w:val="00C90D17"/>
    <w:rsid w:val="00C91892"/>
    <w:rsid w:val="00C91CBE"/>
    <w:rsid w:val="00C924B9"/>
    <w:rsid w:val="00C929B9"/>
    <w:rsid w:val="00C929F4"/>
    <w:rsid w:val="00C9302B"/>
    <w:rsid w:val="00C935A7"/>
    <w:rsid w:val="00C937E6"/>
    <w:rsid w:val="00C94751"/>
    <w:rsid w:val="00C947E1"/>
    <w:rsid w:val="00C95011"/>
    <w:rsid w:val="00C963C3"/>
    <w:rsid w:val="00C96B24"/>
    <w:rsid w:val="00C97335"/>
    <w:rsid w:val="00CA001F"/>
    <w:rsid w:val="00CA0698"/>
    <w:rsid w:val="00CA07DB"/>
    <w:rsid w:val="00CA07DD"/>
    <w:rsid w:val="00CA0A01"/>
    <w:rsid w:val="00CA0B60"/>
    <w:rsid w:val="00CA10DC"/>
    <w:rsid w:val="00CA1C5A"/>
    <w:rsid w:val="00CA1D24"/>
    <w:rsid w:val="00CA277A"/>
    <w:rsid w:val="00CA2972"/>
    <w:rsid w:val="00CA29A9"/>
    <w:rsid w:val="00CA35D9"/>
    <w:rsid w:val="00CA36A5"/>
    <w:rsid w:val="00CA3B7B"/>
    <w:rsid w:val="00CA581E"/>
    <w:rsid w:val="00CA676F"/>
    <w:rsid w:val="00CA7774"/>
    <w:rsid w:val="00CA79B3"/>
    <w:rsid w:val="00CA7F4F"/>
    <w:rsid w:val="00CB075D"/>
    <w:rsid w:val="00CB0FAD"/>
    <w:rsid w:val="00CB1315"/>
    <w:rsid w:val="00CB1C2D"/>
    <w:rsid w:val="00CB373A"/>
    <w:rsid w:val="00CB3966"/>
    <w:rsid w:val="00CB440A"/>
    <w:rsid w:val="00CB4805"/>
    <w:rsid w:val="00CB53B6"/>
    <w:rsid w:val="00CB5778"/>
    <w:rsid w:val="00CB5FE0"/>
    <w:rsid w:val="00CB68C7"/>
    <w:rsid w:val="00CB7D45"/>
    <w:rsid w:val="00CC09DD"/>
    <w:rsid w:val="00CC1DD2"/>
    <w:rsid w:val="00CC273C"/>
    <w:rsid w:val="00CC390C"/>
    <w:rsid w:val="00CC4B4B"/>
    <w:rsid w:val="00CC4B77"/>
    <w:rsid w:val="00CC4C70"/>
    <w:rsid w:val="00CC53E1"/>
    <w:rsid w:val="00CC5DF6"/>
    <w:rsid w:val="00CC65F7"/>
    <w:rsid w:val="00CC79AA"/>
    <w:rsid w:val="00CC7D36"/>
    <w:rsid w:val="00CD0CDC"/>
    <w:rsid w:val="00CD0EAD"/>
    <w:rsid w:val="00CD1A03"/>
    <w:rsid w:val="00CD30D9"/>
    <w:rsid w:val="00CD3876"/>
    <w:rsid w:val="00CD3898"/>
    <w:rsid w:val="00CD43A5"/>
    <w:rsid w:val="00CD443C"/>
    <w:rsid w:val="00CD4821"/>
    <w:rsid w:val="00CD4DD2"/>
    <w:rsid w:val="00CD58A8"/>
    <w:rsid w:val="00CD61F2"/>
    <w:rsid w:val="00CD6C07"/>
    <w:rsid w:val="00CD7002"/>
    <w:rsid w:val="00CD7C4B"/>
    <w:rsid w:val="00CE0377"/>
    <w:rsid w:val="00CE05AE"/>
    <w:rsid w:val="00CE0D39"/>
    <w:rsid w:val="00CE0DCC"/>
    <w:rsid w:val="00CE110F"/>
    <w:rsid w:val="00CE1B13"/>
    <w:rsid w:val="00CE2390"/>
    <w:rsid w:val="00CE3064"/>
    <w:rsid w:val="00CE3073"/>
    <w:rsid w:val="00CE5344"/>
    <w:rsid w:val="00CE72B0"/>
    <w:rsid w:val="00CE7374"/>
    <w:rsid w:val="00CE73E2"/>
    <w:rsid w:val="00CE78C6"/>
    <w:rsid w:val="00CE7D7C"/>
    <w:rsid w:val="00CF160A"/>
    <w:rsid w:val="00CF1671"/>
    <w:rsid w:val="00CF1998"/>
    <w:rsid w:val="00CF1B48"/>
    <w:rsid w:val="00CF2270"/>
    <w:rsid w:val="00CF2274"/>
    <w:rsid w:val="00CF2CA2"/>
    <w:rsid w:val="00CF3207"/>
    <w:rsid w:val="00CF32E3"/>
    <w:rsid w:val="00CF3499"/>
    <w:rsid w:val="00CF466E"/>
    <w:rsid w:val="00CF67C0"/>
    <w:rsid w:val="00CF7781"/>
    <w:rsid w:val="00CF7F5D"/>
    <w:rsid w:val="00D002BE"/>
    <w:rsid w:val="00D0063F"/>
    <w:rsid w:val="00D01514"/>
    <w:rsid w:val="00D022C4"/>
    <w:rsid w:val="00D028FC"/>
    <w:rsid w:val="00D02F26"/>
    <w:rsid w:val="00D03D22"/>
    <w:rsid w:val="00D03DBF"/>
    <w:rsid w:val="00D04F7D"/>
    <w:rsid w:val="00D058CD"/>
    <w:rsid w:val="00D0591D"/>
    <w:rsid w:val="00D069F0"/>
    <w:rsid w:val="00D06AE9"/>
    <w:rsid w:val="00D07013"/>
    <w:rsid w:val="00D07B9D"/>
    <w:rsid w:val="00D07DF2"/>
    <w:rsid w:val="00D1076D"/>
    <w:rsid w:val="00D10D30"/>
    <w:rsid w:val="00D1219B"/>
    <w:rsid w:val="00D12560"/>
    <w:rsid w:val="00D13624"/>
    <w:rsid w:val="00D1364A"/>
    <w:rsid w:val="00D13C1D"/>
    <w:rsid w:val="00D1429F"/>
    <w:rsid w:val="00D14F31"/>
    <w:rsid w:val="00D15055"/>
    <w:rsid w:val="00D16482"/>
    <w:rsid w:val="00D171A5"/>
    <w:rsid w:val="00D17904"/>
    <w:rsid w:val="00D17980"/>
    <w:rsid w:val="00D22648"/>
    <w:rsid w:val="00D232AB"/>
    <w:rsid w:val="00D23CBD"/>
    <w:rsid w:val="00D23FC3"/>
    <w:rsid w:val="00D240FD"/>
    <w:rsid w:val="00D255F3"/>
    <w:rsid w:val="00D26E13"/>
    <w:rsid w:val="00D26E7F"/>
    <w:rsid w:val="00D27046"/>
    <w:rsid w:val="00D27EFB"/>
    <w:rsid w:val="00D3026E"/>
    <w:rsid w:val="00D303C6"/>
    <w:rsid w:val="00D30FF1"/>
    <w:rsid w:val="00D31532"/>
    <w:rsid w:val="00D31E6F"/>
    <w:rsid w:val="00D32E68"/>
    <w:rsid w:val="00D33394"/>
    <w:rsid w:val="00D33757"/>
    <w:rsid w:val="00D33FF7"/>
    <w:rsid w:val="00D35256"/>
    <w:rsid w:val="00D35427"/>
    <w:rsid w:val="00D35AC2"/>
    <w:rsid w:val="00D35CAE"/>
    <w:rsid w:val="00D362A4"/>
    <w:rsid w:val="00D36837"/>
    <w:rsid w:val="00D3720E"/>
    <w:rsid w:val="00D373F6"/>
    <w:rsid w:val="00D37529"/>
    <w:rsid w:val="00D37554"/>
    <w:rsid w:val="00D3773D"/>
    <w:rsid w:val="00D3784E"/>
    <w:rsid w:val="00D37D4A"/>
    <w:rsid w:val="00D409F4"/>
    <w:rsid w:val="00D40B4A"/>
    <w:rsid w:val="00D40D10"/>
    <w:rsid w:val="00D411F4"/>
    <w:rsid w:val="00D41260"/>
    <w:rsid w:val="00D41599"/>
    <w:rsid w:val="00D417B3"/>
    <w:rsid w:val="00D41A1B"/>
    <w:rsid w:val="00D41D8A"/>
    <w:rsid w:val="00D42332"/>
    <w:rsid w:val="00D4241D"/>
    <w:rsid w:val="00D42438"/>
    <w:rsid w:val="00D439FC"/>
    <w:rsid w:val="00D43A0D"/>
    <w:rsid w:val="00D43EAE"/>
    <w:rsid w:val="00D442C3"/>
    <w:rsid w:val="00D44840"/>
    <w:rsid w:val="00D451ED"/>
    <w:rsid w:val="00D456E9"/>
    <w:rsid w:val="00D464B5"/>
    <w:rsid w:val="00D46621"/>
    <w:rsid w:val="00D46AF8"/>
    <w:rsid w:val="00D46D9D"/>
    <w:rsid w:val="00D47E01"/>
    <w:rsid w:val="00D5026B"/>
    <w:rsid w:val="00D50CDD"/>
    <w:rsid w:val="00D50F55"/>
    <w:rsid w:val="00D51D11"/>
    <w:rsid w:val="00D52AF8"/>
    <w:rsid w:val="00D53B3F"/>
    <w:rsid w:val="00D540AE"/>
    <w:rsid w:val="00D5462E"/>
    <w:rsid w:val="00D55534"/>
    <w:rsid w:val="00D55B7F"/>
    <w:rsid w:val="00D55DAE"/>
    <w:rsid w:val="00D55FFC"/>
    <w:rsid w:val="00D56286"/>
    <w:rsid w:val="00D566AF"/>
    <w:rsid w:val="00D56B4D"/>
    <w:rsid w:val="00D572E3"/>
    <w:rsid w:val="00D57B9B"/>
    <w:rsid w:val="00D60B4F"/>
    <w:rsid w:val="00D60BA8"/>
    <w:rsid w:val="00D611A9"/>
    <w:rsid w:val="00D615B5"/>
    <w:rsid w:val="00D617F1"/>
    <w:rsid w:val="00D63249"/>
    <w:rsid w:val="00D6364E"/>
    <w:rsid w:val="00D63B6B"/>
    <w:rsid w:val="00D64C6B"/>
    <w:rsid w:val="00D65750"/>
    <w:rsid w:val="00D659D0"/>
    <w:rsid w:val="00D65E3D"/>
    <w:rsid w:val="00D65F23"/>
    <w:rsid w:val="00D65F57"/>
    <w:rsid w:val="00D6674D"/>
    <w:rsid w:val="00D66894"/>
    <w:rsid w:val="00D66FC5"/>
    <w:rsid w:val="00D67824"/>
    <w:rsid w:val="00D70233"/>
    <w:rsid w:val="00D70665"/>
    <w:rsid w:val="00D71843"/>
    <w:rsid w:val="00D72387"/>
    <w:rsid w:val="00D73838"/>
    <w:rsid w:val="00D73C10"/>
    <w:rsid w:val="00D74648"/>
    <w:rsid w:val="00D748D9"/>
    <w:rsid w:val="00D77006"/>
    <w:rsid w:val="00D7707A"/>
    <w:rsid w:val="00D773E8"/>
    <w:rsid w:val="00D7781A"/>
    <w:rsid w:val="00D80C49"/>
    <w:rsid w:val="00D815BF"/>
    <w:rsid w:val="00D816F1"/>
    <w:rsid w:val="00D81EC8"/>
    <w:rsid w:val="00D828A2"/>
    <w:rsid w:val="00D8300B"/>
    <w:rsid w:val="00D832FB"/>
    <w:rsid w:val="00D83D94"/>
    <w:rsid w:val="00D83FD9"/>
    <w:rsid w:val="00D84210"/>
    <w:rsid w:val="00D84E5E"/>
    <w:rsid w:val="00D850CD"/>
    <w:rsid w:val="00D85547"/>
    <w:rsid w:val="00D85558"/>
    <w:rsid w:val="00D8560D"/>
    <w:rsid w:val="00D85A77"/>
    <w:rsid w:val="00D860E1"/>
    <w:rsid w:val="00D86125"/>
    <w:rsid w:val="00D86E0A"/>
    <w:rsid w:val="00D872A4"/>
    <w:rsid w:val="00D90A4F"/>
    <w:rsid w:val="00D910A9"/>
    <w:rsid w:val="00D91964"/>
    <w:rsid w:val="00D93D7F"/>
    <w:rsid w:val="00D948E2"/>
    <w:rsid w:val="00D955A0"/>
    <w:rsid w:val="00D958D8"/>
    <w:rsid w:val="00D96209"/>
    <w:rsid w:val="00D9645E"/>
    <w:rsid w:val="00D9649A"/>
    <w:rsid w:val="00D96622"/>
    <w:rsid w:val="00D966B9"/>
    <w:rsid w:val="00D96D0A"/>
    <w:rsid w:val="00D9723A"/>
    <w:rsid w:val="00D976E1"/>
    <w:rsid w:val="00DA0A1C"/>
    <w:rsid w:val="00DA0DA1"/>
    <w:rsid w:val="00DA19AF"/>
    <w:rsid w:val="00DA1DC1"/>
    <w:rsid w:val="00DA2326"/>
    <w:rsid w:val="00DA2EBF"/>
    <w:rsid w:val="00DA36FB"/>
    <w:rsid w:val="00DA3D4A"/>
    <w:rsid w:val="00DA59FD"/>
    <w:rsid w:val="00DA5D6F"/>
    <w:rsid w:val="00DA7DC2"/>
    <w:rsid w:val="00DA7EFF"/>
    <w:rsid w:val="00DB242C"/>
    <w:rsid w:val="00DB4005"/>
    <w:rsid w:val="00DB4514"/>
    <w:rsid w:val="00DB4B2E"/>
    <w:rsid w:val="00DB4BE9"/>
    <w:rsid w:val="00DB648E"/>
    <w:rsid w:val="00DB73F7"/>
    <w:rsid w:val="00DB777D"/>
    <w:rsid w:val="00DC0301"/>
    <w:rsid w:val="00DC1484"/>
    <w:rsid w:val="00DC1F87"/>
    <w:rsid w:val="00DC2A62"/>
    <w:rsid w:val="00DC2CE8"/>
    <w:rsid w:val="00DC2EFD"/>
    <w:rsid w:val="00DC3DF7"/>
    <w:rsid w:val="00DC43BA"/>
    <w:rsid w:val="00DC45AB"/>
    <w:rsid w:val="00DC5EF1"/>
    <w:rsid w:val="00DC6069"/>
    <w:rsid w:val="00DC6289"/>
    <w:rsid w:val="00DC62BA"/>
    <w:rsid w:val="00DC6463"/>
    <w:rsid w:val="00DC6933"/>
    <w:rsid w:val="00DC71D4"/>
    <w:rsid w:val="00DC74D5"/>
    <w:rsid w:val="00DC7AA9"/>
    <w:rsid w:val="00DC7E2E"/>
    <w:rsid w:val="00DD0B05"/>
    <w:rsid w:val="00DD0E21"/>
    <w:rsid w:val="00DD2B54"/>
    <w:rsid w:val="00DD2C37"/>
    <w:rsid w:val="00DD302D"/>
    <w:rsid w:val="00DD39E1"/>
    <w:rsid w:val="00DD40FB"/>
    <w:rsid w:val="00DD4804"/>
    <w:rsid w:val="00DD4D23"/>
    <w:rsid w:val="00DD5658"/>
    <w:rsid w:val="00DD57BF"/>
    <w:rsid w:val="00DD6360"/>
    <w:rsid w:val="00DD6898"/>
    <w:rsid w:val="00DD6BEE"/>
    <w:rsid w:val="00DD7639"/>
    <w:rsid w:val="00DE000E"/>
    <w:rsid w:val="00DE0750"/>
    <w:rsid w:val="00DE08E4"/>
    <w:rsid w:val="00DE1ABF"/>
    <w:rsid w:val="00DE2501"/>
    <w:rsid w:val="00DE2F26"/>
    <w:rsid w:val="00DE3416"/>
    <w:rsid w:val="00DE396D"/>
    <w:rsid w:val="00DE419C"/>
    <w:rsid w:val="00DE49FA"/>
    <w:rsid w:val="00DE5005"/>
    <w:rsid w:val="00DE5CB4"/>
    <w:rsid w:val="00DE622B"/>
    <w:rsid w:val="00DE6FED"/>
    <w:rsid w:val="00DE74DD"/>
    <w:rsid w:val="00DE7A1D"/>
    <w:rsid w:val="00DF0E8B"/>
    <w:rsid w:val="00DF18ED"/>
    <w:rsid w:val="00DF1946"/>
    <w:rsid w:val="00DF1B4B"/>
    <w:rsid w:val="00DF2D44"/>
    <w:rsid w:val="00DF44E0"/>
    <w:rsid w:val="00DF4604"/>
    <w:rsid w:val="00DF46AD"/>
    <w:rsid w:val="00DF504D"/>
    <w:rsid w:val="00DF59AF"/>
    <w:rsid w:val="00DF5E81"/>
    <w:rsid w:val="00DF67BB"/>
    <w:rsid w:val="00DF67C0"/>
    <w:rsid w:val="00DF73A6"/>
    <w:rsid w:val="00DF7412"/>
    <w:rsid w:val="00E0002C"/>
    <w:rsid w:val="00E000E9"/>
    <w:rsid w:val="00E00564"/>
    <w:rsid w:val="00E00E9B"/>
    <w:rsid w:val="00E0198C"/>
    <w:rsid w:val="00E03849"/>
    <w:rsid w:val="00E040F0"/>
    <w:rsid w:val="00E04472"/>
    <w:rsid w:val="00E04500"/>
    <w:rsid w:val="00E05532"/>
    <w:rsid w:val="00E05B2E"/>
    <w:rsid w:val="00E05B42"/>
    <w:rsid w:val="00E0643A"/>
    <w:rsid w:val="00E070EA"/>
    <w:rsid w:val="00E07463"/>
    <w:rsid w:val="00E077AB"/>
    <w:rsid w:val="00E10C59"/>
    <w:rsid w:val="00E10C98"/>
    <w:rsid w:val="00E1170A"/>
    <w:rsid w:val="00E11F2F"/>
    <w:rsid w:val="00E12064"/>
    <w:rsid w:val="00E1282D"/>
    <w:rsid w:val="00E12937"/>
    <w:rsid w:val="00E1306C"/>
    <w:rsid w:val="00E1329E"/>
    <w:rsid w:val="00E1340C"/>
    <w:rsid w:val="00E135A8"/>
    <w:rsid w:val="00E140D3"/>
    <w:rsid w:val="00E1504F"/>
    <w:rsid w:val="00E15827"/>
    <w:rsid w:val="00E15AD0"/>
    <w:rsid w:val="00E16311"/>
    <w:rsid w:val="00E16315"/>
    <w:rsid w:val="00E16BA5"/>
    <w:rsid w:val="00E1750D"/>
    <w:rsid w:val="00E20A49"/>
    <w:rsid w:val="00E21562"/>
    <w:rsid w:val="00E21616"/>
    <w:rsid w:val="00E21EBE"/>
    <w:rsid w:val="00E2247C"/>
    <w:rsid w:val="00E22A99"/>
    <w:rsid w:val="00E22ADB"/>
    <w:rsid w:val="00E22C39"/>
    <w:rsid w:val="00E22DF3"/>
    <w:rsid w:val="00E23026"/>
    <w:rsid w:val="00E23353"/>
    <w:rsid w:val="00E23484"/>
    <w:rsid w:val="00E2355D"/>
    <w:rsid w:val="00E2398B"/>
    <w:rsid w:val="00E23A72"/>
    <w:rsid w:val="00E23C3B"/>
    <w:rsid w:val="00E2411A"/>
    <w:rsid w:val="00E244E4"/>
    <w:rsid w:val="00E24798"/>
    <w:rsid w:val="00E24840"/>
    <w:rsid w:val="00E2491B"/>
    <w:rsid w:val="00E24F0F"/>
    <w:rsid w:val="00E25EA3"/>
    <w:rsid w:val="00E2619C"/>
    <w:rsid w:val="00E26541"/>
    <w:rsid w:val="00E26604"/>
    <w:rsid w:val="00E26BEB"/>
    <w:rsid w:val="00E279E6"/>
    <w:rsid w:val="00E27DC3"/>
    <w:rsid w:val="00E308A9"/>
    <w:rsid w:val="00E316EC"/>
    <w:rsid w:val="00E31779"/>
    <w:rsid w:val="00E318AE"/>
    <w:rsid w:val="00E31D15"/>
    <w:rsid w:val="00E31FE1"/>
    <w:rsid w:val="00E3237A"/>
    <w:rsid w:val="00E335A0"/>
    <w:rsid w:val="00E33D2F"/>
    <w:rsid w:val="00E363D4"/>
    <w:rsid w:val="00E36A3F"/>
    <w:rsid w:val="00E36F0F"/>
    <w:rsid w:val="00E371C3"/>
    <w:rsid w:val="00E37345"/>
    <w:rsid w:val="00E377BB"/>
    <w:rsid w:val="00E379C9"/>
    <w:rsid w:val="00E407FA"/>
    <w:rsid w:val="00E41079"/>
    <w:rsid w:val="00E415FD"/>
    <w:rsid w:val="00E41CEE"/>
    <w:rsid w:val="00E42369"/>
    <w:rsid w:val="00E42B84"/>
    <w:rsid w:val="00E42E7E"/>
    <w:rsid w:val="00E440F9"/>
    <w:rsid w:val="00E44A09"/>
    <w:rsid w:val="00E4537C"/>
    <w:rsid w:val="00E4543C"/>
    <w:rsid w:val="00E4553D"/>
    <w:rsid w:val="00E46601"/>
    <w:rsid w:val="00E47499"/>
    <w:rsid w:val="00E4755D"/>
    <w:rsid w:val="00E47674"/>
    <w:rsid w:val="00E5040C"/>
    <w:rsid w:val="00E5092E"/>
    <w:rsid w:val="00E5118E"/>
    <w:rsid w:val="00E511FF"/>
    <w:rsid w:val="00E52125"/>
    <w:rsid w:val="00E5227D"/>
    <w:rsid w:val="00E53F43"/>
    <w:rsid w:val="00E547BC"/>
    <w:rsid w:val="00E54D0D"/>
    <w:rsid w:val="00E557E4"/>
    <w:rsid w:val="00E56A1B"/>
    <w:rsid w:val="00E56A42"/>
    <w:rsid w:val="00E570DB"/>
    <w:rsid w:val="00E57AF1"/>
    <w:rsid w:val="00E604E5"/>
    <w:rsid w:val="00E60893"/>
    <w:rsid w:val="00E61A62"/>
    <w:rsid w:val="00E62B2B"/>
    <w:rsid w:val="00E63186"/>
    <w:rsid w:val="00E63E59"/>
    <w:rsid w:val="00E63FC4"/>
    <w:rsid w:val="00E64B2E"/>
    <w:rsid w:val="00E65B32"/>
    <w:rsid w:val="00E65BE8"/>
    <w:rsid w:val="00E66192"/>
    <w:rsid w:val="00E67002"/>
    <w:rsid w:val="00E67788"/>
    <w:rsid w:val="00E70454"/>
    <w:rsid w:val="00E72053"/>
    <w:rsid w:val="00E72521"/>
    <w:rsid w:val="00E739FD"/>
    <w:rsid w:val="00E746BE"/>
    <w:rsid w:val="00E75939"/>
    <w:rsid w:val="00E77F7B"/>
    <w:rsid w:val="00E8041E"/>
    <w:rsid w:val="00E811E9"/>
    <w:rsid w:val="00E815D4"/>
    <w:rsid w:val="00E82C17"/>
    <w:rsid w:val="00E831E2"/>
    <w:rsid w:val="00E84240"/>
    <w:rsid w:val="00E84516"/>
    <w:rsid w:val="00E8491B"/>
    <w:rsid w:val="00E8578C"/>
    <w:rsid w:val="00E86530"/>
    <w:rsid w:val="00E87767"/>
    <w:rsid w:val="00E87D89"/>
    <w:rsid w:val="00E92791"/>
    <w:rsid w:val="00E92A1E"/>
    <w:rsid w:val="00E92BA1"/>
    <w:rsid w:val="00E92CDD"/>
    <w:rsid w:val="00E939C8"/>
    <w:rsid w:val="00E94053"/>
    <w:rsid w:val="00E95726"/>
    <w:rsid w:val="00E97678"/>
    <w:rsid w:val="00E977C5"/>
    <w:rsid w:val="00EA03F0"/>
    <w:rsid w:val="00EA1632"/>
    <w:rsid w:val="00EA1B5F"/>
    <w:rsid w:val="00EA1CF5"/>
    <w:rsid w:val="00EA24D3"/>
    <w:rsid w:val="00EA338B"/>
    <w:rsid w:val="00EA3461"/>
    <w:rsid w:val="00EA3CC6"/>
    <w:rsid w:val="00EA4DFB"/>
    <w:rsid w:val="00EA4F9E"/>
    <w:rsid w:val="00EA55B9"/>
    <w:rsid w:val="00EA5C81"/>
    <w:rsid w:val="00EA61C9"/>
    <w:rsid w:val="00EA62BC"/>
    <w:rsid w:val="00EA67F5"/>
    <w:rsid w:val="00EA6872"/>
    <w:rsid w:val="00EA785E"/>
    <w:rsid w:val="00EA7F3A"/>
    <w:rsid w:val="00EB0715"/>
    <w:rsid w:val="00EB0BBE"/>
    <w:rsid w:val="00EB17B6"/>
    <w:rsid w:val="00EB1A84"/>
    <w:rsid w:val="00EB2FB3"/>
    <w:rsid w:val="00EB2FF4"/>
    <w:rsid w:val="00EB32EB"/>
    <w:rsid w:val="00EB3326"/>
    <w:rsid w:val="00EB3B12"/>
    <w:rsid w:val="00EB414B"/>
    <w:rsid w:val="00EB54F9"/>
    <w:rsid w:val="00EB5DE1"/>
    <w:rsid w:val="00EB6F69"/>
    <w:rsid w:val="00EB78A7"/>
    <w:rsid w:val="00EB792A"/>
    <w:rsid w:val="00EC0763"/>
    <w:rsid w:val="00EC0BD3"/>
    <w:rsid w:val="00EC0C6C"/>
    <w:rsid w:val="00EC0CF0"/>
    <w:rsid w:val="00EC1297"/>
    <w:rsid w:val="00EC14F1"/>
    <w:rsid w:val="00EC1CAB"/>
    <w:rsid w:val="00EC25C3"/>
    <w:rsid w:val="00EC3382"/>
    <w:rsid w:val="00EC3558"/>
    <w:rsid w:val="00EC3613"/>
    <w:rsid w:val="00EC3FB6"/>
    <w:rsid w:val="00EC5392"/>
    <w:rsid w:val="00EC53B1"/>
    <w:rsid w:val="00EC5870"/>
    <w:rsid w:val="00EC5935"/>
    <w:rsid w:val="00EC5D7D"/>
    <w:rsid w:val="00EC6E5F"/>
    <w:rsid w:val="00EC7536"/>
    <w:rsid w:val="00EC77D1"/>
    <w:rsid w:val="00EC7F93"/>
    <w:rsid w:val="00ED00ED"/>
    <w:rsid w:val="00ED11DF"/>
    <w:rsid w:val="00ED126E"/>
    <w:rsid w:val="00ED18D8"/>
    <w:rsid w:val="00ED1EF9"/>
    <w:rsid w:val="00ED21FC"/>
    <w:rsid w:val="00ED2331"/>
    <w:rsid w:val="00ED2698"/>
    <w:rsid w:val="00ED320C"/>
    <w:rsid w:val="00ED33ED"/>
    <w:rsid w:val="00ED3CF8"/>
    <w:rsid w:val="00ED4067"/>
    <w:rsid w:val="00ED58CD"/>
    <w:rsid w:val="00ED5987"/>
    <w:rsid w:val="00ED6744"/>
    <w:rsid w:val="00ED7839"/>
    <w:rsid w:val="00EE0479"/>
    <w:rsid w:val="00EE0CC1"/>
    <w:rsid w:val="00EE0E9D"/>
    <w:rsid w:val="00EE0EA4"/>
    <w:rsid w:val="00EE1191"/>
    <w:rsid w:val="00EE2DF9"/>
    <w:rsid w:val="00EE2F11"/>
    <w:rsid w:val="00EE3D0C"/>
    <w:rsid w:val="00EE441E"/>
    <w:rsid w:val="00EE4CA5"/>
    <w:rsid w:val="00EE4DF8"/>
    <w:rsid w:val="00EE549C"/>
    <w:rsid w:val="00EE55E0"/>
    <w:rsid w:val="00EE5607"/>
    <w:rsid w:val="00EE57EF"/>
    <w:rsid w:val="00EE5A3D"/>
    <w:rsid w:val="00EE5BB8"/>
    <w:rsid w:val="00EE5E0A"/>
    <w:rsid w:val="00EE5F82"/>
    <w:rsid w:val="00EE6CDA"/>
    <w:rsid w:val="00EE723E"/>
    <w:rsid w:val="00EE727F"/>
    <w:rsid w:val="00EE7313"/>
    <w:rsid w:val="00EF0ACA"/>
    <w:rsid w:val="00EF0B86"/>
    <w:rsid w:val="00EF19C3"/>
    <w:rsid w:val="00EF2285"/>
    <w:rsid w:val="00EF2477"/>
    <w:rsid w:val="00EF2C4D"/>
    <w:rsid w:val="00EF2ECC"/>
    <w:rsid w:val="00EF3086"/>
    <w:rsid w:val="00EF37FB"/>
    <w:rsid w:val="00EF3BAE"/>
    <w:rsid w:val="00EF4253"/>
    <w:rsid w:val="00EF4980"/>
    <w:rsid w:val="00EF4B88"/>
    <w:rsid w:val="00EF4C66"/>
    <w:rsid w:val="00EF53AF"/>
    <w:rsid w:val="00EF5CE6"/>
    <w:rsid w:val="00EF5D34"/>
    <w:rsid w:val="00F00B94"/>
    <w:rsid w:val="00F00F25"/>
    <w:rsid w:val="00F0173A"/>
    <w:rsid w:val="00F01D28"/>
    <w:rsid w:val="00F01E8C"/>
    <w:rsid w:val="00F02345"/>
    <w:rsid w:val="00F02A71"/>
    <w:rsid w:val="00F02B83"/>
    <w:rsid w:val="00F03241"/>
    <w:rsid w:val="00F0350E"/>
    <w:rsid w:val="00F03752"/>
    <w:rsid w:val="00F0424A"/>
    <w:rsid w:val="00F049E0"/>
    <w:rsid w:val="00F05589"/>
    <w:rsid w:val="00F0650F"/>
    <w:rsid w:val="00F06667"/>
    <w:rsid w:val="00F06FEC"/>
    <w:rsid w:val="00F070FB"/>
    <w:rsid w:val="00F076DA"/>
    <w:rsid w:val="00F10DC4"/>
    <w:rsid w:val="00F110F9"/>
    <w:rsid w:val="00F11A0A"/>
    <w:rsid w:val="00F12B14"/>
    <w:rsid w:val="00F13630"/>
    <w:rsid w:val="00F13665"/>
    <w:rsid w:val="00F13AE7"/>
    <w:rsid w:val="00F142AE"/>
    <w:rsid w:val="00F15727"/>
    <w:rsid w:val="00F15DD0"/>
    <w:rsid w:val="00F15E3E"/>
    <w:rsid w:val="00F166E1"/>
    <w:rsid w:val="00F17FC5"/>
    <w:rsid w:val="00F20261"/>
    <w:rsid w:val="00F209BA"/>
    <w:rsid w:val="00F20FE8"/>
    <w:rsid w:val="00F21729"/>
    <w:rsid w:val="00F21751"/>
    <w:rsid w:val="00F2198E"/>
    <w:rsid w:val="00F21BA8"/>
    <w:rsid w:val="00F21BC2"/>
    <w:rsid w:val="00F238BA"/>
    <w:rsid w:val="00F24322"/>
    <w:rsid w:val="00F248EB"/>
    <w:rsid w:val="00F24C7A"/>
    <w:rsid w:val="00F24EE6"/>
    <w:rsid w:val="00F2557E"/>
    <w:rsid w:val="00F25A85"/>
    <w:rsid w:val="00F25CF2"/>
    <w:rsid w:val="00F26681"/>
    <w:rsid w:val="00F26C72"/>
    <w:rsid w:val="00F27077"/>
    <w:rsid w:val="00F27141"/>
    <w:rsid w:val="00F272E0"/>
    <w:rsid w:val="00F27686"/>
    <w:rsid w:val="00F27B55"/>
    <w:rsid w:val="00F27BA2"/>
    <w:rsid w:val="00F27C00"/>
    <w:rsid w:val="00F30A1E"/>
    <w:rsid w:val="00F31BE7"/>
    <w:rsid w:val="00F320F5"/>
    <w:rsid w:val="00F32336"/>
    <w:rsid w:val="00F32B86"/>
    <w:rsid w:val="00F32BD5"/>
    <w:rsid w:val="00F33431"/>
    <w:rsid w:val="00F346E8"/>
    <w:rsid w:val="00F34941"/>
    <w:rsid w:val="00F34E85"/>
    <w:rsid w:val="00F35467"/>
    <w:rsid w:val="00F36FA8"/>
    <w:rsid w:val="00F373B7"/>
    <w:rsid w:val="00F373C9"/>
    <w:rsid w:val="00F409A6"/>
    <w:rsid w:val="00F41639"/>
    <w:rsid w:val="00F41733"/>
    <w:rsid w:val="00F41880"/>
    <w:rsid w:val="00F41B4C"/>
    <w:rsid w:val="00F41C4E"/>
    <w:rsid w:val="00F4293E"/>
    <w:rsid w:val="00F44764"/>
    <w:rsid w:val="00F44FEB"/>
    <w:rsid w:val="00F45095"/>
    <w:rsid w:val="00F45C23"/>
    <w:rsid w:val="00F45D35"/>
    <w:rsid w:val="00F46355"/>
    <w:rsid w:val="00F46A42"/>
    <w:rsid w:val="00F47096"/>
    <w:rsid w:val="00F4758F"/>
    <w:rsid w:val="00F47630"/>
    <w:rsid w:val="00F50411"/>
    <w:rsid w:val="00F509C1"/>
    <w:rsid w:val="00F50C0E"/>
    <w:rsid w:val="00F51671"/>
    <w:rsid w:val="00F52319"/>
    <w:rsid w:val="00F540CE"/>
    <w:rsid w:val="00F54A99"/>
    <w:rsid w:val="00F54D27"/>
    <w:rsid w:val="00F54E44"/>
    <w:rsid w:val="00F55FDE"/>
    <w:rsid w:val="00F56830"/>
    <w:rsid w:val="00F57404"/>
    <w:rsid w:val="00F578A7"/>
    <w:rsid w:val="00F603F5"/>
    <w:rsid w:val="00F604EB"/>
    <w:rsid w:val="00F6096E"/>
    <w:rsid w:val="00F61EF9"/>
    <w:rsid w:val="00F62A26"/>
    <w:rsid w:val="00F62BA0"/>
    <w:rsid w:val="00F62DA6"/>
    <w:rsid w:val="00F63173"/>
    <w:rsid w:val="00F63697"/>
    <w:rsid w:val="00F639CE"/>
    <w:rsid w:val="00F63F5E"/>
    <w:rsid w:val="00F6417F"/>
    <w:rsid w:val="00F64C86"/>
    <w:rsid w:val="00F64E41"/>
    <w:rsid w:val="00F65357"/>
    <w:rsid w:val="00F655C9"/>
    <w:rsid w:val="00F658C6"/>
    <w:rsid w:val="00F6592D"/>
    <w:rsid w:val="00F666F4"/>
    <w:rsid w:val="00F66BC6"/>
    <w:rsid w:val="00F66EB8"/>
    <w:rsid w:val="00F67C3A"/>
    <w:rsid w:val="00F67F1F"/>
    <w:rsid w:val="00F70A13"/>
    <w:rsid w:val="00F71077"/>
    <w:rsid w:val="00F718AA"/>
    <w:rsid w:val="00F71E83"/>
    <w:rsid w:val="00F721B0"/>
    <w:rsid w:val="00F722A0"/>
    <w:rsid w:val="00F72B9A"/>
    <w:rsid w:val="00F738D8"/>
    <w:rsid w:val="00F73E02"/>
    <w:rsid w:val="00F74301"/>
    <w:rsid w:val="00F74931"/>
    <w:rsid w:val="00F74ABA"/>
    <w:rsid w:val="00F75616"/>
    <w:rsid w:val="00F75D1F"/>
    <w:rsid w:val="00F770FE"/>
    <w:rsid w:val="00F773CD"/>
    <w:rsid w:val="00F773DD"/>
    <w:rsid w:val="00F77E5D"/>
    <w:rsid w:val="00F803C8"/>
    <w:rsid w:val="00F80545"/>
    <w:rsid w:val="00F80E80"/>
    <w:rsid w:val="00F8130C"/>
    <w:rsid w:val="00F83AAA"/>
    <w:rsid w:val="00F83BE7"/>
    <w:rsid w:val="00F84CEB"/>
    <w:rsid w:val="00F84E43"/>
    <w:rsid w:val="00F850E0"/>
    <w:rsid w:val="00F85298"/>
    <w:rsid w:val="00F852D2"/>
    <w:rsid w:val="00F85422"/>
    <w:rsid w:val="00F85FB0"/>
    <w:rsid w:val="00F860FF"/>
    <w:rsid w:val="00F86616"/>
    <w:rsid w:val="00F86875"/>
    <w:rsid w:val="00F876C1"/>
    <w:rsid w:val="00F901F9"/>
    <w:rsid w:val="00F9081E"/>
    <w:rsid w:val="00F90CFF"/>
    <w:rsid w:val="00F9118B"/>
    <w:rsid w:val="00F91666"/>
    <w:rsid w:val="00F918FA"/>
    <w:rsid w:val="00F91BA6"/>
    <w:rsid w:val="00F91F58"/>
    <w:rsid w:val="00F920B3"/>
    <w:rsid w:val="00F921C3"/>
    <w:rsid w:val="00F924A5"/>
    <w:rsid w:val="00F9264F"/>
    <w:rsid w:val="00F927A0"/>
    <w:rsid w:val="00F92B64"/>
    <w:rsid w:val="00F92E80"/>
    <w:rsid w:val="00F93CE2"/>
    <w:rsid w:val="00F94B91"/>
    <w:rsid w:val="00F9527B"/>
    <w:rsid w:val="00F95307"/>
    <w:rsid w:val="00F95432"/>
    <w:rsid w:val="00F95933"/>
    <w:rsid w:val="00F961E9"/>
    <w:rsid w:val="00F96DBB"/>
    <w:rsid w:val="00F97138"/>
    <w:rsid w:val="00F97E03"/>
    <w:rsid w:val="00FA0E7B"/>
    <w:rsid w:val="00FA16A8"/>
    <w:rsid w:val="00FA21C9"/>
    <w:rsid w:val="00FA2AD2"/>
    <w:rsid w:val="00FA4B67"/>
    <w:rsid w:val="00FA564B"/>
    <w:rsid w:val="00FA6382"/>
    <w:rsid w:val="00FA7448"/>
    <w:rsid w:val="00FA7C14"/>
    <w:rsid w:val="00FB015D"/>
    <w:rsid w:val="00FB024D"/>
    <w:rsid w:val="00FB0760"/>
    <w:rsid w:val="00FB1AB3"/>
    <w:rsid w:val="00FB27F1"/>
    <w:rsid w:val="00FB345D"/>
    <w:rsid w:val="00FB3DAD"/>
    <w:rsid w:val="00FB3EAA"/>
    <w:rsid w:val="00FB4419"/>
    <w:rsid w:val="00FB4A94"/>
    <w:rsid w:val="00FB535B"/>
    <w:rsid w:val="00FB55A8"/>
    <w:rsid w:val="00FB5D78"/>
    <w:rsid w:val="00FB5EB2"/>
    <w:rsid w:val="00FB67EE"/>
    <w:rsid w:val="00FB6CEE"/>
    <w:rsid w:val="00FB6D8E"/>
    <w:rsid w:val="00FB7505"/>
    <w:rsid w:val="00FC3035"/>
    <w:rsid w:val="00FC3BEE"/>
    <w:rsid w:val="00FC3C73"/>
    <w:rsid w:val="00FC468F"/>
    <w:rsid w:val="00FC46B4"/>
    <w:rsid w:val="00FC495F"/>
    <w:rsid w:val="00FC539C"/>
    <w:rsid w:val="00FC559C"/>
    <w:rsid w:val="00FC5DA3"/>
    <w:rsid w:val="00FC5E24"/>
    <w:rsid w:val="00FC61BA"/>
    <w:rsid w:val="00FC62C3"/>
    <w:rsid w:val="00FC6E55"/>
    <w:rsid w:val="00FC6F25"/>
    <w:rsid w:val="00FC73BA"/>
    <w:rsid w:val="00FC7C99"/>
    <w:rsid w:val="00FD0FE4"/>
    <w:rsid w:val="00FD1C31"/>
    <w:rsid w:val="00FD1CA4"/>
    <w:rsid w:val="00FD26A7"/>
    <w:rsid w:val="00FD2784"/>
    <w:rsid w:val="00FD2790"/>
    <w:rsid w:val="00FD2AF9"/>
    <w:rsid w:val="00FD2C9B"/>
    <w:rsid w:val="00FD3BB3"/>
    <w:rsid w:val="00FD3BE0"/>
    <w:rsid w:val="00FD418E"/>
    <w:rsid w:val="00FD4623"/>
    <w:rsid w:val="00FD488B"/>
    <w:rsid w:val="00FD51CF"/>
    <w:rsid w:val="00FD5223"/>
    <w:rsid w:val="00FD551C"/>
    <w:rsid w:val="00FD72BB"/>
    <w:rsid w:val="00FD7816"/>
    <w:rsid w:val="00FD7C0E"/>
    <w:rsid w:val="00FD7F70"/>
    <w:rsid w:val="00FD7FE7"/>
    <w:rsid w:val="00FE0188"/>
    <w:rsid w:val="00FE0A45"/>
    <w:rsid w:val="00FE0C49"/>
    <w:rsid w:val="00FE0EA9"/>
    <w:rsid w:val="00FE133D"/>
    <w:rsid w:val="00FE250F"/>
    <w:rsid w:val="00FE2A9A"/>
    <w:rsid w:val="00FE2F34"/>
    <w:rsid w:val="00FE3741"/>
    <w:rsid w:val="00FE3862"/>
    <w:rsid w:val="00FE4E98"/>
    <w:rsid w:val="00FE51DB"/>
    <w:rsid w:val="00FE59B2"/>
    <w:rsid w:val="00FE660F"/>
    <w:rsid w:val="00FE66F6"/>
    <w:rsid w:val="00FE6AD4"/>
    <w:rsid w:val="00FE78DE"/>
    <w:rsid w:val="00FF0D5B"/>
    <w:rsid w:val="00FF0DA1"/>
    <w:rsid w:val="00FF24E0"/>
    <w:rsid w:val="00FF322E"/>
    <w:rsid w:val="00FF334C"/>
    <w:rsid w:val="00FF42AD"/>
    <w:rsid w:val="00FF4A82"/>
    <w:rsid w:val="00FF5757"/>
    <w:rsid w:val="00FF577B"/>
    <w:rsid w:val="00FF5905"/>
    <w:rsid w:val="00FF59F0"/>
    <w:rsid w:val="00FF5BF2"/>
    <w:rsid w:val="00FF5D79"/>
    <w:rsid w:val="00FF5EB7"/>
    <w:rsid w:val="00FF693C"/>
    <w:rsid w:val="00FF6AC2"/>
    <w:rsid w:val="00FF6E99"/>
    <w:rsid w:val="0EB405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EDB5C4"/>
  <w15:docId w15:val="{E8601533-52FE-461B-A96E-9C0443E9B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08E0"/>
    <w:pPr>
      <w:spacing w:line="480" w:lineRule="auto"/>
    </w:pPr>
    <w:rPr>
      <w:rFonts w:ascii="Times New Roman" w:hAnsi="Times New Roman"/>
      <w:sz w:val="24"/>
      <w:lang w:val="en-US"/>
    </w:rPr>
  </w:style>
  <w:style w:type="paragraph" w:styleId="Heading1">
    <w:name w:val="heading 1"/>
    <w:basedOn w:val="Normal"/>
    <w:next w:val="Normal"/>
    <w:link w:val="Heading1Char"/>
    <w:uiPriority w:val="9"/>
    <w:qFormat/>
    <w:rsid w:val="00F17FC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967D2"/>
    <w:pPr>
      <w:keepNext/>
      <w:keepLines/>
      <w:spacing w:before="200" w:after="0"/>
      <w:outlineLvl w:val="1"/>
    </w:pPr>
    <w:rPr>
      <w:rFonts w:ascii="Calibri" w:eastAsiaTheme="majorEastAsia" w:hAnsi="Calibr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830FE3"/>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EB414B"/>
    <w:pPr>
      <w:spacing w:line="240" w:lineRule="auto"/>
    </w:pPr>
    <w:rPr>
      <w:sz w:val="20"/>
      <w:szCs w:val="20"/>
    </w:rPr>
  </w:style>
  <w:style w:type="character" w:customStyle="1" w:styleId="CommentTextChar">
    <w:name w:val="Comment Text Char"/>
    <w:basedOn w:val="DefaultParagraphFont"/>
    <w:link w:val="CommentText"/>
    <w:uiPriority w:val="99"/>
    <w:rsid w:val="00EB414B"/>
    <w:rPr>
      <w:sz w:val="20"/>
      <w:szCs w:val="20"/>
    </w:rPr>
  </w:style>
  <w:style w:type="character" w:styleId="CommentReference">
    <w:name w:val="annotation reference"/>
    <w:uiPriority w:val="99"/>
    <w:semiHidden/>
    <w:rsid w:val="00EB414B"/>
    <w:rPr>
      <w:sz w:val="16"/>
      <w:szCs w:val="16"/>
    </w:rPr>
  </w:style>
  <w:style w:type="paragraph" w:styleId="BalloonText">
    <w:name w:val="Balloon Text"/>
    <w:basedOn w:val="Normal"/>
    <w:link w:val="BalloonTextChar"/>
    <w:uiPriority w:val="99"/>
    <w:semiHidden/>
    <w:unhideWhenUsed/>
    <w:rsid w:val="00EB41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414B"/>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255390"/>
    <w:rPr>
      <w:b/>
      <w:bCs/>
    </w:rPr>
  </w:style>
  <w:style w:type="character" w:customStyle="1" w:styleId="CommentSubjectChar">
    <w:name w:val="Comment Subject Char"/>
    <w:basedOn w:val="CommentTextChar"/>
    <w:link w:val="CommentSubject"/>
    <w:uiPriority w:val="99"/>
    <w:semiHidden/>
    <w:rsid w:val="00255390"/>
    <w:rPr>
      <w:b/>
      <w:bCs/>
      <w:sz w:val="20"/>
      <w:szCs w:val="20"/>
    </w:rPr>
  </w:style>
  <w:style w:type="character" w:customStyle="1" w:styleId="Heading1Char">
    <w:name w:val="Heading 1 Char"/>
    <w:basedOn w:val="DefaultParagraphFont"/>
    <w:link w:val="Heading1"/>
    <w:uiPriority w:val="9"/>
    <w:rsid w:val="00F17FC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967D2"/>
    <w:rPr>
      <w:rFonts w:ascii="Calibri" w:eastAsiaTheme="majorEastAsia" w:hAnsi="Calibri" w:cstheme="majorBidi"/>
      <w:b/>
      <w:bCs/>
      <w:color w:val="4F81BD" w:themeColor="accent1"/>
      <w:sz w:val="26"/>
      <w:szCs w:val="26"/>
    </w:rPr>
  </w:style>
  <w:style w:type="paragraph" w:styleId="ListParagraph">
    <w:name w:val="List Paragraph"/>
    <w:aliases w:val="Questions,List Paragraph1,Probes,Bullet List Paragraph,Paragrafo elenco,text,List Paragraph2,Liste couleur - Accent 11,Question Char Char Char,q,cS List Paragraph,Bullet List,FooterText,Table of Contents 2,List Paragraph11,qq1,Response li"/>
    <w:basedOn w:val="Normal"/>
    <w:link w:val="ListParagraphChar"/>
    <w:uiPriority w:val="34"/>
    <w:qFormat/>
    <w:rsid w:val="00F00F25"/>
    <w:pPr>
      <w:ind w:left="720"/>
      <w:contextualSpacing/>
    </w:pPr>
  </w:style>
  <w:style w:type="paragraph" w:styleId="NoSpacing">
    <w:name w:val="No Spacing"/>
    <w:uiPriority w:val="1"/>
    <w:qFormat/>
    <w:rsid w:val="00F00F25"/>
    <w:pPr>
      <w:spacing w:after="0" w:line="240" w:lineRule="auto"/>
    </w:pPr>
  </w:style>
  <w:style w:type="character" w:styleId="Hyperlink">
    <w:name w:val="Hyperlink"/>
    <w:basedOn w:val="DefaultParagraphFont"/>
    <w:uiPriority w:val="99"/>
    <w:unhideWhenUsed/>
    <w:rsid w:val="00A967D2"/>
    <w:rPr>
      <w:color w:val="0000FF"/>
      <w:u w:val="single"/>
    </w:rPr>
  </w:style>
  <w:style w:type="character" w:styleId="UnresolvedMention">
    <w:name w:val="Unresolved Mention"/>
    <w:basedOn w:val="DefaultParagraphFont"/>
    <w:uiPriority w:val="99"/>
    <w:semiHidden/>
    <w:unhideWhenUsed/>
    <w:rsid w:val="00DE49FA"/>
    <w:rPr>
      <w:color w:val="605E5C"/>
      <w:shd w:val="clear" w:color="auto" w:fill="E1DFDD"/>
    </w:rPr>
  </w:style>
  <w:style w:type="character" w:styleId="PlaceholderText">
    <w:name w:val="Placeholder Text"/>
    <w:basedOn w:val="DefaultParagraphFont"/>
    <w:uiPriority w:val="99"/>
    <w:semiHidden/>
    <w:rsid w:val="00D362A4"/>
    <w:rPr>
      <w:color w:val="808080"/>
    </w:rPr>
  </w:style>
  <w:style w:type="paragraph" w:styleId="Caption">
    <w:name w:val="caption"/>
    <w:basedOn w:val="Normal"/>
    <w:next w:val="Normal"/>
    <w:uiPriority w:val="35"/>
    <w:unhideWhenUsed/>
    <w:qFormat/>
    <w:rsid w:val="001F0E15"/>
    <w:pPr>
      <w:spacing w:line="240" w:lineRule="auto"/>
    </w:pPr>
    <w:rPr>
      <w:i/>
      <w:iCs/>
      <w:color w:val="1F497D" w:themeColor="text2"/>
      <w:sz w:val="18"/>
      <w:szCs w:val="18"/>
    </w:rPr>
  </w:style>
  <w:style w:type="table" w:styleId="TableGrid">
    <w:name w:val="Table Grid"/>
    <w:aliases w:val="Deloitte,Incite Table,Table Grid-111,Grid for statements,TABLEAU,Modèle de tableau"/>
    <w:basedOn w:val="TableNormal"/>
    <w:uiPriority w:val="99"/>
    <w:rsid w:val="009578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EF19C3"/>
    <w:pPr>
      <w:spacing w:after="0"/>
      <w:jc w:val="center"/>
    </w:pPr>
    <w:rPr>
      <w:rFonts w:ascii="Calibri" w:hAnsi="Calibri" w:cs="Calibri"/>
      <w:noProof/>
      <w:sz w:val="26"/>
    </w:rPr>
  </w:style>
  <w:style w:type="character" w:customStyle="1" w:styleId="ListParagraphChar">
    <w:name w:val="List Paragraph Char"/>
    <w:aliases w:val="Questions Char,List Paragraph1 Char,Probes Char,Bullet List Paragraph Char,Paragrafo elenco Char,text Char,List Paragraph2 Char,Liste couleur - Accent 11 Char,Question Char Char Char Char,q Char,cS List Paragraph Char,FooterText Char"/>
    <w:basedOn w:val="DefaultParagraphFont"/>
    <w:link w:val="ListParagraph"/>
    <w:uiPriority w:val="34"/>
    <w:rsid w:val="00EF19C3"/>
  </w:style>
  <w:style w:type="character" w:customStyle="1" w:styleId="EndNoteBibliographyTitleChar">
    <w:name w:val="EndNote Bibliography Title Char"/>
    <w:basedOn w:val="ListParagraphChar"/>
    <w:link w:val="EndNoteBibliographyTitle"/>
    <w:rsid w:val="00EF19C3"/>
    <w:rPr>
      <w:rFonts w:ascii="Calibri" w:hAnsi="Calibri" w:cs="Calibri"/>
      <w:noProof/>
      <w:sz w:val="26"/>
      <w:lang w:val="en-US"/>
    </w:rPr>
  </w:style>
  <w:style w:type="paragraph" w:customStyle="1" w:styleId="EndNoteBibliography">
    <w:name w:val="EndNote Bibliography"/>
    <w:basedOn w:val="Normal"/>
    <w:link w:val="EndNoteBibliographyChar"/>
    <w:rsid w:val="00EF19C3"/>
    <w:pPr>
      <w:spacing w:line="240" w:lineRule="auto"/>
    </w:pPr>
    <w:rPr>
      <w:rFonts w:ascii="Calibri" w:hAnsi="Calibri" w:cs="Calibri"/>
      <w:noProof/>
      <w:sz w:val="26"/>
    </w:rPr>
  </w:style>
  <w:style w:type="character" w:customStyle="1" w:styleId="EndNoteBibliographyChar">
    <w:name w:val="EndNote Bibliography Char"/>
    <w:basedOn w:val="ListParagraphChar"/>
    <w:link w:val="EndNoteBibliography"/>
    <w:rsid w:val="00EF19C3"/>
    <w:rPr>
      <w:rFonts w:ascii="Calibri" w:hAnsi="Calibri" w:cs="Calibri"/>
      <w:noProof/>
      <w:sz w:val="26"/>
      <w:lang w:val="en-US"/>
    </w:rPr>
  </w:style>
  <w:style w:type="character" w:styleId="FollowedHyperlink">
    <w:name w:val="FollowedHyperlink"/>
    <w:basedOn w:val="DefaultParagraphFont"/>
    <w:uiPriority w:val="99"/>
    <w:semiHidden/>
    <w:unhideWhenUsed/>
    <w:rsid w:val="008E4C6A"/>
    <w:rPr>
      <w:color w:val="800080" w:themeColor="followedHyperlink"/>
      <w:u w:val="single"/>
    </w:rPr>
  </w:style>
  <w:style w:type="paragraph" w:customStyle="1" w:styleId="Default">
    <w:name w:val="Default"/>
    <w:rsid w:val="00F80E80"/>
    <w:pPr>
      <w:autoSpaceDE w:val="0"/>
      <w:autoSpaceDN w:val="0"/>
      <w:adjustRightInd w:val="0"/>
      <w:spacing w:after="0" w:line="240" w:lineRule="auto"/>
    </w:pPr>
    <w:rPr>
      <w:rFonts w:ascii="Times New Roman" w:hAnsi="Times New Roman" w:cs="Times New Roman"/>
      <w:color w:val="000000"/>
      <w:sz w:val="24"/>
      <w:szCs w:val="24"/>
      <w14:ligatures w14:val="standardContextual"/>
    </w:rPr>
  </w:style>
  <w:style w:type="paragraph" w:customStyle="1" w:styleId="bulletlist1">
    <w:name w:val="bullet list 1"/>
    <w:basedOn w:val="ListParagraph"/>
    <w:link w:val="bulletlist1Char"/>
    <w:qFormat/>
    <w:rsid w:val="008B6AA1"/>
    <w:pPr>
      <w:numPr>
        <w:numId w:val="1"/>
      </w:numPr>
      <w:ind w:left="357" w:hanging="357"/>
    </w:pPr>
  </w:style>
  <w:style w:type="character" w:customStyle="1" w:styleId="bulletlist1Char">
    <w:name w:val="bullet list 1 Char"/>
    <w:basedOn w:val="ListParagraphChar"/>
    <w:link w:val="bulletlist1"/>
    <w:rsid w:val="008B6AA1"/>
    <w:rPr>
      <w:rFonts w:ascii="Times New Roman" w:hAnsi="Times New Roman"/>
      <w:sz w:val="24"/>
    </w:rPr>
  </w:style>
  <w:style w:type="paragraph" w:customStyle="1" w:styleId="bulletlist2">
    <w:name w:val="bullet list 2"/>
    <w:basedOn w:val="ListParagraph"/>
    <w:link w:val="bulletlist2Char"/>
    <w:qFormat/>
    <w:rsid w:val="00C83EF4"/>
    <w:pPr>
      <w:numPr>
        <w:ilvl w:val="1"/>
        <w:numId w:val="1"/>
      </w:numPr>
      <w:ind w:left="641" w:hanging="357"/>
    </w:pPr>
  </w:style>
  <w:style w:type="character" w:customStyle="1" w:styleId="bulletlist2Char">
    <w:name w:val="bullet list 2 Char"/>
    <w:basedOn w:val="ListParagraphChar"/>
    <w:link w:val="bulletlist2"/>
    <w:rsid w:val="00C83EF4"/>
    <w:rPr>
      <w:rFonts w:ascii="Times New Roman" w:hAnsi="Times New Roman"/>
      <w:sz w:val="24"/>
    </w:rPr>
  </w:style>
  <w:style w:type="paragraph" w:customStyle="1" w:styleId="bulletlist3">
    <w:name w:val="bullet list 3"/>
    <w:basedOn w:val="ListParagraph"/>
    <w:link w:val="bulletlist3Char"/>
    <w:qFormat/>
    <w:rsid w:val="00F070FB"/>
    <w:pPr>
      <w:numPr>
        <w:numId w:val="2"/>
      </w:numPr>
      <w:ind w:left="924" w:hanging="357"/>
    </w:pPr>
  </w:style>
  <w:style w:type="character" w:customStyle="1" w:styleId="bulletlist3Char">
    <w:name w:val="bullet list 3 Char"/>
    <w:basedOn w:val="ListParagraphChar"/>
    <w:link w:val="bulletlist3"/>
    <w:rsid w:val="00F070FB"/>
    <w:rPr>
      <w:rFonts w:ascii="Times New Roman" w:hAnsi="Times New Roman"/>
      <w:sz w:val="24"/>
    </w:rPr>
  </w:style>
  <w:style w:type="paragraph" w:styleId="NormalWeb">
    <w:name w:val="Normal (Web)"/>
    <w:basedOn w:val="Normal"/>
    <w:uiPriority w:val="99"/>
    <w:unhideWhenUsed/>
    <w:rsid w:val="00FB4419"/>
    <w:pPr>
      <w:spacing w:before="100" w:beforeAutospacing="1" w:after="100" w:afterAutospacing="1" w:line="240" w:lineRule="auto"/>
    </w:pPr>
    <w:rPr>
      <w:rFonts w:eastAsia="Times New Roman" w:cs="Times New Roman"/>
      <w:szCs w:val="24"/>
      <w:lang w:eastAsia="en-GB"/>
    </w:rPr>
  </w:style>
  <w:style w:type="paragraph" w:customStyle="1" w:styleId="Style1">
    <w:name w:val="Style1"/>
    <w:basedOn w:val="Normal"/>
    <w:link w:val="Style1Char"/>
    <w:qFormat/>
    <w:rsid w:val="00482B03"/>
    <w:rPr>
      <w:sz w:val="18"/>
      <w:szCs w:val="18"/>
    </w:rPr>
  </w:style>
  <w:style w:type="character" w:customStyle="1" w:styleId="Style1Char">
    <w:name w:val="Style1 Char"/>
    <w:basedOn w:val="DefaultParagraphFont"/>
    <w:link w:val="Style1"/>
    <w:rsid w:val="00482B03"/>
    <w:rPr>
      <w:sz w:val="18"/>
      <w:szCs w:val="18"/>
    </w:rPr>
  </w:style>
  <w:style w:type="paragraph" w:customStyle="1" w:styleId="footnotes">
    <w:name w:val="footnotes"/>
    <w:basedOn w:val="Normal"/>
    <w:link w:val="footnotesChar"/>
    <w:qFormat/>
    <w:rsid w:val="00223E13"/>
    <w:rPr>
      <w:sz w:val="18"/>
      <w:szCs w:val="18"/>
    </w:rPr>
  </w:style>
  <w:style w:type="character" w:customStyle="1" w:styleId="footnotesChar">
    <w:name w:val="footnotes Char"/>
    <w:basedOn w:val="DefaultParagraphFont"/>
    <w:link w:val="footnotes"/>
    <w:rsid w:val="00223E13"/>
    <w:rPr>
      <w:sz w:val="18"/>
      <w:szCs w:val="18"/>
    </w:rPr>
  </w:style>
  <w:style w:type="character" w:customStyle="1" w:styleId="Heading4Char">
    <w:name w:val="Heading 4 Char"/>
    <w:basedOn w:val="DefaultParagraphFont"/>
    <w:link w:val="Heading4"/>
    <w:uiPriority w:val="9"/>
    <w:semiHidden/>
    <w:rsid w:val="00830FE3"/>
    <w:rPr>
      <w:rFonts w:asciiTheme="majorHAnsi" w:eastAsiaTheme="majorEastAsia" w:hAnsiTheme="majorHAnsi" w:cstheme="majorBidi"/>
      <w:i/>
      <w:iCs/>
      <w:color w:val="365F91" w:themeColor="accent1" w:themeShade="BF"/>
    </w:rPr>
  </w:style>
  <w:style w:type="paragraph" w:customStyle="1" w:styleId="tabletext">
    <w:name w:val="table text"/>
    <w:basedOn w:val="Normal"/>
    <w:link w:val="tabletextChar"/>
    <w:qFormat/>
    <w:rsid w:val="006E0EB1"/>
    <w:pPr>
      <w:spacing w:before="60" w:after="60" w:line="240" w:lineRule="auto"/>
    </w:pPr>
    <w:rPr>
      <w:sz w:val="20"/>
      <w:szCs w:val="20"/>
    </w:rPr>
  </w:style>
  <w:style w:type="character" w:customStyle="1" w:styleId="tabletextChar">
    <w:name w:val="table text Char"/>
    <w:basedOn w:val="DefaultParagraphFont"/>
    <w:link w:val="tabletext"/>
    <w:rsid w:val="006E0EB1"/>
    <w:rPr>
      <w:rFonts w:ascii="Times New Roman" w:hAnsi="Times New Roman"/>
      <w:sz w:val="20"/>
      <w:szCs w:val="20"/>
    </w:rPr>
  </w:style>
  <w:style w:type="paragraph" w:styleId="Revision">
    <w:name w:val="Revision"/>
    <w:hidden/>
    <w:uiPriority w:val="99"/>
    <w:semiHidden/>
    <w:rsid w:val="00F13630"/>
    <w:pPr>
      <w:spacing w:after="0" w:line="240" w:lineRule="auto"/>
    </w:pPr>
  </w:style>
  <w:style w:type="paragraph" w:customStyle="1" w:styleId="tablebullet">
    <w:name w:val="table bullet"/>
    <w:basedOn w:val="Normal"/>
    <w:link w:val="tablebulletChar"/>
    <w:qFormat/>
    <w:rsid w:val="00B21E25"/>
    <w:pPr>
      <w:numPr>
        <w:numId w:val="3"/>
      </w:numPr>
      <w:spacing w:after="0" w:line="240" w:lineRule="auto"/>
      <w:ind w:left="113" w:hanging="113"/>
    </w:pPr>
    <w:rPr>
      <w:rFonts w:cstheme="minorHAnsi"/>
      <w:sz w:val="20"/>
      <w:szCs w:val="20"/>
    </w:rPr>
  </w:style>
  <w:style w:type="character" w:customStyle="1" w:styleId="tablebulletChar">
    <w:name w:val="table bullet Char"/>
    <w:basedOn w:val="DefaultParagraphFont"/>
    <w:link w:val="tablebullet"/>
    <w:rsid w:val="00B21E25"/>
    <w:rPr>
      <w:rFonts w:ascii="Times New Roman" w:hAnsi="Times New Roman" w:cstheme="minorHAnsi"/>
      <w:sz w:val="20"/>
      <w:szCs w:val="20"/>
    </w:rPr>
  </w:style>
  <w:style w:type="paragraph" w:customStyle="1" w:styleId="pf0">
    <w:name w:val="pf0"/>
    <w:basedOn w:val="Normal"/>
    <w:rsid w:val="00765E0A"/>
    <w:pPr>
      <w:spacing w:before="100" w:beforeAutospacing="1" w:after="100" w:afterAutospacing="1" w:line="240" w:lineRule="auto"/>
    </w:pPr>
    <w:rPr>
      <w:rFonts w:eastAsia="Times New Roman" w:cs="Times New Roman"/>
      <w:szCs w:val="24"/>
      <w:lang w:eastAsia="en-GB"/>
    </w:rPr>
  </w:style>
  <w:style w:type="character" w:customStyle="1" w:styleId="cf01">
    <w:name w:val="cf01"/>
    <w:basedOn w:val="DefaultParagraphFont"/>
    <w:rsid w:val="00765E0A"/>
    <w:rPr>
      <w:rFonts w:ascii="Segoe UI" w:hAnsi="Segoe UI" w:cs="Segoe UI" w:hint="default"/>
      <w:sz w:val="18"/>
      <w:szCs w:val="18"/>
    </w:rPr>
  </w:style>
  <w:style w:type="paragraph" w:customStyle="1" w:styleId="tablebullet2">
    <w:name w:val="table bullet 2"/>
    <w:basedOn w:val="bulletlist2"/>
    <w:link w:val="tablebullet2Char"/>
    <w:qFormat/>
    <w:rsid w:val="00BC4321"/>
    <w:pPr>
      <w:numPr>
        <w:numId w:val="3"/>
      </w:numPr>
      <w:spacing w:before="60" w:afterLines="60" w:after="144" w:line="240" w:lineRule="auto"/>
      <w:ind w:left="641" w:hanging="357"/>
    </w:pPr>
    <w:rPr>
      <w:sz w:val="20"/>
      <w:szCs w:val="20"/>
    </w:rPr>
  </w:style>
  <w:style w:type="character" w:customStyle="1" w:styleId="tablebullet2Char">
    <w:name w:val="table bullet 2 Char"/>
    <w:basedOn w:val="bulletlist2Char"/>
    <w:link w:val="tablebullet2"/>
    <w:rsid w:val="00BC4321"/>
    <w:rPr>
      <w:rFonts w:ascii="Times New Roman" w:hAnsi="Times New Roman"/>
      <w:sz w:val="20"/>
      <w:szCs w:val="20"/>
      <w:lang w:val="en-US"/>
    </w:rPr>
  </w:style>
  <w:style w:type="character" w:styleId="Mention">
    <w:name w:val="Mention"/>
    <w:basedOn w:val="DefaultParagraphFont"/>
    <w:uiPriority w:val="99"/>
    <w:unhideWhenUsed/>
    <w:rsid w:val="00D35256"/>
    <w:rPr>
      <w:color w:val="2B579A"/>
      <w:shd w:val="clear" w:color="auto" w:fill="E1DFDD"/>
    </w:rPr>
  </w:style>
  <w:style w:type="paragraph" w:styleId="BodyText">
    <w:name w:val="Body Text"/>
    <w:basedOn w:val="Normal"/>
    <w:link w:val="BodyTextChar"/>
    <w:qFormat/>
    <w:rsid w:val="0010351B"/>
    <w:pPr>
      <w:spacing w:after="120" w:line="240" w:lineRule="auto"/>
    </w:pPr>
    <w:rPr>
      <w:rFonts w:asciiTheme="minorHAnsi" w:hAnsiTheme="minorHAnsi"/>
      <w:color w:val="000000" w:themeColor="text1"/>
      <w:sz w:val="20"/>
      <w:lang w:val="en-GB"/>
    </w:rPr>
  </w:style>
  <w:style w:type="character" w:customStyle="1" w:styleId="BodyTextChar">
    <w:name w:val="Body Text Char"/>
    <w:basedOn w:val="DefaultParagraphFont"/>
    <w:link w:val="BodyText"/>
    <w:rsid w:val="0010351B"/>
    <w:rPr>
      <w:color w:val="000000" w:themeColor="text1"/>
      <w:sz w:val="20"/>
    </w:rPr>
  </w:style>
  <w:style w:type="paragraph" w:styleId="Header">
    <w:name w:val="header"/>
    <w:basedOn w:val="Normal"/>
    <w:link w:val="HeaderChar"/>
    <w:uiPriority w:val="99"/>
    <w:unhideWhenUsed/>
    <w:rsid w:val="008647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47D4"/>
    <w:rPr>
      <w:rFonts w:ascii="Times New Roman" w:hAnsi="Times New Roman"/>
      <w:sz w:val="24"/>
      <w:lang w:val="en-US"/>
    </w:rPr>
  </w:style>
  <w:style w:type="paragraph" w:styleId="Footer">
    <w:name w:val="footer"/>
    <w:basedOn w:val="Normal"/>
    <w:link w:val="FooterChar"/>
    <w:uiPriority w:val="99"/>
    <w:unhideWhenUsed/>
    <w:rsid w:val="008647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47D4"/>
    <w:rPr>
      <w:rFonts w:ascii="Times New Roman" w:hAnsi="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364">
      <w:bodyDiv w:val="1"/>
      <w:marLeft w:val="0"/>
      <w:marRight w:val="0"/>
      <w:marTop w:val="0"/>
      <w:marBottom w:val="0"/>
      <w:divBdr>
        <w:top w:val="none" w:sz="0" w:space="0" w:color="auto"/>
        <w:left w:val="none" w:sz="0" w:space="0" w:color="auto"/>
        <w:bottom w:val="none" w:sz="0" w:space="0" w:color="auto"/>
        <w:right w:val="none" w:sz="0" w:space="0" w:color="auto"/>
      </w:divBdr>
    </w:div>
    <w:div w:id="5835220">
      <w:bodyDiv w:val="1"/>
      <w:marLeft w:val="0"/>
      <w:marRight w:val="0"/>
      <w:marTop w:val="0"/>
      <w:marBottom w:val="0"/>
      <w:divBdr>
        <w:top w:val="none" w:sz="0" w:space="0" w:color="auto"/>
        <w:left w:val="none" w:sz="0" w:space="0" w:color="auto"/>
        <w:bottom w:val="none" w:sz="0" w:space="0" w:color="auto"/>
        <w:right w:val="none" w:sz="0" w:space="0" w:color="auto"/>
      </w:divBdr>
      <w:divsChild>
        <w:div w:id="169412428">
          <w:marLeft w:val="1166"/>
          <w:marRight w:val="0"/>
          <w:marTop w:val="0"/>
          <w:marBottom w:val="0"/>
          <w:divBdr>
            <w:top w:val="none" w:sz="0" w:space="0" w:color="auto"/>
            <w:left w:val="none" w:sz="0" w:space="0" w:color="auto"/>
            <w:bottom w:val="none" w:sz="0" w:space="0" w:color="auto"/>
            <w:right w:val="none" w:sz="0" w:space="0" w:color="auto"/>
          </w:divBdr>
        </w:div>
      </w:divsChild>
    </w:div>
    <w:div w:id="91512414">
      <w:bodyDiv w:val="1"/>
      <w:marLeft w:val="0"/>
      <w:marRight w:val="0"/>
      <w:marTop w:val="0"/>
      <w:marBottom w:val="0"/>
      <w:divBdr>
        <w:top w:val="none" w:sz="0" w:space="0" w:color="auto"/>
        <w:left w:val="none" w:sz="0" w:space="0" w:color="auto"/>
        <w:bottom w:val="none" w:sz="0" w:space="0" w:color="auto"/>
        <w:right w:val="none" w:sz="0" w:space="0" w:color="auto"/>
      </w:divBdr>
    </w:div>
    <w:div w:id="129635501">
      <w:bodyDiv w:val="1"/>
      <w:marLeft w:val="0"/>
      <w:marRight w:val="0"/>
      <w:marTop w:val="0"/>
      <w:marBottom w:val="0"/>
      <w:divBdr>
        <w:top w:val="none" w:sz="0" w:space="0" w:color="auto"/>
        <w:left w:val="none" w:sz="0" w:space="0" w:color="auto"/>
        <w:bottom w:val="none" w:sz="0" w:space="0" w:color="auto"/>
        <w:right w:val="none" w:sz="0" w:space="0" w:color="auto"/>
      </w:divBdr>
    </w:div>
    <w:div w:id="141119169">
      <w:bodyDiv w:val="1"/>
      <w:marLeft w:val="0"/>
      <w:marRight w:val="0"/>
      <w:marTop w:val="0"/>
      <w:marBottom w:val="0"/>
      <w:divBdr>
        <w:top w:val="none" w:sz="0" w:space="0" w:color="auto"/>
        <w:left w:val="none" w:sz="0" w:space="0" w:color="auto"/>
        <w:bottom w:val="none" w:sz="0" w:space="0" w:color="auto"/>
        <w:right w:val="none" w:sz="0" w:space="0" w:color="auto"/>
      </w:divBdr>
    </w:div>
    <w:div w:id="172377180">
      <w:bodyDiv w:val="1"/>
      <w:marLeft w:val="0"/>
      <w:marRight w:val="0"/>
      <w:marTop w:val="0"/>
      <w:marBottom w:val="0"/>
      <w:divBdr>
        <w:top w:val="none" w:sz="0" w:space="0" w:color="auto"/>
        <w:left w:val="none" w:sz="0" w:space="0" w:color="auto"/>
        <w:bottom w:val="none" w:sz="0" w:space="0" w:color="auto"/>
        <w:right w:val="none" w:sz="0" w:space="0" w:color="auto"/>
      </w:divBdr>
    </w:div>
    <w:div w:id="209534671">
      <w:bodyDiv w:val="1"/>
      <w:marLeft w:val="0"/>
      <w:marRight w:val="0"/>
      <w:marTop w:val="0"/>
      <w:marBottom w:val="0"/>
      <w:divBdr>
        <w:top w:val="none" w:sz="0" w:space="0" w:color="auto"/>
        <w:left w:val="none" w:sz="0" w:space="0" w:color="auto"/>
        <w:bottom w:val="none" w:sz="0" w:space="0" w:color="auto"/>
        <w:right w:val="none" w:sz="0" w:space="0" w:color="auto"/>
      </w:divBdr>
    </w:div>
    <w:div w:id="272636278">
      <w:bodyDiv w:val="1"/>
      <w:marLeft w:val="0"/>
      <w:marRight w:val="0"/>
      <w:marTop w:val="0"/>
      <w:marBottom w:val="0"/>
      <w:divBdr>
        <w:top w:val="none" w:sz="0" w:space="0" w:color="auto"/>
        <w:left w:val="none" w:sz="0" w:space="0" w:color="auto"/>
        <w:bottom w:val="none" w:sz="0" w:space="0" w:color="auto"/>
        <w:right w:val="none" w:sz="0" w:space="0" w:color="auto"/>
      </w:divBdr>
    </w:div>
    <w:div w:id="286932548">
      <w:bodyDiv w:val="1"/>
      <w:marLeft w:val="0"/>
      <w:marRight w:val="0"/>
      <w:marTop w:val="0"/>
      <w:marBottom w:val="0"/>
      <w:divBdr>
        <w:top w:val="none" w:sz="0" w:space="0" w:color="auto"/>
        <w:left w:val="none" w:sz="0" w:space="0" w:color="auto"/>
        <w:bottom w:val="none" w:sz="0" w:space="0" w:color="auto"/>
        <w:right w:val="none" w:sz="0" w:space="0" w:color="auto"/>
      </w:divBdr>
    </w:div>
    <w:div w:id="288128274">
      <w:bodyDiv w:val="1"/>
      <w:marLeft w:val="0"/>
      <w:marRight w:val="0"/>
      <w:marTop w:val="0"/>
      <w:marBottom w:val="0"/>
      <w:divBdr>
        <w:top w:val="none" w:sz="0" w:space="0" w:color="auto"/>
        <w:left w:val="none" w:sz="0" w:space="0" w:color="auto"/>
        <w:bottom w:val="none" w:sz="0" w:space="0" w:color="auto"/>
        <w:right w:val="none" w:sz="0" w:space="0" w:color="auto"/>
      </w:divBdr>
      <w:divsChild>
        <w:div w:id="871263467">
          <w:marLeft w:val="1166"/>
          <w:marRight w:val="0"/>
          <w:marTop w:val="0"/>
          <w:marBottom w:val="0"/>
          <w:divBdr>
            <w:top w:val="none" w:sz="0" w:space="0" w:color="auto"/>
            <w:left w:val="none" w:sz="0" w:space="0" w:color="auto"/>
            <w:bottom w:val="none" w:sz="0" w:space="0" w:color="auto"/>
            <w:right w:val="none" w:sz="0" w:space="0" w:color="auto"/>
          </w:divBdr>
        </w:div>
      </w:divsChild>
    </w:div>
    <w:div w:id="303507153">
      <w:bodyDiv w:val="1"/>
      <w:marLeft w:val="0"/>
      <w:marRight w:val="0"/>
      <w:marTop w:val="0"/>
      <w:marBottom w:val="0"/>
      <w:divBdr>
        <w:top w:val="none" w:sz="0" w:space="0" w:color="auto"/>
        <w:left w:val="none" w:sz="0" w:space="0" w:color="auto"/>
        <w:bottom w:val="none" w:sz="0" w:space="0" w:color="auto"/>
        <w:right w:val="none" w:sz="0" w:space="0" w:color="auto"/>
      </w:divBdr>
    </w:div>
    <w:div w:id="312760970">
      <w:bodyDiv w:val="1"/>
      <w:marLeft w:val="0"/>
      <w:marRight w:val="0"/>
      <w:marTop w:val="0"/>
      <w:marBottom w:val="0"/>
      <w:divBdr>
        <w:top w:val="none" w:sz="0" w:space="0" w:color="auto"/>
        <w:left w:val="none" w:sz="0" w:space="0" w:color="auto"/>
        <w:bottom w:val="none" w:sz="0" w:space="0" w:color="auto"/>
        <w:right w:val="none" w:sz="0" w:space="0" w:color="auto"/>
      </w:divBdr>
    </w:div>
    <w:div w:id="331445411">
      <w:bodyDiv w:val="1"/>
      <w:marLeft w:val="0"/>
      <w:marRight w:val="0"/>
      <w:marTop w:val="0"/>
      <w:marBottom w:val="0"/>
      <w:divBdr>
        <w:top w:val="none" w:sz="0" w:space="0" w:color="auto"/>
        <w:left w:val="none" w:sz="0" w:space="0" w:color="auto"/>
        <w:bottom w:val="none" w:sz="0" w:space="0" w:color="auto"/>
        <w:right w:val="none" w:sz="0" w:space="0" w:color="auto"/>
      </w:divBdr>
    </w:div>
    <w:div w:id="332757477">
      <w:bodyDiv w:val="1"/>
      <w:marLeft w:val="0"/>
      <w:marRight w:val="0"/>
      <w:marTop w:val="0"/>
      <w:marBottom w:val="0"/>
      <w:divBdr>
        <w:top w:val="none" w:sz="0" w:space="0" w:color="auto"/>
        <w:left w:val="none" w:sz="0" w:space="0" w:color="auto"/>
        <w:bottom w:val="none" w:sz="0" w:space="0" w:color="auto"/>
        <w:right w:val="none" w:sz="0" w:space="0" w:color="auto"/>
      </w:divBdr>
    </w:div>
    <w:div w:id="360975444">
      <w:bodyDiv w:val="1"/>
      <w:marLeft w:val="0"/>
      <w:marRight w:val="0"/>
      <w:marTop w:val="0"/>
      <w:marBottom w:val="0"/>
      <w:divBdr>
        <w:top w:val="none" w:sz="0" w:space="0" w:color="auto"/>
        <w:left w:val="none" w:sz="0" w:space="0" w:color="auto"/>
        <w:bottom w:val="none" w:sz="0" w:space="0" w:color="auto"/>
        <w:right w:val="none" w:sz="0" w:space="0" w:color="auto"/>
      </w:divBdr>
    </w:div>
    <w:div w:id="368145972">
      <w:bodyDiv w:val="1"/>
      <w:marLeft w:val="0"/>
      <w:marRight w:val="0"/>
      <w:marTop w:val="0"/>
      <w:marBottom w:val="0"/>
      <w:divBdr>
        <w:top w:val="none" w:sz="0" w:space="0" w:color="auto"/>
        <w:left w:val="none" w:sz="0" w:space="0" w:color="auto"/>
        <w:bottom w:val="none" w:sz="0" w:space="0" w:color="auto"/>
        <w:right w:val="none" w:sz="0" w:space="0" w:color="auto"/>
      </w:divBdr>
    </w:div>
    <w:div w:id="371879252">
      <w:bodyDiv w:val="1"/>
      <w:marLeft w:val="0"/>
      <w:marRight w:val="0"/>
      <w:marTop w:val="0"/>
      <w:marBottom w:val="0"/>
      <w:divBdr>
        <w:top w:val="none" w:sz="0" w:space="0" w:color="auto"/>
        <w:left w:val="none" w:sz="0" w:space="0" w:color="auto"/>
        <w:bottom w:val="none" w:sz="0" w:space="0" w:color="auto"/>
        <w:right w:val="none" w:sz="0" w:space="0" w:color="auto"/>
      </w:divBdr>
    </w:div>
    <w:div w:id="416024516">
      <w:bodyDiv w:val="1"/>
      <w:marLeft w:val="0"/>
      <w:marRight w:val="0"/>
      <w:marTop w:val="0"/>
      <w:marBottom w:val="0"/>
      <w:divBdr>
        <w:top w:val="none" w:sz="0" w:space="0" w:color="auto"/>
        <w:left w:val="none" w:sz="0" w:space="0" w:color="auto"/>
        <w:bottom w:val="none" w:sz="0" w:space="0" w:color="auto"/>
        <w:right w:val="none" w:sz="0" w:space="0" w:color="auto"/>
      </w:divBdr>
    </w:div>
    <w:div w:id="426998354">
      <w:bodyDiv w:val="1"/>
      <w:marLeft w:val="0"/>
      <w:marRight w:val="0"/>
      <w:marTop w:val="0"/>
      <w:marBottom w:val="0"/>
      <w:divBdr>
        <w:top w:val="none" w:sz="0" w:space="0" w:color="auto"/>
        <w:left w:val="none" w:sz="0" w:space="0" w:color="auto"/>
        <w:bottom w:val="none" w:sz="0" w:space="0" w:color="auto"/>
        <w:right w:val="none" w:sz="0" w:space="0" w:color="auto"/>
      </w:divBdr>
    </w:div>
    <w:div w:id="429357026">
      <w:bodyDiv w:val="1"/>
      <w:marLeft w:val="0"/>
      <w:marRight w:val="0"/>
      <w:marTop w:val="0"/>
      <w:marBottom w:val="0"/>
      <w:divBdr>
        <w:top w:val="none" w:sz="0" w:space="0" w:color="auto"/>
        <w:left w:val="none" w:sz="0" w:space="0" w:color="auto"/>
        <w:bottom w:val="none" w:sz="0" w:space="0" w:color="auto"/>
        <w:right w:val="none" w:sz="0" w:space="0" w:color="auto"/>
      </w:divBdr>
    </w:div>
    <w:div w:id="453401953">
      <w:bodyDiv w:val="1"/>
      <w:marLeft w:val="0"/>
      <w:marRight w:val="0"/>
      <w:marTop w:val="0"/>
      <w:marBottom w:val="0"/>
      <w:divBdr>
        <w:top w:val="none" w:sz="0" w:space="0" w:color="auto"/>
        <w:left w:val="none" w:sz="0" w:space="0" w:color="auto"/>
        <w:bottom w:val="none" w:sz="0" w:space="0" w:color="auto"/>
        <w:right w:val="none" w:sz="0" w:space="0" w:color="auto"/>
      </w:divBdr>
    </w:div>
    <w:div w:id="458569515">
      <w:bodyDiv w:val="1"/>
      <w:marLeft w:val="0"/>
      <w:marRight w:val="0"/>
      <w:marTop w:val="0"/>
      <w:marBottom w:val="0"/>
      <w:divBdr>
        <w:top w:val="none" w:sz="0" w:space="0" w:color="auto"/>
        <w:left w:val="none" w:sz="0" w:space="0" w:color="auto"/>
        <w:bottom w:val="none" w:sz="0" w:space="0" w:color="auto"/>
        <w:right w:val="none" w:sz="0" w:space="0" w:color="auto"/>
      </w:divBdr>
    </w:div>
    <w:div w:id="528876588">
      <w:bodyDiv w:val="1"/>
      <w:marLeft w:val="0"/>
      <w:marRight w:val="0"/>
      <w:marTop w:val="0"/>
      <w:marBottom w:val="0"/>
      <w:divBdr>
        <w:top w:val="none" w:sz="0" w:space="0" w:color="auto"/>
        <w:left w:val="none" w:sz="0" w:space="0" w:color="auto"/>
        <w:bottom w:val="none" w:sz="0" w:space="0" w:color="auto"/>
        <w:right w:val="none" w:sz="0" w:space="0" w:color="auto"/>
      </w:divBdr>
      <w:divsChild>
        <w:div w:id="1143427960">
          <w:marLeft w:val="1166"/>
          <w:marRight w:val="0"/>
          <w:marTop w:val="0"/>
          <w:marBottom w:val="0"/>
          <w:divBdr>
            <w:top w:val="none" w:sz="0" w:space="0" w:color="auto"/>
            <w:left w:val="none" w:sz="0" w:space="0" w:color="auto"/>
            <w:bottom w:val="none" w:sz="0" w:space="0" w:color="auto"/>
            <w:right w:val="none" w:sz="0" w:space="0" w:color="auto"/>
          </w:divBdr>
        </w:div>
        <w:div w:id="1047143303">
          <w:marLeft w:val="1886"/>
          <w:marRight w:val="0"/>
          <w:marTop w:val="0"/>
          <w:marBottom w:val="0"/>
          <w:divBdr>
            <w:top w:val="none" w:sz="0" w:space="0" w:color="auto"/>
            <w:left w:val="none" w:sz="0" w:space="0" w:color="auto"/>
            <w:bottom w:val="none" w:sz="0" w:space="0" w:color="auto"/>
            <w:right w:val="none" w:sz="0" w:space="0" w:color="auto"/>
          </w:divBdr>
        </w:div>
        <w:div w:id="162817288">
          <w:marLeft w:val="1886"/>
          <w:marRight w:val="0"/>
          <w:marTop w:val="0"/>
          <w:marBottom w:val="0"/>
          <w:divBdr>
            <w:top w:val="none" w:sz="0" w:space="0" w:color="auto"/>
            <w:left w:val="none" w:sz="0" w:space="0" w:color="auto"/>
            <w:bottom w:val="none" w:sz="0" w:space="0" w:color="auto"/>
            <w:right w:val="none" w:sz="0" w:space="0" w:color="auto"/>
          </w:divBdr>
        </w:div>
        <w:div w:id="1144464814">
          <w:marLeft w:val="1886"/>
          <w:marRight w:val="0"/>
          <w:marTop w:val="0"/>
          <w:marBottom w:val="0"/>
          <w:divBdr>
            <w:top w:val="none" w:sz="0" w:space="0" w:color="auto"/>
            <w:left w:val="none" w:sz="0" w:space="0" w:color="auto"/>
            <w:bottom w:val="none" w:sz="0" w:space="0" w:color="auto"/>
            <w:right w:val="none" w:sz="0" w:space="0" w:color="auto"/>
          </w:divBdr>
        </w:div>
        <w:div w:id="1416441374">
          <w:marLeft w:val="2318"/>
          <w:marRight w:val="0"/>
          <w:marTop w:val="0"/>
          <w:marBottom w:val="0"/>
          <w:divBdr>
            <w:top w:val="none" w:sz="0" w:space="0" w:color="auto"/>
            <w:left w:val="none" w:sz="0" w:space="0" w:color="auto"/>
            <w:bottom w:val="none" w:sz="0" w:space="0" w:color="auto"/>
            <w:right w:val="none" w:sz="0" w:space="0" w:color="auto"/>
          </w:divBdr>
        </w:div>
        <w:div w:id="1991859886">
          <w:marLeft w:val="2318"/>
          <w:marRight w:val="0"/>
          <w:marTop w:val="0"/>
          <w:marBottom w:val="0"/>
          <w:divBdr>
            <w:top w:val="none" w:sz="0" w:space="0" w:color="auto"/>
            <w:left w:val="none" w:sz="0" w:space="0" w:color="auto"/>
            <w:bottom w:val="none" w:sz="0" w:space="0" w:color="auto"/>
            <w:right w:val="none" w:sz="0" w:space="0" w:color="auto"/>
          </w:divBdr>
        </w:div>
        <w:div w:id="1155754899">
          <w:marLeft w:val="2318"/>
          <w:marRight w:val="0"/>
          <w:marTop w:val="0"/>
          <w:marBottom w:val="0"/>
          <w:divBdr>
            <w:top w:val="none" w:sz="0" w:space="0" w:color="auto"/>
            <w:left w:val="none" w:sz="0" w:space="0" w:color="auto"/>
            <w:bottom w:val="none" w:sz="0" w:space="0" w:color="auto"/>
            <w:right w:val="none" w:sz="0" w:space="0" w:color="auto"/>
          </w:divBdr>
        </w:div>
        <w:div w:id="2096778500">
          <w:marLeft w:val="1886"/>
          <w:marRight w:val="0"/>
          <w:marTop w:val="0"/>
          <w:marBottom w:val="0"/>
          <w:divBdr>
            <w:top w:val="none" w:sz="0" w:space="0" w:color="auto"/>
            <w:left w:val="none" w:sz="0" w:space="0" w:color="auto"/>
            <w:bottom w:val="none" w:sz="0" w:space="0" w:color="auto"/>
            <w:right w:val="none" w:sz="0" w:space="0" w:color="auto"/>
          </w:divBdr>
        </w:div>
      </w:divsChild>
    </w:div>
    <w:div w:id="558250181">
      <w:bodyDiv w:val="1"/>
      <w:marLeft w:val="0"/>
      <w:marRight w:val="0"/>
      <w:marTop w:val="0"/>
      <w:marBottom w:val="0"/>
      <w:divBdr>
        <w:top w:val="none" w:sz="0" w:space="0" w:color="auto"/>
        <w:left w:val="none" w:sz="0" w:space="0" w:color="auto"/>
        <w:bottom w:val="none" w:sz="0" w:space="0" w:color="auto"/>
        <w:right w:val="none" w:sz="0" w:space="0" w:color="auto"/>
      </w:divBdr>
      <w:divsChild>
        <w:div w:id="1845825703">
          <w:marLeft w:val="144"/>
          <w:marRight w:val="0"/>
          <w:marTop w:val="0"/>
          <w:marBottom w:val="60"/>
          <w:divBdr>
            <w:top w:val="none" w:sz="0" w:space="0" w:color="auto"/>
            <w:left w:val="none" w:sz="0" w:space="0" w:color="auto"/>
            <w:bottom w:val="none" w:sz="0" w:space="0" w:color="auto"/>
            <w:right w:val="none" w:sz="0" w:space="0" w:color="auto"/>
          </w:divBdr>
        </w:div>
        <w:div w:id="1316296476">
          <w:marLeft w:val="144"/>
          <w:marRight w:val="0"/>
          <w:marTop w:val="0"/>
          <w:marBottom w:val="60"/>
          <w:divBdr>
            <w:top w:val="none" w:sz="0" w:space="0" w:color="auto"/>
            <w:left w:val="none" w:sz="0" w:space="0" w:color="auto"/>
            <w:bottom w:val="none" w:sz="0" w:space="0" w:color="auto"/>
            <w:right w:val="none" w:sz="0" w:space="0" w:color="auto"/>
          </w:divBdr>
        </w:div>
      </w:divsChild>
    </w:div>
    <w:div w:id="566645336">
      <w:bodyDiv w:val="1"/>
      <w:marLeft w:val="0"/>
      <w:marRight w:val="0"/>
      <w:marTop w:val="0"/>
      <w:marBottom w:val="0"/>
      <w:divBdr>
        <w:top w:val="none" w:sz="0" w:space="0" w:color="auto"/>
        <w:left w:val="none" w:sz="0" w:space="0" w:color="auto"/>
        <w:bottom w:val="none" w:sz="0" w:space="0" w:color="auto"/>
        <w:right w:val="none" w:sz="0" w:space="0" w:color="auto"/>
      </w:divBdr>
    </w:div>
    <w:div w:id="589894902">
      <w:bodyDiv w:val="1"/>
      <w:marLeft w:val="0"/>
      <w:marRight w:val="0"/>
      <w:marTop w:val="0"/>
      <w:marBottom w:val="0"/>
      <w:divBdr>
        <w:top w:val="none" w:sz="0" w:space="0" w:color="auto"/>
        <w:left w:val="none" w:sz="0" w:space="0" w:color="auto"/>
        <w:bottom w:val="none" w:sz="0" w:space="0" w:color="auto"/>
        <w:right w:val="none" w:sz="0" w:space="0" w:color="auto"/>
      </w:divBdr>
    </w:div>
    <w:div w:id="722102328">
      <w:bodyDiv w:val="1"/>
      <w:marLeft w:val="0"/>
      <w:marRight w:val="0"/>
      <w:marTop w:val="0"/>
      <w:marBottom w:val="0"/>
      <w:divBdr>
        <w:top w:val="none" w:sz="0" w:space="0" w:color="auto"/>
        <w:left w:val="none" w:sz="0" w:space="0" w:color="auto"/>
        <w:bottom w:val="none" w:sz="0" w:space="0" w:color="auto"/>
        <w:right w:val="none" w:sz="0" w:space="0" w:color="auto"/>
      </w:divBdr>
    </w:div>
    <w:div w:id="731925604">
      <w:bodyDiv w:val="1"/>
      <w:marLeft w:val="0"/>
      <w:marRight w:val="0"/>
      <w:marTop w:val="0"/>
      <w:marBottom w:val="0"/>
      <w:divBdr>
        <w:top w:val="none" w:sz="0" w:space="0" w:color="auto"/>
        <w:left w:val="none" w:sz="0" w:space="0" w:color="auto"/>
        <w:bottom w:val="none" w:sz="0" w:space="0" w:color="auto"/>
        <w:right w:val="none" w:sz="0" w:space="0" w:color="auto"/>
      </w:divBdr>
      <w:divsChild>
        <w:div w:id="1178353172">
          <w:marLeft w:val="864"/>
          <w:marRight w:val="0"/>
          <w:marTop w:val="0"/>
          <w:marBottom w:val="0"/>
          <w:divBdr>
            <w:top w:val="none" w:sz="0" w:space="0" w:color="auto"/>
            <w:left w:val="none" w:sz="0" w:space="0" w:color="auto"/>
            <w:bottom w:val="none" w:sz="0" w:space="0" w:color="auto"/>
            <w:right w:val="none" w:sz="0" w:space="0" w:color="auto"/>
          </w:divBdr>
        </w:div>
      </w:divsChild>
    </w:div>
    <w:div w:id="745036108">
      <w:bodyDiv w:val="1"/>
      <w:marLeft w:val="0"/>
      <w:marRight w:val="0"/>
      <w:marTop w:val="0"/>
      <w:marBottom w:val="0"/>
      <w:divBdr>
        <w:top w:val="none" w:sz="0" w:space="0" w:color="auto"/>
        <w:left w:val="none" w:sz="0" w:space="0" w:color="auto"/>
        <w:bottom w:val="none" w:sz="0" w:space="0" w:color="auto"/>
        <w:right w:val="none" w:sz="0" w:space="0" w:color="auto"/>
      </w:divBdr>
    </w:div>
    <w:div w:id="771166519">
      <w:bodyDiv w:val="1"/>
      <w:marLeft w:val="0"/>
      <w:marRight w:val="0"/>
      <w:marTop w:val="0"/>
      <w:marBottom w:val="0"/>
      <w:divBdr>
        <w:top w:val="none" w:sz="0" w:space="0" w:color="auto"/>
        <w:left w:val="none" w:sz="0" w:space="0" w:color="auto"/>
        <w:bottom w:val="none" w:sz="0" w:space="0" w:color="auto"/>
        <w:right w:val="none" w:sz="0" w:space="0" w:color="auto"/>
      </w:divBdr>
    </w:div>
    <w:div w:id="810711012">
      <w:bodyDiv w:val="1"/>
      <w:marLeft w:val="0"/>
      <w:marRight w:val="0"/>
      <w:marTop w:val="0"/>
      <w:marBottom w:val="0"/>
      <w:divBdr>
        <w:top w:val="none" w:sz="0" w:space="0" w:color="auto"/>
        <w:left w:val="none" w:sz="0" w:space="0" w:color="auto"/>
        <w:bottom w:val="none" w:sz="0" w:space="0" w:color="auto"/>
        <w:right w:val="none" w:sz="0" w:space="0" w:color="auto"/>
      </w:divBdr>
    </w:div>
    <w:div w:id="847137720">
      <w:bodyDiv w:val="1"/>
      <w:marLeft w:val="0"/>
      <w:marRight w:val="0"/>
      <w:marTop w:val="0"/>
      <w:marBottom w:val="0"/>
      <w:divBdr>
        <w:top w:val="none" w:sz="0" w:space="0" w:color="auto"/>
        <w:left w:val="none" w:sz="0" w:space="0" w:color="auto"/>
        <w:bottom w:val="none" w:sz="0" w:space="0" w:color="auto"/>
        <w:right w:val="none" w:sz="0" w:space="0" w:color="auto"/>
      </w:divBdr>
      <w:divsChild>
        <w:div w:id="327515796">
          <w:marLeft w:val="1886"/>
          <w:marRight w:val="0"/>
          <w:marTop w:val="0"/>
          <w:marBottom w:val="0"/>
          <w:divBdr>
            <w:top w:val="none" w:sz="0" w:space="0" w:color="auto"/>
            <w:left w:val="none" w:sz="0" w:space="0" w:color="auto"/>
            <w:bottom w:val="none" w:sz="0" w:space="0" w:color="auto"/>
            <w:right w:val="none" w:sz="0" w:space="0" w:color="auto"/>
          </w:divBdr>
        </w:div>
      </w:divsChild>
    </w:div>
    <w:div w:id="847716347">
      <w:bodyDiv w:val="1"/>
      <w:marLeft w:val="0"/>
      <w:marRight w:val="0"/>
      <w:marTop w:val="0"/>
      <w:marBottom w:val="0"/>
      <w:divBdr>
        <w:top w:val="none" w:sz="0" w:space="0" w:color="auto"/>
        <w:left w:val="none" w:sz="0" w:space="0" w:color="auto"/>
        <w:bottom w:val="none" w:sz="0" w:space="0" w:color="auto"/>
        <w:right w:val="none" w:sz="0" w:space="0" w:color="auto"/>
      </w:divBdr>
    </w:div>
    <w:div w:id="894894398">
      <w:bodyDiv w:val="1"/>
      <w:marLeft w:val="0"/>
      <w:marRight w:val="0"/>
      <w:marTop w:val="0"/>
      <w:marBottom w:val="0"/>
      <w:divBdr>
        <w:top w:val="none" w:sz="0" w:space="0" w:color="auto"/>
        <w:left w:val="none" w:sz="0" w:space="0" w:color="auto"/>
        <w:bottom w:val="none" w:sz="0" w:space="0" w:color="auto"/>
        <w:right w:val="none" w:sz="0" w:space="0" w:color="auto"/>
      </w:divBdr>
      <w:divsChild>
        <w:div w:id="1192692185">
          <w:marLeft w:val="187"/>
          <w:marRight w:val="0"/>
          <w:marTop w:val="120"/>
          <w:marBottom w:val="0"/>
          <w:divBdr>
            <w:top w:val="none" w:sz="0" w:space="0" w:color="auto"/>
            <w:left w:val="none" w:sz="0" w:space="0" w:color="auto"/>
            <w:bottom w:val="none" w:sz="0" w:space="0" w:color="auto"/>
            <w:right w:val="none" w:sz="0" w:space="0" w:color="auto"/>
          </w:divBdr>
        </w:div>
        <w:div w:id="508715715">
          <w:marLeft w:val="187"/>
          <w:marRight w:val="0"/>
          <w:marTop w:val="120"/>
          <w:marBottom w:val="0"/>
          <w:divBdr>
            <w:top w:val="none" w:sz="0" w:space="0" w:color="auto"/>
            <w:left w:val="none" w:sz="0" w:space="0" w:color="auto"/>
            <w:bottom w:val="none" w:sz="0" w:space="0" w:color="auto"/>
            <w:right w:val="none" w:sz="0" w:space="0" w:color="auto"/>
          </w:divBdr>
        </w:div>
        <w:div w:id="122700990">
          <w:marLeft w:val="187"/>
          <w:marRight w:val="0"/>
          <w:marTop w:val="120"/>
          <w:marBottom w:val="0"/>
          <w:divBdr>
            <w:top w:val="none" w:sz="0" w:space="0" w:color="auto"/>
            <w:left w:val="none" w:sz="0" w:space="0" w:color="auto"/>
            <w:bottom w:val="none" w:sz="0" w:space="0" w:color="auto"/>
            <w:right w:val="none" w:sz="0" w:space="0" w:color="auto"/>
          </w:divBdr>
        </w:div>
        <w:div w:id="672074913">
          <w:marLeft w:val="720"/>
          <w:marRight w:val="0"/>
          <w:marTop w:val="120"/>
          <w:marBottom w:val="0"/>
          <w:divBdr>
            <w:top w:val="none" w:sz="0" w:space="0" w:color="auto"/>
            <w:left w:val="none" w:sz="0" w:space="0" w:color="auto"/>
            <w:bottom w:val="none" w:sz="0" w:space="0" w:color="auto"/>
            <w:right w:val="none" w:sz="0" w:space="0" w:color="auto"/>
          </w:divBdr>
        </w:div>
        <w:div w:id="512576197">
          <w:marLeft w:val="720"/>
          <w:marRight w:val="0"/>
          <w:marTop w:val="120"/>
          <w:marBottom w:val="0"/>
          <w:divBdr>
            <w:top w:val="none" w:sz="0" w:space="0" w:color="auto"/>
            <w:left w:val="none" w:sz="0" w:space="0" w:color="auto"/>
            <w:bottom w:val="none" w:sz="0" w:space="0" w:color="auto"/>
            <w:right w:val="none" w:sz="0" w:space="0" w:color="auto"/>
          </w:divBdr>
        </w:div>
        <w:div w:id="1818262136">
          <w:marLeft w:val="187"/>
          <w:marRight w:val="0"/>
          <w:marTop w:val="120"/>
          <w:marBottom w:val="0"/>
          <w:divBdr>
            <w:top w:val="none" w:sz="0" w:space="0" w:color="auto"/>
            <w:left w:val="none" w:sz="0" w:space="0" w:color="auto"/>
            <w:bottom w:val="none" w:sz="0" w:space="0" w:color="auto"/>
            <w:right w:val="none" w:sz="0" w:space="0" w:color="auto"/>
          </w:divBdr>
        </w:div>
        <w:div w:id="1468743032">
          <w:marLeft w:val="720"/>
          <w:marRight w:val="0"/>
          <w:marTop w:val="120"/>
          <w:marBottom w:val="0"/>
          <w:divBdr>
            <w:top w:val="none" w:sz="0" w:space="0" w:color="auto"/>
            <w:left w:val="none" w:sz="0" w:space="0" w:color="auto"/>
            <w:bottom w:val="none" w:sz="0" w:space="0" w:color="auto"/>
            <w:right w:val="none" w:sz="0" w:space="0" w:color="auto"/>
          </w:divBdr>
        </w:div>
        <w:div w:id="1085495591">
          <w:marLeft w:val="187"/>
          <w:marRight w:val="0"/>
          <w:marTop w:val="120"/>
          <w:marBottom w:val="0"/>
          <w:divBdr>
            <w:top w:val="none" w:sz="0" w:space="0" w:color="auto"/>
            <w:left w:val="none" w:sz="0" w:space="0" w:color="auto"/>
            <w:bottom w:val="none" w:sz="0" w:space="0" w:color="auto"/>
            <w:right w:val="none" w:sz="0" w:space="0" w:color="auto"/>
          </w:divBdr>
        </w:div>
        <w:div w:id="427969672">
          <w:marLeft w:val="187"/>
          <w:marRight w:val="0"/>
          <w:marTop w:val="120"/>
          <w:marBottom w:val="0"/>
          <w:divBdr>
            <w:top w:val="none" w:sz="0" w:space="0" w:color="auto"/>
            <w:left w:val="none" w:sz="0" w:space="0" w:color="auto"/>
            <w:bottom w:val="none" w:sz="0" w:space="0" w:color="auto"/>
            <w:right w:val="none" w:sz="0" w:space="0" w:color="auto"/>
          </w:divBdr>
        </w:div>
        <w:div w:id="1352342692">
          <w:marLeft w:val="187"/>
          <w:marRight w:val="0"/>
          <w:marTop w:val="120"/>
          <w:marBottom w:val="0"/>
          <w:divBdr>
            <w:top w:val="none" w:sz="0" w:space="0" w:color="auto"/>
            <w:left w:val="none" w:sz="0" w:space="0" w:color="auto"/>
            <w:bottom w:val="none" w:sz="0" w:space="0" w:color="auto"/>
            <w:right w:val="none" w:sz="0" w:space="0" w:color="auto"/>
          </w:divBdr>
        </w:div>
        <w:div w:id="1128399186">
          <w:marLeft w:val="187"/>
          <w:marRight w:val="0"/>
          <w:marTop w:val="120"/>
          <w:marBottom w:val="0"/>
          <w:divBdr>
            <w:top w:val="none" w:sz="0" w:space="0" w:color="auto"/>
            <w:left w:val="none" w:sz="0" w:space="0" w:color="auto"/>
            <w:bottom w:val="none" w:sz="0" w:space="0" w:color="auto"/>
            <w:right w:val="none" w:sz="0" w:space="0" w:color="auto"/>
          </w:divBdr>
        </w:div>
      </w:divsChild>
    </w:div>
    <w:div w:id="934438820">
      <w:bodyDiv w:val="1"/>
      <w:marLeft w:val="0"/>
      <w:marRight w:val="0"/>
      <w:marTop w:val="0"/>
      <w:marBottom w:val="0"/>
      <w:divBdr>
        <w:top w:val="none" w:sz="0" w:space="0" w:color="auto"/>
        <w:left w:val="none" w:sz="0" w:space="0" w:color="auto"/>
        <w:bottom w:val="none" w:sz="0" w:space="0" w:color="auto"/>
        <w:right w:val="none" w:sz="0" w:space="0" w:color="auto"/>
      </w:divBdr>
    </w:div>
    <w:div w:id="944505568">
      <w:bodyDiv w:val="1"/>
      <w:marLeft w:val="0"/>
      <w:marRight w:val="0"/>
      <w:marTop w:val="0"/>
      <w:marBottom w:val="0"/>
      <w:divBdr>
        <w:top w:val="none" w:sz="0" w:space="0" w:color="auto"/>
        <w:left w:val="none" w:sz="0" w:space="0" w:color="auto"/>
        <w:bottom w:val="none" w:sz="0" w:space="0" w:color="auto"/>
        <w:right w:val="none" w:sz="0" w:space="0" w:color="auto"/>
      </w:divBdr>
      <w:divsChild>
        <w:div w:id="1283996381">
          <w:marLeft w:val="446"/>
          <w:marRight w:val="0"/>
          <w:marTop w:val="0"/>
          <w:marBottom w:val="240"/>
          <w:divBdr>
            <w:top w:val="none" w:sz="0" w:space="0" w:color="auto"/>
            <w:left w:val="none" w:sz="0" w:space="0" w:color="auto"/>
            <w:bottom w:val="none" w:sz="0" w:space="0" w:color="auto"/>
            <w:right w:val="none" w:sz="0" w:space="0" w:color="auto"/>
          </w:divBdr>
        </w:div>
      </w:divsChild>
    </w:div>
    <w:div w:id="953823963">
      <w:bodyDiv w:val="1"/>
      <w:marLeft w:val="0"/>
      <w:marRight w:val="0"/>
      <w:marTop w:val="0"/>
      <w:marBottom w:val="0"/>
      <w:divBdr>
        <w:top w:val="none" w:sz="0" w:space="0" w:color="auto"/>
        <w:left w:val="none" w:sz="0" w:space="0" w:color="auto"/>
        <w:bottom w:val="none" w:sz="0" w:space="0" w:color="auto"/>
        <w:right w:val="none" w:sz="0" w:space="0" w:color="auto"/>
      </w:divBdr>
      <w:divsChild>
        <w:div w:id="403187683">
          <w:marLeft w:val="1886"/>
          <w:marRight w:val="0"/>
          <w:marTop w:val="0"/>
          <w:marBottom w:val="0"/>
          <w:divBdr>
            <w:top w:val="none" w:sz="0" w:space="0" w:color="auto"/>
            <w:left w:val="none" w:sz="0" w:space="0" w:color="auto"/>
            <w:bottom w:val="none" w:sz="0" w:space="0" w:color="auto"/>
            <w:right w:val="none" w:sz="0" w:space="0" w:color="auto"/>
          </w:divBdr>
        </w:div>
      </w:divsChild>
    </w:div>
    <w:div w:id="962266987">
      <w:bodyDiv w:val="1"/>
      <w:marLeft w:val="0"/>
      <w:marRight w:val="0"/>
      <w:marTop w:val="0"/>
      <w:marBottom w:val="0"/>
      <w:divBdr>
        <w:top w:val="none" w:sz="0" w:space="0" w:color="auto"/>
        <w:left w:val="none" w:sz="0" w:space="0" w:color="auto"/>
        <w:bottom w:val="none" w:sz="0" w:space="0" w:color="auto"/>
        <w:right w:val="none" w:sz="0" w:space="0" w:color="auto"/>
      </w:divBdr>
    </w:div>
    <w:div w:id="971400100">
      <w:bodyDiv w:val="1"/>
      <w:marLeft w:val="0"/>
      <w:marRight w:val="0"/>
      <w:marTop w:val="0"/>
      <w:marBottom w:val="0"/>
      <w:divBdr>
        <w:top w:val="none" w:sz="0" w:space="0" w:color="auto"/>
        <w:left w:val="none" w:sz="0" w:space="0" w:color="auto"/>
        <w:bottom w:val="none" w:sz="0" w:space="0" w:color="auto"/>
        <w:right w:val="none" w:sz="0" w:space="0" w:color="auto"/>
      </w:divBdr>
    </w:div>
    <w:div w:id="996492954">
      <w:bodyDiv w:val="1"/>
      <w:marLeft w:val="0"/>
      <w:marRight w:val="0"/>
      <w:marTop w:val="0"/>
      <w:marBottom w:val="0"/>
      <w:divBdr>
        <w:top w:val="none" w:sz="0" w:space="0" w:color="auto"/>
        <w:left w:val="none" w:sz="0" w:space="0" w:color="auto"/>
        <w:bottom w:val="none" w:sz="0" w:space="0" w:color="auto"/>
        <w:right w:val="none" w:sz="0" w:space="0" w:color="auto"/>
      </w:divBdr>
    </w:div>
    <w:div w:id="1024090409">
      <w:bodyDiv w:val="1"/>
      <w:marLeft w:val="0"/>
      <w:marRight w:val="0"/>
      <w:marTop w:val="0"/>
      <w:marBottom w:val="0"/>
      <w:divBdr>
        <w:top w:val="none" w:sz="0" w:space="0" w:color="auto"/>
        <w:left w:val="none" w:sz="0" w:space="0" w:color="auto"/>
        <w:bottom w:val="none" w:sz="0" w:space="0" w:color="auto"/>
        <w:right w:val="none" w:sz="0" w:space="0" w:color="auto"/>
      </w:divBdr>
    </w:div>
    <w:div w:id="1068921665">
      <w:bodyDiv w:val="1"/>
      <w:marLeft w:val="0"/>
      <w:marRight w:val="0"/>
      <w:marTop w:val="0"/>
      <w:marBottom w:val="0"/>
      <w:divBdr>
        <w:top w:val="none" w:sz="0" w:space="0" w:color="auto"/>
        <w:left w:val="none" w:sz="0" w:space="0" w:color="auto"/>
        <w:bottom w:val="none" w:sz="0" w:space="0" w:color="auto"/>
        <w:right w:val="none" w:sz="0" w:space="0" w:color="auto"/>
      </w:divBdr>
    </w:div>
    <w:div w:id="1135832454">
      <w:bodyDiv w:val="1"/>
      <w:marLeft w:val="0"/>
      <w:marRight w:val="0"/>
      <w:marTop w:val="0"/>
      <w:marBottom w:val="0"/>
      <w:divBdr>
        <w:top w:val="none" w:sz="0" w:space="0" w:color="auto"/>
        <w:left w:val="none" w:sz="0" w:space="0" w:color="auto"/>
        <w:bottom w:val="none" w:sz="0" w:space="0" w:color="auto"/>
        <w:right w:val="none" w:sz="0" w:space="0" w:color="auto"/>
      </w:divBdr>
    </w:div>
    <w:div w:id="1148787075">
      <w:bodyDiv w:val="1"/>
      <w:marLeft w:val="0"/>
      <w:marRight w:val="0"/>
      <w:marTop w:val="0"/>
      <w:marBottom w:val="0"/>
      <w:divBdr>
        <w:top w:val="none" w:sz="0" w:space="0" w:color="auto"/>
        <w:left w:val="none" w:sz="0" w:space="0" w:color="auto"/>
        <w:bottom w:val="none" w:sz="0" w:space="0" w:color="auto"/>
        <w:right w:val="none" w:sz="0" w:space="0" w:color="auto"/>
      </w:divBdr>
      <w:divsChild>
        <w:div w:id="637220761">
          <w:marLeft w:val="187"/>
          <w:marRight w:val="0"/>
          <w:marTop w:val="120"/>
          <w:marBottom w:val="0"/>
          <w:divBdr>
            <w:top w:val="none" w:sz="0" w:space="0" w:color="auto"/>
            <w:left w:val="none" w:sz="0" w:space="0" w:color="auto"/>
            <w:bottom w:val="none" w:sz="0" w:space="0" w:color="auto"/>
            <w:right w:val="none" w:sz="0" w:space="0" w:color="auto"/>
          </w:divBdr>
        </w:div>
        <w:div w:id="1397162614">
          <w:marLeft w:val="187"/>
          <w:marRight w:val="0"/>
          <w:marTop w:val="120"/>
          <w:marBottom w:val="0"/>
          <w:divBdr>
            <w:top w:val="none" w:sz="0" w:space="0" w:color="auto"/>
            <w:left w:val="none" w:sz="0" w:space="0" w:color="auto"/>
            <w:bottom w:val="none" w:sz="0" w:space="0" w:color="auto"/>
            <w:right w:val="none" w:sz="0" w:space="0" w:color="auto"/>
          </w:divBdr>
        </w:div>
        <w:div w:id="981736434">
          <w:marLeft w:val="187"/>
          <w:marRight w:val="0"/>
          <w:marTop w:val="120"/>
          <w:marBottom w:val="0"/>
          <w:divBdr>
            <w:top w:val="none" w:sz="0" w:space="0" w:color="auto"/>
            <w:left w:val="none" w:sz="0" w:space="0" w:color="auto"/>
            <w:bottom w:val="none" w:sz="0" w:space="0" w:color="auto"/>
            <w:right w:val="none" w:sz="0" w:space="0" w:color="auto"/>
          </w:divBdr>
        </w:div>
        <w:div w:id="360253339">
          <w:marLeft w:val="720"/>
          <w:marRight w:val="0"/>
          <w:marTop w:val="120"/>
          <w:marBottom w:val="0"/>
          <w:divBdr>
            <w:top w:val="none" w:sz="0" w:space="0" w:color="auto"/>
            <w:left w:val="none" w:sz="0" w:space="0" w:color="auto"/>
            <w:bottom w:val="none" w:sz="0" w:space="0" w:color="auto"/>
            <w:right w:val="none" w:sz="0" w:space="0" w:color="auto"/>
          </w:divBdr>
        </w:div>
        <w:div w:id="766072325">
          <w:marLeft w:val="720"/>
          <w:marRight w:val="0"/>
          <w:marTop w:val="120"/>
          <w:marBottom w:val="0"/>
          <w:divBdr>
            <w:top w:val="none" w:sz="0" w:space="0" w:color="auto"/>
            <w:left w:val="none" w:sz="0" w:space="0" w:color="auto"/>
            <w:bottom w:val="none" w:sz="0" w:space="0" w:color="auto"/>
            <w:right w:val="none" w:sz="0" w:space="0" w:color="auto"/>
          </w:divBdr>
        </w:div>
        <w:div w:id="1109542843">
          <w:marLeft w:val="187"/>
          <w:marRight w:val="0"/>
          <w:marTop w:val="120"/>
          <w:marBottom w:val="0"/>
          <w:divBdr>
            <w:top w:val="none" w:sz="0" w:space="0" w:color="auto"/>
            <w:left w:val="none" w:sz="0" w:space="0" w:color="auto"/>
            <w:bottom w:val="none" w:sz="0" w:space="0" w:color="auto"/>
            <w:right w:val="none" w:sz="0" w:space="0" w:color="auto"/>
          </w:divBdr>
        </w:div>
        <w:div w:id="984314944">
          <w:marLeft w:val="720"/>
          <w:marRight w:val="0"/>
          <w:marTop w:val="120"/>
          <w:marBottom w:val="0"/>
          <w:divBdr>
            <w:top w:val="none" w:sz="0" w:space="0" w:color="auto"/>
            <w:left w:val="none" w:sz="0" w:space="0" w:color="auto"/>
            <w:bottom w:val="none" w:sz="0" w:space="0" w:color="auto"/>
            <w:right w:val="none" w:sz="0" w:space="0" w:color="auto"/>
          </w:divBdr>
        </w:div>
        <w:div w:id="611478337">
          <w:marLeft w:val="187"/>
          <w:marRight w:val="0"/>
          <w:marTop w:val="120"/>
          <w:marBottom w:val="0"/>
          <w:divBdr>
            <w:top w:val="none" w:sz="0" w:space="0" w:color="auto"/>
            <w:left w:val="none" w:sz="0" w:space="0" w:color="auto"/>
            <w:bottom w:val="none" w:sz="0" w:space="0" w:color="auto"/>
            <w:right w:val="none" w:sz="0" w:space="0" w:color="auto"/>
          </w:divBdr>
        </w:div>
        <w:div w:id="333842273">
          <w:marLeft w:val="187"/>
          <w:marRight w:val="0"/>
          <w:marTop w:val="120"/>
          <w:marBottom w:val="0"/>
          <w:divBdr>
            <w:top w:val="none" w:sz="0" w:space="0" w:color="auto"/>
            <w:left w:val="none" w:sz="0" w:space="0" w:color="auto"/>
            <w:bottom w:val="none" w:sz="0" w:space="0" w:color="auto"/>
            <w:right w:val="none" w:sz="0" w:space="0" w:color="auto"/>
          </w:divBdr>
        </w:div>
        <w:div w:id="1634287056">
          <w:marLeft w:val="187"/>
          <w:marRight w:val="0"/>
          <w:marTop w:val="120"/>
          <w:marBottom w:val="0"/>
          <w:divBdr>
            <w:top w:val="none" w:sz="0" w:space="0" w:color="auto"/>
            <w:left w:val="none" w:sz="0" w:space="0" w:color="auto"/>
            <w:bottom w:val="none" w:sz="0" w:space="0" w:color="auto"/>
            <w:right w:val="none" w:sz="0" w:space="0" w:color="auto"/>
          </w:divBdr>
        </w:div>
        <w:div w:id="761610657">
          <w:marLeft w:val="187"/>
          <w:marRight w:val="0"/>
          <w:marTop w:val="120"/>
          <w:marBottom w:val="0"/>
          <w:divBdr>
            <w:top w:val="none" w:sz="0" w:space="0" w:color="auto"/>
            <w:left w:val="none" w:sz="0" w:space="0" w:color="auto"/>
            <w:bottom w:val="none" w:sz="0" w:space="0" w:color="auto"/>
            <w:right w:val="none" w:sz="0" w:space="0" w:color="auto"/>
          </w:divBdr>
        </w:div>
        <w:div w:id="2126658879">
          <w:marLeft w:val="187"/>
          <w:marRight w:val="0"/>
          <w:marTop w:val="120"/>
          <w:marBottom w:val="0"/>
          <w:divBdr>
            <w:top w:val="none" w:sz="0" w:space="0" w:color="auto"/>
            <w:left w:val="none" w:sz="0" w:space="0" w:color="auto"/>
            <w:bottom w:val="none" w:sz="0" w:space="0" w:color="auto"/>
            <w:right w:val="none" w:sz="0" w:space="0" w:color="auto"/>
          </w:divBdr>
        </w:div>
      </w:divsChild>
    </w:div>
    <w:div w:id="1229460355">
      <w:bodyDiv w:val="1"/>
      <w:marLeft w:val="0"/>
      <w:marRight w:val="0"/>
      <w:marTop w:val="0"/>
      <w:marBottom w:val="0"/>
      <w:divBdr>
        <w:top w:val="none" w:sz="0" w:space="0" w:color="auto"/>
        <w:left w:val="none" w:sz="0" w:space="0" w:color="auto"/>
        <w:bottom w:val="none" w:sz="0" w:space="0" w:color="auto"/>
        <w:right w:val="none" w:sz="0" w:space="0" w:color="auto"/>
      </w:divBdr>
    </w:div>
    <w:div w:id="1279023617">
      <w:bodyDiv w:val="1"/>
      <w:marLeft w:val="0"/>
      <w:marRight w:val="0"/>
      <w:marTop w:val="0"/>
      <w:marBottom w:val="0"/>
      <w:divBdr>
        <w:top w:val="none" w:sz="0" w:space="0" w:color="auto"/>
        <w:left w:val="none" w:sz="0" w:space="0" w:color="auto"/>
        <w:bottom w:val="none" w:sz="0" w:space="0" w:color="auto"/>
        <w:right w:val="none" w:sz="0" w:space="0" w:color="auto"/>
      </w:divBdr>
      <w:divsChild>
        <w:div w:id="2028410862">
          <w:marLeft w:val="1166"/>
          <w:marRight w:val="0"/>
          <w:marTop w:val="0"/>
          <w:marBottom w:val="0"/>
          <w:divBdr>
            <w:top w:val="none" w:sz="0" w:space="0" w:color="auto"/>
            <w:left w:val="none" w:sz="0" w:space="0" w:color="auto"/>
            <w:bottom w:val="none" w:sz="0" w:space="0" w:color="auto"/>
            <w:right w:val="none" w:sz="0" w:space="0" w:color="auto"/>
          </w:divBdr>
        </w:div>
        <w:div w:id="1575697304">
          <w:marLeft w:val="1166"/>
          <w:marRight w:val="0"/>
          <w:marTop w:val="0"/>
          <w:marBottom w:val="0"/>
          <w:divBdr>
            <w:top w:val="none" w:sz="0" w:space="0" w:color="auto"/>
            <w:left w:val="none" w:sz="0" w:space="0" w:color="auto"/>
            <w:bottom w:val="none" w:sz="0" w:space="0" w:color="auto"/>
            <w:right w:val="none" w:sz="0" w:space="0" w:color="auto"/>
          </w:divBdr>
        </w:div>
        <w:div w:id="1207907826">
          <w:marLeft w:val="1714"/>
          <w:marRight w:val="0"/>
          <w:marTop w:val="0"/>
          <w:marBottom w:val="60"/>
          <w:divBdr>
            <w:top w:val="none" w:sz="0" w:space="0" w:color="auto"/>
            <w:left w:val="none" w:sz="0" w:space="0" w:color="auto"/>
            <w:bottom w:val="none" w:sz="0" w:space="0" w:color="auto"/>
            <w:right w:val="none" w:sz="0" w:space="0" w:color="auto"/>
          </w:divBdr>
        </w:div>
        <w:div w:id="1045057735">
          <w:marLeft w:val="1714"/>
          <w:marRight w:val="0"/>
          <w:marTop w:val="0"/>
          <w:marBottom w:val="60"/>
          <w:divBdr>
            <w:top w:val="none" w:sz="0" w:space="0" w:color="auto"/>
            <w:left w:val="none" w:sz="0" w:space="0" w:color="auto"/>
            <w:bottom w:val="none" w:sz="0" w:space="0" w:color="auto"/>
            <w:right w:val="none" w:sz="0" w:space="0" w:color="auto"/>
          </w:divBdr>
        </w:div>
        <w:div w:id="1189829956">
          <w:marLeft w:val="1714"/>
          <w:marRight w:val="0"/>
          <w:marTop w:val="0"/>
          <w:marBottom w:val="60"/>
          <w:divBdr>
            <w:top w:val="none" w:sz="0" w:space="0" w:color="auto"/>
            <w:left w:val="none" w:sz="0" w:space="0" w:color="auto"/>
            <w:bottom w:val="none" w:sz="0" w:space="0" w:color="auto"/>
            <w:right w:val="none" w:sz="0" w:space="0" w:color="auto"/>
          </w:divBdr>
        </w:div>
        <w:div w:id="177547842">
          <w:marLeft w:val="1166"/>
          <w:marRight w:val="0"/>
          <w:marTop w:val="0"/>
          <w:marBottom w:val="0"/>
          <w:divBdr>
            <w:top w:val="none" w:sz="0" w:space="0" w:color="auto"/>
            <w:left w:val="none" w:sz="0" w:space="0" w:color="auto"/>
            <w:bottom w:val="none" w:sz="0" w:space="0" w:color="auto"/>
            <w:right w:val="none" w:sz="0" w:space="0" w:color="auto"/>
          </w:divBdr>
        </w:div>
      </w:divsChild>
    </w:div>
    <w:div w:id="1283657337">
      <w:bodyDiv w:val="1"/>
      <w:marLeft w:val="0"/>
      <w:marRight w:val="0"/>
      <w:marTop w:val="0"/>
      <w:marBottom w:val="0"/>
      <w:divBdr>
        <w:top w:val="none" w:sz="0" w:space="0" w:color="auto"/>
        <w:left w:val="none" w:sz="0" w:space="0" w:color="auto"/>
        <w:bottom w:val="none" w:sz="0" w:space="0" w:color="auto"/>
        <w:right w:val="none" w:sz="0" w:space="0" w:color="auto"/>
      </w:divBdr>
    </w:div>
    <w:div w:id="1305744526">
      <w:bodyDiv w:val="1"/>
      <w:marLeft w:val="0"/>
      <w:marRight w:val="0"/>
      <w:marTop w:val="0"/>
      <w:marBottom w:val="0"/>
      <w:divBdr>
        <w:top w:val="none" w:sz="0" w:space="0" w:color="auto"/>
        <w:left w:val="none" w:sz="0" w:space="0" w:color="auto"/>
        <w:bottom w:val="none" w:sz="0" w:space="0" w:color="auto"/>
        <w:right w:val="none" w:sz="0" w:space="0" w:color="auto"/>
      </w:divBdr>
    </w:div>
    <w:div w:id="1342898254">
      <w:bodyDiv w:val="1"/>
      <w:marLeft w:val="0"/>
      <w:marRight w:val="0"/>
      <w:marTop w:val="0"/>
      <w:marBottom w:val="0"/>
      <w:divBdr>
        <w:top w:val="none" w:sz="0" w:space="0" w:color="auto"/>
        <w:left w:val="none" w:sz="0" w:space="0" w:color="auto"/>
        <w:bottom w:val="none" w:sz="0" w:space="0" w:color="auto"/>
        <w:right w:val="none" w:sz="0" w:space="0" w:color="auto"/>
      </w:divBdr>
    </w:div>
    <w:div w:id="1351296133">
      <w:bodyDiv w:val="1"/>
      <w:marLeft w:val="0"/>
      <w:marRight w:val="0"/>
      <w:marTop w:val="0"/>
      <w:marBottom w:val="0"/>
      <w:divBdr>
        <w:top w:val="none" w:sz="0" w:space="0" w:color="auto"/>
        <w:left w:val="none" w:sz="0" w:space="0" w:color="auto"/>
        <w:bottom w:val="none" w:sz="0" w:space="0" w:color="auto"/>
        <w:right w:val="none" w:sz="0" w:space="0" w:color="auto"/>
      </w:divBdr>
    </w:div>
    <w:div w:id="1356075746">
      <w:bodyDiv w:val="1"/>
      <w:marLeft w:val="0"/>
      <w:marRight w:val="0"/>
      <w:marTop w:val="0"/>
      <w:marBottom w:val="0"/>
      <w:divBdr>
        <w:top w:val="none" w:sz="0" w:space="0" w:color="auto"/>
        <w:left w:val="none" w:sz="0" w:space="0" w:color="auto"/>
        <w:bottom w:val="none" w:sz="0" w:space="0" w:color="auto"/>
        <w:right w:val="none" w:sz="0" w:space="0" w:color="auto"/>
      </w:divBdr>
    </w:div>
    <w:div w:id="1359772917">
      <w:bodyDiv w:val="1"/>
      <w:marLeft w:val="0"/>
      <w:marRight w:val="0"/>
      <w:marTop w:val="0"/>
      <w:marBottom w:val="0"/>
      <w:divBdr>
        <w:top w:val="none" w:sz="0" w:space="0" w:color="auto"/>
        <w:left w:val="none" w:sz="0" w:space="0" w:color="auto"/>
        <w:bottom w:val="none" w:sz="0" w:space="0" w:color="auto"/>
        <w:right w:val="none" w:sz="0" w:space="0" w:color="auto"/>
      </w:divBdr>
    </w:div>
    <w:div w:id="1365591149">
      <w:bodyDiv w:val="1"/>
      <w:marLeft w:val="0"/>
      <w:marRight w:val="0"/>
      <w:marTop w:val="0"/>
      <w:marBottom w:val="0"/>
      <w:divBdr>
        <w:top w:val="none" w:sz="0" w:space="0" w:color="auto"/>
        <w:left w:val="none" w:sz="0" w:space="0" w:color="auto"/>
        <w:bottom w:val="none" w:sz="0" w:space="0" w:color="auto"/>
        <w:right w:val="none" w:sz="0" w:space="0" w:color="auto"/>
      </w:divBdr>
      <w:divsChild>
        <w:div w:id="157038915">
          <w:marLeft w:val="274"/>
          <w:marRight w:val="0"/>
          <w:marTop w:val="0"/>
          <w:marBottom w:val="0"/>
          <w:divBdr>
            <w:top w:val="none" w:sz="0" w:space="0" w:color="auto"/>
            <w:left w:val="none" w:sz="0" w:space="0" w:color="auto"/>
            <w:bottom w:val="none" w:sz="0" w:space="0" w:color="auto"/>
            <w:right w:val="none" w:sz="0" w:space="0" w:color="auto"/>
          </w:divBdr>
        </w:div>
      </w:divsChild>
    </w:div>
    <w:div w:id="1403599800">
      <w:bodyDiv w:val="1"/>
      <w:marLeft w:val="0"/>
      <w:marRight w:val="0"/>
      <w:marTop w:val="0"/>
      <w:marBottom w:val="0"/>
      <w:divBdr>
        <w:top w:val="none" w:sz="0" w:space="0" w:color="auto"/>
        <w:left w:val="none" w:sz="0" w:space="0" w:color="auto"/>
        <w:bottom w:val="none" w:sz="0" w:space="0" w:color="auto"/>
        <w:right w:val="none" w:sz="0" w:space="0" w:color="auto"/>
      </w:divBdr>
    </w:div>
    <w:div w:id="1407338972">
      <w:bodyDiv w:val="1"/>
      <w:marLeft w:val="0"/>
      <w:marRight w:val="0"/>
      <w:marTop w:val="0"/>
      <w:marBottom w:val="0"/>
      <w:divBdr>
        <w:top w:val="none" w:sz="0" w:space="0" w:color="auto"/>
        <w:left w:val="none" w:sz="0" w:space="0" w:color="auto"/>
        <w:bottom w:val="none" w:sz="0" w:space="0" w:color="auto"/>
        <w:right w:val="none" w:sz="0" w:space="0" w:color="auto"/>
      </w:divBdr>
    </w:div>
    <w:div w:id="1426270390">
      <w:bodyDiv w:val="1"/>
      <w:marLeft w:val="0"/>
      <w:marRight w:val="0"/>
      <w:marTop w:val="0"/>
      <w:marBottom w:val="0"/>
      <w:divBdr>
        <w:top w:val="none" w:sz="0" w:space="0" w:color="auto"/>
        <w:left w:val="none" w:sz="0" w:space="0" w:color="auto"/>
        <w:bottom w:val="none" w:sz="0" w:space="0" w:color="auto"/>
        <w:right w:val="none" w:sz="0" w:space="0" w:color="auto"/>
      </w:divBdr>
    </w:div>
    <w:div w:id="1512640609">
      <w:bodyDiv w:val="1"/>
      <w:marLeft w:val="0"/>
      <w:marRight w:val="0"/>
      <w:marTop w:val="0"/>
      <w:marBottom w:val="0"/>
      <w:divBdr>
        <w:top w:val="none" w:sz="0" w:space="0" w:color="auto"/>
        <w:left w:val="none" w:sz="0" w:space="0" w:color="auto"/>
        <w:bottom w:val="none" w:sz="0" w:space="0" w:color="auto"/>
        <w:right w:val="none" w:sz="0" w:space="0" w:color="auto"/>
      </w:divBdr>
    </w:div>
    <w:div w:id="1554000274">
      <w:bodyDiv w:val="1"/>
      <w:marLeft w:val="0"/>
      <w:marRight w:val="0"/>
      <w:marTop w:val="0"/>
      <w:marBottom w:val="0"/>
      <w:divBdr>
        <w:top w:val="none" w:sz="0" w:space="0" w:color="auto"/>
        <w:left w:val="none" w:sz="0" w:space="0" w:color="auto"/>
        <w:bottom w:val="none" w:sz="0" w:space="0" w:color="auto"/>
        <w:right w:val="none" w:sz="0" w:space="0" w:color="auto"/>
      </w:divBdr>
    </w:div>
    <w:div w:id="1572957399">
      <w:bodyDiv w:val="1"/>
      <w:marLeft w:val="0"/>
      <w:marRight w:val="0"/>
      <w:marTop w:val="0"/>
      <w:marBottom w:val="0"/>
      <w:divBdr>
        <w:top w:val="none" w:sz="0" w:space="0" w:color="auto"/>
        <w:left w:val="none" w:sz="0" w:space="0" w:color="auto"/>
        <w:bottom w:val="none" w:sz="0" w:space="0" w:color="auto"/>
        <w:right w:val="none" w:sz="0" w:space="0" w:color="auto"/>
      </w:divBdr>
    </w:div>
    <w:div w:id="1613123909">
      <w:bodyDiv w:val="1"/>
      <w:marLeft w:val="0"/>
      <w:marRight w:val="0"/>
      <w:marTop w:val="0"/>
      <w:marBottom w:val="0"/>
      <w:divBdr>
        <w:top w:val="none" w:sz="0" w:space="0" w:color="auto"/>
        <w:left w:val="none" w:sz="0" w:space="0" w:color="auto"/>
        <w:bottom w:val="none" w:sz="0" w:space="0" w:color="auto"/>
        <w:right w:val="none" w:sz="0" w:space="0" w:color="auto"/>
      </w:divBdr>
    </w:div>
    <w:div w:id="1619146351">
      <w:bodyDiv w:val="1"/>
      <w:marLeft w:val="0"/>
      <w:marRight w:val="0"/>
      <w:marTop w:val="0"/>
      <w:marBottom w:val="0"/>
      <w:divBdr>
        <w:top w:val="none" w:sz="0" w:space="0" w:color="auto"/>
        <w:left w:val="none" w:sz="0" w:space="0" w:color="auto"/>
        <w:bottom w:val="none" w:sz="0" w:space="0" w:color="auto"/>
        <w:right w:val="none" w:sz="0" w:space="0" w:color="auto"/>
      </w:divBdr>
      <w:divsChild>
        <w:div w:id="339239782">
          <w:marLeft w:val="446"/>
          <w:marRight w:val="0"/>
          <w:marTop w:val="0"/>
          <w:marBottom w:val="120"/>
          <w:divBdr>
            <w:top w:val="none" w:sz="0" w:space="0" w:color="auto"/>
            <w:left w:val="none" w:sz="0" w:space="0" w:color="auto"/>
            <w:bottom w:val="none" w:sz="0" w:space="0" w:color="auto"/>
            <w:right w:val="none" w:sz="0" w:space="0" w:color="auto"/>
          </w:divBdr>
        </w:div>
        <w:div w:id="1079327495">
          <w:marLeft w:val="446"/>
          <w:marRight w:val="0"/>
          <w:marTop w:val="0"/>
          <w:marBottom w:val="120"/>
          <w:divBdr>
            <w:top w:val="none" w:sz="0" w:space="0" w:color="auto"/>
            <w:left w:val="none" w:sz="0" w:space="0" w:color="auto"/>
            <w:bottom w:val="none" w:sz="0" w:space="0" w:color="auto"/>
            <w:right w:val="none" w:sz="0" w:space="0" w:color="auto"/>
          </w:divBdr>
        </w:div>
        <w:div w:id="340006632">
          <w:marLeft w:val="446"/>
          <w:marRight w:val="0"/>
          <w:marTop w:val="0"/>
          <w:marBottom w:val="120"/>
          <w:divBdr>
            <w:top w:val="none" w:sz="0" w:space="0" w:color="auto"/>
            <w:left w:val="none" w:sz="0" w:space="0" w:color="auto"/>
            <w:bottom w:val="none" w:sz="0" w:space="0" w:color="auto"/>
            <w:right w:val="none" w:sz="0" w:space="0" w:color="auto"/>
          </w:divBdr>
        </w:div>
      </w:divsChild>
    </w:div>
    <w:div w:id="1644315022">
      <w:bodyDiv w:val="1"/>
      <w:marLeft w:val="0"/>
      <w:marRight w:val="0"/>
      <w:marTop w:val="0"/>
      <w:marBottom w:val="0"/>
      <w:divBdr>
        <w:top w:val="none" w:sz="0" w:space="0" w:color="auto"/>
        <w:left w:val="none" w:sz="0" w:space="0" w:color="auto"/>
        <w:bottom w:val="none" w:sz="0" w:space="0" w:color="auto"/>
        <w:right w:val="none" w:sz="0" w:space="0" w:color="auto"/>
      </w:divBdr>
      <w:divsChild>
        <w:div w:id="174660229">
          <w:marLeft w:val="187"/>
          <w:marRight w:val="0"/>
          <w:marTop w:val="120"/>
          <w:marBottom w:val="0"/>
          <w:divBdr>
            <w:top w:val="none" w:sz="0" w:space="0" w:color="auto"/>
            <w:left w:val="none" w:sz="0" w:space="0" w:color="auto"/>
            <w:bottom w:val="none" w:sz="0" w:space="0" w:color="auto"/>
            <w:right w:val="none" w:sz="0" w:space="0" w:color="auto"/>
          </w:divBdr>
        </w:div>
      </w:divsChild>
    </w:div>
    <w:div w:id="1662272025">
      <w:bodyDiv w:val="1"/>
      <w:marLeft w:val="0"/>
      <w:marRight w:val="0"/>
      <w:marTop w:val="0"/>
      <w:marBottom w:val="0"/>
      <w:divBdr>
        <w:top w:val="none" w:sz="0" w:space="0" w:color="auto"/>
        <w:left w:val="none" w:sz="0" w:space="0" w:color="auto"/>
        <w:bottom w:val="none" w:sz="0" w:space="0" w:color="auto"/>
        <w:right w:val="none" w:sz="0" w:space="0" w:color="auto"/>
      </w:divBdr>
    </w:div>
    <w:div w:id="1682119831">
      <w:bodyDiv w:val="1"/>
      <w:marLeft w:val="0"/>
      <w:marRight w:val="0"/>
      <w:marTop w:val="0"/>
      <w:marBottom w:val="0"/>
      <w:divBdr>
        <w:top w:val="none" w:sz="0" w:space="0" w:color="auto"/>
        <w:left w:val="none" w:sz="0" w:space="0" w:color="auto"/>
        <w:bottom w:val="none" w:sz="0" w:space="0" w:color="auto"/>
        <w:right w:val="none" w:sz="0" w:space="0" w:color="auto"/>
      </w:divBdr>
    </w:div>
    <w:div w:id="1686134617">
      <w:bodyDiv w:val="1"/>
      <w:marLeft w:val="0"/>
      <w:marRight w:val="0"/>
      <w:marTop w:val="0"/>
      <w:marBottom w:val="0"/>
      <w:divBdr>
        <w:top w:val="none" w:sz="0" w:space="0" w:color="auto"/>
        <w:left w:val="none" w:sz="0" w:space="0" w:color="auto"/>
        <w:bottom w:val="none" w:sz="0" w:space="0" w:color="auto"/>
        <w:right w:val="none" w:sz="0" w:space="0" w:color="auto"/>
      </w:divBdr>
    </w:div>
    <w:div w:id="1725325718">
      <w:bodyDiv w:val="1"/>
      <w:marLeft w:val="0"/>
      <w:marRight w:val="0"/>
      <w:marTop w:val="0"/>
      <w:marBottom w:val="0"/>
      <w:divBdr>
        <w:top w:val="none" w:sz="0" w:space="0" w:color="auto"/>
        <w:left w:val="none" w:sz="0" w:space="0" w:color="auto"/>
        <w:bottom w:val="none" w:sz="0" w:space="0" w:color="auto"/>
        <w:right w:val="none" w:sz="0" w:space="0" w:color="auto"/>
      </w:divBdr>
      <w:divsChild>
        <w:div w:id="1611012428">
          <w:marLeft w:val="274"/>
          <w:marRight w:val="0"/>
          <w:marTop w:val="0"/>
          <w:marBottom w:val="60"/>
          <w:divBdr>
            <w:top w:val="none" w:sz="0" w:space="0" w:color="auto"/>
            <w:left w:val="none" w:sz="0" w:space="0" w:color="auto"/>
            <w:bottom w:val="none" w:sz="0" w:space="0" w:color="auto"/>
            <w:right w:val="none" w:sz="0" w:space="0" w:color="auto"/>
          </w:divBdr>
        </w:div>
        <w:div w:id="508759797">
          <w:marLeft w:val="274"/>
          <w:marRight w:val="0"/>
          <w:marTop w:val="0"/>
          <w:marBottom w:val="60"/>
          <w:divBdr>
            <w:top w:val="none" w:sz="0" w:space="0" w:color="auto"/>
            <w:left w:val="none" w:sz="0" w:space="0" w:color="auto"/>
            <w:bottom w:val="none" w:sz="0" w:space="0" w:color="auto"/>
            <w:right w:val="none" w:sz="0" w:space="0" w:color="auto"/>
          </w:divBdr>
        </w:div>
      </w:divsChild>
    </w:div>
    <w:div w:id="1735811978">
      <w:bodyDiv w:val="1"/>
      <w:marLeft w:val="0"/>
      <w:marRight w:val="0"/>
      <w:marTop w:val="0"/>
      <w:marBottom w:val="0"/>
      <w:divBdr>
        <w:top w:val="none" w:sz="0" w:space="0" w:color="auto"/>
        <w:left w:val="none" w:sz="0" w:space="0" w:color="auto"/>
        <w:bottom w:val="none" w:sz="0" w:space="0" w:color="auto"/>
        <w:right w:val="none" w:sz="0" w:space="0" w:color="auto"/>
      </w:divBdr>
    </w:div>
    <w:div w:id="1739864106">
      <w:bodyDiv w:val="1"/>
      <w:marLeft w:val="0"/>
      <w:marRight w:val="0"/>
      <w:marTop w:val="0"/>
      <w:marBottom w:val="0"/>
      <w:divBdr>
        <w:top w:val="none" w:sz="0" w:space="0" w:color="auto"/>
        <w:left w:val="none" w:sz="0" w:space="0" w:color="auto"/>
        <w:bottom w:val="none" w:sz="0" w:space="0" w:color="auto"/>
        <w:right w:val="none" w:sz="0" w:space="0" w:color="auto"/>
      </w:divBdr>
    </w:div>
    <w:div w:id="1755280723">
      <w:bodyDiv w:val="1"/>
      <w:marLeft w:val="0"/>
      <w:marRight w:val="0"/>
      <w:marTop w:val="0"/>
      <w:marBottom w:val="0"/>
      <w:divBdr>
        <w:top w:val="none" w:sz="0" w:space="0" w:color="auto"/>
        <w:left w:val="none" w:sz="0" w:space="0" w:color="auto"/>
        <w:bottom w:val="none" w:sz="0" w:space="0" w:color="auto"/>
        <w:right w:val="none" w:sz="0" w:space="0" w:color="auto"/>
      </w:divBdr>
      <w:divsChild>
        <w:div w:id="1061635727">
          <w:marLeft w:val="1166"/>
          <w:marRight w:val="0"/>
          <w:marTop w:val="0"/>
          <w:marBottom w:val="240"/>
          <w:divBdr>
            <w:top w:val="none" w:sz="0" w:space="0" w:color="auto"/>
            <w:left w:val="none" w:sz="0" w:space="0" w:color="auto"/>
            <w:bottom w:val="none" w:sz="0" w:space="0" w:color="auto"/>
            <w:right w:val="none" w:sz="0" w:space="0" w:color="auto"/>
          </w:divBdr>
        </w:div>
      </w:divsChild>
    </w:div>
    <w:div w:id="1755932402">
      <w:bodyDiv w:val="1"/>
      <w:marLeft w:val="0"/>
      <w:marRight w:val="0"/>
      <w:marTop w:val="0"/>
      <w:marBottom w:val="0"/>
      <w:divBdr>
        <w:top w:val="none" w:sz="0" w:space="0" w:color="auto"/>
        <w:left w:val="none" w:sz="0" w:space="0" w:color="auto"/>
        <w:bottom w:val="none" w:sz="0" w:space="0" w:color="auto"/>
        <w:right w:val="none" w:sz="0" w:space="0" w:color="auto"/>
      </w:divBdr>
    </w:div>
    <w:div w:id="1781875848">
      <w:bodyDiv w:val="1"/>
      <w:marLeft w:val="0"/>
      <w:marRight w:val="0"/>
      <w:marTop w:val="0"/>
      <w:marBottom w:val="0"/>
      <w:divBdr>
        <w:top w:val="none" w:sz="0" w:space="0" w:color="auto"/>
        <w:left w:val="none" w:sz="0" w:space="0" w:color="auto"/>
        <w:bottom w:val="none" w:sz="0" w:space="0" w:color="auto"/>
        <w:right w:val="none" w:sz="0" w:space="0" w:color="auto"/>
      </w:divBdr>
    </w:div>
    <w:div w:id="1813594122">
      <w:bodyDiv w:val="1"/>
      <w:marLeft w:val="0"/>
      <w:marRight w:val="0"/>
      <w:marTop w:val="0"/>
      <w:marBottom w:val="0"/>
      <w:divBdr>
        <w:top w:val="none" w:sz="0" w:space="0" w:color="auto"/>
        <w:left w:val="none" w:sz="0" w:space="0" w:color="auto"/>
        <w:bottom w:val="none" w:sz="0" w:space="0" w:color="auto"/>
        <w:right w:val="none" w:sz="0" w:space="0" w:color="auto"/>
      </w:divBdr>
      <w:divsChild>
        <w:div w:id="1315601056">
          <w:marLeft w:val="1166"/>
          <w:marRight w:val="0"/>
          <w:marTop w:val="0"/>
          <w:marBottom w:val="0"/>
          <w:divBdr>
            <w:top w:val="none" w:sz="0" w:space="0" w:color="auto"/>
            <w:left w:val="none" w:sz="0" w:space="0" w:color="auto"/>
            <w:bottom w:val="none" w:sz="0" w:space="0" w:color="auto"/>
            <w:right w:val="none" w:sz="0" w:space="0" w:color="auto"/>
          </w:divBdr>
        </w:div>
        <w:div w:id="1596674013">
          <w:marLeft w:val="1166"/>
          <w:marRight w:val="0"/>
          <w:marTop w:val="0"/>
          <w:marBottom w:val="0"/>
          <w:divBdr>
            <w:top w:val="none" w:sz="0" w:space="0" w:color="auto"/>
            <w:left w:val="none" w:sz="0" w:space="0" w:color="auto"/>
            <w:bottom w:val="none" w:sz="0" w:space="0" w:color="auto"/>
            <w:right w:val="none" w:sz="0" w:space="0" w:color="auto"/>
          </w:divBdr>
        </w:div>
      </w:divsChild>
    </w:div>
    <w:div w:id="1854102326">
      <w:bodyDiv w:val="1"/>
      <w:marLeft w:val="0"/>
      <w:marRight w:val="0"/>
      <w:marTop w:val="0"/>
      <w:marBottom w:val="0"/>
      <w:divBdr>
        <w:top w:val="none" w:sz="0" w:space="0" w:color="auto"/>
        <w:left w:val="none" w:sz="0" w:space="0" w:color="auto"/>
        <w:bottom w:val="none" w:sz="0" w:space="0" w:color="auto"/>
        <w:right w:val="none" w:sz="0" w:space="0" w:color="auto"/>
      </w:divBdr>
    </w:div>
    <w:div w:id="1867139169">
      <w:bodyDiv w:val="1"/>
      <w:marLeft w:val="0"/>
      <w:marRight w:val="0"/>
      <w:marTop w:val="0"/>
      <w:marBottom w:val="0"/>
      <w:divBdr>
        <w:top w:val="none" w:sz="0" w:space="0" w:color="auto"/>
        <w:left w:val="none" w:sz="0" w:space="0" w:color="auto"/>
        <w:bottom w:val="none" w:sz="0" w:space="0" w:color="auto"/>
        <w:right w:val="none" w:sz="0" w:space="0" w:color="auto"/>
      </w:divBdr>
    </w:div>
    <w:div w:id="1888838424">
      <w:bodyDiv w:val="1"/>
      <w:marLeft w:val="0"/>
      <w:marRight w:val="0"/>
      <w:marTop w:val="0"/>
      <w:marBottom w:val="0"/>
      <w:divBdr>
        <w:top w:val="none" w:sz="0" w:space="0" w:color="auto"/>
        <w:left w:val="none" w:sz="0" w:space="0" w:color="auto"/>
        <w:bottom w:val="none" w:sz="0" w:space="0" w:color="auto"/>
        <w:right w:val="none" w:sz="0" w:space="0" w:color="auto"/>
      </w:divBdr>
      <w:divsChild>
        <w:div w:id="1680892831">
          <w:marLeft w:val="1886"/>
          <w:marRight w:val="0"/>
          <w:marTop w:val="0"/>
          <w:marBottom w:val="0"/>
          <w:divBdr>
            <w:top w:val="none" w:sz="0" w:space="0" w:color="auto"/>
            <w:left w:val="none" w:sz="0" w:space="0" w:color="auto"/>
            <w:bottom w:val="none" w:sz="0" w:space="0" w:color="auto"/>
            <w:right w:val="none" w:sz="0" w:space="0" w:color="auto"/>
          </w:divBdr>
        </w:div>
        <w:div w:id="1634754477">
          <w:marLeft w:val="1886"/>
          <w:marRight w:val="0"/>
          <w:marTop w:val="0"/>
          <w:marBottom w:val="0"/>
          <w:divBdr>
            <w:top w:val="none" w:sz="0" w:space="0" w:color="auto"/>
            <w:left w:val="none" w:sz="0" w:space="0" w:color="auto"/>
            <w:bottom w:val="none" w:sz="0" w:space="0" w:color="auto"/>
            <w:right w:val="none" w:sz="0" w:space="0" w:color="auto"/>
          </w:divBdr>
        </w:div>
        <w:div w:id="1627544831">
          <w:marLeft w:val="1886"/>
          <w:marRight w:val="0"/>
          <w:marTop w:val="0"/>
          <w:marBottom w:val="0"/>
          <w:divBdr>
            <w:top w:val="none" w:sz="0" w:space="0" w:color="auto"/>
            <w:left w:val="none" w:sz="0" w:space="0" w:color="auto"/>
            <w:bottom w:val="none" w:sz="0" w:space="0" w:color="auto"/>
            <w:right w:val="none" w:sz="0" w:space="0" w:color="auto"/>
          </w:divBdr>
        </w:div>
        <w:div w:id="1184974559">
          <w:marLeft w:val="1886"/>
          <w:marRight w:val="0"/>
          <w:marTop w:val="0"/>
          <w:marBottom w:val="0"/>
          <w:divBdr>
            <w:top w:val="none" w:sz="0" w:space="0" w:color="auto"/>
            <w:left w:val="none" w:sz="0" w:space="0" w:color="auto"/>
            <w:bottom w:val="none" w:sz="0" w:space="0" w:color="auto"/>
            <w:right w:val="none" w:sz="0" w:space="0" w:color="auto"/>
          </w:divBdr>
        </w:div>
      </w:divsChild>
    </w:div>
    <w:div w:id="1889218234">
      <w:bodyDiv w:val="1"/>
      <w:marLeft w:val="0"/>
      <w:marRight w:val="0"/>
      <w:marTop w:val="0"/>
      <w:marBottom w:val="0"/>
      <w:divBdr>
        <w:top w:val="none" w:sz="0" w:space="0" w:color="auto"/>
        <w:left w:val="none" w:sz="0" w:space="0" w:color="auto"/>
        <w:bottom w:val="none" w:sz="0" w:space="0" w:color="auto"/>
        <w:right w:val="none" w:sz="0" w:space="0" w:color="auto"/>
      </w:divBdr>
    </w:div>
    <w:div w:id="1910920742">
      <w:bodyDiv w:val="1"/>
      <w:marLeft w:val="0"/>
      <w:marRight w:val="0"/>
      <w:marTop w:val="0"/>
      <w:marBottom w:val="0"/>
      <w:divBdr>
        <w:top w:val="none" w:sz="0" w:space="0" w:color="auto"/>
        <w:left w:val="none" w:sz="0" w:space="0" w:color="auto"/>
        <w:bottom w:val="none" w:sz="0" w:space="0" w:color="auto"/>
        <w:right w:val="none" w:sz="0" w:space="0" w:color="auto"/>
      </w:divBdr>
    </w:div>
    <w:div w:id="1940870499">
      <w:bodyDiv w:val="1"/>
      <w:marLeft w:val="0"/>
      <w:marRight w:val="0"/>
      <w:marTop w:val="0"/>
      <w:marBottom w:val="0"/>
      <w:divBdr>
        <w:top w:val="none" w:sz="0" w:space="0" w:color="auto"/>
        <w:left w:val="none" w:sz="0" w:space="0" w:color="auto"/>
        <w:bottom w:val="none" w:sz="0" w:space="0" w:color="auto"/>
        <w:right w:val="none" w:sz="0" w:space="0" w:color="auto"/>
      </w:divBdr>
      <w:divsChild>
        <w:div w:id="1953628173">
          <w:marLeft w:val="1166"/>
          <w:marRight w:val="0"/>
          <w:marTop w:val="0"/>
          <w:marBottom w:val="0"/>
          <w:divBdr>
            <w:top w:val="none" w:sz="0" w:space="0" w:color="auto"/>
            <w:left w:val="none" w:sz="0" w:space="0" w:color="auto"/>
            <w:bottom w:val="none" w:sz="0" w:space="0" w:color="auto"/>
            <w:right w:val="none" w:sz="0" w:space="0" w:color="auto"/>
          </w:divBdr>
        </w:div>
      </w:divsChild>
    </w:div>
    <w:div w:id="1951086152">
      <w:bodyDiv w:val="1"/>
      <w:marLeft w:val="0"/>
      <w:marRight w:val="0"/>
      <w:marTop w:val="0"/>
      <w:marBottom w:val="0"/>
      <w:divBdr>
        <w:top w:val="none" w:sz="0" w:space="0" w:color="auto"/>
        <w:left w:val="none" w:sz="0" w:space="0" w:color="auto"/>
        <w:bottom w:val="none" w:sz="0" w:space="0" w:color="auto"/>
        <w:right w:val="none" w:sz="0" w:space="0" w:color="auto"/>
      </w:divBdr>
      <w:divsChild>
        <w:div w:id="583758573">
          <w:marLeft w:val="446"/>
          <w:marRight w:val="0"/>
          <w:marTop w:val="0"/>
          <w:marBottom w:val="120"/>
          <w:divBdr>
            <w:top w:val="none" w:sz="0" w:space="0" w:color="auto"/>
            <w:left w:val="none" w:sz="0" w:space="0" w:color="auto"/>
            <w:bottom w:val="none" w:sz="0" w:space="0" w:color="auto"/>
            <w:right w:val="none" w:sz="0" w:space="0" w:color="auto"/>
          </w:divBdr>
        </w:div>
        <w:div w:id="325595154">
          <w:marLeft w:val="446"/>
          <w:marRight w:val="0"/>
          <w:marTop w:val="0"/>
          <w:marBottom w:val="120"/>
          <w:divBdr>
            <w:top w:val="none" w:sz="0" w:space="0" w:color="auto"/>
            <w:left w:val="none" w:sz="0" w:space="0" w:color="auto"/>
            <w:bottom w:val="none" w:sz="0" w:space="0" w:color="auto"/>
            <w:right w:val="none" w:sz="0" w:space="0" w:color="auto"/>
          </w:divBdr>
        </w:div>
        <w:div w:id="795873724">
          <w:marLeft w:val="446"/>
          <w:marRight w:val="0"/>
          <w:marTop w:val="0"/>
          <w:marBottom w:val="120"/>
          <w:divBdr>
            <w:top w:val="none" w:sz="0" w:space="0" w:color="auto"/>
            <w:left w:val="none" w:sz="0" w:space="0" w:color="auto"/>
            <w:bottom w:val="none" w:sz="0" w:space="0" w:color="auto"/>
            <w:right w:val="none" w:sz="0" w:space="0" w:color="auto"/>
          </w:divBdr>
        </w:div>
      </w:divsChild>
    </w:div>
    <w:div w:id="1968122406">
      <w:bodyDiv w:val="1"/>
      <w:marLeft w:val="0"/>
      <w:marRight w:val="0"/>
      <w:marTop w:val="0"/>
      <w:marBottom w:val="0"/>
      <w:divBdr>
        <w:top w:val="none" w:sz="0" w:space="0" w:color="auto"/>
        <w:left w:val="none" w:sz="0" w:space="0" w:color="auto"/>
        <w:bottom w:val="none" w:sz="0" w:space="0" w:color="auto"/>
        <w:right w:val="none" w:sz="0" w:space="0" w:color="auto"/>
      </w:divBdr>
    </w:div>
    <w:div w:id="1982879488">
      <w:bodyDiv w:val="1"/>
      <w:marLeft w:val="0"/>
      <w:marRight w:val="0"/>
      <w:marTop w:val="0"/>
      <w:marBottom w:val="0"/>
      <w:divBdr>
        <w:top w:val="none" w:sz="0" w:space="0" w:color="auto"/>
        <w:left w:val="none" w:sz="0" w:space="0" w:color="auto"/>
        <w:bottom w:val="none" w:sz="0" w:space="0" w:color="auto"/>
        <w:right w:val="none" w:sz="0" w:space="0" w:color="auto"/>
      </w:divBdr>
    </w:div>
    <w:div w:id="2014187091">
      <w:bodyDiv w:val="1"/>
      <w:marLeft w:val="0"/>
      <w:marRight w:val="0"/>
      <w:marTop w:val="0"/>
      <w:marBottom w:val="0"/>
      <w:divBdr>
        <w:top w:val="none" w:sz="0" w:space="0" w:color="auto"/>
        <w:left w:val="none" w:sz="0" w:space="0" w:color="auto"/>
        <w:bottom w:val="none" w:sz="0" w:space="0" w:color="auto"/>
        <w:right w:val="none" w:sz="0" w:space="0" w:color="auto"/>
      </w:divBdr>
      <w:divsChild>
        <w:div w:id="1763141032">
          <w:marLeft w:val="1886"/>
          <w:marRight w:val="0"/>
          <w:marTop w:val="0"/>
          <w:marBottom w:val="0"/>
          <w:divBdr>
            <w:top w:val="none" w:sz="0" w:space="0" w:color="auto"/>
            <w:left w:val="none" w:sz="0" w:space="0" w:color="auto"/>
            <w:bottom w:val="none" w:sz="0" w:space="0" w:color="auto"/>
            <w:right w:val="none" w:sz="0" w:space="0" w:color="auto"/>
          </w:divBdr>
        </w:div>
      </w:divsChild>
    </w:div>
    <w:div w:id="2071725861">
      <w:bodyDiv w:val="1"/>
      <w:marLeft w:val="0"/>
      <w:marRight w:val="0"/>
      <w:marTop w:val="0"/>
      <w:marBottom w:val="0"/>
      <w:divBdr>
        <w:top w:val="none" w:sz="0" w:space="0" w:color="auto"/>
        <w:left w:val="none" w:sz="0" w:space="0" w:color="auto"/>
        <w:bottom w:val="none" w:sz="0" w:space="0" w:color="auto"/>
        <w:right w:val="none" w:sz="0" w:space="0" w:color="auto"/>
      </w:divBdr>
    </w:div>
    <w:div w:id="2133356756">
      <w:bodyDiv w:val="1"/>
      <w:marLeft w:val="0"/>
      <w:marRight w:val="0"/>
      <w:marTop w:val="0"/>
      <w:marBottom w:val="0"/>
      <w:divBdr>
        <w:top w:val="none" w:sz="0" w:space="0" w:color="auto"/>
        <w:left w:val="none" w:sz="0" w:space="0" w:color="auto"/>
        <w:bottom w:val="none" w:sz="0" w:space="0" w:color="auto"/>
        <w:right w:val="none" w:sz="0" w:space="0" w:color="auto"/>
      </w:divBdr>
      <w:divsChild>
        <w:div w:id="817527133">
          <w:marLeft w:val="446"/>
          <w:marRight w:val="0"/>
          <w:marTop w:val="0"/>
          <w:marBottom w:val="120"/>
          <w:divBdr>
            <w:top w:val="none" w:sz="0" w:space="0" w:color="auto"/>
            <w:left w:val="none" w:sz="0" w:space="0" w:color="auto"/>
            <w:bottom w:val="none" w:sz="0" w:space="0" w:color="auto"/>
            <w:right w:val="none" w:sz="0" w:space="0" w:color="auto"/>
          </w:divBdr>
        </w:div>
      </w:divsChild>
    </w:div>
    <w:div w:id="2138720008">
      <w:bodyDiv w:val="1"/>
      <w:marLeft w:val="0"/>
      <w:marRight w:val="0"/>
      <w:marTop w:val="0"/>
      <w:marBottom w:val="0"/>
      <w:divBdr>
        <w:top w:val="none" w:sz="0" w:space="0" w:color="auto"/>
        <w:left w:val="none" w:sz="0" w:space="0" w:color="auto"/>
        <w:bottom w:val="none" w:sz="0" w:space="0" w:color="auto"/>
        <w:right w:val="none" w:sz="0" w:space="0" w:color="auto"/>
      </w:divBdr>
    </w:div>
    <w:div w:id="2145191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7">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1DD0F4D-AC72-43A3-A50C-1365790249AE}">
  <we:reference id="wa104041485" version="1.1.1.0" store="en-US" storeType="OMEX"/>
  <we:alternateReferences>
    <we:reference id="WA104041485" version="1.1.1.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0ff2eaee-b869-4ff0-a4ba-d37d71e57e2d">
      <Terms xmlns="http://schemas.microsoft.com/office/infopath/2007/PartnerControls"/>
    </lcf76f155ced4ddcb4097134ff3c332f>
    <TaxCatchAll xmlns="8084e060-a64a-4d50-8548-59eb5e8cf1bc" xsi:nil="true"/>
    <SERVICELINE xmlns="0ff2eaee-b869-4ff0-a4ba-d37d71e57e2d" xsi:nil="true"/>
    <CONTENTTYPE0 xmlns="0ff2eaee-b869-4ff0-a4ba-d37d71e57e2d" xsi:nil="true"/>
    <OTHERSERVICELINES xmlns="0ff2eaee-b869-4ff0-a4ba-d37d71e57e2d" xsi:nil="true"/>
    <MIGRATIONSTATUS xmlns="0ff2eaee-b869-4ff0-a4ba-d37d71e57e2d" xsi:nil="true"/>
    <YEARCREATED xmlns="0ff2eaee-b869-4ff0-a4ba-d37d71e57e2d" xsi:nil="true"/>
    <SLOWNER_x0028_OPTIONAL_x0029_ xmlns="0ff2eaee-b869-4ff0-a4ba-d37d71e57e2d">
      <UserInfo>
        <DisplayName/>
        <AccountId xsi:nil="true"/>
        <AccountType/>
      </UserInfo>
    </SLOWNER_x0028_OPTIONAL_x0029_>
    <REVIEWEDBY xmlns="0ff2eaee-b869-4ff0-a4ba-d37d71e57e2d">
      <UserInfo>
        <DisplayName/>
        <AccountId xsi:nil="true"/>
        <AccountType/>
      </UserInfo>
    </REVIEWEDBY>
    <TRAININGAUDIENCE xmlns="0ff2eaee-b869-4ff0-a4ba-d37d71e57e2d" xsi:nil="true"/>
    <TRAININGCONTENTSTATUS xmlns="0ff2eaee-b869-4ff0-a4ba-d37d71e57e2d" xsi:nil="true"/>
    <OPPIDNUMBER xmlns="0ff2eaee-b869-4ff0-a4ba-d37d71e57e2d"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49E85EFF1C6B747A4CF56CE9D74CDAE" ma:contentTypeVersion="31" ma:contentTypeDescription="Create a new document." ma:contentTypeScope="" ma:versionID="5ee474bed3c278c7869c570f997551f1">
  <xsd:schema xmlns:xsd="http://www.w3.org/2001/XMLSchema" xmlns:xs="http://www.w3.org/2001/XMLSchema" xmlns:p="http://schemas.microsoft.com/office/2006/metadata/properties" xmlns:ns1="http://schemas.microsoft.com/sharepoint/v3" xmlns:ns2="0ff2eaee-b869-4ff0-a4ba-d37d71e57e2d" xmlns:ns3="8084e060-a64a-4d50-8548-59eb5e8cf1bc" targetNamespace="http://schemas.microsoft.com/office/2006/metadata/properties" ma:root="true" ma:fieldsID="a344e277e8b3480bdf4c01af94941797" ns1:_="" ns2:_="" ns3:_="">
    <xsd:import namespace="http://schemas.microsoft.com/sharepoint/v3"/>
    <xsd:import namespace="0ff2eaee-b869-4ff0-a4ba-d37d71e57e2d"/>
    <xsd:import namespace="8084e060-a64a-4d50-8548-59eb5e8cf1b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1:_ip_UnifiedCompliancePolicyProperties" minOccurs="0"/>
                <xsd:element ref="ns1:_ip_UnifiedCompliancePolicyUIAction"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element ref="ns2:CONTENTTYPE0" minOccurs="0"/>
                <xsd:element ref="ns2:OPPIDNUMBER" minOccurs="0"/>
                <xsd:element ref="ns2:MIGRATIONSTATUS" minOccurs="0"/>
                <xsd:element ref="ns2:SERVICELINE" minOccurs="0"/>
                <xsd:element ref="ns2:YEARCREATED" minOccurs="0"/>
                <xsd:element ref="ns2:REVIEWEDBY" minOccurs="0"/>
                <xsd:element ref="ns2:SLOWNER_x0028_OPTIONAL_x0029_" minOccurs="0"/>
                <xsd:element ref="ns2:TRAININGAUDIENCE" minOccurs="0"/>
                <xsd:element ref="ns2:TRAININGCONTENTSTATUS" minOccurs="0"/>
                <xsd:element ref="ns2:OTHERSERVICELIN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8" nillable="true" ma:displayName="Unified Compliance Policy Properties" ma:hidden="true" ma:internalName="_ip_UnifiedCompliancePolicyProperties">
      <xsd:simpleType>
        <xsd:restriction base="dms:Note"/>
      </xsd:simpleType>
    </xsd:element>
    <xsd:element name="_ip_UnifiedCompliancePolicyUIAction" ma:index="1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ff2eaee-b869-4ff0-a4ba-d37d71e57e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3a12c3c9-0c32-41ec-8727-1f7e712bea81" ma:termSetId="09814cd3-568e-fe90-9814-8d621ff8fb84" ma:anchorId="fba54fb3-c3e1-fe81-a776-ca4b69148c4d" ma:open="true" ma:isKeyword="false">
      <xsd:complexType>
        <xsd:sequence>
          <xsd:element ref="pc:Terms" minOccurs="0" maxOccurs="1"/>
        </xsd:sequence>
      </xsd:complexType>
    </xsd:element>
    <xsd:element name="MediaServiceLocation" ma:index="25" nillable="true" ma:displayName="Location" ma:internalName="MediaServiceLocation" ma:readOnly="true">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element name="CONTENTTYPE0" ma:index="29" nillable="true" ma:displayName="CONTENT TYPE" ma:description="Defines the nature or purpose of the document.&#10;&#10;Proposal: A document outlining a plan, offer, or bid for a project or service, typically submitted for approval or funding.&#10;Project: Files related to the execution, planning, or tracking of a specific project (e.g., timelines, deliverables, reports).&#10;SOP (Standard Operating Procedure): A document that provides step-by-step instructions to carry out routine operations or processes.&#10;Template: A reusable document format or structure used to standardize proposals, reports, or other content.&#10;Training: Materials used for onboarding, skill development, compliance, or client-specific instruction. This includes slide decks, videos, manuals, knowledge shares, and workshop content.&#10;Other: Any document that doesn’t fit the above categories (e.g., meeting notes, reference materials, correspondence)." ma:format="Dropdown" ma:internalName="CONTENTTYPE0">
      <xsd:simpleType>
        <xsd:restriction base="dms:Choice">
          <xsd:enumeration value="Proposal Folder"/>
          <xsd:enumeration value="Project Folder"/>
          <xsd:enumeration value="SOP"/>
          <xsd:enumeration value="Template"/>
          <xsd:enumeration value="Training"/>
          <xsd:enumeration value="Other"/>
        </xsd:restriction>
      </xsd:simpleType>
    </xsd:element>
    <xsd:element name="OPPIDNUMBER" ma:index="30" nillable="true" ma:displayName="OPP ID NUMBER" ma:description="The Opportunity ID is a critical link between files and their associated proposals or projects in Salesforce. Capturing this ID during the migration process ensures that documents remain connected to the correct opportunity, enabling accurate tracking, reporting, and retrieval in the future.&#10;&#10;Many files currently lack this identifier, so reviewers will need to manually enter the correct OPP ID into the designated column. This step is essential for maintaining data integrity and supporting seamless migration into the new SharePoint Hub Site.&#10;" ma:format="Dropdown" ma:internalName="OPPIDNUMBER">
      <xsd:simpleType>
        <xsd:restriction base="dms:Text">
          <xsd:maxLength value="255"/>
        </xsd:restriction>
      </xsd:simpleType>
    </xsd:element>
    <xsd:element name="MIGRATIONSTATUS" ma:index="31" nillable="true" ma:displayName="MIGRATION STATUS" ma:description="Indicates the action to be taken during the migration process.&#10;&#10;Active: The file is currently in use and should be migrated to the new site for continued access.&#10;Archive: The file is no longer actively used but should be retained for historical or compliance reasons.&#10;Delete: The file is obsolete, duplicated, or irrelevant and is marked for deletion after review." ma:format="Dropdown" ma:internalName="MIGRATIONSTATUS">
      <xsd:simpleType>
        <xsd:restriction base="dms:Choice">
          <xsd:enumeration value="Migrate-Active"/>
          <xsd:enumeration value="Migrate-Inactive"/>
          <xsd:enumeration value="Delete"/>
          <xsd:enumeration value="Review Needed"/>
        </xsd:restriction>
      </xsd:simpleType>
    </xsd:element>
    <xsd:element name="SERVICELINE" ma:index="32" nillable="true" ma:displayName="SERVICE LINE" ma:description="Specifies the areas of Commercial Services the content belongs to. Useful for filtering, permissions, and organizing content by SL." ma:format="Dropdown" ma:internalName="SERVICELINE">
      <xsd:simpleType>
        <xsd:restriction base="dms:Choice">
          <xsd:enumeration value="Asia-Pacific"/>
          <xsd:enumeration value="Business Development &amp; Licensing"/>
          <xsd:enumeration value="Clinical Outcome Assessment"/>
          <xsd:enumeration value="Custom Epidemiology"/>
          <xsd:enumeration value="Customer Engagement Strategy and Execution"/>
          <xsd:enumeration value="Evidence-Health Economics"/>
          <xsd:enumeration value="Evidence-HTA"/>
          <xsd:enumeration value="Evidence-SLR/NMA"/>
          <xsd:enumeration value="Global Pricing &amp; Market Access"/>
          <xsd:enumeration value="New Product Planning &amp; Portfolio Strategy"/>
          <xsd:enumeration value="US Pricing &amp; Market Access"/>
          <xsd:enumeration value="Value-Design"/>
          <xsd:enumeration value="Value-Digital Solutions"/>
          <xsd:enumeration value="Value-Medical Writing"/>
        </xsd:restriction>
      </xsd:simpleType>
    </xsd:element>
    <xsd:element name="YEARCREATED" ma:index="33" nillable="true" ma:displayName="YEAR CREATED" ma:description="Captures the year the document/folder was originally created. Useful for identifying outdated content and applying retention policies." ma:format="Dropdown" ma:internalName="YEARCREATED">
      <xsd:simpleType>
        <xsd:restriction base="dms:Choice">
          <xsd:enumeration value="2025"/>
          <xsd:enumeration value="2024"/>
          <xsd:enumeration value="2023"/>
          <xsd:enumeration value="2022"/>
          <xsd:enumeration value="2021"/>
          <xsd:enumeration value="2020"/>
          <xsd:enumeration value="2019"/>
          <xsd:enumeration value="2018"/>
          <xsd:enumeration value="2017"/>
          <xsd:enumeration value="2016"/>
          <xsd:enumeration value="2015"/>
          <xsd:enumeration value="2014"/>
          <xsd:enumeration value="2013"/>
          <xsd:enumeration value="2012"/>
          <xsd:enumeration value="2011"/>
          <xsd:enumeration value="2010"/>
        </xsd:restriction>
      </xsd:simpleType>
    </xsd:element>
    <xsd:element name="REVIEWEDBY" ma:index="34" nillable="true" ma:displayName="REVIEWED BY" ma:description="The individual who reviewed and tagged the file during the migration process. This field helps track who made the classification decisions, providing accountability and a point of contact for follow-up questions. It does not imply original ownership of the content." ma:format="Dropdown" ma:list="UserInfo" ma:SharePointGroup="0" ma:internalName="REVIEW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LOWNER_x0028_OPTIONAL_x0029_" ma:index="35" nillable="true" ma:displayName="SL OWNER (OPTIONAL)" ma:description="The service line (department or team) that is responsible for or most closely associated with the content. This field is optional and should be filled in only if the reviewer is confident about the content’s ownership. It helps with organizing files by business function and assigning long-term stewardship." ma:format="Dropdown" ma:list="UserInfo" ma:SharePointGroup="0" ma:internalName="SLOWNER_x0028_OPTIONAL_x0029_">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RAININGAUDIENCE" ma:index="36" nillable="true" ma:displayName="TRAINING AUDIENCE" ma:description="Specifies who the training is intended for.&#10;Internal: Designed for employees or internal teams. Examples include onboarding, compliance, or internal systems training.&#10;Client: Created specifically for or by clients or customers. May include product usage, onboarding, or service-specific training.&#10;External Partner: Intended for external collaborators such as vendors, consultants, or affiliated organizations who work alongside your team." ma:format="Dropdown" ma:internalName="TRAININGAUDIENCE">
      <xsd:simpleType>
        <xsd:restriction base="dms:Choice">
          <xsd:enumeration value="Internal"/>
          <xsd:enumeration value="Client"/>
          <xsd:enumeration value="External Partner"/>
        </xsd:restriction>
      </xsd:simpleType>
    </xsd:element>
    <xsd:element name="TRAININGCONTENTSTATUS" ma:index="37" nillable="true" ma:displayName="TRAINING CONTENT STATUS" ma:description="Indicates the current relevance or usability of the training material.&#10;Current: Up-to-date and actively used. Content is accurate and aligned with current practices or policies.&#10;Outdated: No longer reflects current processes, tools, or standards. May need revision or removal.&#10;Needs Review: Unclear whether the content is still valid. Requires subject matter expert input to determine next steps." ma:format="Dropdown" ma:internalName="TRAININGCONTENTSTATUS">
      <xsd:simpleType>
        <xsd:restriction base="dms:Choice">
          <xsd:enumeration value="Current"/>
          <xsd:enumeration value="Outdated"/>
          <xsd:enumeration value="Needs Review"/>
        </xsd:restriction>
      </xsd:simpleType>
    </xsd:element>
    <xsd:element name="OTHERSERVICELINES" ma:index="38" nillable="true" ma:displayName="OTHER SERVICE LINES" ma:description="The service line (department or team) outside of the Commercial Consulting practice area that was involved with the content. This field is optional and should be filled in only if the reviewer is confident about the service line's participation. " ma:format="Dropdown" ma:internalName="OTHERSERVICELINES">
      <xsd:simpleType>
        <xsd:restriction base="dms:Choice">
          <xsd:enumeration value="R&amp;D - Discovery &amp; Transpational Science"/>
          <xsd:enumeration value="R&amp;D - Clinical &amp; Regulatory"/>
          <xsd:enumeration value="R&amp;D - CMR"/>
          <xsd:enumeration value="Technology"/>
          <xsd:enumeration value="Technology-DAI"/>
        </xsd:restriction>
      </xsd:simpleType>
    </xsd:element>
  </xsd:schema>
  <xsd:schema xmlns:xsd="http://www.w3.org/2001/XMLSchema" xmlns:xs="http://www.w3.org/2001/XMLSchema" xmlns:dms="http://schemas.microsoft.com/office/2006/documentManagement/types" xmlns:pc="http://schemas.microsoft.com/office/infopath/2007/PartnerControls" targetNamespace="8084e060-a64a-4d50-8548-59eb5e8cf1bc"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b1a1d105-0423-4492-a4d3-00492c3f078f}" ma:internalName="TaxCatchAll" ma:showField="CatchAllData" ma:web="8084e060-a64a-4d50-8548-59eb5e8cf1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B9B3F6-1126-45BA-979E-F9E00C6A06B5}">
  <ds:schemaRefs>
    <ds:schemaRef ds:uri="http://schemas.openxmlformats.org/officeDocument/2006/bibliography"/>
  </ds:schemaRefs>
</ds:datastoreItem>
</file>

<file path=customXml/itemProps2.xml><?xml version="1.0" encoding="utf-8"?>
<ds:datastoreItem xmlns:ds="http://schemas.openxmlformats.org/officeDocument/2006/customXml" ds:itemID="{E0B66148-98FB-4B6D-B83D-29194B433B22}">
  <ds:schemaRefs>
    <ds:schemaRef ds:uri="http://schemas.microsoft.com/sharepoint/v3/contenttype/forms"/>
  </ds:schemaRefs>
</ds:datastoreItem>
</file>

<file path=customXml/itemProps3.xml><?xml version="1.0" encoding="utf-8"?>
<ds:datastoreItem xmlns:ds="http://schemas.openxmlformats.org/officeDocument/2006/customXml" ds:itemID="{7BAFD432-8C85-46B3-90D5-602AAFA9D0D2}">
  <ds:schemaRefs>
    <ds:schemaRef ds:uri="http://schemas.microsoft.com/office/2006/metadata/properties"/>
    <ds:schemaRef ds:uri="http://schemas.microsoft.com/office/infopath/2007/PartnerControls"/>
    <ds:schemaRef ds:uri="http://schemas.microsoft.com/sharepoint/v3"/>
    <ds:schemaRef ds:uri="0ff2eaee-b869-4ff0-a4ba-d37d71e57e2d"/>
    <ds:schemaRef ds:uri="8084e060-a64a-4d50-8548-59eb5e8cf1bc"/>
  </ds:schemaRefs>
</ds:datastoreItem>
</file>

<file path=customXml/itemProps4.xml><?xml version="1.0" encoding="utf-8"?>
<ds:datastoreItem xmlns:ds="http://schemas.openxmlformats.org/officeDocument/2006/customXml" ds:itemID="{DCBE34E5-B08C-4E12-8F77-55B62EE92B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ff2eaee-b869-4ff0-a4ba-d37d71e57e2d"/>
    <ds:schemaRef ds:uri="8084e060-a64a-4d50-8548-59eb5e8cf1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127fa96e-00b4-429e-95f9-72c2828437a4}" enabled="0" method="" siteId="{127fa96e-00b4-429e-95f9-72c2828437a4}"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9</Pages>
  <Words>1610</Words>
  <Characters>9645</Characters>
  <Application>Microsoft Office Word</Application>
  <DocSecurity>0</DocSecurity>
  <Lines>449</Lines>
  <Paragraphs>163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11124</CharactersWithSpaces>
  <SharedDoc>false</SharedDoc>
  <HLinks>
    <vt:vector size="96" baseType="variant">
      <vt:variant>
        <vt:i4>5111898</vt:i4>
      </vt:variant>
      <vt:variant>
        <vt:i4>166</vt:i4>
      </vt:variant>
      <vt:variant>
        <vt:i4>0</vt:i4>
      </vt:variant>
      <vt:variant>
        <vt:i4>5</vt:i4>
      </vt:variant>
      <vt:variant>
        <vt:lpwstr>https://www.rtihs.org/sites/default/files/Barrett2015.pdf</vt:lpwstr>
      </vt:variant>
      <vt:variant>
        <vt:lpwstr/>
      </vt:variant>
      <vt:variant>
        <vt:i4>1769588</vt:i4>
      </vt:variant>
      <vt:variant>
        <vt:i4>163</vt:i4>
      </vt:variant>
      <vt:variant>
        <vt:i4>0</vt:i4>
      </vt:variant>
      <vt:variant>
        <vt:i4>5</vt:i4>
      </vt:variant>
      <vt:variant>
        <vt:lpwstr>www.imi.europa.eu/sites/default/files/uploads/documents/apply-for-funding/future-topics/Topic_PROcancer.pdf</vt:lpwstr>
      </vt:variant>
      <vt:variant>
        <vt:lpwstr/>
      </vt:variant>
      <vt:variant>
        <vt:i4>2818094</vt:i4>
      </vt:variant>
      <vt:variant>
        <vt:i4>160</vt:i4>
      </vt:variant>
      <vt:variant>
        <vt:i4>0</vt:i4>
      </vt:variant>
      <vt:variant>
        <vt:i4>5</vt:i4>
      </vt:variant>
      <vt:variant>
        <vt:lpwstr>https://cordis.europa.eu/project/id/945052</vt:lpwstr>
      </vt:variant>
      <vt:variant>
        <vt:lpwstr/>
      </vt:variant>
      <vt:variant>
        <vt:i4>7274607</vt:i4>
      </vt:variant>
      <vt:variant>
        <vt:i4>157</vt:i4>
      </vt:variant>
      <vt:variant>
        <vt:i4>0</vt:i4>
      </vt:variant>
      <vt:variant>
        <vt:i4>5</vt:i4>
      </vt:variant>
      <vt:variant>
        <vt:lpwstr>www.beuc.eu/publications/good-consumers-deal-eu-wide-coordination-assessing-new-medicines-and-medical-devices/html</vt:lpwstr>
      </vt:variant>
      <vt:variant>
        <vt:lpwstr/>
      </vt:variant>
      <vt:variant>
        <vt:i4>2097226</vt:i4>
      </vt:variant>
      <vt:variant>
        <vt:i4>154</vt:i4>
      </vt:variant>
      <vt:variant>
        <vt:i4>0</vt:i4>
      </vt:variant>
      <vt:variant>
        <vt:i4>5</vt:i4>
      </vt:variant>
      <vt:variant>
        <vt:lpwstr>https://health.ec.europa.eu/health-technology-assessment/regulation-health-technology-assessment_en</vt:lpwstr>
      </vt:variant>
      <vt:variant>
        <vt:lpwstr/>
      </vt:variant>
      <vt:variant>
        <vt:i4>4128813</vt:i4>
      </vt:variant>
      <vt:variant>
        <vt:i4>151</vt:i4>
      </vt:variant>
      <vt:variant>
        <vt:i4>0</vt:i4>
      </vt:variant>
      <vt:variant>
        <vt:i4>5</vt:i4>
      </vt:variant>
      <vt:variant>
        <vt:lpwstr>www.consilium.europa.eu/en/press/press-releases/2021/11/09/council-green-lights-new-rules-on-health-technology-assessment-improving-access-to-medicines-and-simplifying-procedures/</vt:lpwstr>
      </vt:variant>
      <vt:variant>
        <vt:lpwstr/>
      </vt:variant>
      <vt:variant>
        <vt:i4>1966171</vt:i4>
      </vt:variant>
      <vt:variant>
        <vt:i4>148</vt:i4>
      </vt:variant>
      <vt:variant>
        <vt:i4>0</vt:i4>
      </vt:variant>
      <vt:variant>
        <vt:i4>5</vt:i4>
      </vt:variant>
      <vt:variant>
        <vt:lpwstr>https://www.globallegalinsights.com/practice-areas/pricing-reimbursement-laws-and-regulations/france/</vt:lpwstr>
      </vt:variant>
      <vt:variant>
        <vt:lpwstr/>
      </vt:variant>
      <vt:variant>
        <vt:i4>5177358</vt:i4>
      </vt:variant>
      <vt:variant>
        <vt:i4>145</vt:i4>
      </vt:variant>
      <vt:variant>
        <vt:i4>0</vt:i4>
      </vt:variant>
      <vt:variant>
        <vt:i4>5</vt:i4>
      </vt:variant>
      <vt:variant>
        <vt:lpwstr>https://www.g-ba.de/</vt:lpwstr>
      </vt:variant>
      <vt:variant>
        <vt:lpwstr/>
      </vt:variant>
      <vt:variant>
        <vt:i4>1769565</vt:i4>
      </vt:variant>
      <vt:variant>
        <vt:i4>142</vt:i4>
      </vt:variant>
      <vt:variant>
        <vt:i4>0</vt:i4>
      </vt:variant>
      <vt:variant>
        <vt:i4>5</vt:i4>
      </vt:variant>
      <vt:variant>
        <vt:lpwstr>https://www.iqwig.de/</vt:lpwstr>
      </vt:variant>
      <vt:variant>
        <vt:lpwstr/>
      </vt:variant>
      <vt:variant>
        <vt:i4>4784198</vt:i4>
      </vt:variant>
      <vt:variant>
        <vt:i4>139</vt:i4>
      </vt:variant>
      <vt:variant>
        <vt:i4>0</vt:i4>
      </vt:variant>
      <vt:variant>
        <vt:i4>5</vt:i4>
      </vt:variant>
      <vt:variant>
        <vt:lpwstr>https://www.sheffield.ac.uk/nice-dsu</vt:lpwstr>
      </vt:variant>
      <vt:variant>
        <vt:lpwstr/>
      </vt:variant>
      <vt:variant>
        <vt:i4>5046341</vt:i4>
      </vt:variant>
      <vt:variant>
        <vt:i4>136</vt:i4>
      </vt:variant>
      <vt:variant>
        <vt:i4>0</vt:i4>
      </vt:variant>
      <vt:variant>
        <vt:i4>5</vt:i4>
      </vt:variant>
      <vt:variant>
        <vt:lpwstr>https://www.has-sante.fr/</vt:lpwstr>
      </vt:variant>
      <vt:variant>
        <vt:lpwstr/>
      </vt:variant>
      <vt:variant>
        <vt:i4>7667807</vt:i4>
      </vt:variant>
      <vt:variant>
        <vt:i4>133</vt:i4>
      </vt:variant>
      <vt:variant>
        <vt:i4>0</vt:i4>
      </vt:variant>
      <vt:variant>
        <vt:i4>5</vt:i4>
      </vt:variant>
      <vt:variant>
        <vt:lpwstr>https://health.ec.europa.eu/document/download/a70a62c7-325c-401e-ba42-66174b656ab8_en?filename=hta_outcomes_jca_guidance_en.pdf</vt:lpwstr>
      </vt:variant>
      <vt:variant>
        <vt:lpwstr/>
      </vt:variant>
      <vt:variant>
        <vt:i4>7995453</vt:i4>
      </vt:variant>
      <vt:variant>
        <vt:i4>130</vt:i4>
      </vt:variant>
      <vt:variant>
        <vt:i4>0</vt:i4>
      </vt:variant>
      <vt:variant>
        <vt:i4>5</vt:i4>
      </vt:variant>
      <vt:variant>
        <vt:lpwstr>https://www.cancer.gov/publications/dictionaries/cancer-terms/def/patient-reported-outcome</vt:lpwstr>
      </vt:variant>
      <vt:variant>
        <vt:lpwstr/>
      </vt:variant>
      <vt:variant>
        <vt:i4>1376363</vt:i4>
      </vt:variant>
      <vt:variant>
        <vt:i4>6</vt:i4>
      </vt:variant>
      <vt:variant>
        <vt:i4>0</vt:i4>
      </vt:variant>
      <vt:variant>
        <vt:i4>5</vt:i4>
      </vt:variant>
      <vt:variant>
        <vt:lpwstr>mailto:onyee.wong@clarivate.com</vt:lpwstr>
      </vt:variant>
      <vt:variant>
        <vt:lpwstr/>
      </vt:variant>
      <vt:variant>
        <vt:i4>6160477</vt:i4>
      </vt:variant>
      <vt:variant>
        <vt:i4>3</vt:i4>
      </vt:variant>
      <vt:variant>
        <vt:i4>0</vt:i4>
      </vt:variant>
      <vt:variant>
        <vt:i4>5</vt:i4>
      </vt:variant>
      <vt:variant>
        <vt:lpwstr>https://www.has-sante.fr/upload/docs/application/pdf/2014-03/pricing_reimbursement_of_drugs_and_hta_policies_in_france.pdf</vt:lpwstr>
      </vt:variant>
      <vt:variant>
        <vt:lpwstr/>
      </vt:variant>
      <vt:variant>
        <vt:i4>1966171</vt:i4>
      </vt:variant>
      <vt:variant>
        <vt:i4>0</vt:i4>
      </vt:variant>
      <vt:variant>
        <vt:i4>0</vt:i4>
      </vt:variant>
      <vt:variant>
        <vt:i4>5</vt:i4>
      </vt:variant>
      <vt:variant>
        <vt:lpwstr>https://www.globallegalinsights.com/practice-areas/pricing-reimbursement-laws-and-regulations/france/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Moore, Brigitte</dc:creator>
  <cp:lastModifiedBy>Bhushan Tandale</cp:lastModifiedBy>
  <cp:revision>4</cp:revision>
  <dcterms:created xsi:type="dcterms:W3CDTF">2025-11-17T21:20:00Z</dcterms:created>
  <dcterms:modified xsi:type="dcterms:W3CDTF">2025-12-01T14:31:00Z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0x010100049E85EFF1C6B747A4CF56CE9D74CDAE</vt:lpwstr>
  </property>
  <property fmtid="{D5CDD505-2E9C-101B-9397-08002B2CF9AE}" pid="3" name="Order">
    <vt:r8>100</vt:r8>
  </property>
  <property fmtid="{D5CDD505-2E9C-101B-9397-08002B2CF9AE}" pid="4" name="MediaServiceImageTags">
    <vt:lpwstr/>
  </property>
  <property fmtid="{D5CDD505-2E9C-101B-9397-08002B2CF9AE}" pid="5" name="MSIP_Label_418c1083-8924-401d-97ae-40f5eed0fcd8_Enabled">
    <vt:lpwstr>true</vt:lpwstr>
  </property>
  <property fmtid="{D5CDD505-2E9C-101B-9397-08002B2CF9AE}" pid="6" name="MSIP_Label_418c1083-8924-401d-97ae-40f5eed0fcd8_SetDate">
    <vt:lpwstr>2024-11-01T04:53:46Z</vt:lpwstr>
  </property>
  <property fmtid="{D5CDD505-2E9C-101B-9397-08002B2CF9AE}" pid="7" name="MSIP_Label_418c1083-8924-401d-97ae-40f5eed0fcd8_Method">
    <vt:lpwstr>Standard</vt:lpwstr>
  </property>
  <property fmtid="{D5CDD505-2E9C-101B-9397-08002B2CF9AE}" pid="8" name="MSIP_Label_418c1083-8924-401d-97ae-40f5eed0fcd8_Name">
    <vt:lpwstr>418c1083-8924-401d-97ae-40f5eed0fcd8</vt:lpwstr>
  </property>
  <property fmtid="{D5CDD505-2E9C-101B-9397-08002B2CF9AE}" pid="9" name="MSIP_Label_418c1083-8924-401d-97ae-40f5eed0fcd8_SiteId">
    <vt:lpwstr>a5a8bcaa-3292-41e6-b735-5e8b21f4dbfd</vt:lpwstr>
  </property>
  <property fmtid="{D5CDD505-2E9C-101B-9397-08002B2CF9AE}" pid="10" name="MSIP_Label_418c1083-8924-401d-97ae-40f5eed0fcd8_ActionId">
    <vt:lpwstr>504c03b4-5a63-435b-8f8f-191cc08b84e8</vt:lpwstr>
  </property>
  <property fmtid="{D5CDD505-2E9C-101B-9397-08002B2CF9AE}" pid="11" name="MSIP_Label_418c1083-8924-401d-97ae-40f5eed0fcd8_ContentBits">
    <vt:lpwstr>0</vt:lpwstr>
  </property>
  <property fmtid="{D5CDD505-2E9C-101B-9397-08002B2CF9AE}" pid="12" name="GrammarlyDocumentId">
    <vt:lpwstr>1ee76851-3123-4c69-948d-533451f5aae8</vt:lpwstr>
  </property>
</Properties>
</file>