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0EA55" w14:textId="77777777" w:rsidR="00F844D2" w:rsidRPr="00416A05" w:rsidRDefault="00F844D2" w:rsidP="00F844D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6A05">
        <w:rPr>
          <w:rFonts w:ascii="Times New Roman" w:hAnsi="Times New Roman" w:cs="Times New Roman"/>
          <w:b/>
          <w:bCs/>
          <w:sz w:val="24"/>
          <w:szCs w:val="24"/>
        </w:rPr>
        <w:t xml:space="preserve">Table 1. Minimum inhibitory concentration of AMX and AMX-CLV combination and AMR genes in UTI </w:t>
      </w:r>
      <w:r w:rsidRPr="00416A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E. coli</w:t>
      </w:r>
      <w:r w:rsidRPr="00416A05">
        <w:rPr>
          <w:rFonts w:ascii="Times New Roman" w:hAnsi="Times New Roman" w:cs="Times New Roman"/>
          <w:b/>
          <w:bCs/>
          <w:sz w:val="24"/>
          <w:szCs w:val="24"/>
        </w:rPr>
        <w:t xml:space="preserve"> clinical isolates.</w:t>
      </w:r>
    </w:p>
    <w:p w14:paraId="3FFA8C21" w14:textId="77777777" w:rsidR="00F844D2" w:rsidRPr="00705E06" w:rsidRDefault="00F844D2" w:rsidP="00F844D2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705E0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DEB23F" wp14:editId="3F68CFB6">
            <wp:extent cx="6550025" cy="2356269"/>
            <wp:effectExtent l="0" t="0" r="3175" b="6350"/>
            <wp:docPr id="185936416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364169" name="Picture 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947" cy="2370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6331CD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4D2"/>
    <w:rsid w:val="000C4033"/>
    <w:rsid w:val="004B42CB"/>
    <w:rsid w:val="00B85331"/>
    <w:rsid w:val="00DE7B89"/>
    <w:rsid w:val="00E023F9"/>
    <w:rsid w:val="00F8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E5EAB"/>
  <w15:chartTrackingRefBased/>
  <w15:docId w15:val="{72653708-F8B6-4321-8225-A20020DCF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4D2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44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44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4D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4D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4D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4D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4D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4D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4D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4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44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44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44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44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44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4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4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4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44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F844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44D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F844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44D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F844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44D2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F844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44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44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44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107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2025-12-10T07:30:00Z</dcterms:created>
  <dcterms:modified xsi:type="dcterms:W3CDTF">2025-12-10T07:30:00Z</dcterms:modified>
</cp:coreProperties>
</file>