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FDA29" w14:textId="77777777" w:rsidR="0096063C" w:rsidRPr="00E968C0" w:rsidRDefault="0096063C" w:rsidP="0096063C">
      <w:pPr>
        <w:spacing w:after="0" w:line="360" w:lineRule="auto"/>
        <w:jc w:val="center"/>
        <w:rPr>
          <w:rFonts w:asciiTheme="majorBidi" w:hAnsiTheme="majorBidi"/>
          <w:b/>
          <w:bCs/>
          <w:color w:val="000000" w:themeColor="text1"/>
          <w:shd w:val="clear" w:color="auto" w:fill="FFFFFF"/>
          <w:lang w:val="en-GB"/>
        </w:rPr>
      </w:pPr>
      <w:bookmarkStart w:id="0" w:name="_Hlk69739031"/>
      <w:r w:rsidRPr="00EB15E2">
        <w:rPr>
          <w:rFonts w:asciiTheme="majorBidi" w:hAnsiTheme="majorBidi" w:cstheme="majorBidi"/>
          <w:b/>
          <w:bCs/>
          <w:color w:val="000000" w:themeColor="text1"/>
          <w:sz w:val="32"/>
          <w:szCs w:val="32"/>
          <w:shd w:val="clear" w:color="auto" w:fill="FFFFFF"/>
          <w:lang w:val="en-GB"/>
        </w:rPr>
        <w:t>Preparation and Characterization of Ag@TiO</w:t>
      </w:r>
      <w:r w:rsidRPr="00EB15E2">
        <w:rPr>
          <w:rFonts w:asciiTheme="majorBidi" w:hAnsiTheme="majorBidi" w:cstheme="majorBidi"/>
          <w:b/>
          <w:bCs/>
          <w:color w:val="000000" w:themeColor="text1"/>
          <w:sz w:val="32"/>
          <w:szCs w:val="32"/>
          <w:shd w:val="clear" w:color="auto" w:fill="FFFFFF"/>
          <w:vertAlign w:val="subscript"/>
          <w:lang w:val="en-GB"/>
        </w:rPr>
        <w:t>2</w:t>
      </w:r>
      <w:r w:rsidRPr="00EB15E2">
        <w:rPr>
          <w:rFonts w:asciiTheme="majorBidi" w:hAnsiTheme="majorBidi" w:cstheme="majorBidi"/>
          <w:b/>
          <w:bCs/>
          <w:color w:val="000000" w:themeColor="text1"/>
          <w:sz w:val="32"/>
          <w:szCs w:val="32"/>
          <w:shd w:val="clear" w:color="auto" w:fill="FFFFFF"/>
          <w:lang w:val="en-GB"/>
        </w:rPr>
        <w:t>/α-Fe</w:t>
      </w:r>
      <w:r w:rsidRPr="00EB15E2">
        <w:rPr>
          <w:rFonts w:asciiTheme="majorBidi" w:hAnsiTheme="majorBidi" w:cstheme="majorBidi"/>
          <w:b/>
          <w:bCs/>
          <w:color w:val="000000" w:themeColor="text1"/>
          <w:sz w:val="32"/>
          <w:szCs w:val="32"/>
          <w:shd w:val="clear" w:color="auto" w:fill="FFFFFF"/>
          <w:vertAlign w:val="subscript"/>
          <w:lang w:val="en-GB"/>
        </w:rPr>
        <w:t>2</w:t>
      </w:r>
      <w:r w:rsidRPr="00EB15E2">
        <w:rPr>
          <w:rFonts w:asciiTheme="majorBidi" w:hAnsiTheme="majorBidi" w:cstheme="majorBidi"/>
          <w:b/>
          <w:bCs/>
          <w:color w:val="000000" w:themeColor="text1"/>
          <w:sz w:val="32"/>
          <w:szCs w:val="32"/>
          <w:shd w:val="clear" w:color="auto" w:fill="FFFFFF"/>
          <w:lang w:val="en-GB"/>
        </w:rPr>
        <w:t>O</w:t>
      </w:r>
      <w:r w:rsidRPr="00EB15E2">
        <w:rPr>
          <w:rFonts w:asciiTheme="majorBidi" w:hAnsiTheme="majorBidi" w:cstheme="majorBidi"/>
          <w:b/>
          <w:bCs/>
          <w:color w:val="000000" w:themeColor="text1"/>
          <w:sz w:val="32"/>
          <w:szCs w:val="32"/>
          <w:shd w:val="clear" w:color="auto" w:fill="FFFFFF"/>
          <w:vertAlign w:val="subscript"/>
          <w:lang w:val="en-GB"/>
        </w:rPr>
        <w:t>3</w:t>
      </w:r>
      <w:r w:rsidRPr="00EB15E2">
        <w:rPr>
          <w:rFonts w:asciiTheme="majorBidi" w:hAnsiTheme="majorBidi" w:cstheme="majorBidi"/>
          <w:b/>
          <w:bCs/>
          <w:color w:val="000000" w:themeColor="text1"/>
          <w:sz w:val="32"/>
          <w:szCs w:val="32"/>
          <w:shd w:val="clear" w:color="auto" w:fill="FFFFFF"/>
          <w:lang w:val="en-GB"/>
        </w:rPr>
        <w:t xml:space="preserve"> </w:t>
      </w:r>
      <w:r>
        <w:rPr>
          <w:rFonts w:asciiTheme="majorBidi" w:hAnsiTheme="majorBidi" w:cstheme="majorBidi"/>
          <w:b/>
          <w:bCs/>
          <w:color w:val="000000" w:themeColor="text1"/>
          <w:sz w:val="32"/>
          <w:szCs w:val="32"/>
          <w:shd w:val="clear" w:color="auto" w:fill="FFFFFF"/>
          <w:lang w:val="frc-Latn"/>
        </w:rPr>
        <w:t>Ternary Nanocomposite</w:t>
      </w:r>
      <w:r w:rsidRPr="00EB15E2">
        <w:rPr>
          <w:rFonts w:asciiTheme="majorBidi" w:hAnsiTheme="majorBidi" w:cstheme="majorBidi"/>
          <w:b/>
          <w:bCs/>
          <w:color w:val="000000" w:themeColor="text1"/>
          <w:sz w:val="32"/>
          <w:szCs w:val="32"/>
          <w:shd w:val="clear" w:color="auto" w:fill="FFFFFF"/>
          <w:lang w:val="en-GB"/>
        </w:rPr>
        <w:t xml:space="preserve"> </w:t>
      </w:r>
      <w:r w:rsidRPr="00B62F39">
        <w:rPr>
          <w:rFonts w:asciiTheme="majorBidi" w:hAnsiTheme="majorBidi" w:cstheme="majorBidi"/>
          <w:b/>
          <w:bCs/>
          <w:color w:val="000000" w:themeColor="text1"/>
          <w:sz w:val="32"/>
          <w:szCs w:val="32"/>
          <w:shd w:val="clear" w:color="auto" w:fill="FFFFFF"/>
          <w:lang w:val="en-GB"/>
        </w:rPr>
        <w:t>for enhanced visible light photocatalytic performance</w:t>
      </w:r>
    </w:p>
    <w:p w14:paraId="0CE13502" w14:textId="77777777" w:rsidR="0096063C" w:rsidRPr="00EB15E2" w:rsidRDefault="0096063C" w:rsidP="0096063C">
      <w:pPr>
        <w:spacing w:after="0"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z w:val="32"/>
          <w:szCs w:val="32"/>
          <w:shd w:val="clear" w:color="auto" w:fill="FFFFFF"/>
          <w:lang w:val="en-GB"/>
        </w:rPr>
      </w:pPr>
    </w:p>
    <w:bookmarkEnd w:id="0"/>
    <w:p w14:paraId="36BB4699" w14:textId="4C028206" w:rsidR="0096063C" w:rsidRPr="00EB15E2" w:rsidRDefault="0096063C" w:rsidP="00607D26">
      <w:pPr>
        <w:spacing w:after="0"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val="frc-Latn"/>
        </w:rPr>
      </w:pPr>
      <w:proofErr w:type="spellStart"/>
      <w:r w:rsidRPr="00EB15E2"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val="en-GB"/>
        </w:rPr>
        <w:t>Nesrine</w:t>
      </w:r>
      <w:proofErr w:type="spellEnd"/>
      <w:r w:rsidRPr="00EB15E2"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val="en-GB"/>
        </w:rPr>
        <w:t xml:space="preserve"> Ben </w:t>
      </w:r>
      <w:proofErr w:type="spellStart"/>
      <w:r w:rsidRPr="00EB15E2"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val="en-GB"/>
        </w:rPr>
        <w:t>Saber</w:t>
      </w:r>
      <w:proofErr w:type="spellEnd"/>
      <w:r w:rsidRPr="00EB15E2"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val="en-GB"/>
        </w:rPr>
        <w:t xml:space="preserve"> </w:t>
      </w:r>
      <w:proofErr w:type="gramStart"/>
      <w:r w:rsidRPr="00EB15E2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perscript"/>
          <w:lang w:val="frc-Latn"/>
        </w:rPr>
        <w:t>a,</w:t>
      </w:r>
      <w:r w:rsidRPr="00EB15E2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perscript"/>
          <w:lang w:val="en-GB"/>
        </w:rPr>
        <w:t>b</w:t>
      </w:r>
      <w:proofErr w:type="gramEnd"/>
      <w:r w:rsidRPr="00EB15E2"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val="en-GB"/>
        </w:rPr>
        <w:t>,</w:t>
      </w:r>
      <w:r w:rsidRPr="00EB15E2"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val="frc-Latn"/>
        </w:rPr>
        <w:t xml:space="preserve"> </w:t>
      </w:r>
      <w:r w:rsidRPr="00EB15E2"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val="en-GB"/>
        </w:rPr>
        <w:t xml:space="preserve">Amine </w:t>
      </w:r>
      <w:proofErr w:type="spellStart"/>
      <w:r w:rsidRPr="00EB15E2"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val="en-GB"/>
        </w:rPr>
        <w:t>Mezni</w:t>
      </w:r>
      <w:proofErr w:type="spellEnd"/>
      <w:r w:rsidRPr="00EB15E2"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val="en-GB"/>
        </w:rPr>
        <w:t xml:space="preserve"> </w:t>
      </w:r>
      <w:r w:rsidRPr="00EB15E2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perscript"/>
          <w:lang w:val="en-GB"/>
        </w:rPr>
        <w:t>a</w:t>
      </w:r>
      <w:r w:rsidRPr="00EB15E2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perscript"/>
          <w:lang w:val="frc-Latn"/>
        </w:rPr>
        <w:t>,*</w:t>
      </w:r>
    </w:p>
    <w:p w14:paraId="49903040" w14:textId="77777777" w:rsidR="0096063C" w:rsidRPr="00EB15E2" w:rsidRDefault="0096063C" w:rsidP="0096063C">
      <w:pPr>
        <w:spacing w:after="0"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  <w:lang w:val="en-GB"/>
        </w:rPr>
      </w:pPr>
    </w:p>
    <w:p w14:paraId="3B97EAD5" w14:textId="77777777" w:rsidR="0096063C" w:rsidRPr="00EB15E2" w:rsidRDefault="0096063C" w:rsidP="0096063C">
      <w:pPr>
        <w:spacing w:after="0" w:line="24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  <w:proofErr w:type="spellStart"/>
      <w:proofErr w:type="gramStart"/>
      <w:r w:rsidRPr="00EB15E2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perscript"/>
        </w:rPr>
        <w:t>a</w:t>
      </w:r>
      <w:proofErr w:type="spellEnd"/>
      <w:proofErr w:type="gramEnd"/>
      <w:r w:rsidRPr="00EB15E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proofErr w:type="spellStart"/>
      <w:r w:rsidRPr="00EB15E2">
        <w:rPr>
          <w:rFonts w:asciiTheme="majorBidi" w:hAnsiTheme="majorBidi" w:cstheme="majorBidi"/>
          <w:color w:val="000000" w:themeColor="text1"/>
          <w:sz w:val="24"/>
          <w:szCs w:val="24"/>
        </w:rPr>
        <w:t>Department</w:t>
      </w:r>
      <w:proofErr w:type="spellEnd"/>
      <w:r w:rsidRPr="00EB15E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of Chemistry, </w:t>
      </w:r>
      <w:proofErr w:type="spellStart"/>
      <w:r w:rsidRPr="00EB15E2">
        <w:rPr>
          <w:rFonts w:asciiTheme="majorBidi" w:hAnsiTheme="majorBidi" w:cstheme="majorBidi"/>
          <w:color w:val="000000" w:themeColor="text1"/>
          <w:sz w:val="24"/>
          <w:szCs w:val="24"/>
        </w:rPr>
        <w:t>College</w:t>
      </w:r>
      <w:proofErr w:type="spellEnd"/>
      <w:r w:rsidRPr="00EB15E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of Science, Taif </w:t>
      </w:r>
      <w:proofErr w:type="spellStart"/>
      <w:r w:rsidRPr="00EB15E2">
        <w:rPr>
          <w:rFonts w:asciiTheme="majorBidi" w:hAnsiTheme="majorBidi" w:cstheme="majorBidi"/>
          <w:color w:val="000000" w:themeColor="text1"/>
          <w:sz w:val="24"/>
          <w:szCs w:val="24"/>
        </w:rPr>
        <w:t>University</w:t>
      </w:r>
      <w:proofErr w:type="spellEnd"/>
      <w:r w:rsidRPr="00EB15E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, P.O. Box 11099, Taif 21944, </w:t>
      </w:r>
      <w:proofErr w:type="spellStart"/>
      <w:r w:rsidRPr="00EB15E2">
        <w:rPr>
          <w:rFonts w:asciiTheme="majorBidi" w:hAnsiTheme="majorBidi" w:cstheme="majorBidi"/>
          <w:color w:val="000000" w:themeColor="text1"/>
          <w:sz w:val="24"/>
          <w:szCs w:val="24"/>
        </w:rPr>
        <w:t>Saudi</w:t>
      </w:r>
      <w:proofErr w:type="spellEnd"/>
      <w:r w:rsidRPr="00EB15E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Arabia</w:t>
      </w:r>
      <w:r w:rsidRPr="00EB15E2">
        <w:rPr>
          <w:rFonts w:asciiTheme="majorBidi" w:hAnsiTheme="majorBidi" w:cstheme="majorBidi"/>
          <w:color w:val="000000" w:themeColor="text1"/>
          <w:sz w:val="24"/>
          <w:szCs w:val="24"/>
        </w:rPr>
        <w:br/>
      </w:r>
      <w:r w:rsidRPr="00EB15E2"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perscript"/>
        </w:rPr>
        <w:t>b</w:t>
      </w:r>
      <w:r w:rsidRPr="00EB15E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Université de Carthage, Faculté des Sciences de Bizerte, LR18 ES11, Laboratoire des composés hétéro-organiques et des matériaux </w:t>
      </w:r>
      <w:proofErr w:type="spellStart"/>
      <w:r w:rsidRPr="00EB15E2">
        <w:rPr>
          <w:rFonts w:asciiTheme="majorBidi" w:hAnsiTheme="majorBidi" w:cstheme="majorBidi"/>
          <w:color w:val="000000" w:themeColor="text1"/>
          <w:sz w:val="24"/>
          <w:szCs w:val="24"/>
        </w:rPr>
        <w:t>nanostructurés</w:t>
      </w:r>
      <w:proofErr w:type="spellEnd"/>
      <w:r w:rsidRPr="00EB15E2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, 7021, </w:t>
      </w:r>
      <w:proofErr w:type="spellStart"/>
      <w:r w:rsidRPr="00EB15E2">
        <w:rPr>
          <w:rFonts w:asciiTheme="majorBidi" w:hAnsiTheme="majorBidi" w:cstheme="majorBidi"/>
          <w:color w:val="000000" w:themeColor="text1"/>
          <w:sz w:val="24"/>
          <w:szCs w:val="24"/>
        </w:rPr>
        <w:t>Zarzouna</w:t>
      </w:r>
      <w:proofErr w:type="spellEnd"/>
      <w:r w:rsidRPr="00EB15E2">
        <w:rPr>
          <w:rFonts w:asciiTheme="majorBidi" w:hAnsiTheme="majorBidi" w:cstheme="majorBidi"/>
          <w:color w:val="000000" w:themeColor="text1"/>
          <w:sz w:val="24"/>
          <w:szCs w:val="24"/>
        </w:rPr>
        <w:t>, Tunisie</w:t>
      </w:r>
    </w:p>
    <w:p w14:paraId="02469F11" w14:textId="1742F1A1" w:rsidR="0096063C" w:rsidRDefault="0096063C" w:rsidP="0096063C">
      <w:pPr>
        <w:spacing w:after="0" w:line="240" w:lineRule="auto"/>
        <w:jc w:val="center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vertAlign w:val="superscript"/>
          <w:lang w:val="en-GB"/>
        </w:rPr>
      </w:pPr>
    </w:p>
    <w:p w14:paraId="7E3C71F8" w14:textId="77777777" w:rsidR="00607D26" w:rsidRDefault="00607D26" w:rsidP="0096063C">
      <w:pPr>
        <w:spacing w:after="0" w:line="24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</w:pPr>
    </w:p>
    <w:p w14:paraId="3F500452" w14:textId="3E7CFFA0" w:rsidR="0096063C" w:rsidRPr="00930C3F" w:rsidRDefault="00930C3F" w:rsidP="0096063C">
      <w:pPr>
        <w:spacing w:after="0" w:line="24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  <w:lang w:val="en-GB"/>
        </w:rPr>
      </w:pPr>
      <w:r w:rsidRPr="00930C3F">
        <w:rPr>
          <w:rFonts w:asciiTheme="majorBidi" w:hAnsiTheme="majorBidi" w:cstheme="majorBidi"/>
          <w:noProof/>
          <w:color w:val="000000" w:themeColor="text1"/>
          <w:sz w:val="24"/>
          <w:szCs w:val="24"/>
          <w:lang w:val="en-GB"/>
        </w:rPr>
        <w:drawing>
          <wp:inline distT="0" distB="0" distL="0" distR="0" wp14:anchorId="5C6774F1" wp14:editId="549B6D33">
            <wp:extent cx="5760720" cy="4398010"/>
            <wp:effectExtent l="0" t="0" r="0" b="0"/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98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4DBB38" w14:textId="17A01F7A" w:rsidR="0096063C" w:rsidRPr="0096063C" w:rsidRDefault="0096063C" w:rsidP="0096063C">
      <w:pPr>
        <w:spacing w:after="0" w:line="240" w:lineRule="auto"/>
        <w:jc w:val="center"/>
        <w:rPr>
          <w:rFonts w:asciiTheme="majorBidi" w:hAnsiTheme="majorBidi" w:cstheme="majorBidi"/>
          <w:color w:val="000000" w:themeColor="text1"/>
          <w:sz w:val="24"/>
          <w:szCs w:val="24"/>
          <w:lang w:val="frc-Latn"/>
        </w:rPr>
      </w:pPr>
      <w:r w:rsidRPr="002A70A2"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val="frc-Latn"/>
        </w:rPr>
        <w:t>Figure S1.</w:t>
      </w:r>
      <w:r>
        <w:rPr>
          <w:rFonts w:asciiTheme="majorBidi" w:hAnsiTheme="majorBidi" w:cstheme="majorBidi"/>
          <w:color w:val="000000" w:themeColor="text1"/>
          <w:sz w:val="24"/>
          <w:szCs w:val="24"/>
          <w:lang w:val="frc-Latn"/>
        </w:rPr>
        <w:t xml:space="preserve"> Deconvolution XPS spectrum of Ag</w:t>
      </w:r>
      <w:r w:rsidR="002A70A2">
        <w:rPr>
          <w:rFonts w:asciiTheme="majorBidi" w:hAnsiTheme="majorBidi" w:cstheme="majorBidi"/>
          <w:color w:val="000000" w:themeColor="text1"/>
          <w:sz w:val="24"/>
          <w:szCs w:val="24"/>
          <w:lang w:val="frc-Latn"/>
        </w:rPr>
        <w:t xml:space="preserve"> element.</w:t>
      </w:r>
    </w:p>
    <w:p w14:paraId="242D08B8" w14:textId="77777777" w:rsidR="0096063C" w:rsidRPr="00EB15E2" w:rsidRDefault="0096063C" w:rsidP="0096063C">
      <w:pPr>
        <w:spacing w:after="0"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z w:val="44"/>
          <w:szCs w:val="44"/>
          <w:rtl/>
          <w:lang w:val="en-GB"/>
        </w:rPr>
      </w:pPr>
    </w:p>
    <w:p w14:paraId="0A9A5371" w14:textId="77777777" w:rsidR="0096063C" w:rsidRPr="0096063C" w:rsidRDefault="0096063C" w:rsidP="00752ED8">
      <w:pPr>
        <w:jc w:val="center"/>
        <w:rPr>
          <w:lang w:val="en-GB"/>
        </w:rPr>
      </w:pPr>
    </w:p>
    <w:sectPr w:rsidR="0096063C" w:rsidRPr="0096063C" w:rsidSect="00131C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004702"/>
    <w:rsid w:val="00004702"/>
    <w:rsid w:val="00131CC1"/>
    <w:rsid w:val="002A70A2"/>
    <w:rsid w:val="00607D26"/>
    <w:rsid w:val="00752ED8"/>
    <w:rsid w:val="00930C3F"/>
    <w:rsid w:val="0096063C"/>
    <w:rsid w:val="00A36F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ADBD91"/>
  <w15:chartTrackingRefBased/>
  <w15:docId w15:val="{5310C70B-F43B-4B57-B291-C63EB8920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1C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77</Words>
  <Characters>426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أمين رشيد رزقي مازني</dc:creator>
  <cp:keywords/>
  <dc:description/>
  <cp:lastModifiedBy>أمين رشيد رزقي مازني</cp:lastModifiedBy>
  <cp:revision>7</cp:revision>
  <dcterms:created xsi:type="dcterms:W3CDTF">2021-07-29T19:35:00Z</dcterms:created>
  <dcterms:modified xsi:type="dcterms:W3CDTF">2021-08-14T15:12:00Z</dcterms:modified>
</cp:coreProperties>
</file>